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pPr>
      <w:r>
        <w:rPr>
          <w:rFonts w:ascii="Times New Roman;serif" w:hAnsi="Times New Roman;serif"/>
          <w:b/>
          <w:color w:val="000000"/>
          <w:sz w:val="22"/>
        </w:rPr>
        <w:t>Pursuant to Section 13 or 15(d) of The Securities Exchange Act of 1934</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Date of Report (Date of earliest event reported): </w:t>
      </w:r>
      <w:r>
        <w:rPr>
          <w:rFonts w:ascii="Times New Roman;serif" w:hAnsi="Times New Roman;serif"/>
          <w:b/>
          <w:color w:val="000000"/>
          <w:sz w:val="18"/>
        </w:rPr>
        <w:t>August 5, 2026</w:t>
      </w:r>
    </w:p>
    <w:p>
      <w:pPr>
        <w:pStyle w:val="TextBody"/>
        <w:bidi w:val="0"/>
        <w:spacing w:before="0" w:after="0"/>
        <w:jc w:val="center"/>
        <w:rPr/>
      </w:pPr>
      <w:r>
        <w:rPr/>
        <w:drawing>
          <wp:inline distT="0" distB="0" distL="0" distR="0">
            <wp:extent cx="22098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50482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40"/>
        </w:rPr>
        <w:t>Brighthouse Financial,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center"/>
        <w:rPr/>
      </w:pPr>
      <w:r>
        <w:rPr/>
      </w:r>
    </w:p>
    <w:tbl>
      <w:tblPr>
        <w:tblW w:w="7859" w:type="dxa"/>
        <w:jc w:val="center"/>
        <w:tblInd w:w="0" w:type="dxa"/>
        <w:tblLayout w:type="fixed"/>
        <w:tblCellMar>
          <w:top w:w="28" w:type="dxa"/>
          <w:left w:w="28" w:type="dxa"/>
          <w:bottom w:w="28" w:type="dxa"/>
          <w:right w:w="28" w:type="dxa"/>
        </w:tblCellMar>
      </w:tblPr>
      <w:tblGrid>
        <w:gridCol w:w="1159"/>
        <w:gridCol w:w="1021"/>
        <w:gridCol w:w="1030"/>
        <w:gridCol w:w="687"/>
        <w:gridCol w:w="687"/>
        <w:gridCol w:w="695"/>
        <w:gridCol w:w="752"/>
        <w:gridCol w:w="752"/>
        <w:gridCol w:w="1076"/>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001-37905</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81-3846992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tbl>
      <w:tblPr>
        <w:tblW w:w="6846" w:type="dxa"/>
        <w:jc w:val="center"/>
        <w:tblInd w:w="0" w:type="dxa"/>
        <w:tblLayout w:type="fixed"/>
        <w:tblCellMar>
          <w:top w:w="28" w:type="dxa"/>
          <w:left w:w="28" w:type="dxa"/>
          <w:bottom w:w="28" w:type="dxa"/>
          <w:right w:w="28" w:type="dxa"/>
        </w:tblCellMar>
      </w:tblPr>
      <w:tblGrid>
        <w:gridCol w:w="124"/>
        <w:gridCol w:w="109"/>
        <w:gridCol w:w="109"/>
        <w:gridCol w:w="1024"/>
        <w:gridCol w:w="1024"/>
        <w:gridCol w:w="1027"/>
        <w:gridCol w:w="294"/>
        <w:gridCol w:w="294"/>
        <w:gridCol w:w="296"/>
        <w:gridCol w:w="429"/>
        <w:gridCol w:w="429"/>
        <w:gridCol w:w="431"/>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11225 North Community House Road,</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Charlotte,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28277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8"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(980) 365-7100</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8"/>
        </w:rPr>
        <w:t>Not Applicable</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(Former name or former address, if changed since last report)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p>
      <w:pPr>
        <w:pStyle w:val="TextBody"/>
        <w:bidi w:val="0"/>
        <w:spacing w:before="0" w:after="0"/>
        <w:jc w:val="both"/>
        <w:rPr/>
      </w:pPr>
      <w:r>
        <w:rPr/>
      </w:r>
    </w:p>
    <w:p>
      <w:pPr>
        <w:pStyle w:val="TextBody"/>
        <w:bidi w:val="0"/>
        <w:spacing w:lineRule="auto" w:line="288" w:before="0" w:after="60"/>
        <w:ind w:left="0" w:right="0" w:hanging="225"/>
        <w:jc w:val="both"/>
        <w:rPr/>
      </w:pPr>
      <w:r>
        <w:rPr>
          <w:color w:val="000000"/>
        </w:rPr>
        <w:t xml:space="preserve">☐ </w:t>
      </w:r>
      <w:r>
        <w:rPr>
          <w:rFonts w:ascii="Times New Roman;serif" w:hAnsi="Times New Roman;serif"/>
          <w:b w:val="false"/>
          <w:color w:val="000000"/>
          <w:sz w:val="18"/>
        </w:rPr>
        <w:t xml:space="preserve">Written communications pursuant to Rule 425 under the Securities Act (17 CFR 230.425) </w:t>
      </w:r>
    </w:p>
    <w:p>
      <w:pPr>
        <w:pStyle w:val="TextBody"/>
        <w:bidi w:val="0"/>
        <w:spacing w:lineRule="auto" w:line="288" w:before="0" w:after="60"/>
        <w:ind w:left="0" w:right="0" w:hanging="225"/>
        <w:jc w:val="both"/>
        <w:rPr/>
      </w:pPr>
      <w:r>
        <w:rPr>
          <w:color w:val="000000"/>
        </w:rPr>
        <w:t xml:space="preserve">☐ </w:t>
      </w:r>
      <w:r>
        <w:rPr>
          <w:rFonts w:ascii="Times New Roman;serif" w:hAnsi="Times New Roman;serif"/>
          <w:b w:val="false"/>
          <w:color w:val="000000"/>
          <w:sz w:val="18"/>
        </w:rPr>
        <w:t xml:space="preserve">Soliciting material pursuant to Rule 14a-12 under the Exchange Act (17 CFR 240.14a-12) </w:t>
      </w:r>
    </w:p>
    <w:p>
      <w:pPr>
        <w:pStyle w:val="TextBody"/>
        <w:bidi w:val="0"/>
        <w:spacing w:lineRule="auto" w:line="288" w:before="0" w:after="60"/>
        <w:ind w:left="0" w:right="0" w:hanging="225"/>
        <w:jc w:val="both"/>
        <w:rPr/>
      </w:pPr>
      <w:r>
        <w:rPr>
          <w:color w:val="000000"/>
        </w:rPr>
        <w:t xml:space="preserve">☐ </w:t>
      </w:r>
      <w:r>
        <w:rPr>
          <w:rFonts w:ascii="Times New Roman;serif" w:hAnsi="Times New Roman;serif"/>
          <w:b w:val="false"/>
          <w:color w:val="000000"/>
          <w:sz w:val="18"/>
        </w:rPr>
        <w:t xml:space="preserve">Pre-commencement communications pursuant to Rule 14d-2(b) under the Exchange Act (17 CFR 240.14d-2(b)) </w:t>
      </w:r>
    </w:p>
    <w:p>
      <w:pPr>
        <w:pStyle w:val="TextBody"/>
        <w:bidi w:val="0"/>
        <w:spacing w:lineRule="auto" w:line="288" w:before="0" w:after="0"/>
        <w:ind w:left="0" w:right="0" w:hanging="225"/>
        <w:jc w:val="both"/>
        <w:rPr/>
      </w:pPr>
      <w:r>
        <w:rPr>
          <w:color w:val="000000"/>
        </w:rPr>
        <w:t xml:space="preserve">☐ </w:t>
      </w:r>
      <w:r>
        <w:rPr>
          <w:rFonts w:ascii="Times New Roman;serif" w:hAnsi="Times New Roman;serif"/>
          <w:b w:val="false"/>
          <w:color w:val="000000"/>
          <w:sz w:val="18"/>
        </w:rPr>
        <w:t xml:space="preserve">Pre-commencement communications pursuant to Rule 13e-4(c) under the Exchange Act (17 CFR 240.13e-4(c)) </w:t>
      </w:r>
    </w:p>
    <w:p>
      <w:pPr>
        <w:pStyle w:val="TextBody"/>
        <w:bidi w:val="0"/>
        <w:spacing w:before="0" w:after="0"/>
        <w:ind w:left="0" w:right="0" w:hanging="225"/>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10"/>
        <w:gridCol w:w="2024"/>
        <w:gridCol w:w="2036"/>
        <w:gridCol w:w="415"/>
        <w:gridCol w:w="390"/>
        <w:gridCol w:w="391"/>
        <w:gridCol w:w="712"/>
        <w:gridCol w:w="712"/>
        <w:gridCol w:w="1015"/>
      </w:tblGrid>
      <w:tr>
        <w:trPr/>
        <w:tc>
          <w:tcPr>
            <w:tcW w:w="251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Depositary Shares, each representing a 1/1,000th interest in a share of 6.600% Non-Cumulative Preferred Stock, Series A</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BHFAP</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Depositary Shares, each representing a 1/1,000th interest in a share of 6.750% Non-Cumulative Preferred Stock, Series B</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BHFAO</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Depositary Shares, each representing a 1/1,000th interest in a share of 5.375% Non-Cumulative Preferred Stock, Series C</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BHFAN</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Depositary Shares, each representing a 1/1,000th interest in a share of 4.625% Non-Cumulative Preferred Stock, Series D</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BHFAM</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6.250% Junior Subordinated Debentures due 2058</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BHFAL</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before="0" w:after="0"/>
        <w:ind w:left="0" w:right="0" w:hanging="225"/>
        <w:jc w:val="both"/>
        <w:rPr/>
      </w:pPr>
      <w:r>
        <w:rPr/>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25"/>
        <w:gridCol w:w="1075"/>
        <w:gridCol w:w="1075"/>
        <w:gridCol w:w="1075"/>
        <w:gridCol w:w="1075"/>
        <w:gridCol w:w="1075"/>
        <w:gridCol w:w="1075"/>
        <w:gridCol w:w="1075"/>
        <w:gridCol w:w="1075"/>
        <w:gridCol w:w="109"/>
        <w:gridCol w:w="109"/>
        <w:gridCol w:w="162"/>
      </w:tblGrid>
      <w:tr>
        <w:trPr/>
        <w:tc>
          <w:tcPr>
            <w:tcW w:w="122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825" w:type="dxa"/>
            <w:gridSpan w:val="9"/>
            <w:tcBorders/>
            <w:tcMar>
              <w:top w:w="0" w:type="dxa"/>
              <w:left w:w="0" w:type="dxa"/>
              <w:bottom w:w="0" w:type="dxa"/>
              <w:right w:w="0" w:type="dxa"/>
            </w:tcMar>
            <w:vAlign w:val="center"/>
          </w:tcPr>
          <w:p>
            <w:pPr>
              <w:pStyle w:val="TableContents"/>
              <w:bidi w:val="0"/>
              <w:spacing w:lineRule="auto" w:line="240" w:before="0" w:after="60"/>
              <w:jc w:val="right"/>
              <w:rPr>
                <w:color w:val="000000"/>
              </w:rPr>
            </w:pPr>
            <w:r>
              <w:rPr>
                <w:color w:val="000000"/>
              </w:rPr>
              <w:t> </w:t>
            </w:r>
            <w:r>
              <w:rPr>
                <w:rFonts w:ascii="Times New Roman;serif" w:hAnsi="Times New Roman;serif"/>
                <w:b w:val="false"/>
                <w:color w:val="000000"/>
                <w:sz w:val="18"/>
              </w:rPr>
              <w:t>Emerging growth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25" w:type="dxa"/>
            <w:gridSpan w:val="9"/>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5, 2026, Brighthouse Financial, Inc. (“Brighthouse Financial” or the “Company”) issued (i) a news release announcing its results for the quarter ended June 30, 2026, a copy of which is attached hereto as Exhibit 99.1 and is incorporated herein by reference, and (ii) a Financial Supplement for the quarter ended June 30, 2026, a copy of which is attached hereto as Exhibit 99.2 and is incorporated herein by reference.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accordance with General Instruction B.2 of Form 8-K, the information in Item 2.02 and Exhibits 99.1 and 99.2 listed in Item 9.01 of this Current Report on Form 8-K shall not be deemed “filed” for the purposes of Section 18 of the Securities Exchange Act of 1934, as amended (the “Exchange Act”), or otherwise subject to the liability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345"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364"/>
        <w:gridCol w:w="320"/>
        <w:gridCol w:w="322"/>
        <w:gridCol w:w="2686"/>
        <w:gridCol w:w="2686"/>
        <w:gridCol w:w="3827"/>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9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q22026bhfearningspressrele.htm">
              <w:r>
                <w:rPr>
                  <w:rStyle w:val="InternetLink"/>
                  <w:rFonts w:ascii="Times New Roman;serif" w:hAnsi="Times New Roman;serif"/>
                  <w:b w:val="false"/>
                  <w:color w:val="0000FF"/>
                  <w:sz w:val="22"/>
                  <w:u w:val="single"/>
                </w:rPr>
                <w:t>99.1**</w:t>
              </w:r>
            </w:hyperlink>
          </w:p>
        </w:tc>
        <w:tc>
          <w:tcPr>
            <w:tcW w:w="9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bhfearningspressrele.htm">
              <w:r>
                <w:rPr>
                  <w:rStyle w:val="InternetLink"/>
                  <w:rFonts w:ascii="Times New Roman;serif" w:hAnsi="Times New Roman;serif"/>
                  <w:b w:val="false"/>
                  <w:color w:val="0000FF"/>
                  <w:sz w:val="22"/>
                  <w:u w:val="single"/>
                </w:rPr>
                <w:t>News release of Brighthouse Financial, Inc., dated August 5, 2026, announcing its results for the quarter ended June 30, 2026</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40"/>
              <w:jc w:val="left"/>
              <w:rPr/>
            </w:pPr>
            <w:hyperlink w:anchor="q22026bhffinancialsuppleme.htm">
              <w:r>
                <w:rPr>
                  <w:rStyle w:val="InternetLink"/>
                  <w:rFonts w:ascii="Times New Roman;serif" w:hAnsi="Times New Roman;serif"/>
                  <w:b w:val="false"/>
                  <w:color w:val="0000FF"/>
                  <w:sz w:val="22"/>
                  <w:u w:val="single"/>
                </w:rPr>
                <w:t>99.2**</w:t>
              </w:r>
            </w:hyperlink>
          </w:p>
        </w:tc>
        <w:tc>
          <w:tcPr>
            <w:tcW w:w="9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bhffinancialsuppleme.htm">
              <w:r>
                <w:rPr>
                  <w:rStyle w:val="InternetLink"/>
                  <w:rFonts w:ascii="Times New Roman;serif" w:hAnsi="Times New Roman;serif"/>
                  <w:b w:val="false"/>
                  <w:color w:val="0000FF"/>
                  <w:sz w:val="22"/>
                  <w:u w:val="single"/>
                </w:rPr>
                <w:t>Financial Supplement for the quarter ended June 30, 2026</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1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47725"/>
                <wp:effectExtent l="0" t="0" r="0" b="0"/>
                <wp:wrapNone/>
                <wp:docPr id="3" name="Frame2"/>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4814" w:type="dxa"/>
        <w:jc w:val="right"/>
        <w:tblInd w:w="0" w:type="dxa"/>
        <w:tblLayout w:type="fixed"/>
        <w:tblCellMar>
          <w:top w:w="28" w:type="dxa"/>
          <w:left w:w="28" w:type="dxa"/>
          <w:bottom w:w="28" w:type="dxa"/>
          <w:right w:w="28" w:type="dxa"/>
        </w:tblCellMar>
      </w:tblPr>
      <w:tblGrid>
        <w:gridCol w:w="326"/>
        <w:gridCol w:w="285"/>
        <w:gridCol w:w="285"/>
        <w:gridCol w:w="285"/>
        <w:gridCol w:w="285"/>
        <w:gridCol w:w="285"/>
        <w:gridCol w:w="689"/>
        <w:gridCol w:w="689"/>
        <w:gridCol w:w="691"/>
        <w:gridCol w:w="285"/>
        <w:gridCol w:w="285"/>
        <w:gridCol w:w="424"/>
      </w:tblGrid>
      <w:tr>
        <w:trP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81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BRIGHTHOUSE FINANCIAL, INC.</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9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Melissa B. Pavlovich</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0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Melissa B. Pavlovich</w:t>
            </w:r>
          </w:p>
        </w:tc>
        <w:tc>
          <w:tcPr>
            <w:tcW w:w="9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06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Chief Accounting Officer</w:t>
            </w:r>
          </w:p>
        </w:tc>
      </w:tr>
    </w:tbl>
    <w:p>
      <w:pPr>
        <w:pStyle w:val="TextBody"/>
        <w:bidi w:val="0"/>
        <w:spacing w:before="0" w:after="120"/>
        <w:ind w:left="0" w:right="0" w:firstLine="45"/>
        <w:jc w:val="both"/>
        <w:rPr/>
      </w:pPr>
      <w:r>
        <w:rPr/>
      </w:r>
    </w:p>
    <w:p>
      <w:pPr>
        <w:pStyle w:val="TextBody"/>
        <w:bidi w:val="0"/>
        <w:spacing w:lineRule="auto" w:line="288" w:before="0" w:after="120"/>
        <w:ind w:left="0" w:right="0" w:firstLine="45"/>
        <w:jc w:val="both"/>
        <w:rPr>
          <w:rFonts w:ascii="Times New Roman;serif" w:hAnsi="Times New Roman;serif"/>
          <w:b w:val="false"/>
          <w:color w:val="000000"/>
          <w:sz w:val="22"/>
        </w:rPr>
      </w:pPr>
      <w:r>
        <w:rPr>
          <w:rFonts w:ascii="Times New Roman;serif" w:hAnsi="Times New Roman;serif"/>
          <w:b w:val="false"/>
          <w:color w:val="000000"/>
          <w:sz w:val="22"/>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47725"/>
                <wp:effectExtent l="0" t="0" r="0" b="0"/>
                <wp:wrapNone/>
                <wp:docPr id="4" name="Frame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047875" cy="476250"/>
                          </a:xfrm>
                          <a:prstGeom prst="rect">
                            <a:avLst/>
                          </a:prstGeom>
                        </pic:spPr>
                      </pic:pic>
                    </a:graphicData>
                  </a:graphic>
                </wp:inline>
              </w:drawing>
            </w:r>
          </w:p>
        </w:tc>
      </w:tr>
    </w:tbl>
    <w:p>
      <w:pPr>
        <w:pStyle w:val="TextBody"/>
        <w:bidi w:val="0"/>
        <w:spacing w:before="0" w:after="0"/>
        <w:ind w:left="0" w:right="0" w:firstLine="720"/>
        <w:jc w:val="right"/>
        <w:rPr/>
      </w:pPr>
      <w:r>
        <w:rPr/>
      </w:r>
    </w:p>
    <w:p>
      <w:pPr>
        <w:pStyle w:val="TextBody"/>
        <w:bidi w:val="0"/>
        <w:spacing w:lineRule="auto" w:line="288" w:before="0" w:after="0"/>
        <w:jc w:val="right"/>
        <w:rPr>
          <w:rFonts w:ascii="Roboto;sans-serif" w:hAnsi="Roboto;sans-serif"/>
          <w:b/>
          <w:color w:val="000000"/>
          <w:sz w:val="18"/>
        </w:rPr>
      </w:pPr>
      <w:r>
        <w:rPr>
          <w:rFonts w:ascii="Roboto;sans-serif" w:hAnsi="Roboto;sans-serif"/>
          <w:b/>
          <w:color w:val="000000"/>
          <w:sz w:val="18"/>
        </w:rPr>
        <w:t>Exhibit 99.1</w:t>
      </w:r>
    </w:p>
    <w:p>
      <w:pPr>
        <w:pStyle w:val="TextBody"/>
        <w:bidi w:val="0"/>
        <w:spacing w:before="0" w:after="0"/>
        <w:jc w:val="right"/>
        <w:rPr/>
      </w:pPr>
      <w:r>
        <w:rPr/>
      </w:r>
    </w:p>
    <w:p>
      <w:pPr>
        <w:pStyle w:val="TextBody"/>
        <w:bidi w:val="0"/>
        <w:spacing w:lineRule="auto" w:line="288" w:before="200" w:after="283"/>
        <w:jc w:val="left"/>
        <w:rPr>
          <w:rFonts w:ascii="Roboto;sans-serif" w:hAnsi="Roboto;sans-serif"/>
          <w:b/>
          <w:color w:val="00A5A8"/>
          <w:sz w:val="24"/>
        </w:rPr>
      </w:pPr>
      <w:r>
        <w:rPr>
          <w:rFonts w:ascii="Roboto;sans-serif" w:hAnsi="Roboto;sans-serif"/>
          <w:b/>
          <w:color w:val="00A5A8"/>
          <w:sz w:val="24"/>
        </w:rPr>
        <w:t>FOR IMMEDIATE RELEASE</w:t>
      </w:r>
    </w:p>
    <w:p>
      <w:pPr>
        <w:pStyle w:val="TextBody"/>
        <w:bidi w:val="0"/>
        <w:spacing w:lineRule="auto" w:line="288" w:before="200" w:after="120"/>
        <w:jc w:val="left"/>
        <w:rPr>
          <w:rFonts w:ascii="Roboto;sans-serif" w:hAnsi="Roboto;sans-serif"/>
          <w:b/>
          <w:color w:val="000000"/>
          <w:sz w:val="24"/>
        </w:rPr>
      </w:pPr>
      <w:r>
        <w:rPr>
          <w:rFonts w:ascii="Roboto;sans-serif" w:hAnsi="Roboto;sans-serif"/>
          <w:b/>
          <w:color w:val="000000"/>
          <w:sz w:val="24"/>
        </w:rPr>
        <w:t xml:space="preserve">Brighthouse Financial Announces Second Quarter 2026 Results </w:t>
      </w:r>
    </w:p>
    <w:p>
      <w:pPr>
        <w:pStyle w:val="TextBody"/>
        <w:bidi w:val="0"/>
        <w:spacing w:lineRule="auto" w:line="288" w:before="200" w:after="120"/>
        <w:ind w:left="0" w:right="0" w:hanging="360"/>
        <w:jc w:val="both"/>
        <w:rPr/>
      </w:pPr>
      <w:r>
        <w:rPr>
          <w:color w:val="000000"/>
        </w:rPr>
        <w:t>•</w:t>
      </w:r>
      <w:r>
        <w:rPr>
          <w:rFonts w:ascii="Roboto;sans-serif" w:hAnsi="Roboto;sans-serif"/>
          <w:b w:val="false"/>
          <w:i/>
          <w:color w:val="000000"/>
          <w:sz w:val="20"/>
        </w:rPr>
        <w:t>Estimated combined risk-based capital ("RBC") ratio between 430% and 450%; holding company liquid assets of $0.9 billion</w:t>
      </w:r>
    </w:p>
    <w:p>
      <w:pPr>
        <w:pStyle w:val="TextBody"/>
        <w:bidi w:val="0"/>
        <w:spacing w:lineRule="auto" w:line="288" w:before="200" w:after="120"/>
        <w:ind w:left="0" w:right="0" w:hanging="360"/>
        <w:jc w:val="both"/>
        <w:rPr/>
      </w:pPr>
      <w:r>
        <w:rPr>
          <w:color w:val="000000"/>
        </w:rPr>
        <w:t>•</w:t>
      </w:r>
      <w:r>
        <w:rPr>
          <w:rFonts w:ascii="Roboto;sans-serif" w:hAnsi="Roboto;sans-serif"/>
          <w:b w:val="false"/>
          <w:i/>
          <w:color w:val="000000"/>
          <w:sz w:val="20"/>
        </w:rPr>
        <w:t>Annuity sales of $2.4 billion, primarily driven by $2.1 billion in s</w:t>
      </w:r>
      <w:r>
        <w:rPr>
          <w:rFonts w:ascii="Roboto;sans-serif" w:hAnsi="Roboto;sans-serif"/>
          <w:b w:val="false"/>
          <w:i/>
          <w:color w:val="000000"/>
          <w:sz w:val="20"/>
          <w:shd w:fill="FFFFFF" w:val="clear"/>
        </w:rPr>
        <w:t>ales of Shield Level Annuities</w:t>
      </w:r>
    </w:p>
    <w:p>
      <w:pPr>
        <w:pStyle w:val="TextBody"/>
        <w:bidi w:val="0"/>
        <w:spacing w:lineRule="auto" w:line="288" w:before="200" w:after="120"/>
        <w:ind w:left="0" w:right="0" w:hanging="360"/>
        <w:jc w:val="both"/>
        <w:rPr/>
      </w:pPr>
      <w:r>
        <w:rPr>
          <w:color w:val="000000"/>
        </w:rPr>
        <w:t>•</w:t>
      </w:r>
      <w:r>
        <w:rPr>
          <w:rFonts w:ascii="Roboto;sans-serif" w:hAnsi="Roboto;sans-serif"/>
          <w:b w:val="false"/>
          <w:i/>
          <w:color w:val="000000"/>
          <w:sz w:val="20"/>
        </w:rPr>
        <w:t>Life sales of $39 million, primarily driven by sales of SmartCare</w:t>
      </w:r>
    </w:p>
    <w:p>
      <w:pPr>
        <w:pStyle w:val="TextBody"/>
        <w:bidi w:val="0"/>
        <w:spacing w:lineRule="auto" w:line="288" w:before="200" w:after="120"/>
        <w:ind w:left="0" w:right="0" w:hanging="360"/>
        <w:jc w:val="both"/>
        <w:rPr/>
      </w:pPr>
      <w:r>
        <w:rPr>
          <w:color w:val="000000"/>
        </w:rPr>
        <w:t>•</w:t>
      </w:r>
      <w:r>
        <w:rPr>
          <w:rFonts w:ascii="Roboto;sans-serif" w:hAnsi="Roboto;sans-serif"/>
          <w:b w:val="false"/>
          <w:i/>
          <w:color w:val="000000"/>
          <w:sz w:val="20"/>
        </w:rPr>
        <w:t>Net income available to shareholders of $956 million, or $16.53 per diluted share</w:t>
      </w:r>
    </w:p>
    <w:p>
      <w:pPr>
        <w:pStyle w:val="TextBody"/>
        <w:bidi w:val="0"/>
        <w:spacing w:lineRule="auto" w:line="288" w:before="200" w:after="120"/>
        <w:ind w:left="0" w:right="0" w:hanging="360"/>
        <w:jc w:val="both"/>
        <w:rPr/>
      </w:pPr>
      <w:r>
        <w:rPr>
          <w:color w:val="000000"/>
        </w:rPr>
        <w:t>•</w:t>
      </w:r>
      <w:r>
        <w:rPr>
          <w:rFonts w:ascii="Roboto;sans-serif" w:hAnsi="Roboto;sans-serif"/>
          <w:b w:val="false"/>
          <w:i/>
          <w:color w:val="000000"/>
          <w:sz w:val="20"/>
        </w:rPr>
        <w:t xml:space="preserve">Adjusted earnings* of $258 million, or $4.45 per diluted share </w:t>
      </w:r>
    </w:p>
    <w:p>
      <w:pPr>
        <w:pStyle w:val="TextBody"/>
        <w:bidi w:val="0"/>
        <w:spacing w:before="80" w:after="283"/>
        <w:jc w:val="both"/>
        <w:rPr/>
      </w:pPr>
      <w:r>
        <w:rPr/>
      </w:r>
    </w:p>
    <w:p>
      <w:pPr>
        <w:pStyle w:val="TextBody"/>
        <w:bidi w:val="0"/>
        <w:spacing w:lineRule="auto" w:line="288" w:before="20" w:after="283"/>
        <w:jc w:val="both"/>
        <w:rPr/>
      </w:pPr>
      <w:r>
        <w:rPr>
          <w:rFonts w:ascii="Roboto;sans-serif" w:hAnsi="Roboto;sans-serif"/>
          <w:b/>
          <w:color w:val="000000"/>
          <w:sz w:val="18"/>
        </w:rPr>
        <w:t xml:space="preserve">CHARLOTTE, NC, August 5, 2026 </w:t>
      </w:r>
      <w:r>
        <w:rPr>
          <w:color w:val="000000"/>
        </w:rPr>
        <w:t xml:space="preserve">— </w:t>
      </w:r>
      <w:r>
        <w:rPr>
          <w:rFonts w:ascii="Roboto;sans-serif" w:hAnsi="Roboto;sans-serif"/>
          <w:b w:val="false"/>
          <w:color w:val="000000"/>
          <w:sz w:val="18"/>
        </w:rPr>
        <w:t xml:space="preserve">Brighthouse Financial, Inc. ("Brighthouse Financial" or the "company") (Nasdaq: BHF) announced today its financial results for the second quarter ended June 30, 2026. </w:t>
      </w:r>
    </w:p>
    <w:p>
      <w:pPr>
        <w:pStyle w:val="TextBody"/>
        <w:bidi w:val="0"/>
        <w:spacing w:before="20" w:after="283"/>
        <w:jc w:val="both"/>
        <w:rPr/>
      </w:pPr>
      <w:r>
        <w:rPr/>
      </w:r>
    </w:p>
    <w:p>
      <w:pPr>
        <w:pStyle w:val="TextBody"/>
        <w:bidi w:val="0"/>
        <w:spacing w:lineRule="auto" w:line="288" w:before="20" w:after="283"/>
        <w:jc w:val="both"/>
        <w:rPr>
          <w:rFonts w:ascii="Roboto;sans-serif" w:hAnsi="Roboto;sans-serif"/>
          <w:b/>
          <w:color w:val="000000"/>
          <w:sz w:val="18"/>
        </w:rPr>
      </w:pPr>
      <w:r>
        <w:rPr>
          <w:rFonts w:ascii="Roboto;sans-serif" w:hAnsi="Roboto;sans-serif"/>
          <w:b/>
          <w:color w:val="000000"/>
          <w:sz w:val="18"/>
        </w:rPr>
        <w:t>Second Quarter 2026 Results</w:t>
      </w:r>
    </w:p>
    <w:p>
      <w:pPr>
        <w:pStyle w:val="TextBody"/>
        <w:bidi w:val="0"/>
        <w:spacing w:before="20" w:after="283"/>
        <w:jc w:val="both"/>
        <w:rPr/>
      </w:pPr>
      <w:r>
        <w:rPr/>
      </w:r>
    </w:p>
    <w:p>
      <w:pPr>
        <w:pStyle w:val="TextBody"/>
        <w:bidi w:val="0"/>
        <w:spacing w:lineRule="auto" w:line="288" w:before="20" w:after="283"/>
        <w:jc w:val="both"/>
        <w:rPr/>
      </w:pPr>
      <w:r>
        <w:rPr>
          <w:rFonts w:ascii="Roboto;sans-serif" w:hAnsi="Roboto;sans-serif"/>
          <w:b w:val="false"/>
          <w:color w:val="000000"/>
          <w:sz w:val="18"/>
        </w:rPr>
        <w:t>The company reported net income available to shareholders of $956 million in the second quarter of 2026, or $16.53 per diluted share, compared with net income available to shareholders of $60 million in the second quarter of 2025, or $1.02 per diluted share.</w:t>
      </w:r>
      <w:r>
        <w:rPr>
          <w:color w:val="000000"/>
        </w:rPr>
        <w:t xml:space="preserve"> </w:t>
      </w:r>
      <w:r>
        <w:rPr>
          <w:rFonts w:ascii="Roboto;sans-serif" w:hAnsi="Roboto;sans-serif"/>
          <w:b w:val="false"/>
          <w:color w:val="000000"/>
          <w:sz w:val="18"/>
        </w:rPr>
        <w:t>The company anticipates volatility in net income (loss) given the differences between its hedge target and GAAP reserves, which are impacted by market performance.</w:t>
      </w:r>
    </w:p>
    <w:p>
      <w:pPr>
        <w:pStyle w:val="TextBody"/>
        <w:bidi w:val="0"/>
        <w:spacing w:before="20" w:after="283"/>
        <w:jc w:val="both"/>
        <w:rPr/>
      </w:pPr>
      <w:r>
        <w:rPr/>
      </w:r>
    </w:p>
    <w:p>
      <w:pPr>
        <w:pStyle w:val="TextBody"/>
        <w:bidi w:val="0"/>
        <w:spacing w:lineRule="auto" w:line="288" w:before="20" w:after="283"/>
        <w:jc w:val="both"/>
        <w:rPr>
          <w:rFonts w:ascii="Roboto;sans-serif" w:hAnsi="Roboto;sans-serif"/>
          <w:b w:val="false"/>
          <w:color w:val="000000"/>
          <w:sz w:val="18"/>
        </w:rPr>
      </w:pPr>
      <w:r>
        <w:rPr>
          <w:rFonts w:ascii="Roboto;sans-serif" w:hAnsi="Roboto;sans-serif"/>
          <w:b w:val="false"/>
          <w:color w:val="000000"/>
          <w:sz w:val="18"/>
        </w:rPr>
        <w:t>The company ended the second quarter of 2026 with common stockholders' equity ("book value") of $4.9 billion, or $84.35 per common share, and book value, excluding accumulated other comprehensive income ("AOCI") of $9.0 billion, or $156.10 per common share.</w:t>
      </w:r>
    </w:p>
    <w:p>
      <w:pPr>
        <w:pStyle w:val="TextBody"/>
        <w:bidi w:val="0"/>
        <w:spacing w:before="20" w:after="283"/>
        <w:jc w:val="both"/>
        <w:rPr/>
      </w:pPr>
      <w:r>
        <w:rPr/>
      </w:r>
    </w:p>
    <w:p>
      <w:pPr>
        <w:pStyle w:val="TextBody"/>
        <w:bidi w:val="0"/>
        <w:spacing w:lineRule="auto" w:line="288" w:before="20" w:after="283"/>
        <w:jc w:val="both"/>
        <w:rPr>
          <w:rFonts w:ascii="Roboto;sans-serif" w:hAnsi="Roboto;sans-serif"/>
          <w:b w:val="false"/>
          <w:color w:val="000000"/>
          <w:sz w:val="18"/>
        </w:rPr>
      </w:pPr>
      <w:r>
        <w:rPr>
          <w:rFonts w:ascii="Roboto;sans-serif" w:hAnsi="Roboto;sans-serif"/>
          <w:b w:val="false"/>
          <w:color w:val="000000"/>
          <w:sz w:val="18"/>
        </w:rPr>
        <w:t>For the second quarter of 2026, the company reported adjusted earnings* of $258 million, or $4.45 per diluted share, compared with adjusted earnings of $198 million, or $3.43 per diluted share, for the second quarter of 2025. There were no notable items in the quarter.</w:t>
      </w:r>
    </w:p>
    <w:p>
      <w:pPr>
        <w:pStyle w:val="TextBody"/>
        <w:bidi w:val="0"/>
        <w:spacing w:lineRule="auto" w:line="268" w:before="200" w:after="283"/>
        <w:jc w:val="both"/>
        <w:rPr>
          <w:rFonts w:ascii="Roboto;sans-serif" w:hAnsi="Roboto;sans-serif"/>
          <w:b w:val="false"/>
          <w:color w:val="000000"/>
          <w:sz w:val="18"/>
        </w:rPr>
      </w:pPr>
      <w:r>
        <w:rPr>
          <w:rFonts w:ascii="Roboto;sans-serif" w:hAnsi="Roboto;sans-serif"/>
          <w:b w:val="false"/>
          <w:color w:val="000000"/>
          <w:sz w:val="18"/>
        </w:rPr>
        <w:t>Corporate expenses in the second quarter of 2026 were $204 million, up from $202 million in the second quarter of 2025 and down from $227 million in the first quarter of 2026, all on a pre-tax basis. Beginning in 2026, certain costs incurred in connection with the previously announced pending acquisition of the company are not categorized as corporate expenses. Excluding these transaction-related costs in the second quarter of 2025, corporate expenses increased $9 million quarter-over-quarter.</w:t>
      </w:r>
    </w:p>
    <w:p>
      <w:pPr>
        <w:pStyle w:val="TextBody"/>
        <w:bidi w:val="0"/>
        <w:spacing w:lineRule="auto" w:line="288" w:before="20" w:after="283"/>
        <w:jc w:val="both"/>
        <w:rPr>
          <w:rFonts w:ascii="Roboto;sans-serif" w:hAnsi="Roboto;sans-serif"/>
          <w:b w:val="false"/>
          <w:color w:val="000000"/>
          <w:sz w:val="14"/>
        </w:rPr>
      </w:pPr>
      <w:r>
        <w:rPr>
          <w:rFonts w:ascii="Roboto;sans-serif" w:hAnsi="Roboto;sans-serif"/>
          <w:b w:val="false"/>
          <w:color w:val="000000"/>
          <w:sz w:val="14"/>
        </w:rPr>
        <w:t>_________</w:t>
      </w:r>
    </w:p>
    <w:p>
      <w:pPr>
        <w:pStyle w:val="TextBody"/>
        <w:bidi w:val="0"/>
        <w:spacing w:lineRule="auto" w:line="268" w:before="0" w:after="0"/>
        <w:jc w:val="both"/>
        <w:rPr/>
      </w:pPr>
      <w:r>
        <w:rPr>
          <w:rFonts w:ascii="Roboto;sans-serif" w:hAnsi="Roboto;sans-serif"/>
          <w:b w:val="false"/>
          <w:color w:val="000000"/>
          <w:sz w:val="14"/>
        </w:rPr>
        <w:t>* Information regarding the non-GAAP and other financial measures included in this news release and a reconciliation of such non-GAAP financial measures to the most directly comparable GAAP measures are provided in the Non-GAAP and Other Financial Disclosures discussion below, as well as in the tables that accompany this news release and/or the Second Quarter 2026 Brighthouse Financial, Inc. Financial Supplement (which is available on the Brighthouse Financial Investor Relations webpage at http://investor.brighthousefinancial.com).</w:t>
      </w:r>
      <w:r>
        <w:rPr>
          <w:color w:val="000000"/>
        </w:rPr>
        <w:t xml:space="preserve"> </w:t>
      </w:r>
      <w:r>
        <w:rPr>
          <w:rFonts w:ascii="Roboto;sans-serif" w:hAnsi="Roboto;sans-serif"/>
          <w:b w:val="false"/>
          <w:color w:val="000000"/>
          <w:sz w:val="14"/>
        </w:rPr>
        <w:t xml:space="preserve">Additional information regarding notable items can be found on the last page of this news release. </w:t>
      </w:r>
    </w:p>
    <w:p>
      <w:pPr>
        <w:pStyle w:val="TextBody"/>
        <w:bidi w:val="0"/>
        <w:spacing w:before="2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17220"/>
                <wp:effectExtent l="0" t="0" r="0" b="0"/>
                <wp:wrapNone/>
                <wp:docPr id="6" name="Frame4"/>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68" w:before="200" w:after="283"/>
        <w:jc w:val="both"/>
        <w:rPr>
          <w:rFonts w:ascii="Roboto;sans-serif" w:hAnsi="Roboto;sans-serif"/>
          <w:b w:val="false"/>
          <w:color w:val="000000"/>
          <w:sz w:val="18"/>
        </w:rPr>
      </w:pPr>
      <w:r>
        <w:rPr>
          <w:rFonts w:ascii="Roboto;sans-serif" w:hAnsi="Roboto;sans-serif"/>
          <w:b w:val="false"/>
          <w:color w:val="000000"/>
          <w:sz w:val="18"/>
        </w:rPr>
        <w:t>In the second quarter of 2026, the company reported annuity sales of $2.4 billion, reflecting an increase of 11% sequentially, driven by record sales of Shield Level Annuities. Annuity sales decreased 7% quarter-over-quarter and 5% year-to-date, driven by lower fixed annuity sales, partially offset by record sales of Shield Level Annuities, which exceeded $2.1 billion in the quarter and were approximately $4.0 billion in the first half of 2026. Life sales for the quarter totaled $39 million, representing a 22% increase sequentially, an 18% increase quarter-over-quarter and a 3% increase year-to-date.</w:t>
      </w:r>
    </w:p>
    <w:p>
      <w:pPr>
        <w:pStyle w:val="TextBody"/>
        <w:bidi w:val="0"/>
        <w:spacing w:before="200" w:after="283"/>
        <w:jc w:val="both"/>
        <w:rPr/>
      </w:pPr>
      <w:r>
        <w:rPr/>
      </w:r>
    </w:p>
    <w:p>
      <w:pPr>
        <w:pStyle w:val="TextBody"/>
        <w:bidi w:val="0"/>
        <w:spacing w:lineRule="auto" w:line="276" w:before="0" w:after="0"/>
        <w:jc w:val="both"/>
        <w:rPr>
          <w:rFonts w:ascii="Roboto;sans-serif" w:hAnsi="Roboto;sans-serif"/>
          <w:b/>
          <w:color w:val="00B0B9"/>
          <w:sz w:val="18"/>
        </w:rPr>
      </w:pPr>
      <w:r>
        <w:rPr>
          <w:rFonts w:ascii="Roboto;sans-serif" w:hAnsi="Roboto;sans-serif"/>
          <w:b/>
          <w:color w:val="00B0B9"/>
          <w:sz w:val="18"/>
        </w:rPr>
        <w:t>Key Metrics (Unaudited, dollars in millions except share and per share amounts)</w:t>
      </w:r>
    </w:p>
    <w:tbl>
      <w:tblPr>
        <w:tblW w:w="10205" w:type="dxa"/>
        <w:jc w:val="left"/>
        <w:tblInd w:w="0" w:type="dxa"/>
        <w:tblLayout w:type="fixed"/>
        <w:tblCellMar>
          <w:top w:w="28" w:type="dxa"/>
          <w:left w:w="28" w:type="dxa"/>
          <w:bottom w:w="28" w:type="dxa"/>
          <w:right w:w="28" w:type="dxa"/>
        </w:tblCellMar>
      </w:tblPr>
      <w:tblGrid>
        <w:gridCol w:w="1478"/>
        <w:gridCol w:w="1298"/>
        <w:gridCol w:w="1305"/>
        <w:gridCol w:w="115"/>
        <w:gridCol w:w="115"/>
        <w:gridCol w:w="115"/>
        <w:gridCol w:w="322"/>
        <w:gridCol w:w="322"/>
        <w:gridCol w:w="326"/>
        <w:gridCol w:w="138"/>
        <w:gridCol w:w="138"/>
        <w:gridCol w:w="138"/>
        <w:gridCol w:w="285"/>
        <w:gridCol w:w="281"/>
        <w:gridCol w:w="268"/>
        <w:gridCol w:w="138"/>
        <w:gridCol w:w="138"/>
        <w:gridCol w:w="138"/>
        <w:gridCol w:w="322"/>
        <w:gridCol w:w="322"/>
        <w:gridCol w:w="326"/>
        <w:gridCol w:w="138"/>
        <w:gridCol w:w="138"/>
        <w:gridCol w:w="138"/>
        <w:gridCol w:w="285"/>
        <w:gridCol w:w="281"/>
        <w:gridCol w:w="268"/>
        <w:gridCol w:w="109"/>
        <w:gridCol w:w="109"/>
        <w:gridCol w:w="109"/>
        <w:gridCol w:w="109"/>
        <w:gridCol w:w="109"/>
        <w:gridCol w:w="109"/>
        <w:gridCol w:w="109"/>
        <w:gridCol w:w="166"/>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bottom w:val="single" w:sz="16" w:space="0" w:color="00B0B9"/>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 xml:space="preserve">As of or For the 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6"/>
            <w:tcBorders/>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 2026</w:t>
            </w:r>
          </w:p>
        </w:tc>
        <w:tc>
          <w:tcPr>
            <w:tcW w:w="414"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Total</w:t>
            </w:r>
          </w:p>
        </w:tc>
        <w:tc>
          <w:tcPr>
            <w:tcW w:w="414"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Per share</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Total</w:t>
            </w:r>
          </w:p>
        </w:tc>
        <w:tc>
          <w:tcPr>
            <w:tcW w:w="414"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Net income (loss) available to shareholders (1)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$956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$16.53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Adjusted earnings (1)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$258</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$198</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Adjusted earnings, less notable items (1)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$258</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$198</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Weighted average common shares outstanding - diluted (1)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57,840,353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N/A</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57,734,170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Book value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$4,851</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$84.35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$3,974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Book value, excluding AOCI</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$8,977</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$156.10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$8,231</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$144.09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Ending common shares outstanding</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57,508,193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N/A</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57,122,494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276" w:type="dxa"/>
            <w:gridSpan w:val="27"/>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2"/>
              </w:rPr>
            </w:pPr>
            <w:r>
              <w:rPr>
                <w:rFonts w:ascii="Roboto;sans-serif" w:hAnsi="Roboto;sans-serif"/>
                <w:b w:val="false"/>
                <w:color w:val="000000"/>
                <w:sz w:val="12"/>
              </w:rPr>
              <w:t>(1) Per share amounts are on a diluted basis and may not recalculate due to rounding. See Non-GAAP and Other Financial Disclosures discussion in this news release.</w:t>
            </w:r>
          </w:p>
          <w:p>
            <w:pPr>
              <w:pStyle w:val="TableContents"/>
              <w:bidi w:val="0"/>
              <w:spacing w:before="0" w:after="0"/>
              <w:ind w:left="0" w:right="0" w:hanging="180"/>
              <w:jc w:val="left"/>
              <w:rPr/>
            </w:pPr>
            <w:r>
              <w:rPr/>
            </w:r>
          </w:p>
        </w:tc>
        <w:tc>
          <w:tcPr>
            <w:tcW w:w="929" w:type="dxa"/>
            <w:gridSpan w:val="8"/>
            <w:tcBorders/>
          </w:tcPr>
          <w:p>
            <w:pPr>
              <w:pStyle w:val="TableContents"/>
              <w:bidi w:val="0"/>
              <w:spacing w:before="0" w:after="283"/>
              <w:jc w:val="left"/>
              <w:rPr>
                <w:sz w:val="4"/>
                <w:szCs w:val="4"/>
              </w:rPr>
            </w:pPr>
            <w:r>
              <w:rPr>
                <w:sz w:val="4"/>
                <w:szCs w:val="4"/>
              </w:rPr>
            </w:r>
          </w:p>
        </w:tc>
      </w:tr>
      <w:tr>
        <w:trPr/>
        <w:tc>
          <w:tcPr>
            <w:tcW w:w="40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929" w:type="dxa"/>
            <w:gridSpan w:val="8"/>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17220"/>
                <wp:effectExtent l="0" t="0" r="0" b="0"/>
                <wp:wrapNone/>
                <wp:docPr id="8" name="Frame5"/>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2</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2</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200" w:after="283"/>
        <w:jc w:val="left"/>
        <w:rPr>
          <w:rFonts w:ascii="Roboto;sans-serif" w:hAnsi="Roboto;sans-serif"/>
          <w:b/>
          <w:color w:val="00B0B9"/>
          <w:sz w:val="18"/>
        </w:rPr>
      </w:pPr>
      <w:r>
        <w:rPr>
          <w:rFonts w:ascii="Roboto;sans-serif" w:hAnsi="Roboto;sans-serif"/>
          <w:b/>
          <w:color w:val="00B0B9"/>
          <w:sz w:val="18"/>
        </w:rPr>
        <w:t>Results by Segment (Unaudited, in millions)</w:t>
      </w:r>
    </w:p>
    <w:tbl>
      <w:tblPr>
        <w:tblW w:w="7642" w:type="dxa"/>
        <w:jc w:val="left"/>
        <w:tblInd w:w="0" w:type="dxa"/>
        <w:tblLayout w:type="fixed"/>
        <w:tblCellMar>
          <w:top w:w="28" w:type="dxa"/>
          <w:left w:w="28" w:type="dxa"/>
          <w:bottom w:w="28" w:type="dxa"/>
          <w:right w:w="28" w:type="dxa"/>
        </w:tblCellMar>
      </w:tblPr>
      <w:tblGrid>
        <w:gridCol w:w="1146"/>
        <w:gridCol w:w="1009"/>
        <w:gridCol w:w="1013"/>
        <w:gridCol w:w="142"/>
        <w:gridCol w:w="142"/>
        <w:gridCol w:w="142"/>
        <w:gridCol w:w="298"/>
        <w:gridCol w:w="298"/>
        <w:gridCol w:w="301"/>
        <w:gridCol w:w="187"/>
        <w:gridCol w:w="187"/>
        <w:gridCol w:w="187"/>
        <w:gridCol w:w="357"/>
        <w:gridCol w:w="357"/>
        <w:gridCol w:w="359"/>
        <w:gridCol w:w="187"/>
        <w:gridCol w:w="187"/>
        <w:gridCol w:w="187"/>
        <w:gridCol w:w="279"/>
        <w:gridCol w:w="279"/>
        <w:gridCol w:w="398"/>
      </w:tblGrid>
      <w:tr>
        <w:trPr/>
        <w:tc>
          <w:tcPr>
            <w:tcW w:w="1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For the Three Months Ended</w:t>
            </w:r>
          </w:p>
        </w:tc>
      </w:tr>
      <w:tr>
        <w:trPr/>
        <w:tc>
          <w:tcPr>
            <w:tcW w:w="3168"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4"/>
              </w:rPr>
              <w:t xml:space="preserve">ADJUSTED EARNINGS (LOSS) </w:t>
            </w:r>
            <w:r>
              <w:rPr>
                <w:rFonts w:ascii="Roboto;sans-serif" w:hAnsi="Roboto;sans-serif"/>
                <w:b/>
                <w:color w:val="000000"/>
                <w:sz w:val="9"/>
              </w:rPr>
              <w:t>(1)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2026</w:t>
            </w:r>
          </w:p>
        </w:tc>
        <w:tc>
          <w:tcPr>
            <w:tcW w:w="56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March 31,</w:t>
              <w:br/>
              <w:t>2026</w:t>
            </w:r>
          </w:p>
        </w:tc>
        <w:tc>
          <w:tcPr>
            <w:tcW w:w="56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2025</w:t>
            </w:r>
          </w:p>
        </w:tc>
      </w:tr>
      <w:tr>
        <w:trPr/>
        <w:tc>
          <w:tcPr>
            <w:tcW w:w="3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Annuities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$349</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$324</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$332</w:t>
            </w:r>
          </w:p>
        </w:tc>
      </w:tr>
      <w:tr>
        <w:trPr/>
        <w:tc>
          <w:tcPr>
            <w:tcW w:w="316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Life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r>
      <w:tr>
        <w:trPr/>
        <w:tc>
          <w:tcPr>
            <w:tcW w:w="316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Run-off</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$(83)</w:t>
            </w:r>
          </w:p>
        </w:tc>
      </w:tr>
      <w:tr>
        <w:trPr/>
        <w:tc>
          <w:tcPr>
            <w:tcW w:w="3168"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Corporate &amp; Other</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w:t>
            </w:r>
          </w:p>
        </w:tc>
      </w:tr>
      <w:tr>
        <w:trPr/>
        <w:tc>
          <w:tcPr>
            <w:tcW w:w="764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(1) The company uses the term "adjusted loss" throughout this news release to refer to negative adjusted earnings values.</w:t>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151" w:type="dxa"/>
            <w:gridSpan w:val="12"/>
            <w:tcBorders/>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3168" w:type="dxa"/>
            <w:gridSpan w:val="3"/>
            <w:tcBorders/>
            <w:vAlign w:val="center"/>
          </w:tcPr>
          <w:p>
            <w:pPr>
              <w:pStyle w:val="TableContents"/>
              <w:bidi w:val="0"/>
              <w:spacing w:before="0" w:after="283"/>
              <w:jc w:val="left"/>
              <w:rPr>
                <w:sz w:val="4"/>
                <w:szCs w:val="4"/>
              </w:rPr>
            </w:pPr>
            <w:r>
              <w:rPr>
                <w:sz w:val="4"/>
                <w:szCs w:val="4"/>
              </w:rPr>
            </w:r>
          </w:p>
        </w:tc>
        <w:tc>
          <w:tcPr>
            <w:tcW w:w="4474"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Roboto;sans-serif" w:hAnsi="Roboto;sans-serif"/>
          <w:b/>
          <w:color w:val="00B0B9"/>
          <w:sz w:val="18"/>
        </w:rPr>
      </w:pPr>
      <w:r>
        <w:rPr>
          <w:rFonts w:ascii="Roboto;sans-serif" w:hAnsi="Roboto;sans-serif"/>
          <w:b/>
          <w:color w:val="00B0B9"/>
          <w:sz w:val="18"/>
        </w:rPr>
        <w:t>Sales (Unaudited, in millions)</w:t>
      </w:r>
    </w:p>
    <w:tbl>
      <w:tblPr>
        <w:tblW w:w="10205" w:type="dxa"/>
        <w:jc w:val="left"/>
        <w:tblInd w:w="0" w:type="dxa"/>
        <w:tblLayout w:type="fixed"/>
        <w:tblCellMar>
          <w:top w:w="28" w:type="dxa"/>
          <w:left w:w="28" w:type="dxa"/>
          <w:bottom w:w="28" w:type="dxa"/>
          <w:right w:w="28" w:type="dxa"/>
        </w:tblCellMar>
      </w:tblPr>
      <w:tblGrid>
        <w:gridCol w:w="851"/>
        <w:gridCol w:w="748"/>
        <w:gridCol w:w="753"/>
        <w:gridCol w:w="261"/>
        <w:gridCol w:w="261"/>
        <w:gridCol w:w="261"/>
        <w:gridCol w:w="549"/>
        <w:gridCol w:w="540"/>
        <w:gridCol w:w="505"/>
        <w:gridCol w:w="322"/>
        <w:gridCol w:w="322"/>
        <w:gridCol w:w="322"/>
        <w:gridCol w:w="628"/>
        <w:gridCol w:w="599"/>
        <w:gridCol w:w="603"/>
        <w:gridCol w:w="322"/>
        <w:gridCol w:w="322"/>
        <w:gridCol w:w="322"/>
        <w:gridCol w:w="513"/>
        <w:gridCol w:w="513"/>
        <w:gridCol w:w="688"/>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For the Three Months Ended</w:t>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2026</w:t>
            </w:r>
          </w:p>
        </w:tc>
        <w:tc>
          <w:tcPr>
            <w:tcW w:w="96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March 31,</w:t>
              <w:br/>
              <w:t>2026</w:t>
            </w:r>
          </w:p>
        </w:tc>
        <w:tc>
          <w:tcPr>
            <w:tcW w:w="96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2025</w:t>
            </w:r>
          </w:p>
        </w:tc>
      </w:tr>
      <w:tr>
        <w:trPr/>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Annuities (1)</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$2,425</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$2,178</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$2,610</w:t>
            </w:r>
          </w:p>
        </w:tc>
      </w:tr>
      <w:tr>
        <w:trPr/>
        <w:tc>
          <w:tcPr>
            <w:tcW w:w="235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w:t>
            </w:r>
          </w:p>
        </w:tc>
      </w:tr>
      <w:tr>
        <w:trPr/>
        <w:tc>
          <w:tcPr>
            <w:tcW w:w="23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2"/>
              </w:rPr>
            </w:pPr>
            <w:r>
              <w:rPr>
                <w:rFonts w:ascii="Roboto;sans-serif" w:hAnsi="Roboto;sans-serif"/>
                <w:b w:val="false"/>
                <w:color w:val="000000"/>
                <w:sz w:val="12"/>
              </w:rPr>
              <w:t>(1) Annuities sales include sales of a fixed index annuity product, which represents 100% of gross sales on directly written business and the proportion of assumed gross sales under reinsurance agreements. Sales of this product were $67 million for the second quarter of 2026, $87 million for the first quarter of 2026 and $89 million for the second quarter of 2025.</w:t>
            </w:r>
          </w:p>
        </w:tc>
      </w:tr>
    </w:tbl>
    <w:p>
      <w:pPr>
        <w:pStyle w:val="TextBody"/>
        <w:bidi w:val="0"/>
        <w:spacing w:lineRule="auto" w:line="288" w:before="200" w:after="283"/>
        <w:jc w:val="both"/>
        <w:rPr>
          <w:rFonts w:ascii="Roboto;sans-serif" w:hAnsi="Roboto;sans-serif"/>
          <w:b w:val="false"/>
          <w:i/>
          <w:color w:val="000000"/>
          <w:sz w:val="18"/>
        </w:rPr>
      </w:pPr>
      <w:r>
        <w:rPr>
          <w:rFonts w:ascii="Roboto;sans-serif" w:hAnsi="Roboto;sans-serif"/>
          <w:b w:val="false"/>
          <w:i/>
          <w:color w:val="000000"/>
          <w:sz w:val="18"/>
        </w:rPr>
        <w:t>Annuities</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 xml:space="preserve">Adjusted earnings in the Annuities segment were $349 million in the current quarter, compared with adjusted earnings of $332 million in the second quarter of 2025 and adjusted earnings of $324 million in the first quarter of 2026. </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There were no notable items in the current quarter or the comparison quarters.</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On a quarter-over-quarter basis, adjusted earnings reflect higher net investment income, partially offset by lower income annuity underwriting margin, and higher DAC amortization. On a sequential basis, adjusted earnings primarily reflect lower expenses and higher net investment income.</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 xml:space="preserve">As mentioned above, the company reported annuity sales of $2.4 billion, reflecting an increase of 11% sequentially, driven by record sales of Shield Level Annuities. Annuity sales decreased 7% quarter-over-quarter and 5% year-to-date, driven by lower fixed annuity sales, partially offset by record sales of Shield Level Annuities, which exceeded $2.1 billion in the quarter and were approximately $4.0 billion in the first half of 2026. </w:t>
      </w:r>
    </w:p>
    <w:p>
      <w:pPr>
        <w:pStyle w:val="TextBody"/>
        <w:bidi w:val="0"/>
        <w:spacing w:lineRule="auto" w:line="288" w:before="200" w:after="283"/>
        <w:jc w:val="both"/>
        <w:rPr>
          <w:rFonts w:ascii="Roboto;sans-serif" w:hAnsi="Roboto;sans-serif"/>
          <w:b w:val="false"/>
          <w:i/>
          <w:color w:val="000000"/>
          <w:sz w:val="18"/>
        </w:rPr>
      </w:pPr>
      <w:r>
        <w:rPr>
          <w:rFonts w:ascii="Roboto;sans-serif" w:hAnsi="Roboto;sans-serif"/>
          <w:b w:val="false"/>
          <w:i/>
          <w:color w:val="000000"/>
          <w:sz w:val="18"/>
        </w:rPr>
        <w:t>Life</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 xml:space="preserve">The Life segment had an adjusted loss of $4 million in the current quarter, compared with an adjusted loss of $26 million in the second quarter of 2025 and an adjusted loss of $6 million in the first quarter of 2026. </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There were no notable items in the current quarter or in the second quarter of 2025. The first quarter of 2026 included a $5 million favorable notable item.</w:t>
      </w:r>
    </w:p>
    <w:p>
      <w:pPr>
        <w:pStyle w:val="TextBody"/>
        <w:bidi w:val="0"/>
        <w:spacing w:lineRule="auto" w:line="288" w:before="200" w:after="283"/>
        <w:jc w:val="both"/>
        <w:rPr/>
      </w:pPr>
      <w:r>
        <w:rPr>
          <w:rFonts w:ascii="Roboto;sans-serif" w:hAnsi="Roboto;sans-serif"/>
          <w:b w:val="false"/>
          <w:color w:val="000000"/>
          <w:sz w:val="18"/>
          <w:shd w:fill="FFFFFF" w:val="clear"/>
        </w:rPr>
        <w:t>Both on a quarter-over-quarter and sequential basis, the adjusted loss, less notable items, reflects a</w:t>
      </w:r>
      <w:r>
        <w:rPr>
          <w:color w:val="000000"/>
          <w:shd w:fill="FFFFFF" w:val="clear"/>
        </w:rPr>
        <w:t xml:space="preserve"> </w:t>
      </w:r>
      <w:r>
        <w:rPr>
          <w:rFonts w:ascii="Roboto;sans-serif" w:hAnsi="Roboto;sans-serif"/>
          <w:b w:val="false"/>
          <w:color w:val="000000"/>
          <w:sz w:val="18"/>
          <w:shd w:fill="FFFFFF" w:val="clear"/>
        </w:rPr>
        <w:t>higher underwriting margin, partially offset by lower net investment income.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17220"/>
                <wp:effectExtent l="0" t="0" r="0" b="0"/>
                <wp:wrapNone/>
                <wp:docPr id="10" name="Frame6"/>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3</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3</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200" w:after="283"/>
        <w:jc w:val="both"/>
        <w:rPr/>
      </w:pPr>
      <w:r>
        <w:rPr>
          <w:rFonts w:ascii="Roboto;sans-serif" w:hAnsi="Roboto;sans-serif"/>
          <w:b w:val="false"/>
          <w:color w:val="000000"/>
          <w:sz w:val="18"/>
          <w:shd w:fill="FFFFFF" w:val="clear"/>
        </w:rPr>
        <w:t xml:space="preserve">As mentioned above, the company reported </w:t>
      </w:r>
      <w:r>
        <w:rPr>
          <w:rFonts w:ascii="Roboto;sans-serif" w:hAnsi="Roboto;sans-serif"/>
          <w:b w:val="false"/>
          <w:color w:val="000000"/>
          <w:sz w:val="18"/>
        </w:rPr>
        <w:t>Life sales of $39 million, representing a 22% increase sequentially, an 18% increase quarter-over-quarter and a 3% increase year-to-date.</w:t>
      </w:r>
    </w:p>
    <w:p>
      <w:pPr>
        <w:pStyle w:val="TextBody"/>
        <w:bidi w:val="0"/>
        <w:spacing w:lineRule="auto" w:line="288" w:before="200" w:after="283"/>
        <w:jc w:val="both"/>
        <w:rPr>
          <w:rFonts w:ascii="Roboto;sans-serif" w:hAnsi="Roboto;sans-serif"/>
          <w:b w:val="false"/>
          <w:i/>
          <w:color w:val="000000"/>
          <w:sz w:val="18"/>
        </w:rPr>
      </w:pPr>
      <w:r>
        <w:rPr>
          <w:rFonts w:ascii="Roboto;sans-serif" w:hAnsi="Roboto;sans-serif"/>
          <w:b w:val="false"/>
          <w:i/>
          <w:color w:val="000000"/>
          <w:sz w:val="18"/>
        </w:rPr>
        <w:t>Run-off</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The Run-off segment had an adjusted loss of $56 million in the current quarter, compared with an adjusted loss of $83 million in the second quarter of 2025 and an adjusted loss of $48 million in the first quarter of 2026.</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There were no notable items in the current quarter or the second quarter of 2025. The first quarter of 2026 included a $17 million unfavorable notable item.</w:t>
      </w:r>
    </w:p>
    <w:p>
      <w:pPr>
        <w:pStyle w:val="TextBody"/>
        <w:bidi w:val="0"/>
        <w:spacing w:lineRule="auto" w:line="288" w:before="200" w:after="283"/>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On a quarter-over-quarter basis, the adjusted loss reflects a higher underwriting margin and lower expenses, partially offset by lower net investment income. On a sequential basis, the adjusted loss, less notable items, reflects lower net investment income, partially offset by lower expenses.</w:t>
      </w:r>
    </w:p>
    <w:p>
      <w:pPr>
        <w:pStyle w:val="TextBody"/>
        <w:bidi w:val="0"/>
        <w:spacing w:lineRule="auto" w:line="288" w:before="200" w:after="283"/>
        <w:jc w:val="both"/>
        <w:rPr>
          <w:rFonts w:ascii="Roboto;sans-serif" w:hAnsi="Roboto;sans-serif"/>
          <w:b w:val="false"/>
          <w:i/>
          <w:color w:val="000000"/>
          <w:sz w:val="18"/>
        </w:rPr>
      </w:pPr>
      <w:r>
        <w:rPr>
          <w:rFonts w:ascii="Roboto;sans-serif" w:hAnsi="Roboto;sans-serif"/>
          <w:b w:val="false"/>
          <w:i/>
          <w:color w:val="000000"/>
          <w:sz w:val="18"/>
        </w:rPr>
        <w:t xml:space="preserve">Corporate &amp; Other </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 xml:space="preserve">The Corporate &amp; Other segment had an adjusted loss of $31 million in the current quarter, compared with an adjusted loss of $25 million in the second quarter of 2025 and an adjusted loss of $31 million in the first quarter of 2026. </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 xml:space="preserve">There were no notable items in the current quarter or the comparison quarters. </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 xml:space="preserve">On a quarter-over-quarter basis, the adjusted loss reflects lower net investment income, partially offset by higher interest credited. On a sequential basis, the adjusted loss was flat. </w:t>
      </w:r>
    </w:p>
    <w:p>
      <w:pPr>
        <w:pStyle w:val="TextBody"/>
        <w:bidi w:val="0"/>
        <w:spacing w:lineRule="auto" w:line="288" w:before="200" w:after="283"/>
        <w:jc w:val="left"/>
        <w:rPr>
          <w:rFonts w:ascii="Roboto;sans-serif" w:hAnsi="Roboto;sans-serif"/>
          <w:b/>
          <w:color w:val="00B0B9"/>
          <w:sz w:val="18"/>
        </w:rPr>
      </w:pPr>
      <w:r>
        <w:rPr>
          <w:rFonts w:ascii="Roboto;sans-serif" w:hAnsi="Roboto;sans-serif"/>
          <w:b/>
          <w:color w:val="00B0B9"/>
          <w:sz w:val="18"/>
        </w:rPr>
        <w:t>Net Investment Income and Adjusted Net Investment Income (Unaudited, in millions)</w:t>
      </w:r>
    </w:p>
    <w:tbl>
      <w:tblPr>
        <w:tblW w:w="5897" w:type="dxa"/>
        <w:jc w:val="left"/>
        <w:tblInd w:w="0" w:type="dxa"/>
        <w:tblLayout w:type="fixed"/>
        <w:tblCellMar>
          <w:top w:w="28" w:type="dxa"/>
          <w:left w:w="28" w:type="dxa"/>
          <w:bottom w:w="28" w:type="dxa"/>
          <w:right w:w="28" w:type="dxa"/>
        </w:tblCellMar>
      </w:tblPr>
      <w:tblGrid>
        <w:gridCol w:w="890"/>
        <w:gridCol w:w="782"/>
        <w:gridCol w:w="787"/>
        <w:gridCol w:w="109"/>
        <w:gridCol w:w="109"/>
        <w:gridCol w:w="109"/>
        <w:gridCol w:w="229"/>
        <w:gridCol w:w="229"/>
        <w:gridCol w:w="231"/>
        <w:gridCol w:w="144"/>
        <w:gridCol w:w="144"/>
        <w:gridCol w:w="144"/>
        <w:gridCol w:w="274"/>
        <w:gridCol w:w="274"/>
        <w:gridCol w:w="276"/>
        <w:gridCol w:w="144"/>
        <w:gridCol w:w="144"/>
        <w:gridCol w:w="144"/>
        <w:gridCol w:w="214"/>
        <w:gridCol w:w="214"/>
        <w:gridCol w:w="306"/>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For the Three Months Ended</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2026</w:t>
            </w:r>
          </w:p>
        </w:tc>
        <w:tc>
          <w:tcPr>
            <w:tcW w:w="432"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March 31,</w:t>
              <w:br/>
              <w:t>2026</w:t>
            </w:r>
          </w:p>
        </w:tc>
        <w:tc>
          <w:tcPr>
            <w:tcW w:w="432"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2025</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$1,241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$1,258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$1,285</w:t>
            </w:r>
          </w:p>
        </w:tc>
      </w:tr>
      <w:tr>
        <w:trPr/>
        <w:tc>
          <w:tcPr>
            <w:tcW w:w="2459"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Adjusted 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$1,239</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$1,268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$1,292</w:t>
            </w:r>
          </w:p>
        </w:tc>
      </w:tr>
    </w:tbl>
    <w:p>
      <w:pPr>
        <w:pStyle w:val="TextBody"/>
        <w:bidi w:val="0"/>
        <w:spacing w:lineRule="auto" w:line="288" w:before="200" w:after="283"/>
        <w:jc w:val="left"/>
        <w:rPr>
          <w:rFonts w:ascii="Roboto;sans-serif" w:hAnsi="Roboto;sans-serif"/>
          <w:b w:val="false"/>
          <w:i/>
          <w:color w:val="000000"/>
          <w:sz w:val="18"/>
        </w:rPr>
      </w:pPr>
      <w:r>
        <w:rPr>
          <w:rFonts w:ascii="Roboto;sans-serif" w:hAnsi="Roboto;sans-serif"/>
          <w:b w:val="false"/>
          <w:i/>
          <w:color w:val="000000"/>
          <w:sz w:val="18"/>
        </w:rPr>
        <w:t>Net Investment Income</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 xml:space="preserve">Net investment income was $1,241 million and adjusted net investment income* was $1,239 million in the current quarter. </w:t>
      </w:r>
    </w:p>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Adjusted net investment income decreased $53 million on a quarter-over-quarter basis, driven by lower alternative investment income. Adjusted net investment income decreased $29 million sequentially, driven by lower alternative investment income, partially offset by higher yields.</w:t>
      </w:r>
    </w:p>
    <w:p>
      <w:pPr>
        <w:pStyle w:val="TextBody"/>
        <w:bidi w:val="0"/>
        <w:spacing w:lineRule="auto" w:line="288" w:before="200" w:after="283"/>
        <w:jc w:val="both"/>
        <w:rPr>
          <w:rFonts w:ascii="Roboto;sans-serif" w:hAnsi="Roboto;sans-serif"/>
          <w:b w:val="false"/>
          <w:color w:val="000000"/>
          <w:sz w:val="18"/>
        </w:rPr>
      </w:pPr>
      <w:r>
        <w:rPr>
          <w:rFonts w:ascii="Roboto;sans-serif" w:hAnsi="Roboto;sans-serif"/>
          <w:b w:val="false"/>
          <w:color w:val="000000"/>
          <w:sz w:val="18"/>
        </w:rPr>
        <w:t>The adjusted net investment income yield* was 4.17% during the quarter.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17220"/>
                <wp:effectExtent l="0" t="0" r="0" b="0"/>
                <wp:wrapNone/>
                <wp:docPr id="12" name="Frame7"/>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4</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4</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200" w:after="283"/>
        <w:jc w:val="left"/>
        <w:rPr>
          <w:rFonts w:ascii="Roboto;sans-serif" w:hAnsi="Roboto;sans-serif"/>
          <w:b/>
          <w:color w:val="00B0B9"/>
          <w:sz w:val="18"/>
        </w:rPr>
      </w:pPr>
      <w:r>
        <w:rPr>
          <w:rFonts w:ascii="Roboto;sans-serif" w:hAnsi="Roboto;sans-serif"/>
          <w:b/>
          <w:color w:val="00B0B9"/>
          <w:sz w:val="18"/>
        </w:rPr>
        <w:t>Statutory Capital and Liquidity (Unaudited, in billions)</w:t>
      </w:r>
    </w:p>
    <w:tbl>
      <w:tblPr>
        <w:tblW w:w="6408" w:type="dxa"/>
        <w:jc w:val="left"/>
        <w:tblInd w:w="0" w:type="dxa"/>
        <w:tblLayout w:type="fixed"/>
        <w:tblCellMar>
          <w:top w:w="28" w:type="dxa"/>
          <w:left w:w="28" w:type="dxa"/>
          <w:bottom w:w="28" w:type="dxa"/>
          <w:right w:w="28" w:type="dxa"/>
        </w:tblCellMar>
      </w:tblPr>
      <w:tblGrid>
        <w:gridCol w:w="1140"/>
        <w:gridCol w:w="1003"/>
        <w:gridCol w:w="1007"/>
        <w:gridCol w:w="109"/>
        <w:gridCol w:w="109"/>
        <w:gridCol w:w="109"/>
        <w:gridCol w:w="239"/>
        <w:gridCol w:w="239"/>
        <w:gridCol w:w="241"/>
        <w:gridCol w:w="109"/>
        <w:gridCol w:w="109"/>
        <w:gridCol w:w="109"/>
        <w:gridCol w:w="274"/>
        <w:gridCol w:w="274"/>
        <w:gridCol w:w="276"/>
        <w:gridCol w:w="109"/>
        <w:gridCol w:w="109"/>
        <w:gridCol w:w="109"/>
        <w:gridCol w:w="214"/>
        <w:gridCol w:w="214"/>
        <w:gridCol w:w="306"/>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As of</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B0B9"/>
                <w:sz w:val="14"/>
              </w:rPr>
            </w:pPr>
            <w:r>
              <w:rPr>
                <w:rFonts w:ascii="Roboto;sans-serif" w:hAnsi="Roboto;sans-serif"/>
                <w:b/>
                <w:color w:val="00B0B9"/>
                <w:sz w:val="14"/>
              </w:rPr>
              <w:t>June 30,</w:t>
              <w:br/>
              <w:t>2026 (1)</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2025</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Statutory combined total adjusted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$5.6</w:t>
            </w:r>
          </w:p>
        </w:tc>
      </w:tr>
      <w:tr>
        <w:trPr/>
        <w:tc>
          <w:tcPr>
            <w:tcW w:w="315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8"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(1) Reflects preliminary statutory results as of June 30, 2026.</w:t>
            </w:r>
          </w:p>
        </w:tc>
      </w:tr>
    </w:tbl>
    <w:p>
      <w:pPr>
        <w:pStyle w:val="TextBody"/>
        <w:bidi w:val="0"/>
        <w:spacing w:lineRule="auto" w:line="288" w:before="200" w:after="283"/>
        <w:jc w:val="left"/>
        <w:rPr>
          <w:rFonts w:ascii="Roboto;sans-serif" w:hAnsi="Roboto;sans-serif"/>
          <w:b w:val="false"/>
          <w:i/>
          <w:color w:val="000000"/>
          <w:sz w:val="18"/>
        </w:rPr>
      </w:pPr>
      <w:r>
        <w:rPr>
          <w:rFonts w:ascii="Roboto;sans-serif" w:hAnsi="Roboto;sans-serif"/>
          <w:b w:val="false"/>
          <w:i/>
          <w:color w:val="000000"/>
          <w:sz w:val="18"/>
        </w:rPr>
        <w:t>Capitalization</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As of June 30, 2026</w:t>
      </w:r>
      <w:r>
        <w:rPr>
          <w:rFonts w:ascii="Roboto;sans-serif" w:hAnsi="Roboto;sans-serif"/>
          <w:b w:val="false"/>
          <w:i/>
          <w:color w:val="000000"/>
          <w:sz w:val="18"/>
        </w:rPr>
        <w:t>:</w:t>
      </w:r>
    </w:p>
    <w:p>
      <w:pPr>
        <w:pStyle w:val="TextBody"/>
        <w:bidi w:val="0"/>
        <w:spacing w:lineRule="auto" w:line="288" w:before="200" w:after="120"/>
        <w:ind w:left="0" w:right="0" w:hanging="360"/>
        <w:jc w:val="both"/>
        <w:rPr/>
      </w:pPr>
      <w:r>
        <w:rPr>
          <w:color w:val="000000"/>
        </w:rPr>
        <w:t>•</w:t>
      </w:r>
      <w:r>
        <w:rPr>
          <w:rFonts w:ascii="Roboto;sans-serif" w:hAnsi="Roboto;sans-serif"/>
          <w:b w:val="false"/>
          <w:color w:val="000000"/>
          <w:sz w:val="18"/>
        </w:rPr>
        <w:t>Statutory combined total adjusted capital</w:t>
      </w:r>
      <w:r>
        <w:rPr>
          <w:rFonts w:ascii="Roboto;sans-serif" w:hAnsi="Roboto;sans-serif"/>
          <w:b w:val="false"/>
          <w:color w:val="000000"/>
          <w:sz w:val="12"/>
        </w:rPr>
        <w:t xml:space="preserve">(1) </w:t>
      </w:r>
      <w:r>
        <w:rPr>
          <w:rFonts w:ascii="Roboto;sans-serif" w:hAnsi="Roboto;sans-serif"/>
          <w:b w:val="false"/>
          <w:color w:val="000000"/>
          <w:sz w:val="18"/>
        </w:rPr>
        <w:t>was $4.9 billion, relatively flat from March 31, 2026</w:t>
      </w:r>
    </w:p>
    <w:p>
      <w:pPr>
        <w:pStyle w:val="TextBody"/>
        <w:bidi w:val="0"/>
        <w:spacing w:lineRule="auto" w:line="288" w:before="200" w:after="120"/>
        <w:ind w:left="0" w:right="0" w:hanging="360"/>
        <w:jc w:val="both"/>
        <w:rPr/>
      </w:pPr>
      <w:r>
        <w:rPr>
          <w:color w:val="000000"/>
        </w:rPr>
        <w:t>•</w:t>
      </w:r>
      <w:r>
        <w:rPr>
          <w:rFonts w:ascii="Roboto;sans-serif" w:hAnsi="Roboto;sans-serif"/>
          <w:b w:val="false"/>
          <w:color w:val="000000"/>
          <w:sz w:val="18"/>
        </w:rPr>
        <w:t>Estimated combined RBC ratio</w:t>
      </w:r>
      <w:r>
        <w:rPr>
          <w:rFonts w:ascii="Roboto;sans-serif" w:hAnsi="Roboto;sans-serif"/>
          <w:b w:val="false"/>
          <w:color w:val="000000"/>
          <w:sz w:val="12"/>
        </w:rPr>
        <w:t>(1)</w:t>
      </w:r>
      <w:r>
        <w:rPr>
          <w:color w:val="000000"/>
        </w:rPr>
        <w:t xml:space="preserve"> </w:t>
      </w:r>
      <w:r>
        <w:rPr>
          <w:rFonts w:ascii="Roboto;sans-serif" w:hAnsi="Roboto;sans-serif"/>
          <w:b w:val="false"/>
          <w:color w:val="000000"/>
          <w:sz w:val="18"/>
        </w:rPr>
        <w:t>was between 430% and 450%, consistent with the first quarter of 2026 and at the upper end of our target combined RBC range of 400% to 450% in normal markets</w:t>
      </w:r>
    </w:p>
    <w:p>
      <w:pPr>
        <w:pStyle w:val="TextBody"/>
        <w:bidi w:val="0"/>
        <w:spacing w:lineRule="auto" w:line="288" w:before="200" w:after="120"/>
        <w:ind w:left="0" w:right="0" w:hanging="360"/>
        <w:jc w:val="both"/>
        <w:rPr/>
      </w:pPr>
      <w:r>
        <w:rPr>
          <w:color w:val="000000"/>
        </w:rPr>
        <w:t>▪</w:t>
      </w:r>
      <w:r>
        <w:rPr>
          <w:rFonts w:ascii="Roboto;sans-serif" w:hAnsi="Roboto;sans-serif"/>
          <w:b w:val="false"/>
          <w:color w:val="000000"/>
          <w:sz w:val="18"/>
        </w:rPr>
        <w:t>Holding company liquid assets were $0.9 billion</w:t>
      </w:r>
    </w:p>
    <w:p>
      <w:pPr>
        <w:pStyle w:val="TextBody"/>
        <w:bidi w:val="0"/>
        <w:spacing w:before="200" w:after="120"/>
        <w:jc w:val="both"/>
        <w:rPr/>
      </w:pPr>
      <w:r>
        <w:rPr/>
      </w:r>
    </w:p>
    <w:p>
      <w:pPr>
        <w:pStyle w:val="TextBody"/>
        <w:bidi w:val="0"/>
        <w:spacing w:lineRule="auto" w:line="288" w:before="200" w:after="120"/>
        <w:jc w:val="both"/>
        <w:rPr>
          <w:rFonts w:ascii="Roboto;sans-serif" w:hAnsi="Roboto;sans-serif"/>
          <w:b w:val="false"/>
          <w:color w:val="000000"/>
          <w:sz w:val="14"/>
        </w:rPr>
      </w:pPr>
      <w:r>
        <w:rPr>
          <w:rFonts w:ascii="Roboto;sans-serif" w:hAnsi="Roboto;sans-serif"/>
          <w:b w:val="false"/>
          <w:color w:val="000000"/>
          <w:sz w:val="14"/>
        </w:rPr>
        <w:t>_______________</w:t>
      </w:r>
    </w:p>
    <w:p>
      <w:pPr>
        <w:pStyle w:val="TextBody"/>
        <w:bidi w:val="0"/>
        <w:spacing w:lineRule="auto" w:line="288"/>
        <w:jc w:val="left"/>
        <w:rPr>
          <w:rFonts w:ascii="Roboto;sans-serif" w:hAnsi="Roboto;sans-serif"/>
          <w:b w:val="false"/>
          <w:color w:val="000000"/>
          <w:sz w:val="14"/>
        </w:rPr>
      </w:pPr>
      <w:r>
        <w:rPr>
          <w:rFonts w:ascii="Roboto;sans-serif" w:hAnsi="Roboto;sans-serif"/>
          <w:b w:val="false"/>
          <w:color w:val="000000"/>
          <w:sz w:val="14"/>
        </w:rPr>
        <w:t>(1) Reflects preliminary statutory results as of June 30,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17220"/>
                <wp:effectExtent l="0" t="0" r="0" b="0"/>
                <wp:wrapNone/>
                <wp:docPr id="14" name="Frame8"/>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5</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5</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Pending Merger with Aquarian Capital</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November 6, 2025, Aquarian Capital LLC (“Aquarian Capital”), a diversified global holding company with a strategic portfolio of insurance and asset management businesses, and Brighthouse Financial, announced that they had entered into a definitive merger agreement under which an affiliate of Aquarian Capital will acquire Brighthouse Financial for $70.00 per share in an all-cash transaction valued at approximately $4.1 billion.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completion of the merger remains subject to receipt of insurance regulatory approvals in Delaware, New York and Massachusetts. All other conditions to the closing of the merger have been satisfied or waived (other than those conditions that, by their terms, are to be satisfied at the closing and are capable of being satisfied at the closing). Accordingly, if the merger has not closed by September 6, 2026, because the remaining insurance regulatory approvals have not yet been obtained, the merger agreement will be automatically extended to December 6, 2026. The merger is expected to close in 2026.</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About Brighthouse Financial,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Brighthouse Financial, Inc. (Brighthouse Financial) (Nasdaq: BHF) is on a mission to help people achieve financial security. As one of the largest providers of annuities and life insurance in the U.S.,</w:t>
      </w:r>
      <w:r>
        <w:rPr>
          <w:rFonts w:ascii="Roboto;sans-serif" w:hAnsi="Roboto;sans-serif"/>
          <w:b w:val="false"/>
          <w:color w:val="000000"/>
          <w:sz w:val="12"/>
        </w:rPr>
        <w:t>(1)</w:t>
      </w:r>
      <w:r>
        <w:rPr>
          <w:color w:val="000000"/>
        </w:rPr>
        <w:t xml:space="preserve"> </w:t>
      </w:r>
      <w:r>
        <w:rPr>
          <w:rFonts w:ascii="Roboto;sans-serif" w:hAnsi="Roboto;sans-serif"/>
          <w:b w:val="false"/>
          <w:color w:val="000000"/>
          <w:sz w:val="18"/>
        </w:rPr>
        <w:t>we specialize in products designed to help people protect what they've earned and ensure it lasts. Learn more at brighthousefinancial.com.</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4"/>
        </w:rPr>
        <w:t>(1) Ranked by 2025 admitted assets. Best's Review</w:t>
      </w:r>
      <w:r>
        <w:rPr>
          <w:rFonts w:ascii="Roboto;sans-serif" w:hAnsi="Roboto;sans-serif"/>
          <w:b w:val="false"/>
          <w:color w:val="000000"/>
          <w:sz w:val="9"/>
        </w:rPr>
        <w:t>®</w:t>
      </w:r>
      <w:r>
        <w:rPr>
          <w:rFonts w:ascii="Roboto;sans-serif" w:hAnsi="Roboto;sans-serif"/>
          <w:b w:val="false"/>
          <w:color w:val="000000"/>
          <w:sz w:val="14"/>
        </w:rPr>
        <w:t>: Top 200 U.S. Life/Health Insurers. AM Best, 2026.</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A5A8"/>
          <w:sz w:val="24"/>
        </w:rPr>
      </w:pPr>
      <w:r>
        <w:rPr>
          <w:rFonts w:ascii="Roboto;sans-serif" w:hAnsi="Roboto;sans-serif"/>
          <w:b/>
          <w:color w:val="00A5A8"/>
          <w:sz w:val="24"/>
        </w:rPr>
        <w:t>CONTACT</w:t>
      </w:r>
    </w:p>
    <w:tbl>
      <w:tblPr>
        <w:tblW w:w="6812" w:type="dxa"/>
        <w:jc w:val="left"/>
        <w:tblInd w:w="0" w:type="dxa"/>
        <w:tblLayout w:type="fixed"/>
        <w:tblCellMar>
          <w:top w:w="28" w:type="dxa"/>
          <w:left w:w="28" w:type="dxa"/>
          <w:bottom w:w="28" w:type="dxa"/>
          <w:right w:w="28" w:type="dxa"/>
        </w:tblCellMar>
      </w:tblPr>
      <w:tblGrid>
        <w:gridCol w:w="1240"/>
        <w:gridCol w:w="1090"/>
        <w:gridCol w:w="1091"/>
        <w:gridCol w:w="993"/>
        <w:gridCol w:w="993"/>
        <w:gridCol w:w="1405"/>
      </w:tblGrid>
      <w:tr>
        <w:trPr/>
        <w:tc>
          <w:tcPr>
            <w:tcW w:w="12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r>
      <w:tr>
        <w:trPr/>
        <w:tc>
          <w:tcPr>
            <w:tcW w:w="34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FOR INVESTORS</w:t>
            </w:r>
          </w:p>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Dana Amante</w:t>
            </w:r>
          </w:p>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(980) 949-3073</w:t>
            </w:r>
          </w:p>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damante@brighthousefinancial.com</w:t>
            </w:r>
          </w:p>
          <w:p>
            <w:pPr>
              <w:pStyle w:val="TableContents"/>
              <w:bidi w:val="0"/>
              <w:spacing w:before="0" w:after="0"/>
              <w:jc w:val="left"/>
              <w:rPr/>
            </w:pPr>
            <w:r>
              <w:rPr/>
            </w:r>
          </w:p>
        </w:tc>
        <w:tc>
          <w:tcPr>
            <w:tcW w:w="33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FOR MEDIA</w:t>
            </w:r>
          </w:p>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Meghan Lantier</w:t>
            </w:r>
          </w:p>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(980) 949-4142</w:t>
            </w:r>
          </w:p>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mlantier@brighthousefinancial.com</w:t>
            </w:r>
          </w:p>
          <w:p>
            <w:pPr>
              <w:pStyle w:val="TableContents"/>
              <w:bidi w:val="0"/>
              <w:spacing w:before="0" w:after="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17220"/>
                <wp:effectExtent l="0" t="0" r="0" b="0"/>
                <wp:wrapNone/>
                <wp:docPr id="16" name="Frame9"/>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6</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6</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Note Regarding Forward-Looking Statements</w:t>
      </w:r>
    </w:p>
    <w:p>
      <w:pPr>
        <w:pStyle w:val="TextBody"/>
        <w:bidi w:val="0"/>
        <w:spacing w:before="0" w:after="0"/>
        <w:jc w:val="both"/>
        <w:rPr/>
      </w:pPr>
      <w:r>
        <w:rPr/>
      </w:r>
    </w:p>
    <w:p>
      <w:pPr>
        <w:pStyle w:val="TextBody"/>
        <w:bidi w:val="0"/>
        <w:spacing w:lineRule="auto" w:line="26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This news release and other oral or written statements that Brighthouse Financial makes from time to time may contain information that includes or is based upon forward-looking statements within the meaning of the Private Securities Litigation Reform Act of 1995. Such forward-looking statements involve substantial risks and uncertainties. Brighthouse Financial has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the completion of the pending merger with an affiliate of Aquarian Capital,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bidi w:val="0"/>
        <w:spacing w:before="0" w:after="0"/>
        <w:ind w:left="0" w:right="0" w:firstLine="360"/>
        <w:jc w:val="both"/>
        <w:rPr/>
      </w:pPr>
      <w:r>
        <w:rPr/>
      </w:r>
    </w:p>
    <w:p>
      <w:pPr>
        <w:pStyle w:val="TextBody"/>
        <w:bidi w:val="0"/>
        <w:spacing w:lineRule="auto" w:line="268"/>
        <w:ind w:left="0" w:right="0" w:firstLine="360"/>
        <w:jc w:val="both"/>
        <w:rPr>
          <w:rFonts w:ascii="Roboto;sans-serif" w:hAnsi="Roboto;sans-serif"/>
          <w:b w:val="false"/>
          <w:color w:val="000000"/>
          <w:sz w:val="18"/>
        </w:rPr>
      </w:pPr>
      <w:r>
        <w:rPr>
          <w:rFonts w:ascii="Roboto;sans-serif" w:hAnsi="Roboto;sans-serif"/>
          <w:b w:val="false"/>
          <w:color w:val="000000"/>
          <w:sz w:val="18"/>
        </w:rPr>
        <w:t xml:space="preserve">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 Brighthouse Financial’s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 the effect of the pendency of the merger on Brighthouse Financial’s ongoing business and operations, including disruption to Brighthouse Financial’s business relationships, the diversion of management’s attention from ongoing business operations and opportunities, or the outcome of any legal proceedings that may be instituted against Aquarian Capital or Brighthouse Financial following announcement of the merger; restrictions on the conduct of Brighthouse Financial’s business prior to the closing of the merger and on Brighthouse Financial’s ability to pursue alternatives to the merger; the possibility that the merger may be more expensive to complete than anticipated, including as a result of unexpected factors or events; differences between actual experience and actuarial assumptions and the effectiveness of Brighthouse Financial's actuarial models; higher risk management costs and exposure to increased market risk due to guarantees within certain of Brighthouse Financial's products; the effectiveness of Brighthouse Financial's risk management strategy and the impacts of such strategy on volatility in Brighthouse Financial's profitability measures and the negative effects on Brighthouse Financial's statutory capital; material differences between actual outcomes and the sensitivities calculated under certain scenarios that Brighthouse Financial may utilize in connection with its risk management strategies; the impact of interest rates on Brighthouse Financial's future universal life with secondary guarantees policyholder obligations and net income volatility; the potential material adverse effect of changes in accounting standards, practices or policies applicable to Brighthouse Financial; loss of business and other negative impacts resulting from a downgrade or a potential downgrade in Brighthouse Financial's financial strength or credit ratings; the availability of reinsurance and the ability of the counterparties to Brighthouse Financial's reinsurance or indemnification arrangements to perform their obligations thereunder; heightened competition, including with respect to service, product features, product mix, scale, price, actual or perceived financial strength, claims-paying ratings, credit ratings, e-business capabilities and name recognition; Brighthouse Financial's ability to market and distribute its products through distribution channels and maintain relationships with key distribution partners; any failure of third parties to provide services Brighthouse Financial needs, any failure of the practices and procedures of such third parties and any inability to obtain information or assistance it needs from third parties; the ability of Brighthouse Financial's subsidiaries to pay dividends to it, and its ability to pay dividends to its shareholders and repurchase its common stock; the risks associated with climate change; the adverse impact of public health crises, extreme mortality events or similar occurrences on Brighthouse Financial's business and the economy in general; the impact of adverse capital and credit market conditions, including with respect to Brighthouse Financial's ability to meet liquidity needs and access capital; the impact of economic conditions in the capital markets and the U.S. and global economy, as well as geopolitical events, tariffs imposed or threatened by the U.S. or foreign governments, military actions or catastrophic events, on Brighthouse Financial's profitability measures as well as its investment portfolio, including on realized and unrealized losses and impairments, net investment spread and net investment income; the financial risks that Brighthouse Financial's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17220"/>
                <wp:effectExtent l="0" t="0" r="0" b="0"/>
                <wp:wrapNone/>
                <wp:docPr id="18" name="Frame10"/>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7</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7</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68" w:before="0" w:after="0"/>
        <w:jc w:val="both"/>
        <w:rPr>
          <w:rFonts w:ascii="Roboto;sans-serif" w:hAnsi="Roboto;sans-serif"/>
          <w:b w:val="false"/>
          <w:color w:val="000000"/>
          <w:sz w:val="18"/>
        </w:rPr>
      </w:pPr>
      <w:r>
        <w:rPr>
          <w:rFonts w:ascii="Roboto;sans-serif" w:hAnsi="Roboto;sans-serif"/>
          <w:b w:val="false"/>
          <w:color w:val="000000"/>
          <w:sz w:val="18"/>
        </w:rPr>
        <w:t>investment portfolio is subject to, including credit risk, interest rate risk, inflation risk, market valuation risk, liquidity risk, real estate risk, derivatives risk, and other factors outside Brighthouse Financial's control; the impact of changes in regulation and in supervisory and enforcement policies or interpretations thereof on Brighthouse Financial's insurance business or other operations; the potential material negative tax impact of potential future tax legislation that could make some of Brighthouse Financial's products less attractive to consumers or increase its tax liability; the effectiveness of Brighthouse Financial's policies, procedures and processes in managing risk; the loss or disclosure of confidential information, damage to Brighthouse Financial's reputation and impairment of its ability to conduct business effectively as a result of any failure in cyber- or other information security systems; whether all or any portion of the tax consequences of Brighthouse Financial's separation from MetLife, Inc. are not as expected, leading to material additional taxes or material adverse consequences to tax attributes that impact Brighthouse Financial; and other factors described from time to time in documents that Brighthouse Financial files with the U.S. Securities and Exchange Commission (the "SEC").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For the reasons described above, Brighthouse Financial cautions you against relying on any forward-looking statements, which should also be read in conjunction with the other cautionary statements included and the risks, uncertainties and other factors identified in Brighthouse Financial’s most recent Annual Report on Form 10-K, particularly in the sections entitled “Risk Factors” and “Quantitative and Qualitative Disclosures About Market Risk,” as well as in its other subsequent filings with the SEC. Further, any forward-looking statement speaks only as of the date on which it is made, and Brighthouse Financial undertakes no obligation to update or revise any forward-looking statement to reflect events or circumstances after the date on which the statement is made or to reflect the occurrence of unanticipated events, except as otherwise may be required by law.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The information contained on or connected to any websites referenced in this news release is not incorporated by reference into this news release.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 xml:space="preserve">Non-GAAP and Other Financial Disclosures </w:t>
      </w:r>
    </w:p>
    <w:p>
      <w:pPr>
        <w:pStyle w:val="TextBody"/>
        <w:bidi w:val="0"/>
        <w:spacing w:before="0" w:after="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 xml:space="preserve">Our definitions of non-GAAP and other financial measures may differ from those used by other companies. </w:t>
      </w:r>
    </w:p>
    <w:p>
      <w:pPr>
        <w:pStyle w:val="TextBody"/>
        <w:bidi w:val="0"/>
        <w:spacing w:before="0" w:after="0"/>
        <w:ind w:left="0" w:right="0" w:firstLine="360"/>
        <w:jc w:val="both"/>
        <w:rPr/>
      </w:pPr>
      <w:r>
        <w:rPr/>
      </w:r>
    </w:p>
    <w:p>
      <w:pPr>
        <w:pStyle w:val="TextBody"/>
        <w:bidi w:val="0"/>
        <w:spacing w:lineRule="auto" w:line="288"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Non-GAAP Financial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We present certain measures of our performance that are not calculated in accordance with accounting principles generally accepted in the United States of America, also known as "GAAP." We believe that these non-GAAP financial measures enhance the understanding of our performance by the investor community by highlighting the results of operations and the underlying profitability drivers of our business.</w:t>
      </w:r>
    </w:p>
    <w:p>
      <w:pPr>
        <w:pStyle w:val="TextBody"/>
        <w:bidi w:val="0"/>
        <w:ind w:left="0" w:right="0" w:firstLine="36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17220"/>
                <wp:effectExtent l="0" t="0" r="0" b="0"/>
                <wp:wrapNone/>
                <wp:docPr id="20" name="Frame11"/>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8</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8</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The following non-GAAP financial measures should not be viewed as substitutes for the most directly comparable financial measures calculated in accordance with GAAP:</w:t>
      </w:r>
    </w:p>
    <w:tbl>
      <w:tblPr>
        <w:tblW w:w="10205" w:type="dxa"/>
        <w:jc w:val="left"/>
        <w:tblInd w:w="0" w:type="dxa"/>
        <w:tblLayout w:type="fixed"/>
        <w:tblCellMar>
          <w:top w:w="28" w:type="dxa"/>
          <w:left w:w="28" w:type="dxa"/>
          <w:bottom w:w="28" w:type="dxa"/>
          <w:right w:w="28" w:type="dxa"/>
        </w:tblCellMar>
      </w:tblPr>
      <w:tblGrid>
        <w:gridCol w:w="1922"/>
        <w:gridCol w:w="1654"/>
        <w:gridCol w:w="1666"/>
        <w:gridCol w:w="1484"/>
        <w:gridCol w:w="1436"/>
        <w:gridCol w:w="2043"/>
      </w:tblGrid>
      <w:tr>
        <w:trPr/>
        <w:tc>
          <w:tcPr>
            <w:tcW w:w="1922"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5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u w:val="single"/>
              </w:rPr>
            </w:pPr>
            <w:r>
              <w:rPr>
                <w:rFonts w:ascii="Roboto;sans-serif" w:hAnsi="Roboto;sans-serif"/>
                <w:b w:val="false"/>
                <w:color w:val="000000"/>
                <w:sz w:val="16"/>
                <w:u w:val="single"/>
              </w:rPr>
              <w:t>Non-GAAP financial measures:</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u w:val="single"/>
              </w:rPr>
            </w:pPr>
            <w:r>
              <w:rPr>
                <w:rFonts w:ascii="Roboto;sans-serif" w:hAnsi="Roboto;sans-serif"/>
                <w:b w:val="false"/>
                <w:color w:val="000000"/>
                <w:sz w:val="16"/>
                <w:u w:val="single"/>
              </w:rPr>
              <w:t>Most directly comparable GAAP financial measures:</w:t>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earnings</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(loss) available to shareholders (1)</w:t>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earnings, less notable items</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income (loss) available to shareholders (1)</w:t>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revenues</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revenues</w:t>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expenses</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expenses</w:t>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earnings per common share</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earnings per common share, diluted (1)</w:t>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earnings per common share, less notable items</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earnings per common share, diluted (1)</w:t>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return on common equity</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return on common equity (2)</w:t>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net investment income</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investment income</w:t>
            </w:r>
          </w:p>
        </w:tc>
      </w:tr>
      <w:tr>
        <w:trPr/>
        <w:tc>
          <w:tcPr>
            <w:tcW w:w="5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net investment income yield</w:t>
            </w:r>
          </w:p>
        </w:tc>
        <w:tc>
          <w:tcPr>
            <w:tcW w:w="4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investment income yield</w:t>
            </w:r>
          </w:p>
        </w:tc>
      </w:tr>
      <w:tr>
        <w:trPr/>
        <w:tc>
          <w:tcPr>
            <w:tcW w:w="5242"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Roboto;sans-serif" w:hAnsi="Roboto;sans-serif"/>
                <w:b w:val="false"/>
                <w:color w:val="000000"/>
                <w:sz w:val="10"/>
              </w:rPr>
            </w:pPr>
            <w:r>
              <w:rPr>
                <w:rFonts w:ascii="Roboto;sans-serif" w:hAnsi="Roboto;sans-serif"/>
                <w:b w:val="false"/>
                <w:color w:val="000000"/>
                <w:sz w:val="10"/>
              </w:rPr>
              <w:t>__________________</w:t>
            </w:r>
          </w:p>
          <w:p>
            <w:pPr>
              <w:pStyle w:val="TableContents"/>
              <w:bidi w:val="0"/>
              <w:spacing w:before="0" w:after="0"/>
              <w:jc w:val="left"/>
              <w:rPr/>
            </w:pPr>
            <w:r>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2"/>
              </w:rPr>
            </w:pPr>
            <w:r>
              <w:rPr>
                <w:rFonts w:ascii="Roboto;sans-serif" w:hAnsi="Roboto;sans-serif"/>
                <w:b w:val="false"/>
                <w:color w:val="000000"/>
                <w:sz w:val="12"/>
              </w:rPr>
              <w:t>(1) Brighthouse uses net income (loss) available to shareholders to refer to net income (loss) available to Brighthouse Financial, Inc.'s common shareholders, and earnings per common share, diluted to refer to net income (loss) available to shareholders per common share.</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(2) Brighthouse uses return on common equity to refer to return on Brighthouse Financial, Inc.'s common stockholders' equity.</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Reconciliations to the most directly comparable historical GAAP measures are included for those measures which are presented herein. Reconciliations of these non-GAAP financial measures to the most directly comparable GAAP financial measures are not accessible on a forward-looking basis because we believe it is not possible without unreasonable efforts to provide other than a range of net investment gains and losses and net derivative gains and losses, which can fluctuate significantly within or outside the range and from period to period and may have a material impact on net income (loss) available to shareholders.</w:t>
      </w:r>
    </w:p>
    <w:p>
      <w:pPr>
        <w:pStyle w:val="TextBody"/>
        <w:bidi w:val="0"/>
        <w:spacing w:before="0" w:after="0"/>
        <w:ind w:left="0" w:right="0" w:firstLine="36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Adjusted Earnings, Adjusted Revenues and Adjusted Expenses</w:t>
      </w:r>
    </w:p>
    <w:p>
      <w:pPr>
        <w:pStyle w:val="TextBody"/>
        <w:bidi w:val="0"/>
        <w:spacing w:before="0" w:after="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 xml:space="preserve">Adjusted earnings is a financial measure used by management to evaluate performance and facilitate comparisons to industry results. This financial measure, which may be positive or negative, focuses on our primary businesses by excluding the impact of market volatility, which could distort trends.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Adjusted earnings reflect adjusted revenues less (i) adjusted expenses, (ii) provision for income tax expense (benefit), (iii) net income (loss) attributable to noncontrolling interests and (iv) preferred stock dividends. Provided below are the adjustments to GAAP revenues and GAAP expenses used to calculate adjusted revenues and adjusted expenses,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Roboto;sans-serif" w:hAnsi="Roboto;sans-serif"/>
          <w:b w:val="false"/>
          <w:color w:val="000000"/>
          <w:sz w:val="18"/>
        </w:rPr>
      </w:pPr>
      <w:r>
        <w:rPr>
          <w:rFonts w:ascii="Roboto;sans-serif" w:hAnsi="Roboto;sans-serif"/>
          <w:b w:val="false"/>
          <w:color w:val="000000"/>
          <w:sz w:val="18"/>
        </w:rPr>
        <w:t>The following items are excluded from total revenues in calculating the adjusted revenues component of adjusted earnings: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Net investment gains (losses);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Investment gains (losses) on trading securities measured at estimated fair value through net investment income;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Net derivative gains (losses) ("NDGL"), excluding earned income and amortization of premium on derivatives that are hedges of investments or that are used to replicate certain investments, but do not qualify for hedge accounting treatment ("Investment Hedge Adjustments").</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17220"/>
                <wp:effectExtent l="0" t="0" r="0" b="0"/>
                <wp:wrapNone/>
                <wp:docPr id="22" name="Frame12"/>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9</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9</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The following items are excluded from total expenses in calculating the adjusted expenses component of adjusted earnings: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Change in market risk benefits;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before="0" w:after="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before="0" w:after="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Consistent with GAAP guidance for segment reporting, adjusted earnings is also our GAAP measure of segment performance.</w:t>
      </w:r>
    </w:p>
    <w:p>
      <w:pPr>
        <w:pStyle w:val="TextBody"/>
        <w:bidi w:val="0"/>
        <w:spacing w:before="0" w:after="0"/>
        <w:ind w:left="0" w:right="0" w:firstLine="36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Adjusted Earnings per Common Share and Adjusted Return on Common Equity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Adjusted earnings per common share and adjusted return on common equity are measures used by management to evaluate the execution of our business strategy and align such strategy with our shareholders' interests.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Adjusted earnings per common share is defined as adjusted earnings for the period divided by the weighted average number of fully diluted shares of common stock outstanding for the period. The weighted average common shares outstanding used to calculate adjusted earnings per share will differ from such shares used to calculate diluted net income (loss) available to shareholders per common share when the inclusion of dilutive shares has an anti-dilutive effect for one calculation but not for the other.</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Adjusted return on common equity is defined as total annual adjusted earnings on a four quarter trailing basis, divided by the simple average of the most recent five quarters of total Brighthouse Financial, Inc.'s common stockholders' equity, excluding AOCI.</w:t>
      </w:r>
    </w:p>
    <w:p>
      <w:pPr>
        <w:pStyle w:val="TextBody"/>
        <w:bidi w:val="0"/>
        <w:spacing w:before="0" w:after="0"/>
        <w:ind w:left="0" w:right="0" w:firstLine="27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Adjusted Net Investment Income</w:t>
      </w:r>
    </w:p>
    <w:p>
      <w:pPr>
        <w:pStyle w:val="TextBody"/>
        <w:bidi w:val="0"/>
        <w:spacing w:before="0" w:after="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Adjusted net investment income is used by management to measure our performance, and we believe it enhances the understanding of our investment portfolio results. Adjusted net investment income represents GAAP net investment income plus Investment Hedge Adjustments less investment gains (losses) on trading securities.</w:t>
      </w:r>
    </w:p>
    <w:p>
      <w:pPr>
        <w:pStyle w:val="TextBody"/>
        <w:bidi w:val="0"/>
        <w:spacing w:before="0" w:after="0"/>
        <w:ind w:left="0" w:right="0" w:firstLine="36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Adjusted Net Investment Income Yield</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pStyle w:val="TextBody"/>
        <w:bidi w:val="0"/>
        <w:ind w:left="0" w:right="0" w:firstLine="36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17220"/>
                <wp:effectExtent l="0" t="0" r="0" b="0"/>
                <wp:wrapNone/>
                <wp:docPr id="24" name="Frame13"/>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10</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10</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Other Financial Disclosures</w:t>
      </w:r>
    </w:p>
    <w:p>
      <w:pPr>
        <w:pStyle w:val="TextBody"/>
        <w:bidi w:val="0"/>
        <w:spacing w:before="0" w:after="0"/>
        <w:ind w:left="0" w:right="0" w:firstLine="27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Corporate Expenses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Corporate expenses includes functional department expenses, public company expenses, certain investment expenses, retirement funding and incentive compensation.</w:t>
      </w:r>
    </w:p>
    <w:p>
      <w:pPr>
        <w:pStyle w:val="TextBody"/>
        <w:bidi w:val="0"/>
        <w:spacing w:before="0" w:after="0"/>
        <w:ind w:left="0" w:right="0" w:firstLine="27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Notable Items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Certain of the non-GAAP measures described above may be presented further adjusted to exclude notable items. Notable items reflect the unfavorable (favorable) after-tax impact on our results of certain unanticipated items and events, as well as certain items and events that were anticipated. The presentation of notable items and non-GAAP measures, less notable items is intended to help investors better understand our results and to evaluate and forecast those results.</w:t>
      </w:r>
    </w:p>
    <w:p>
      <w:pPr>
        <w:pStyle w:val="TextBody"/>
        <w:bidi w:val="0"/>
        <w:spacing w:before="0" w:after="0"/>
        <w:ind w:left="0" w:right="0" w:firstLine="27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Book Value per Common Share and Book Value per Common Share, excluding AOCI</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Roboto;sans-serif" w:hAnsi="Roboto;sans-serif"/>
          <w:b w:val="false"/>
          <w:color w:val="000000"/>
          <w:sz w:val="18"/>
        </w:rPr>
        <w:t>Brighthouse uses the term "book value" to refer to "Brighthouse Financial, Inc.'s common stockholders' equity, including AOCI." Book value per common share is defined as ending Brighthouse Financial, Inc.'s common stockholders' equity, including AOCI, divided by ending common shares outstanding. Book value per common share, excluding AOCI, is defined as ending Brighthouse Financial, Inc.</w:t>
      </w:r>
      <w:r>
        <w:rPr>
          <w:rFonts w:ascii="Roboto Light;sans-serif" w:hAnsi="Roboto Light;sans-serif"/>
          <w:b w:val="false"/>
          <w:color w:val="000000"/>
          <w:sz w:val="18"/>
        </w:rPr>
        <w:t>'</w:t>
      </w:r>
      <w:r>
        <w:rPr>
          <w:rFonts w:ascii="Roboto;sans-serif" w:hAnsi="Roboto;sans-serif"/>
          <w:b w:val="false"/>
          <w:color w:val="000000"/>
          <w:sz w:val="18"/>
        </w:rPr>
        <w:t>s common stockholders' equity, excluding AOCI, divided by ending common shares outstanding.</w:t>
      </w:r>
    </w:p>
    <w:p>
      <w:pPr>
        <w:pStyle w:val="TextBody"/>
        <w:bidi w:val="0"/>
        <w:spacing w:before="0" w:after="0"/>
        <w:ind w:left="0" w:right="0" w:firstLine="27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Holding Company</w:t>
      </w:r>
    </w:p>
    <w:p>
      <w:pPr>
        <w:pStyle w:val="TextBody"/>
        <w:bidi w:val="0"/>
        <w:spacing w:before="0" w:after="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Holding company means, collectively, Brighthouse Financial, Inc., Brighthouse Holdings, LLC, and Brighthouse Services, LLC.</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Holding Company Liquid Assets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Holding company liquid assets include liquid assets in Brighthouse Financial, Inc., Brighthouse Holdings, LLC, and Brighthouse Services, LLC. Liquid assets are comprised of cash and cash equivalents, short-term investments and publicly-traded securities, excluding assets that are pledged or otherwise committed. Assets pledged or otherwise committed include assets held in trust.</w:t>
      </w:r>
    </w:p>
    <w:p>
      <w:pPr>
        <w:pStyle w:val="TextBody"/>
        <w:bidi w:val="0"/>
        <w:spacing w:before="0" w:after="0"/>
        <w:ind w:left="0" w:right="0" w:firstLine="27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Total Adjusted Capital</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Total adjusted capital primarily consists of statutory capital and surplus, as well as the statutory asset valuation reserve. When referred to as “combined,” represents that of our insurance subsidiaries as a whole.</w:t>
      </w:r>
    </w:p>
    <w:p>
      <w:pPr>
        <w:pStyle w:val="TextBody"/>
        <w:bidi w:val="0"/>
        <w:spacing w:before="0" w:after="0"/>
        <w:ind w:left="0" w:right="0" w:firstLine="27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Sales</w:t>
      </w:r>
    </w:p>
    <w:p>
      <w:pPr>
        <w:pStyle w:val="TextBody"/>
        <w:bidi w:val="0"/>
        <w:spacing w:before="0" w:after="0"/>
        <w:ind w:left="0" w:right="0" w:firstLine="270"/>
        <w:jc w:val="both"/>
        <w:rPr/>
      </w:pPr>
      <w:r>
        <w:rPr/>
      </w:r>
    </w:p>
    <w:p>
      <w:pPr>
        <w:pStyle w:val="TextBody"/>
        <w:bidi w:val="0"/>
        <w:spacing w:lineRule="auto" w:line="276"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 xml:space="preserve">Life insurance sales consist of 100 percent of annualized new premium for term life, first-year paid premium for whole life, universal life, and variable universal life, and total paid premium for indexed universal life. We exclude company-sponsored internal exchanges, corporate-owned life insurance, bank-owned life insurance, and private placement variable universal life. </w:t>
      </w:r>
    </w:p>
    <w:p>
      <w:pPr>
        <w:pStyle w:val="TextBody"/>
        <w:bidi w:val="0"/>
        <w:spacing w:before="0" w:after="0"/>
        <w:ind w:left="0" w:right="0" w:firstLine="270"/>
        <w:jc w:val="both"/>
        <w:rPr/>
      </w:pPr>
      <w:r>
        <w:rPr/>
      </w:r>
    </w:p>
    <w:p>
      <w:pPr>
        <w:pStyle w:val="TextBody"/>
        <w:bidi w:val="0"/>
        <w:spacing w:lineRule="auto" w:line="276"/>
        <w:ind w:left="0" w:right="0" w:firstLine="270"/>
        <w:jc w:val="both"/>
        <w:rPr>
          <w:rFonts w:ascii="Roboto;sans-serif" w:hAnsi="Roboto;sans-serif"/>
          <w:b w:val="false"/>
          <w:color w:val="000000"/>
          <w:sz w:val="18"/>
        </w:rPr>
      </w:pPr>
      <w:r>
        <w:rPr>
          <w:rFonts w:ascii="Roboto;sans-serif" w:hAnsi="Roboto;sans-serif"/>
          <w:b w:val="false"/>
          <w:color w:val="000000"/>
          <w:sz w:val="18"/>
        </w:rPr>
        <w:t>Annuity sales consist of 100 percent of direct statutory premiums, except for fixed index annuity sales, which represents 100 percent of gross sales on directly written business and the proportion of assumed gross sales under reinsurance agreements. Annuity sales exclude certain internal exchanges. These sales statistics do not correspond to revenues under GAAP, but are used as relevant measures of business activity.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17220"/>
                <wp:effectExtent l="0" t="0" r="0" b="0"/>
                <wp:wrapNone/>
                <wp:docPr id="26" name="Frame14"/>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11</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11</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2047875" cy="476250"/>
                          </a:xfrm>
                          <a:prstGeom prst="rect">
                            <a:avLst/>
                          </a:prstGeom>
                        </pic:spPr>
                      </pic:pic>
                    </a:graphicData>
                  </a:graphic>
                </wp:inline>
              </w:drawing>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Risk-Based Capital Ratio</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Roboto;sans-serif" w:hAnsi="Roboto;sans-serif"/>
          <w:b w:val="false"/>
          <w:color w:val="000000"/>
          <w:sz w:val="18"/>
        </w:rPr>
      </w:pPr>
      <w:r>
        <w:rPr>
          <w:rFonts w:ascii="Roboto;sans-serif" w:hAnsi="Roboto;sans-serif"/>
          <w:b w:val="false"/>
          <w:color w:val="000000"/>
          <w:sz w:val="18"/>
        </w:rPr>
        <w:t>The risk-based capital ratio is a method of measuring an insurance company’s capital, taking into consideration its relative size and risk profile, in order to ensure compliance with minimum regulatory capital requirements set by the National Association of Insurance Commissioners. When referred to as “combined,” represents that of our insurance subsidiaries as a whole. The reporting of our combined risk-based capital ratio is not intended for the purpose of ranking any insurance company or for use in connection with any marketing, advertising or promotional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17220"/>
                <wp:effectExtent l="0" t="0" r="0" b="0"/>
                <wp:wrapNone/>
                <wp:docPr id="28" name="Frame15"/>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12</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12</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200" w:after="283"/>
        <w:jc w:val="left"/>
        <w:rPr>
          <w:rFonts w:ascii="Roboto;sans-serif" w:hAnsi="Roboto;sans-serif"/>
          <w:b/>
          <w:color w:val="00B0B9"/>
          <w:sz w:val="18"/>
        </w:rPr>
      </w:pPr>
      <w:r>
        <w:rPr>
          <w:rFonts w:ascii="Roboto;sans-serif" w:hAnsi="Roboto;sans-serif"/>
          <w:b/>
          <w:color w:val="00B0B9"/>
          <w:sz w:val="18"/>
        </w:rPr>
        <w:t>Condensed Statements of Operations (Unaudited, in millions)</w:t>
      </w:r>
    </w:p>
    <w:tbl>
      <w:tblPr>
        <w:tblW w:w="9513" w:type="dxa"/>
        <w:jc w:val="left"/>
        <w:tblInd w:w="0" w:type="dxa"/>
        <w:tblLayout w:type="fixed"/>
        <w:tblCellMar>
          <w:top w:w="28" w:type="dxa"/>
          <w:left w:w="28" w:type="dxa"/>
          <w:bottom w:w="28" w:type="dxa"/>
          <w:right w:w="28" w:type="dxa"/>
        </w:tblCellMar>
      </w:tblPr>
      <w:tblGrid>
        <w:gridCol w:w="2194"/>
        <w:gridCol w:w="1933"/>
        <w:gridCol w:w="1948"/>
        <w:gridCol w:w="109"/>
        <w:gridCol w:w="109"/>
        <w:gridCol w:w="109"/>
        <w:gridCol w:w="229"/>
        <w:gridCol w:w="229"/>
        <w:gridCol w:w="231"/>
        <w:gridCol w:w="144"/>
        <w:gridCol w:w="144"/>
        <w:gridCol w:w="144"/>
        <w:gridCol w:w="274"/>
        <w:gridCol w:w="274"/>
        <w:gridCol w:w="276"/>
        <w:gridCol w:w="144"/>
        <w:gridCol w:w="144"/>
        <w:gridCol w:w="144"/>
        <w:gridCol w:w="214"/>
        <w:gridCol w:w="214"/>
        <w:gridCol w:w="306"/>
      </w:tblGrid>
      <w:tr>
        <w:trPr/>
        <w:tc>
          <w:tcPr>
            <w:tcW w:w="219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For the Three Months Ended</w:t>
            </w:r>
          </w:p>
        </w:tc>
      </w:tr>
      <w:tr>
        <w:trPr/>
        <w:tc>
          <w:tcPr>
            <w:tcW w:w="60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2026</w:t>
            </w:r>
          </w:p>
        </w:tc>
        <w:tc>
          <w:tcPr>
            <w:tcW w:w="432"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March 31,</w:t>
              <w:br/>
              <w:t>2026</w:t>
            </w:r>
          </w:p>
        </w:tc>
        <w:tc>
          <w:tcPr>
            <w:tcW w:w="432"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2025</w:t>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$166</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553</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1,241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1,258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1,285</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129</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129</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143</w:t>
            </w:r>
          </w:p>
        </w:tc>
      </w:tr>
      <w:tr>
        <w:trPr/>
        <w:tc>
          <w:tcPr>
            <w:tcW w:w="60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Revenues before NIGL and NDGL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2,105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2,088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2,147</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derivative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(477)</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(509)</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(1,237)</w:t>
            </w:r>
          </w:p>
        </w:tc>
      </w:tr>
      <w:tr>
        <w:trPr/>
        <w:tc>
          <w:tcPr>
            <w:tcW w:w="60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$1,622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$1,527</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$871</w:t>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$637</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$711</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537</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157</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149</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Change in market risk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(1,370)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748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(1,101)</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449</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439</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444</w:t>
            </w:r>
          </w:p>
        </w:tc>
      </w:tr>
      <w:tr>
        <w:trPr/>
        <w:tc>
          <w:tcPr>
            <w:tcW w:w="60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396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2,513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778</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Income (loss)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(986)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93</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r>
      <w:tr>
        <w:trPr/>
        <w:tc>
          <w:tcPr>
            <w:tcW w:w="60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981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(764)</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85</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0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Net income (loss) attributable to Brighthouse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981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(766)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85</w:t>
            </w:r>
          </w:p>
        </w:tc>
      </w:tr>
      <w:tr>
        <w:trPr/>
        <w:tc>
          <w:tcPr>
            <w:tcW w:w="60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w:t>
            </w:r>
          </w:p>
        </w:tc>
      </w:tr>
      <w:tr>
        <w:trPr/>
        <w:tc>
          <w:tcPr>
            <w:tcW w:w="60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Net income (loss) available to Brighthouse Financial, Inc.’s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$956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$(792)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$60</w:t>
            </w:r>
          </w:p>
        </w:tc>
      </w:tr>
    </w:tbl>
    <w:p>
      <w:pPr>
        <w:pStyle w:val="TextBody"/>
        <w:bidi w:val="0"/>
        <w:spacing w:before="200" w:after="283"/>
        <w:ind w:left="0" w:right="0" w:hanging="27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17220"/>
                <wp:effectExtent l="0" t="0" r="0" b="0"/>
                <wp:wrapNone/>
                <wp:docPr id="30" name="Frame16"/>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13</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13</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200" w:after="283"/>
        <w:jc w:val="left"/>
        <w:rPr>
          <w:rFonts w:ascii="Roboto;sans-serif" w:hAnsi="Roboto;sans-serif"/>
          <w:b/>
          <w:color w:val="00B0B9"/>
          <w:sz w:val="18"/>
        </w:rPr>
      </w:pPr>
      <w:r>
        <w:rPr>
          <w:rFonts w:ascii="Roboto;sans-serif" w:hAnsi="Roboto;sans-serif"/>
          <w:b/>
          <w:color w:val="00B0B9"/>
          <w:sz w:val="18"/>
        </w:rPr>
        <w:t>Condensed Balance Sheets (Unaudited, in millions)</w:t>
      </w:r>
    </w:p>
    <w:tbl>
      <w:tblPr>
        <w:tblW w:w="8586" w:type="dxa"/>
        <w:jc w:val="left"/>
        <w:tblInd w:w="0" w:type="dxa"/>
        <w:tblLayout w:type="fixed"/>
        <w:tblCellMar>
          <w:top w:w="28" w:type="dxa"/>
          <w:left w:w="28" w:type="dxa"/>
          <w:bottom w:w="28" w:type="dxa"/>
          <w:right w:w="28" w:type="dxa"/>
        </w:tblCellMar>
      </w:tblPr>
      <w:tblGrid>
        <w:gridCol w:w="1871"/>
        <w:gridCol w:w="1640"/>
        <w:gridCol w:w="1663"/>
        <w:gridCol w:w="109"/>
        <w:gridCol w:w="109"/>
        <w:gridCol w:w="109"/>
        <w:gridCol w:w="258"/>
        <w:gridCol w:w="258"/>
        <w:gridCol w:w="265"/>
        <w:gridCol w:w="109"/>
        <w:gridCol w:w="109"/>
        <w:gridCol w:w="109"/>
        <w:gridCol w:w="274"/>
        <w:gridCol w:w="274"/>
        <w:gridCol w:w="276"/>
        <w:gridCol w:w="109"/>
        <w:gridCol w:w="109"/>
        <w:gridCol w:w="109"/>
        <w:gridCol w:w="240"/>
        <w:gridCol w:w="240"/>
        <w:gridCol w:w="346"/>
      </w:tblGrid>
      <w:tr>
        <w:trPr/>
        <w:tc>
          <w:tcPr>
            <w:tcW w:w="187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As of</w:t>
            </w:r>
          </w:p>
        </w:tc>
      </w:tr>
      <w:tr>
        <w:trPr/>
        <w:tc>
          <w:tcPr>
            <w:tcW w:w="517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2025</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Fixed maturity securities 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$80,823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$81,232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$80,835</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Trading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520</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74</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22,620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22,993</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1,425</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Limited partnerships and limited liability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4,798</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1,170</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invested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13,940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8,932</w:t>
            </w:r>
          </w:p>
        </w:tc>
      </w:tr>
      <w:tr>
        <w:trPr/>
        <w:tc>
          <w:tcPr>
            <w:tcW w:w="517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125,032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121,456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120,747</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5,540</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Accrued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1,235</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Reinsurance recoverables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20,064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20,701</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 and 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557</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4,636</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Current income tax recoverable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Deferred income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1,695</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Market risk benefit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1,084</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348</w:t>
            </w:r>
          </w:p>
        </w:tc>
      </w:tr>
      <w:tr>
        <w:trPr/>
        <w:tc>
          <w:tcPr>
            <w:tcW w:w="517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Separate account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85,691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80,821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86,085</w:t>
            </w:r>
          </w:p>
        </w:tc>
      </w:tr>
      <w:tr>
        <w:trPr/>
        <w:tc>
          <w:tcPr>
            <w:tcW w:w="517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$247,180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$236,803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$242,645</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Future policy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$31,940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$31,773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$31,974</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89,076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86,379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88,046</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Market risk benefit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7,439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8,051</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policy-related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3,977</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Payables for collateral under securities loaned and other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3,994</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3,155</w:t>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12,648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11,625</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Separate account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85,691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80,821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86,085</w:t>
            </w:r>
          </w:p>
        </w:tc>
      </w:tr>
      <w:tr>
        <w:trPr/>
        <w:tc>
          <w:tcPr>
            <w:tcW w:w="517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240,565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231,175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236,907</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Preferred stock, at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Common stock, at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13,847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13,869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13,918</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(1,302)</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(2,687)</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(4,257)</w:t>
            </w:r>
          </w:p>
        </w:tc>
      </w:tr>
      <w:tr>
        <w:trPr/>
        <w:tc>
          <w:tcPr>
            <w:tcW w:w="517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6,550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5,563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5,673</w:t>
            </w:r>
          </w:p>
        </w:tc>
      </w:tr>
      <w:tr>
        <w:trPr/>
        <w:tc>
          <w:tcPr>
            <w:tcW w:w="517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65</w:t>
            </w:r>
          </w:p>
        </w:tc>
      </w:tr>
      <w:tr>
        <w:trPr/>
        <w:tc>
          <w:tcPr>
            <w:tcW w:w="5174" w:type="dxa"/>
            <w:gridSpan w:val="3"/>
            <w:tcBorders>
              <w:top w:val="single" w:sz="16" w:space="0" w:color="828282"/>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6,615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5,628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5,738</w:t>
            </w:r>
          </w:p>
        </w:tc>
      </w:tr>
      <w:tr>
        <w:trPr/>
        <w:tc>
          <w:tcPr>
            <w:tcW w:w="517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$247,180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$236,803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$242,645</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17220"/>
                <wp:effectExtent l="0" t="0" r="0" b="0"/>
                <wp:wrapNone/>
                <wp:docPr id="32" name="Frame17"/>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14</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14</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288" w:before="200" w:after="283"/>
        <w:jc w:val="both"/>
        <w:rPr>
          <w:rFonts w:ascii="Roboto;sans-serif" w:hAnsi="Roboto;sans-serif"/>
          <w:b/>
          <w:color w:val="00B0B9"/>
          <w:sz w:val="18"/>
        </w:rPr>
      </w:pPr>
      <w:r>
        <w:rPr>
          <w:rFonts w:ascii="Roboto;sans-serif" w:hAnsi="Roboto;sans-serif"/>
          <w:b/>
          <w:color w:val="00B0B9"/>
          <w:sz w:val="18"/>
        </w:rPr>
        <w:t>Reconciliation of Net Income (Loss) Available to Shareholders to Adjusted Earnings (Loss) and Adjusted Earnings, Less Notable Items, and Reconciliation of Net Income (Loss) Available to Shareholders per Common Share to Adjusted Earnings (Loss) per Common Share and Adjusted Earnings, Less Notable Items, per Common Share (Unaudited, in millions except per share data)</w:t>
      </w:r>
    </w:p>
    <w:tbl>
      <w:tblPr>
        <w:tblW w:w="10205" w:type="dxa"/>
        <w:jc w:val="left"/>
        <w:tblInd w:w="0" w:type="dxa"/>
        <w:tblLayout w:type="fixed"/>
        <w:tblCellMar>
          <w:top w:w="28" w:type="dxa"/>
          <w:left w:w="28" w:type="dxa"/>
          <w:bottom w:w="28" w:type="dxa"/>
          <w:right w:w="28" w:type="dxa"/>
        </w:tblCellMar>
      </w:tblPr>
      <w:tblGrid>
        <w:gridCol w:w="2095"/>
        <w:gridCol w:w="1796"/>
        <w:gridCol w:w="1801"/>
        <w:gridCol w:w="125"/>
        <w:gridCol w:w="125"/>
        <w:gridCol w:w="125"/>
        <w:gridCol w:w="264"/>
        <w:gridCol w:w="262"/>
        <w:gridCol w:w="252"/>
        <w:gridCol w:w="160"/>
        <w:gridCol w:w="160"/>
        <w:gridCol w:w="160"/>
        <w:gridCol w:w="316"/>
        <w:gridCol w:w="302"/>
        <w:gridCol w:w="302"/>
        <w:gridCol w:w="160"/>
        <w:gridCol w:w="160"/>
        <w:gridCol w:w="160"/>
        <w:gridCol w:w="264"/>
        <w:gridCol w:w="256"/>
        <w:gridCol w:w="252"/>
        <w:gridCol w:w="109"/>
        <w:gridCol w:w="109"/>
        <w:gridCol w:w="109"/>
        <w:gridCol w:w="109"/>
        <w:gridCol w:w="109"/>
        <w:gridCol w:w="163"/>
      </w:tblGrid>
      <w:tr>
        <w:trPr/>
        <w:tc>
          <w:tcPr>
            <w:tcW w:w="2095"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569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color w:val="000000"/>
                <w:sz w:val="14"/>
              </w:rPr>
            </w:pPr>
            <w:r>
              <w:rPr>
                <w:rFonts w:ascii="Roboto;sans-serif" w:hAnsi="Roboto;sans-serif"/>
                <w:b/>
                <w:color w:val="000000"/>
                <w:sz w:val="14"/>
              </w:rPr>
              <w:t>ADJUSTED EARNINGS, LESS NOTABLE ITEMS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8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48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val="false"/>
                <w:color w:val="000000"/>
                <w:sz w:val="14"/>
              </w:rPr>
            </w:pPr>
            <w:r>
              <w:rPr>
                <w:rFonts w:ascii="Roboto Black;sans-serif" w:hAnsi="Roboto Black;sans-serif"/>
                <w:b w:val="false"/>
                <w:color w:val="000000"/>
                <w:sz w:val="14"/>
              </w:rPr>
              <w:t>Net income (loss) available to shareholders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$956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$(792)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investment gains (losses)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Investment gains (losses) on trading securities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4"/>
              </w:rPr>
            </w:pPr>
            <w:r>
              <w:rPr>
                <w:rFonts w:ascii="Roboto;sans-serif" w:hAnsi="Roboto;sans-serif"/>
                <w:b w:val="false"/>
                <w:color w:val="000000"/>
                <w:sz w:val="14"/>
              </w:rPr>
              <w:t>Less: Net derivative gains (losses), excluding investment hedge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(477)</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(509)</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Change in market risk benefits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1,370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(748)</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Market value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4"/>
              </w:rPr>
            </w:pPr>
            <w:r>
              <w:rPr>
                <w:rFonts w:ascii="Roboto;sans-serif" w:hAnsi="Roboto;sans-serif"/>
                <w:b w:val="false"/>
                <w:color w:val="000000"/>
                <w:sz w:val="14"/>
              </w:rPr>
              <w:t>Less: Provision for income tax (expense) benefit on reconciling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(187)</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258</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239</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Notable items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less notable items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$258</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color w:val="000000"/>
                <w:sz w:val="14"/>
              </w:rPr>
            </w:pPr>
            <w:r>
              <w:rPr>
                <w:rFonts w:ascii="Roboto;sans-serif" w:hAnsi="Roboto;sans-serif"/>
                <w:b/>
                <w:color w:val="000000"/>
                <w:sz w:val="14"/>
              </w:rPr>
              <w:t>ADJUSTED EARNINGS, LESS NOTABLE ITEMS, PER COMMON SHARE (1)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val="false"/>
                <w:color w:val="000000"/>
                <w:sz w:val="14"/>
              </w:rPr>
            </w:pPr>
            <w:r>
              <w:rPr>
                <w:rFonts w:ascii="Roboto Black;sans-serif" w:hAnsi="Roboto Black;sans-serif"/>
                <w:b w:val="false"/>
                <w:color w:val="000000"/>
                <w:sz w:val="14"/>
              </w:rPr>
              <w:t>Net income (loss) available to shareholders per common share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$16.53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$(13.82)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investment gains (losses)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(0.91)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Investment gains (losses) on trading securities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(0.17)</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4"/>
              </w:rPr>
            </w:pPr>
            <w:r>
              <w:rPr>
                <w:rFonts w:ascii="Roboto;sans-serif" w:hAnsi="Roboto;sans-serif"/>
                <w:b w:val="false"/>
                <w:color w:val="000000"/>
                <w:sz w:val="14"/>
              </w:rPr>
              <w:t>Less: Net derivative gains (losses), excluding investment hedge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(8.25)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(8.88)</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Change in market risk benefits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23.69</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(13.05)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Market value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(0.07)</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Provision for income tax (expense) benefit on reconciling adjustments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Impact of inclusion of dilutive shares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16" w:space="0" w:color="929292"/>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Adjusted earnings (loss) per common share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4.45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4.15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Notable items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less notable items per common share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$4.45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$4.35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21"/>
            <w:tcBorders/>
            <w:tcMar>
              <w:top w:w="0" w:type="dxa"/>
              <w:left w:w="0" w:type="dxa"/>
              <w:bottom w:w="0" w:type="dxa"/>
              <w:right w:w="0" w:type="dxa"/>
            </w:tcMar>
            <w:vAlign w:val="center"/>
          </w:tcPr>
          <w:p>
            <w:pPr>
              <w:pStyle w:val="TableContents"/>
              <w:bidi w:val="0"/>
              <w:spacing w:lineRule="auto" w:line="240" w:before="200" w:after="283"/>
              <w:ind w:left="0" w:right="0" w:hanging="180"/>
              <w:jc w:val="both"/>
              <w:rPr>
                <w:rFonts w:ascii="Roboto;sans-serif" w:hAnsi="Roboto;sans-serif"/>
                <w:b w:val="false"/>
                <w:color w:val="000000"/>
                <w:sz w:val="12"/>
              </w:rPr>
            </w:pPr>
            <w:r>
              <w:rPr>
                <w:rFonts w:ascii="Roboto;sans-serif" w:hAnsi="Roboto;sans-serif"/>
                <w:b w:val="false"/>
                <w:color w:val="000000"/>
                <w:sz w:val="12"/>
              </w:rPr>
              <w:t xml:space="preserve">(1) Per share calculations are on a diluted basis and may not recalculate or foot due to rounding. See Non-GAAP and Other Financial Disclosures discussion in this news release. </w:t>
            </w:r>
          </w:p>
        </w:tc>
        <w:tc>
          <w:tcPr>
            <w:tcW w:w="708"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17220"/>
                <wp:effectExtent l="0" t="0" r="0" b="0"/>
                <wp:wrapNone/>
                <wp:docPr id="34" name="Frame18"/>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15</w:t>
                            </w:r>
                            <w:r>
                              <w:br w:type="page"/>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15</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B0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26BA8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4CC35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71CD2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center"/>
        <w:tblInd w:w="0" w:type="dxa"/>
        <w:tblLayout w:type="fixed"/>
        <w:tblCellMar>
          <w:top w:w="28" w:type="dxa"/>
          <w:left w:w="28" w:type="dxa"/>
          <w:bottom w:w="28" w:type="dxa"/>
          <w:right w:w="28" w:type="dxa"/>
        </w:tblCellMar>
      </w:tblPr>
      <w:tblGrid>
        <w:gridCol w:w="897"/>
        <w:gridCol w:w="788"/>
        <w:gridCol w:w="790"/>
        <w:gridCol w:w="983"/>
        <w:gridCol w:w="983"/>
        <w:gridCol w:w="1390"/>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A5A8"/>
                <w:sz w:val="18"/>
              </w:rPr>
            </w:pPr>
            <w:r>
              <w:rPr>
                <w:rFonts w:ascii="Arial;sans-serif" w:hAnsi="Arial;sans-serif"/>
                <w:b/>
                <w:color w:val="00A5A8"/>
                <w:sz w:val="18"/>
              </w:rPr>
              <w:t>PUBLIC RELATIONS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Brighthouse Financial, Inc.</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11225 N. Community House Rd.</w:t>
            </w:r>
          </w:p>
          <w:p>
            <w:pPr>
              <w:pStyle w:val="TableContents"/>
              <w:bidi w:val="0"/>
              <w:spacing w:lineRule="auto" w:line="240" w:before="0" w:after="0"/>
              <w:jc w:val="left"/>
              <w:rPr>
                <w:rFonts w:ascii="Arial;sans-serif" w:hAnsi="Arial;sans-serif"/>
                <w:b w:val="false"/>
                <w:color w:val="00A5A8"/>
                <w:sz w:val="16"/>
              </w:rPr>
            </w:pPr>
            <w:r>
              <w:rPr>
                <w:rFonts w:ascii="Arial;sans-serif" w:hAnsi="Arial;sans-serif"/>
                <w:b w:val="false"/>
                <w:color w:val="00A5A8"/>
                <w:sz w:val="16"/>
              </w:rPr>
              <w:t>Charlotte, NC 28277</w:t>
            </w:r>
          </w:p>
          <w:p>
            <w:pPr>
              <w:pStyle w:val="TableContents"/>
              <w:bidi w:val="0"/>
              <w:spacing w:before="0" w:after="0"/>
              <w:jc w:val="left"/>
              <w:rPr/>
            </w:pPr>
            <w:r>
              <w:rPr/>
            </w:r>
          </w:p>
        </w:tc>
        <w:tc>
          <w:tcPr>
            <w:tcW w:w="33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47875" cy="47625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2047875" cy="476250"/>
                          </a:xfrm>
                          <a:prstGeom prst="rect">
                            <a:avLst/>
                          </a:prstGeom>
                        </pic:spPr>
                      </pic:pic>
                    </a:graphicData>
                  </a:graphic>
                </wp:inline>
              </w:drawing>
            </w:r>
          </w:p>
        </w:tc>
      </w:tr>
    </w:tbl>
    <w:p>
      <w:pPr>
        <w:pStyle w:val="TextBody"/>
        <w:bidi w:val="0"/>
        <w:spacing w:lineRule="auto" w:line="312" w:before="0" w:after="0"/>
        <w:jc w:val="left"/>
        <w:rPr>
          <w:rFonts w:ascii="Roboto;sans-serif" w:hAnsi="Roboto;sans-serif"/>
          <w:b/>
          <w:color w:val="00B0B9"/>
          <w:sz w:val="18"/>
        </w:rPr>
      </w:pPr>
      <w:r>
        <w:rPr>
          <w:rFonts w:ascii="Roboto;sans-serif" w:hAnsi="Roboto;sans-serif"/>
          <w:b/>
          <w:color w:val="00B0B9"/>
          <w:sz w:val="18"/>
        </w:rPr>
        <w:t>Reconciliation of Net Investment Income to Adjusted Net Investment Income (Unaudited, in millions)</w:t>
      </w:r>
    </w:p>
    <w:tbl>
      <w:tblPr>
        <w:tblW w:w="7809" w:type="dxa"/>
        <w:jc w:val="left"/>
        <w:tblInd w:w="0" w:type="dxa"/>
        <w:tblLayout w:type="fixed"/>
        <w:tblCellMar>
          <w:top w:w="28" w:type="dxa"/>
          <w:left w:w="28" w:type="dxa"/>
          <w:bottom w:w="28" w:type="dxa"/>
          <w:right w:w="28" w:type="dxa"/>
        </w:tblCellMar>
      </w:tblPr>
      <w:tblGrid>
        <w:gridCol w:w="1423"/>
        <w:gridCol w:w="1251"/>
        <w:gridCol w:w="1255"/>
        <w:gridCol w:w="109"/>
        <w:gridCol w:w="109"/>
        <w:gridCol w:w="109"/>
        <w:gridCol w:w="229"/>
        <w:gridCol w:w="229"/>
        <w:gridCol w:w="231"/>
        <w:gridCol w:w="145"/>
        <w:gridCol w:w="145"/>
        <w:gridCol w:w="145"/>
        <w:gridCol w:w="274"/>
        <w:gridCol w:w="274"/>
        <w:gridCol w:w="276"/>
        <w:gridCol w:w="145"/>
        <w:gridCol w:w="145"/>
        <w:gridCol w:w="145"/>
        <w:gridCol w:w="229"/>
        <w:gridCol w:w="229"/>
        <w:gridCol w:w="231"/>
        <w:gridCol w:w="109"/>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ADJUSTED NET INVESTMENT INCOME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2026</w:t>
            </w:r>
          </w:p>
        </w:tc>
        <w:tc>
          <w:tcPr>
            <w:tcW w:w="435"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March 31,</w:t>
              <w:br/>
              <w:t>2026</w:t>
            </w:r>
          </w:p>
        </w:tc>
        <w:tc>
          <w:tcPr>
            <w:tcW w:w="435"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$1,241</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$1,258</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Add: Investment hedge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Less: Investment gains (losses) on trading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Adjusted 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$1,239</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$1,268</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$1,292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left"/>
        <w:rPr>
          <w:rFonts w:ascii="Roboto;sans-serif" w:hAnsi="Roboto;sans-serif"/>
          <w:b/>
          <w:color w:val="00B0B9"/>
          <w:sz w:val="18"/>
        </w:rPr>
      </w:pPr>
      <w:r>
        <w:rPr>
          <w:rFonts w:ascii="Roboto;sans-serif" w:hAnsi="Roboto;sans-serif"/>
          <w:b/>
          <w:color w:val="00B0B9"/>
          <w:sz w:val="18"/>
        </w:rPr>
        <w:t>Reconciliation of Investment Income Yield to Adjusted Net Investment Income Yield</w:t>
      </w:r>
    </w:p>
    <w:tbl>
      <w:tblPr>
        <w:tblW w:w="7685" w:type="dxa"/>
        <w:jc w:val="left"/>
        <w:tblInd w:w="0" w:type="dxa"/>
        <w:tblLayout w:type="fixed"/>
        <w:tblCellMar>
          <w:top w:w="28" w:type="dxa"/>
          <w:left w:w="28" w:type="dxa"/>
          <w:bottom w:w="28" w:type="dxa"/>
          <w:right w:w="28" w:type="dxa"/>
        </w:tblCellMar>
      </w:tblPr>
      <w:tblGrid>
        <w:gridCol w:w="1309"/>
        <w:gridCol w:w="1151"/>
        <w:gridCol w:w="1154"/>
        <w:gridCol w:w="109"/>
        <w:gridCol w:w="109"/>
        <w:gridCol w:w="109"/>
        <w:gridCol w:w="230"/>
        <w:gridCol w:w="230"/>
        <w:gridCol w:w="230"/>
        <w:gridCol w:w="167"/>
        <w:gridCol w:w="167"/>
        <w:gridCol w:w="167"/>
        <w:gridCol w:w="274"/>
        <w:gridCol w:w="274"/>
        <w:gridCol w:w="276"/>
        <w:gridCol w:w="167"/>
        <w:gridCol w:w="167"/>
        <w:gridCol w:w="167"/>
        <w:gridCol w:w="167"/>
        <w:gridCol w:w="109"/>
        <w:gridCol w:w="109"/>
        <w:gridCol w:w="109"/>
        <w:gridCol w:w="214"/>
        <w:gridCol w:w="214"/>
        <w:gridCol w:w="306"/>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1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1061" w:type="dxa"/>
            <w:gridSpan w:val="6"/>
            <w:tcBorders/>
          </w:tcPr>
          <w:p>
            <w:pPr>
              <w:pStyle w:val="TableContents"/>
              <w:bidi w:val="0"/>
              <w:spacing w:before="0" w:after="283"/>
              <w:jc w:val="left"/>
              <w:rPr>
                <w:sz w:val="4"/>
                <w:szCs w:val="4"/>
              </w:rPr>
            </w:pPr>
            <w:r>
              <w:rPr>
                <w:sz w:val="4"/>
                <w:szCs w:val="4"/>
              </w:rPr>
            </w:r>
          </w:p>
        </w:tc>
      </w:tr>
      <w:tr>
        <w:trPr/>
        <w:tc>
          <w:tcPr>
            <w:tcW w:w="361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ADJUSTED NET INVESTMENT INCOME YIELD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50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50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 income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4.39%</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4.41%</w:t>
            </w:r>
          </w:p>
        </w:tc>
      </w:tr>
      <w:tr>
        <w:trPr/>
        <w:tc>
          <w:tcPr>
            <w:tcW w:w="36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(0.13)%</w:t>
            </w:r>
          </w:p>
        </w:tc>
      </w:tr>
      <w:tr>
        <w:trPr/>
        <w:tc>
          <w:tcPr>
            <w:tcW w:w="361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Adjusted net investment income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4.17%</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4.24%</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4.28%</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2" w:before="0" w:after="0"/>
        <w:jc w:val="left"/>
        <w:rPr>
          <w:rFonts w:ascii="Roboto;sans-serif" w:hAnsi="Roboto;sans-serif"/>
          <w:b/>
          <w:color w:val="00B0B9"/>
          <w:sz w:val="18"/>
        </w:rPr>
      </w:pPr>
      <w:r>
        <w:rPr>
          <w:rFonts w:ascii="Roboto;sans-serif" w:hAnsi="Roboto;sans-serif"/>
          <w:b/>
          <w:color w:val="00B0B9"/>
          <w:sz w:val="18"/>
        </w:rPr>
        <w:t>Notable Items (Unaudited, in millions)</w:t>
      </w:r>
    </w:p>
    <w:tbl>
      <w:tblPr>
        <w:tblW w:w="7719" w:type="dxa"/>
        <w:jc w:val="left"/>
        <w:tblInd w:w="0" w:type="dxa"/>
        <w:tblLayout w:type="fixed"/>
        <w:tblCellMar>
          <w:top w:w="28" w:type="dxa"/>
          <w:left w:w="28" w:type="dxa"/>
          <w:bottom w:w="28" w:type="dxa"/>
          <w:right w:w="28" w:type="dxa"/>
        </w:tblCellMar>
      </w:tblPr>
      <w:tblGrid>
        <w:gridCol w:w="1389"/>
        <w:gridCol w:w="1223"/>
        <w:gridCol w:w="1227"/>
        <w:gridCol w:w="109"/>
        <w:gridCol w:w="109"/>
        <w:gridCol w:w="109"/>
        <w:gridCol w:w="229"/>
        <w:gridCol w:w="229"/>
        <w:gridCol w:w="231"/>
        <w:gridCol w:w="145"/>
        <w:gridCol w:w="145"/>
        <w:gridCol w:w="145"/>
        <w:gridCol w:w="274"/>
        <w:gridCol w:w="274"/>
        <w:gridCol w:w="276"/>
        <w:gridCol w:w="145"/>
        <w:gridCol w:w="145"/>
        <w:gridCol w:w="145"/>
        <w:gridCol w:w="229"/>
        <w:gridCol w:w="229"/>
        <w:gridCol w:w="231"/>
        <w:gridCol w:w="109"/>
        <w:gridCol w:w="109"/>
        <w:gridCol w:w="109"/>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3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NOTABLE ITEMS IMPACTING ADJUSTED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2026</w:t>
            </w:r>
          </w:p>
        </w:tc>
        <w:tc>
          <w:tcPr>
            <w:tcW w:w="435"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March 31,</w:t>
              <w:br/>
              <w:t>2026</w:t>
            </w:r>
          </w:p>
        </w:tc>
        <w:tc>
          <w:tcPr>
            <w:tcW w:w="435"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Actuarial items and other insurance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notable items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$12</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NOTABLE ITEMS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Run-off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notable items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$12</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3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38" w:type="dxa"/>
            <w:gridSpan w:val="21"/>
            <w:tcBorders/>
            <w:tcMar>
              <w:top w:w="0" w:type="dxa"/>
              <w:left w:w="0" w:type="dxa"/>
              <w:bottom w:w="0" w:type="dxa"/>
              <w:right w:w="0" w:type="dxa"/>
            </w:tcMar>
            <w:vAlign w:val="center"/>
          </w:tcPr>
          <w:p>
            <w:pPr>
              <w:pStyle w:val="TableContents"/>
              <w:bidi w:val="0"/>
              <w:spacing w:lineRule="auto" w:line="240" w:before="0" w:after="283"/>
              <w:jc w:val="both"/>
              <w:rPr>
                <w:rFonts w:ascii="Roboto;sans-serif" w:hAnsi="Roboto;sans-serif"/>
                <w:b w:val="false"/>
                <w:color w:val="000000"/>
                <w:sz w:val="12"/>
              </w:rPr>
            </w:pPr>
            <w:r>
              <w:rPr>
                <w:rFonts w:ascii="Roboto;sans-serif" w:hAnsi="Roboto;sans-serif"/>
                <w:b w:val="false"/>
                <w:color w:val="000000"/>
                <w:sz w:val="12"/>
              </w:rPr>
              <w:t>(1) See Non-GAAP and Other Financial Disclosures discussion in this news release.</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17220"/>
                <wp:effectExtent l="0" t="0" r="0" b="0"/>
                <wp:wrapNone/>
                <wp:docPr id="36" name="Frame19"/>
                <a:graphic xmlns:a="http://schemas.openxmlformats.org/drawingml/2006/main">
                  <a:graphicData uri="http://schemas.microsoft.com/office/word/2010/wordprocessingShape">
                    <wps:wsp>
                      <wps:cNvSpPr txBox="1"/>
                      <wps:spPr>
                        <a:xfrm>
                          <a:off x="0" y="0"/>
                          <a:ext cx="6480175" cy="617220"/>
                        </a:xfrm>
                        <a:prstGeom prst="rect"/>
                        <a:solidFill>
                          <a:srgbClr val="FFFFFF"/>
                        </a:solidFill>
                      </wps:spPr>
                      <wps:txb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16</w:t>
                            </w:r>
                          </w:p>
                          <w:p>
                            <w:pPr>
                              <w:pStyle w:val="TextBody"/>
                              <w:bidi w:val="0"/>
                              <w:spacing w:before="0" w:after="100"/>
                              <w:jc w:val="left"/>
                              <w:rPr/>
                            </w:pPr>
                            <w:r>
                              <w:rPr/>
                            </w:r>
                          </w:p>
                          <w:p>
                            <w:pPr>
                              <w:pStyle w:val="TextBody"/>
                              <w:bidi w:val="0"/>
                              <w:spacing w:before="0" w:after="1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00"/>
                        <w:jc w:val="center"/>
                        <w:rPr>
                          <w:rFonts w:ascii="Arial;sans-serif" w:hAnsi="Arial;sans-serif"/>
                          <w:b/>
                          <w:color w:val="00A5A8"/>
                          <w:sz w:val="16"/>
                        </w:rPr>
                      </w:pPr>
                      <w:r>
                        <w:rPr>
                          <w:rFonts w:ascii="Arial;sans-serif" w:hAnsi="Arial;sans-serif"/>
                          <w:b/>
                          <w:color w:val="00A5A8"/>
                          <w:sz w:val="16"/>
                        </w:rPr>
                        <w:t>16</w:t>
                      </w:r>
                    </w:p>
                    <w:p>
                      <w:pPr>
                        <w:pStyle w:val="TextBody"/>
                        <w:bidi w:val="0"/>
                        <w:spacing w:before="0" w:after="100"/>
                        <w:jc w:val="left"/>
                        <w:rPr/>
                      </w:pPr>
                      <w:r>
                        <w:rPr/>
                      </w:r>
                    </w:p>
                    <w:p>
                      <w:pPr>
                        <w:pStyle w:val="TextBody"/>
                        <w:bidi w:val="0"/>
                        <w:spacing w:before="0" w:after="100"/>
                        <w:jc w:val="left"/>
                        <w:rPr/>
                      </w:pPr>
                      <w:r>
                        <w:rPr/>
                      </w:r>
                    </w:p>
                  </w:txbxContent>
                </v:textbox>
                <w10:wrap type="none"/>
              </v:rect>
            </w:pict>
          </mc:Fallback>
        </mc:AlternateContent>
      </w:r>
    </w:p>
    <w:p>
      <w:pPr>
        <w:pStyle w:val="TextBody"/>
        <w:bidi w:val="0"/>
        <w:spacing w:lineRule="auto" w:line="288" w:before="0" w:after="0"/>
        <w:jc w:val="right"/>
        <w:rPr>
          <w:rFonts w:ascii="Roboto;sans-serif" w:hAnsi="Roboto;sans-serif"/>
          <w:b/>
          <w:color w:val="000000"/>
          <w:sz w:val="20"/>
        </w:rPr>
      </w:pPr>
      <w:r>
        <w:rPr>
          <w:rFonts w:ascii="Roboto;sans-serif" w:hAnsi="Roboto;sans-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 Black;sans-serif" w:hAnsi="Roboto Black;sans-serif"/>
          <w:b/>
          <w:color w:val="00B0BA"/>
          <w:sz w:val="110"/>
        </w:rPr>
      </w:pPr>
      <w:r>
        <w:rPr>
          <w:rFonts w:ascii="Roboto Black;sans-serif" w:hAnsi="Roboto Black;sans-serif"/>
          <w:b/>
          <w:color w:val="00B0BA"/>
          <w:sz w:val="110"/>
        </w:rPr>
        <w:t>Brighthouse Financial, Inc.</w:t>
      </w:r>
    </w:p>
    <w:p>
      <w:pPr>
        <w:pStyle w:val="TextBody"/>
        <w:bidi w:val="0"/>
        <w:spacing w:lineRule="auto" w:line="288" w:before="0" w:after="0"/>
        <w:jc w:val="left"/>
        <w:rPr>
          <w:rFonts w:ascii="Roboto Black;sans-serif" w:hAnsi="Roboto Black;sans-serif"/>
          <w:b/>
          <w:color w:val="4CC35D"/>
          <w:sz w:val="110"/>
        </w:rPr>
      </w:pPr>
      <w:r>
        <w:rPr>
          <w:rFonts w:ascii="Roboto Black;sans-serif" w:hAnsi="Roboto Black;sans-serif"/>
          <w:b/>
          <w:color w:val="4CC35D"/>
          <w:sz w:val="110"/>
        </w:rPr>
        <w:t>Financial Supplement</w:t>
      </w:r>
    </w:p>
    <w:p>
      <w:pPr>
        <w:pStyle w:val="TextBody"/>
        <w:bidi w:val="0"/>
        <w:spacing w:lineRule="auto" w:line="288" w:before="0" w:after="0"/>
        <w:jc w:val="left"/>
        <w:rPr>
          <w:rFonts w:ascii="Roboto Black;sans-serif" w:hAnsi="Roboto Black;sans-serif"/>
          <w:b/>
          <w:color w:val="97D700"/>
          <w:sz w:val="110"/>
        </w:rPr>
      </w:pPr>
      <w:r>
        <w:rPr>
          <w:rFonts w:ascii="Roboto Black;sans-serif" w:hAnsi="Roboto Black;sans-serif"/>
          <w:b/>
          <w:color w:val="97D700"/>
          <w:sz w:val="110"/>
        </w:rPr>
        <w:t xml:space="preserve">Second Quarter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68020"/>
                <wp:effectExtent l="0" t="0" r="0" b="0"/>
                <wp:wrapNone/>
                <wp:docPr id="37" name="Frame20"/>
                <a:graphic xmlns:a="http://schemas.openxmlformats.org/drawingml/2006/main">
                  <a:graphicData uri="http://schemas.microsoft.com/office/word/2010/wordprocessingShape">
                    <wps:wsp>
                      <wps:cNvSpPr txBox="1"/>
                      <wps:spPr>
                        <a:xfrm>
                          <a:off x="0" y="0"/>
                          <a:ext cx="6480175" cy="668020"/>
                        </a:xfrm>
                        <a:prstGeom prst="rect"/>
                        <a:solidFill>
                          <a:srgbClr val="FFFFFF"/>
                        </a:solidFill>
                      </wps:spPr>
                      <wps:txbx>
                        <w:txbxContent>
                          <w:p>
                            <w:pPr>
                              <w:pStyle w:val="TextBody"/>
                              <w:bidi w:val="0"/>
                              <w:spacing w:lineRule="auto" w:line="288" w:before="0" w:after="0"/>
                              <w:jc w:val="right"/>
                              <w:rPr/>
                            </w:pPr>
                            <w:r>
                              <w:rPr/>
                              <w:drawing>
                                <wp:inline distT="0" distB="0" distL="0" distR="0">
                                  <wp:extent cx="2286000" cy="57150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2286000" cy="571500"/>
                                          </a:xfrm>
                                          <a:prstGeom prst="rect">
                                            <a:avLst/>
                                          </a:prstGeom>
                                        </pic:spPr>
                                      </pic:pic>
                                    </a:graphicData>
                                  </a:graphic>
                                </wp:inline>
                              </w:drawing>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2286000" cy="57150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20"/>
                                    <a:stretch>
                                      <a:fillRect/>
                                    </a:stretch>
                                  </pic:blipFill>
                                  <pic:spPr bwMode="auto">
                                    <a:xfrm>
                                      <a:off x="0" y="0"/>
                                      <a:ext cx="2286000" cy="571500"/>
                                    </a:xfrm>
                                    <a:prstGeom prst="rect">
                                      <a:avLst/>
                                    </a:prstGeom>
                                  </pic:spPr>
                                </pic:pic>
                              </a:graphicData>
                            </a:graphic>
                          </wp:inline>
                        </w:drawing>
                      </w: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98"/>
        <w:gridCol w:w="1933"/>
        <w:gridCol w:w="1934"/>
        <w:gridCol w:w="156"/>
        <w:gridCol w:w="156"/>
        <w:gridCol w:w="156"/>
        <w:gridCol w:w="1427"/>
        <w:gridCol w:w="1009"/>
        <w:gridCol w:w="1236"/>
      </w:tblGrid>
      <w:tr>
        <w:trPr/>
        <w:tc>
          <w:tcPr>
            <w:tcW w:w="2198"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6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B0B9"/>
                <w:sz w:val="110"/>
              </w:rPr>
            </w:pPr>
            <w:r>
              <w:rPr>
                <w:rFonts w:ascii="Roboto Black;sans-serif" w:hAnsi="Roboto Black;sans-serif"/>
                <w:b/>
                <w:color w:val="00B0B9"/>
                <w:sz w:val="110"/>
              </w:rPr>
              <w:t>Table of Contents</w:t>
            </w:r>
          </w:p>
        </w:tc>
        <w:tc>
          <w:tcPr>
            <w:tcW w:w="4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 Slab Bold;sans-serif" w:hAnsi="Roboto Slab Bold;sans-serif"/>
                <w:b w:val="false"/>
                <w:color w:val="00B0B9"/>
                <w:sz w:val="18"/>
              </w:rPr>
            </w:pPr>
            <w:r>
              <w:rPr>
                <w:rFonts w:ascii="Roboto Slab Bold;sans-serif" w:hAnsi="Roboto Slab Bold;sans-serif"/>
                <w:b w:val="false"/>
                <w:color w:val="00B0B9"/>
                <w:sz w:val="18"/>
              </w:rPr>
              <w:t>Financial Results</w:t>
            </w:r>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10">
              <w:r>
                <w:rPr>
                  <w:rStyle w:val="InternetLink"/>
                  <w:rFonts w:ascii="Roboto;sans-serif" w:hAnsi="Roboto;sans-serif"/>
                  <w:b w:val="false"/>
                  <w:strike w:val="false"/>
                  <w:dstrike w:val="false"/>
                  <w:color w:val="000000"/>
                  <w:sz w:val="18"/>
                  <w:u w:val="none"/>
                  <w:effect w:val="none"/>
                </w:rPr>
                <w:t>1</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10">
              <w:r>
                <w:rPr>
                  <w:rStyle w:val="InternetLink"/>
                  <w:rFonts w:ascii="Roboto;sans-serif" w:hAnsi="Roboto;sans-serif"/>
                  <w:b w:val="false"/>
                  <w:strike w:val="false"/>
                  <w:dstrike w:val="false"/>
                  <w:color w:val="000000"/>
                  <w:sz w:val="18"/>
                  <w:u w:val="none"/>
                  <w:effect w:val="none"/>
                </w:rPr>
                <w:t>Key Metrics</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13">
              <w:r>
                <w:rPr>
                  <w:rStyle w:val="InternetLink"/>
                  <w:rFonts w:ascii="Roboto;sans-serif" w:hAnsi="Roboto;sans-serif"/>
                  <w:b w:val="false"/>
                  <w:strike w:val="false"/>
                  <w:dstrike w:val="false"/>
                  <w:color w:val="000000"/>
                  <w:sz w:val="18"/>
                  <w:u w:val="none"/>
                  <w:effect w:val="none"/>
                </w:rPr>
                <w:t>2</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13">
              <w:r>
                <w:rPr>
                  <w:rStyle w:val="InternetLink"/>
                  <w:rFonts w:ascii="Roboto;sans-serif" w:hAnsi="Roboto;sans-serif"/>
                  <w:b w:val="false"/>
                  <w:strike w:val="false"/>
                  <w:dstrike w:val="false"/>
                  <w:color w:val="000000"/>
                  <w:sz w:val="18"/>
                  <w:u w:val="none"/>
                  <w:effect w:val="none"/>
                </w:rPr>
                <w:t>GAAP Statements of Operations</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16">
              <w:r>
                <w:rPr>
                  <w:rStyle w:val="InternetLink"/>
                  <w:rFonts w:ascii="Roboto;sans-serif" w:hAnsi="Roboto;sans-serif"/>
                  <w:b w:val="false"/>
                  <w:strike w:val="false"/>
                  <w:dstrike w:val="false"/>
                  <w:color w:val="000000"/>
                  <w:sz w:val="18"/>
                  <w:u w:val="none"/>
                  <w:effect w:val="none"/>
                </w:rPr>
                <w:t>3</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16">
              <w:r>
                <w:rPr>
                  <w:rStyle w:val="InternetLink"/>
                  <w:rFonts w:ascii="Roboto;sans-serif" w:hAnsi="Roboto;sans-serif"/>
                  <w:b w:val="false"/>
                  <w:strike w:val="false"/>
                  <w:dstrike w:val="false"/>
                  <w:color w:val="000080"/>
                  <w:sz w:val="18"/>
                  <w:u w:val="single"/>
                  <w:effect w:val="none"/>
                </w:rPr>
                <w:t xml:space="preserve">GAAP </w:t>
              </w:r>
            </w:hyperlink>
            <w:hyperlink w:anchor="i51925e48a51f4fc282f818f3d3f81425_16">
              <w:r>
                <w:rPr>
                  <w:rStyle w:val="InternetLink"/>
                  <w:rFonts w:ascii="Roboto;sans-serif" w:hAnsi="Roboto;sans-serif"/>
                  <w:b w:val="false"/>
                  <w:strike w:val="false"/>
                  <w:dstrike w:val="false"/>
                  <w:color w:val="000080"/>
                  <w:sz w:val="18"/>
                  <w:u w:val="single"/>
                  <w:effect w:val="none"/>
                </w:rPr>
                <w:t>Balance Sheets</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14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Roboto Slab Bold;sans-serif" w:hAnsi="Roboto Slab Bold;sans-serif"/>
                <w:b w:val="false"/>
                <w:color w:val="00B0B9"/>
                <w:sz w:val="18"/>
              </w:rPr>
            </w:pPr>
            <w:r>
              <w:rPr>
                <w:rFonts w:ascii="Roboto Slab Bold;sans-serif" w:hAnsi="Roboto Slab Bold;sans-serif"/>
                <w:b w:val="false"/>
                <w:color w:val="00B0B9"/>
                <w:sz w:val="18"/>
              </w:rPr>
              <w:t>Earnings and Select Metrics from Segments</w:t>
            </w:r>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22">
              <w:r>
                <w:rPr>
                  <w:rStyle w:val="InternetLink"/>
                  <w:rFonts w:ascii="Roboto;sans-serif" w:hAnsi="Roboto;sans-serif"/>
                  <w:b w:val="false"/>
                  <w:strike w:val="false"/>
                  <w:dstrike w:val="false"/>
                  <w:color w:val="000000"/>
                  <w:sz w:val="18"/>
                  <w:u w:val="none"/>
                  <w:effect w:val="none"/>
                </w:rPr>
                <w:t>5</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22">
              <w:r>
                <w:rPr>
                  <w:rStyle w:val="InternetLink"/>
                  <w:rFonts w:ascii="Roboto;sans-serif" w:hAnsi="Roboto;sans-serif"/>
                  <w:b w:val="false"/>
                  <w:strike w:val="false"/>
                  <w:dstrike w:val="false"/>
                  <w:color w:val="000000"/>
                  <w:sz w:val="18"/>
                  <w:u w:val="none"/>
                  <w:effect w:val="none"/>
                </w:rPr>
                <w:t>Statements of Adjusted Earnings by Segment</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3672" w:type="dxa"/>
            <w:gridSpan w:val="3"/>
            <w:tcBorders/>
            <w:vAlign w:val="center"/>
          </w:tcPr>
          <w:p>
            <w:pPr>
              <w:pStyle w:val="TableContents"/>
              <w:bidi w:val="0"/>
              <w:spacing w:before="0" w:after="283"/>
              <w:jc w:val="left"/>
              <w:rPr>
                <w:sz w:val="4"/>
                <w:szCs w:val="4"/>
              </w:rPr>
            </w:pPr>
            <w:r>
              <w:rPr>
                <w:sz w:val="4"/>
                <w:szCs w:val="4"/>
              </w:rPr>
            </w:r>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31">
              <w:r>
                <w:rPr>
                  <w:rStyle w:val="InternetLink"/>
                  <w:rFonts w:ascii="Roboto;sans-serif" w:hAnsi="Roboto;sans-serif"/>
                  <w:b w:val="false"/>
                  <w:strike w:val="false"/>
                  <w:dstrike w:val="false"/>
                  <w:color w:val="000000"/>
                  <w:sz w:val="18"/>
                  <w:u w:val="none"/>
                  <w:effect w:val="none"/>
                </w:rPr>
                <w:t>7</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31">
              <w:r>
                <w:rPr>
                  <w:rStyle w:val="InternetLink"/>
                  <w:rFonts w:ascii="Roboto;sans-serif" w:hAnsi="Roboto;sans-serif"/>
                  <w:b w:val="false"/>
                  <w:strike w:val="false"/>
                  <w:dstrike w:val="false"/>
                  <w:color w:val="000000"/>
                  <w:sz w:val="18"/>
                  <w:u w:val="none"/>
                  <w:effect w:val="none"/>
                </w:rPr>
                <w:t>Annuities — Statements of Adjusted Earnings</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34">
              <w:r>
                <w:rPr>
                  <w:rStyle w:val="InternetLink"/>
                  <w:rFonts w:ascii="Roboto;sans-serif" w:hAnsi="Roboto;sans-serif"/>
                  <w:b w:val="false"/>
                  <w:strike w:val="false"/>
                  <w:dstrike w:val="false"/>
                  <w:color w:val="000000"/>
                  <w:sz w:val="18"/>
                  <w:u w:val="none"/>
                  <w:effect w:val="none"/>
                </w:rPr>
                <w:t>8</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34">
              <w:r>
                <w:rPr>
                  <w:rStyle w:val="InternetLink"/>
                  <w:rFonts w:ascii="Roboto;sans-serif" w:hAnsi="Roboto;sans-serif"/>
                  <w:b w:val="false"/>
                  <w:strike w:val="false"/>
                  <w:dstrike w:val="false"/>
                  <w:color w:val="000000"/>
                  <w:sz w:val="18"/>
                  <w:u w:val="none"/>
                  <w:effect w:val="none"/>
                </w:rPr>
                <w:t>Annuities — Select Operating Metrics</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37">
              <w:r>
                <w:rPr>
                  <w:rStyle w:val="InternetLink"/>
                  <w:rFonts w:ascii="Roboto;sans-serif" w:hAnsi="Roboto;sans-serif"/>
                  <w:b w:val="false"/>
                  <w:strike w:val="false"/>
                  <w:dstrike w:val="false"/>
                  <w:color w:val="000000"/>
                  <w:sz w:val="18"/>
                  <w:u w:val="none"/>
                  <w:effect w:val="none"/>
                </w:rPr>
                <w:t>10</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37">
              <w:r>
                <w:rPr>
                  <w:rStyle w:val="InternetLink"/>
                  <w:rFonts w:ascii="Roboto;sans-serif" w:hAnsi="Roboto;sans-serif"/>
                  <w:b w:val="false"/>
                  <w:strike w:val="false"/>
                  <w:dstrike w:val="false"/>
                  <w:color w:val="000000"/>
                  <w:sz w:val="18"/>
                  <w:u w:val="none"/>
                  <w:effect w:val="none"/>
                </w:rPr>
                <w:t>Life — Statements of Adjusted Earnings</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40">
              <w:r>
                <w:rPr>
                  <w:rStyle w:val="InternetLink"/>
                  <w:rFonts w:ascii="Roboto;sans-serif" w:hAnsi="Roboto;sans-serif"/>
                  <w:b w:val="false"/>
                  <w:strike w:val="false"/>
                  <w:dstrike w:val="false"/>
                  <w:color w:val="000000"/>
                  <w:sz w:val="18"/>
                  <w:u w:val="none"/>
                  <w:effect w:val="none"/>
                </w:rPr>
                <w:t>11</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40">
              <w:r>
                <w:rPr>
                  <w:rStyle w:val="InternetLink"/>
                  <w:rFonts w:ascii="Roboto;sans-serif" w:hAnsi="Roboto;sans-serif"/>
                  <w:b w:val="false"/>
                  <w:strike w:val="false"/>
                  <w:dstrike w:val="false"/>
                  <w:color w:val="000000"/>
                  <w:sz w:val="18"/>
                  <w:u w:val="none"/>
                  <w:effect w:val="none"/>
                </w:rPr>
                <w:t>Life — Select Operating Metrics</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43">
              <w:r>
                <w:rPr>
                  <w:rStyle w:val="InternetLink"/>
                  <w:rFonts w:ascii="Roboto;sans-serif" w:hAnsi="Roboto;sans-serif"/>
                  <w:b w:val="false"/>
                  <w:strike w:val="false"/>
                  <w:dstrike w:val="false"/>
                  <w:color w:val="000000"/>
                  <w:sz w:val="18"/>
                  <w:u w:val="none"/>
                  <w:effect w:val="none"/>
                </w:rPr>
                <w:t>13</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43">
              <w:r>
                <w:rPr>
                  <w:rStyle w:val="InternetLink"/>
                  <w:rFonts w:ascii="Roboto;sans-serif" w:hAnsi="Roboto;sans-serif"/>
                  <w:b w:val="false"/>
                  <w:strike w:val="false"/>
                  <w:dstrike w:val="false"/>
                  <w:color w:val="000000"/>
                  <w:sz w:val="18"/>
                  <w:u w:val="none"/>
                  <w:effect w:val="none"/>
                </w:rPr>
                <w:t>Run-off — Statements of Adjusted Earnings</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46">
              <w:r>
                <w:rPr>
                  <w:rStyle w:val="InternetLink"/>
                  <w:rFonts w:ascii="Roboto;sans-serif" w:hAnsi="Roboto;sans-serif"/>
                  <w:b w:val="false"/>
                  <w:strike w:val="false"/>
                  <w:dstrike w:val="false"/>
                  <w:color w:val="000000"/>
                  <w:sz w:val="18"/>
                  <w:u w:val="none"/>
                  <w:effect w:val="none"/>
                </w:rPr>
                <w:t>14</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46">
              <w:r>
                <w:rPr>
                  <w:rStyle w:val="InternetLink"/>
                  <w:rFonts w:ascii="Roboto;sans-serif" w:hAnsi="Roboto;sans-serif"/>
                  <w:b w:val="false"/>
                  <w:strike w:val="false"/>
                  <w:dstrike w:val="false"/>
                  <w:color w:val="000000"/>
                  <w:sz w:val="18"/>
                  <w:u w:val="none"/>
                  <w:effect w:val="none"/>
                </w:rPr>
                <w:t>Run-off — Select Operating Metrics</w:t>
              </w:r>
            </w:hyperlink>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49">
              <w:r>
                <w:rPr>
                  <w:rStyle w:val="InternetLink"/>
                  <w:rFonts w:ascii="Roboto;sans-serif" w:hAnsi="Roboto;sans-serif"/>
                  <w:b w:val="false"/>
                  <w:strike w:val="false"/>
                  <w:dstrike w:val="false"/>
                  <w:color w:val="000000"/>
                  <w:sz w:val="18"/>
                  <w:u w:val="none"/>
                  <w:effect w:val="none"/>
                </w:rPr>
                <w:t>15</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49">
              <w:r>
                <w:rPr>
                  <w:rStyle w:val="InternetLink"/>
                  <w:rFonts w:ascii="Roboto;sans-serif" w:hAnsi="Roboto;sans-serif"/>
                  <w:b w:val="false"/>
                  <w:strike w:val="false"/>
                  <w:dstrike w:val="false"/>
                  <w:color w:val="000000"/>
                  <w:sz w:val="18"/>
                  <w:u w:val="none"/>
                  <w:effect w:val="none"/>
                </w:rPr>
                <w:t>Corporate &amp; Other — Statements of Adjusted Earnings</w:t>
              </w:r>
            </w:hyperlink>
            <w:r>
              <w:rPr>
                <w:rFonts w:ascii="Roboto;sans-serif" w:hAnsi="Roboto;sans-serif"/>
                <w:b w:val="false"/>
                <w:color w:val="000000"/>
                <w:sz w:val="18"/>
              </w:rPr>
              <w:t xml:space="preserve"> and Select Operating Metrics</w:t>
            </w:r>
          </w:p>
        </w:tc>
      </w:tr>
      <w:tr>
        <w:trPr/>
        <w:tc>
          <w:tcPr>
            <w:tcW w:w="6065"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 Slab Bold;sans-serif" w:hAnsi="Roboto Slab Bold;sans-serif"/>
                <w:b w:val="false"/>
                <w:color w:val="00B0B9"/>
                <w:sz w:val="18"/>
              </w:rPr>
            </w:pPr>
            <w:r>
              <w:rPr>
                <w:rFonts w:ascii="Roboto Slab Bold;sans-serif" w:hAnsi="Roboto Slab Bold;sans-serif"/>
                <w:b w:val="false"/>
                <w:color w:val="00B0B9"/>
                <w:sz w:val="18"/>
              </w:rPr>
              <w:t>Other Information</w:t>
            </w:r>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55">
              <w:r>
                <w:rPr>
                  <w:rStyle w:val="InternetLink"/>
                  <w:rFonts w:ascii="Roboto;sans-serif" w:hAnsi="Roboto;sans-serif"/>
                  <w:b w:val="false"/>
                  <w:strike w:val="false"/>
                  <w:dstrike w:val="false"/>
                  <w:color w:val="000000"/>
                  <w:sz w:val="18"/>
                  <w:u w:val="none"/>
                  <w:effect w:val="none"/>
                </w:rPr>
                <w:t>17</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55">
              <w:r>
                <w:rPr>
                  <w:rStyle w:val="InternetLink"/>
                  <w:rFonts w:ascii="Roboto;sans-serif" w:hAnsi="Roboto;sans-serif"/>
                  <w:b w:val="false"/>
                  <w:strike w:val="false"/>
                  <w:dstrike w:val="false"/>
                  <w:color w:val="000000"/>
                  <w:sz w:val="18"/>
                  <w:u w:val="none"/>
                  <w:effect w:val="none"/>
                </w:rPr>
                <w:t>Change in Market Risk Benefits and Net Derivative Gains (Losses)</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58">
              <w:r>
                <w:rPr>
                  <w:rStyle w:val="InternetLink"/>
                  <w:rFonts w:ascii="Roboto;sans-serif" w:hAnsi="Roboto;sans-serif"/>
                  <w:b w:val="false"/>
                  <w:strike w:val="false"/>
                  <w:dstrike w:val="false"/>
                  <w:color w:val="000000"/>
                  <w:sz w:val="18"/>
                  <w:u w:val="none"/>
                  <w:effect w:val="none"/>
                </w:rPr>
                <w:t>18</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58">
              <w:r>
                <w:rPr>
                  <w:rStyle w:val="InternetLink"/>
                  <w:rFonts w:ascii="Roboto;sans-serif" w:hAnsi="Roboto;sans-serif"/>
                  <w:b w:val="false"/>
                  <w:strike w:val="false"/>
                  <w:dstrike w:val="false"/>
                  <w:color w:val="000000"/>
                  <w:sz w:val="18"/>
                  <w:u w:val="none"/>
                  <w:effect w:val="none"/>
                </w:rPr>
                <w:t>Notable Items</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61">
              <w:r>
                <w:rPr>
                  <w:rStyle w:val="InternetLink"/>
                  <w:rFonts w:ascii="Roboto;sans-serif" w:hAnsi="Roboto;sans-serif"/>
                  <w:b w:val="false"/>
                  <w:strike w:val="false"/>
                  <w:dstrike w:val="false"/>
                  <w:color w:val="000000"/>
                  <w:sz w:val="18"/>
                  <w:u w:val="none"/>
                  <w:effect w:val="none"/>
                </w:rPr>
                <w:t>19</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61">
              <w:r>
                <w:rPr>
                  <w:rStyle w:val="InternetLink"/>
                  <w:rFonts w:ascii="Roboto;sans-serif" w:hAnsi="Roboto;sans-serif"/>
                  <w:b w:val="false"/>
                  <w:strike w:val="false"/>
                  <w:dstrike w:val="false"/>
                  <w:color w:val="000000"/>
                  <w:sz w:val="18"/>
                  <w:u w:val="none"/>
                  <w:effect w:val="none"/>
                </w:rPr>
                <w:t>Variable Annuity Separate Account Returns and Allocations</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64">
              <w:r>
                <w:rPr>
                  <w:rStyle w:val="InternetLink"/>
                  <w:rFonts w:ascii="Roboto;sans-serif" w:hAnsi="Roboto;sans-serif"/>
                  <w:b w:val="false"/>
                  <w:strike w:val="false"/>
                  <w:dstrike w:val="false"/>
                  <w:color w:val="000000"/>
                  <w:sz w:val="18"/>
                  <w:u w:val="none"/>
                  <w:effect w:val="none"/>
                </w:rPr>
                <w:t>20</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64">
              <w:r>
                <w:rPr>
                  <w:rStyle w:val="InternetLink"/>
                  <w:rFonts w:ascii="Roboto;sans-serif" w:hAnsi="Roboto;sans-serif"/>
                  <w:b w:val="false"/>
                  <w:strike w:val="false"/>
                  <w:dstrike w:val="false"/>
                  <w:color w:val="000000"/>
                  <w:sz w:val="18"/>
                  <w:u w:val="none"/>
                  <w:effect w:val="none"/>
                </w:rPr>
                <w:t>Summary of Investments</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67">
              <w:r>
                <w:rPr>
                  <w:rStyle w:val="InternetLink"/>
                  <w:rFonts w:ascii="Roboto;sans-serif" w:hAnsi="Roboto;sans-serif"/>
                  <w:b w:val="false"/>
                  <w:strike w:val="false"/>
                  <w:dstrike w:val="false"/>
                  <w:color w:val="000000"/>
                  <w:sz w:val="18"/>
                  <w:u w:val="none"/>
                  <w:effect w:val="none"/>
                </w:rPr>
                <w:t>21</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Statutory Statement of Operations Information</w:t>
            </w:r>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70">
              <w:r>
                <w:rPr>
                  <w:rStyle w:val="InternetLink"/>
                  <w:rFonts w:ascii="Roboto;sans-serif" w:hAnsi="Roboto;sans-serif"/>
                  <w:b w:val="false"/>
                  <w:strike w:val="false"/>
                  <w:dstrike w:val="false"/>
                  <w:color w:val="000000"/>
                  <w:sz w:val="18"/>
                  <w:u w:val="none"/>
                  <w:effect w:val="none"/>
                </w:rPr>
                <w:t>22</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70">
              <w:r>
                <w:rPr>
                  <w:rStyle w:val="InternetLink"/>
                  <w:rFonts w:ascii="Roboto;sans-serif" w:hAnsi="Roboto;sans-serif"/>
                  <w:b w:val="false"/>
                  <w:strike w:val="false"/>
                  <w:dstrike w:val="false"/>
                  <w:color w:val="000000"/>
                  <w:sz w:val="18"/>
                  <w:u w:val="none"/>
                  <w:effect w:val="none"/>
                </w:rPr>
                <w:t>Statutory Balance Sheet and Surplus Information</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 Slab Bold;sans-serif" w:hAnsi="Roboto Slab Bold;sans-serif"/>
                <w:b w:val="false"/>
                <w:color w:val="00B0B9"/>
                <w:sz w:val="18"/>
              </w:rPr>
            </w:pPr>
            <w:r>
              <w:rPr>
                <w:rFonts w:ascii="Roboto Slab Bold;sans-serif" w:hAnsi="Roboto Slab Bold;sans-serif"/>
                <w:b w:val="false"/>
                <w:color w:val="00B0B9"/>
                <w:sz w:val="18"/>
              </w:rPr>
              <w:t>Appendix</w:t>
            </w:r>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925e48a51f4fc282f818f3d3f81425_76">
              <w:r>
                <w:rPr>
                  <w:rStyle w:val="InternetLink"/>
                  <w:rFonts w:ascii="Roboto;sans-serif" w:hAnsi="Roboto;sans-serif"/>
                  <w:b w:val="false"/>
                  <w:strike w:val="false"/>
                  <w:dstrike w:val="false"/>
                  <w:color w:val="000080"/>
                  <w:sz w:val="18"/>
                  <w:u w:val="single"/>
                  <w:effect w:val="none"/>
                </w:rPr>
                <w:t>A-</w:t>
              </w:r>
            </w:hyperlink>
            <w:hyperlink w:anchor="i51925e48a51f4fc282f818f3d3f81425_76">
              <w:r>
                <w:rPr>
                  <w:rStyle w:val="InternetLink"/>
                  <w:rFonts w:ascii="Roboto;sans-serif" w:hAnsi="Roboto;sans-serif"/>
                  <w:b w:val="false"/>
                  <w:strike w:val="false"/>
                  <w:dstrike w:val="false"/>
                  <w:color w:val="000080"/>
                  <w:sz w:val="18"/>
                  <w:u w:val="single"/>
                  <w:effect w:val="none"/>
                </w:rPr>
                <w:t>1</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76">
              <w:r>
                <w:rPr>
                  <w:rStyle w:val="InternetLink"/>
                  <w:rFonts w:ascii="Roboto;sans-serif" w:hAnsi="Roboto;sans-serif"/>
                  <w:b w:val="false"/>
                  <w:strike w:val="false"/>
                  <w:dstrike w:val="false"/>
                  <w:color w:val="000000"/>
                  <w:sz w:val="18"/>
                  <w:u w:val="none"/>
                  <w:effect w:val="none"/>
                </w:rPr>
                <w:t>Note Regarding Forward-Looking Statements</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000000"/>
                <w:sz w:val="18"/>
              </w:rPr>
              <w:t>A-</w:t>
            </w:r>
            <w:hyperlink w:anchor="i51925e48a51f4fc282f818f3d3f81425_79">
              <w:r>
                <w:rPr>
                  <w:rStyle w:val="InternetLink"/>
                  <w:rFonts w:ascii="Roboto;sans-serif" w:hAnsi="Roboto;sans-serif"/>
                  <w:b w:val="false"/>
                  <w:strike w:val="false"/>
                  <w:dstrike w:val="false"/>
                  <w:color w:val="000000"/>
                  <w:sz w:val="18"/>
                  <w:u w:val="none"/>
                  <w:effect w:val="none"/>
                </w:rPr>
                <w:t>2</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79">
              <w:r>
                <w:rPr>
                  <w:rStyle w:val="InternetLink"/>
                  <w:rFonts w:ascii="Roboto;sans-serif" w:hAnsi="Roboto;sans-serif"/>
                  <w:b w:val="false"/>
                  <w:strike w:val="false"/>
                  <w:dstrike w:val="false"/>
                  <w:color w:val="000000"/>
                  <w:sz w:val="18"/>
                  <w:u w:val="none"/>
                  <w:effect w:val="none"/>
                </w:rPr>
                <w:t>Non-GAAP and Other Financial Disclosures</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000000"/>
                <w:sz w:val="18"/>
              </w:rPr>
              <w:t>A-</w:t>
            </w:r>
            <w:hyperlink w:anchor="i51925e48a51f4fc282f818f3d3f81425_85">
              <w:r>
                <w:rPr>
                  <w:rStyle w:val="InternetLink"/>
                  <w:rFonts w:ascii="Roboto;sans-serif" w:hAnsi="Roboto;sans-serif"/>
                  <w:b w:val="false"/>
                  <w:strike w:val="false"/>
                  <w:dstrike w:val="false"/>
                  <w:color w:val="000000"/>
                  <w:sz w:val="18"/>
                  <w:u w:val="none"/>
                  <w:effect w:val="none"/>
                </w:rPr>
                <w:t>6</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85">
              <w:r>
                <w:rPr>
                  <w:rStyle w:val="InternetLink"/>
                  <w:rFonts w:ascii="Roboto;sans-serif" w:hAnsi="Roboto;sans-serif"/>
                  <w:b w:val="false"/>
                  <w:strike w:val="false"/>
                  <w:dstrike w:val="false"/>
                  <w:color w:val="000000"/>
                  <w:sz w:val="18"/>
                  <w:u w:val="none"/>
                  <w:effect w:val="none"/>
                </w:rPr>
                <w:t>Acronyms</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000000"/>
                <w:sz w:val="18"/>
              </w:rPr>
              <w:t>A-</w:t>
            </w:r>
            <w:hyperlink w:anchor="i51925e48a51f4fc282f818f3d3f81425_88">
              <w:r>
                <w:rPr>
                  <w:rStyle w:val="InternetLink"/>
                  <w:rFonts w:ascii="Roboto;sans-serif" w:hAnsi="Roboto;sans-serif"/>
                  <w:b w:val="false"/>
                  <w:strike w:val="false"/>
                  <w:dstrike w:val="false"/>
                  <w:color w:val="000000"/>
                  <w:sz w:val="18"/>
                  <w:u w:val="none"/>
                  <w:effect w:val="none"/>
                </w:rPr>
                <w:t>7</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hyperlink w:anchor="i51925e48a51f4fc282f818f3d3f81425_88">
              <w:r>
                <w:rPr>
                  <w:rStyle w:val="InternetLink"/>
                  <w:rFonts w:ascii="Roboto;sans-serif" w:hAnsi="Roboto;sans-serif"/>
                  <w:b w:val="false"/>
                  <w:strike w:val="false"/>
                  <w:dstrike w:val="false"/>
                  <w:color w:val="000000"/>
                  <w:sz w:val="18"/>
                  <w:u w:val="none"/>
                  <w:effect w:val="none"/>
                </w:rPr>
                <w:t>Reconciliation of Net Income (Loss) Available to Shareholders to Adjusted Earnings (Loss) and Adjusted Earnings, Less Notable Items, and Reconciliation of Net Income (Loss) Available to Shareholders per Common Share to Adjusted Earnings (Loss) per Common Share and Adjusted Earnings, Less Notable Items per Common Share</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000000"/>
                <w:sz w:val="18"/>
              </w:rPr>
              <w:t>A-</w:t>
            </w:r>
            <w:hyperlink w:anchor="i51925e48a51f4fc282f818f3d3f81425_91">
              <w:r>
                <w:rPr>
                  <w:rStyle w:val="InternetLink"/>
                  <w:rFonts w:ascii="Roboto;sans-serif" w:hAnsi="Roboto;sans-serif"/>
                  <w:b w:val="false"/>
                  <w:strike w:val="false"/>
                  <w:dstrike w:val="false"/>
                  <w:color w:val="000000"/>
                  <w:sz w:val="18"/>
                  <w:u w:val="none"/>
                  <w:effect w:val="none"/>
                </w:rPr>
                <w:t>8</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1925e48a51f4fc282f818f3d3f81425_91">
              <w:r>
                <w:rPr>
                  <w:rStyle w:val="InternetLink"/>
                  <w:rFonts w:ascii="Roboto;sans-serif" w:hAnsi="Roboto;sans-serif"/>
                  <w:b w:val="false"/>
                  <w:strike w:val="false"/>
                  <w:dstrike w:val="false"/>
                  <w:color w:val="000000"/>
                  <w:sz w:val="18"/>
                  <w:u w:val="none"/>
                  <w:effect w:val="none"/>
                </w:rPr>
                <w:t xml:space="preserve">Reconciliation of Return on Common Equity to Adjusted Return on Common Equity, Excluding AOCI </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000000"/>
                <w:sz w:val="18"/>
              </w:rPr>
              <w:t>A-</w:t>
            </w:r>
            <w:hyperlink w:anchor="i51925e48a51f4fc282f818f3d3f81425_94">
              <w:r>
                <w:rPr>
                  <w:rStyle w:val="InternetLink"/>
                  <w:rFonts w:ascii="Roboto;sans-serif" w:hAnsi="Roboto;sans-serif"/>
                  <w:b w:val="false"/>
                  <w:strike w:val="false"/>
                  <w:dstrike w:val="false"/>
                  <w:color w:val="000000"/>
                  <w:sz w:val="18"/>
                  <w:u w:val="none"/>
                  <w:effect w:val="none"/>
                </w:rPr>
                <w:t>9</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hyperlink w:anchor="i51925e48a51f4fc282f818f3d3f81425_94">
              <w:r>
                <w:rPr>
                  <w:rStyle w:val="InternetLink"/>
                  <w:rFonts w:ascii="Roboto;sans-serif" w:hAnsi="Roboto;sans-serif"/>
                  <w:b w:val="false"/>
                  <w:strike w:val="false"/>
                  <w:dstrike w:val="false"/>
                  <w:color w:val="000000"/>
                  <w:sz w:val="18"/>
                  <w:u w:val="none"/>
                  <w:effect w:val="none"/>
                </w:rPr>
                <w:t>Reconciliation of Total Revenues to Adjusted Revenues and Reconciliation of Total Expenses to Adjusted Expenses</w:t>
              </w:r>
            </w:hyperlink>
          </w:p>
        </w:tc>
      </w:tr>
      <w:tr>
        <w:trPr/>
        <w:tc>
          <w:tcPr>
            <w:tcW w:w="6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000000"/>
                <w:sz w:val="18"/>
              </w:rPr>
              <w:t>A-</w:t>
            </w:r>
            <w:hyperlink w:anchor="i51925e48a51f4fc282f818f3d3f81425_97">
              <w:r>
                <w:rPr>
                  <w:rStyle w:val="InternetLink"/>
                  <w:rFonts w:ascii="Roboto;sans-serif" w:hAnsi="Roboto;sans-serif"/>
                  <w:b w:val="false"/>
                  <w:strike w:val="false"/>
                  <w:dstrike w:val="false"/>
                  <w:color w:val="000000"/>
                  <w:sz w:val="18"/>
                  <w:u w:val="none"/>
                  <w:effect w:val="none"/>
                </w:rPr>
                <w:t>10</w:t>
              </w:r>
            </w:hyperlink>
          </w:p>
        </w:tc>
        <w:tc>
          <w:tcPr>
            <w:tcW w:w="36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925e48a51f4fc282f818f3d3f81425_97">
              <w:r>
                <w:rPr>
                  <w:rStyle w:val="InternetLink"/>
                  <w:rFonts w:ascii="Roboto;sans-serif" w:hAnsi="Roboto;sans-serif"/>
                  <w:b w:val="false"/>
                  <w:strike w:val="false"/>
                  <w:dstrike w:val="false"/>
                  <w:color w:val="000000"/>
                  <w:sz w:val="18"/>
                  <w:u w:val="none"/>
                  <w:effect w:val="none"/>
                </w:rPr>
                <w:t>Investment Reconciliation Details</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Note: See the Appendix for non-GAAP financial information, definitions and reconciliations. Financial information, unless otherwise noted, is rounded to millions. Some financial information, therefore, may not sum to the corresponding total.</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As used in this financial supplement, “Brighthouse Financial,” “Brighthouse,” the “Company,” “we,” “our” and “us” refer to Brighthouse Financial,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35000"/>
                <wp:effectExtent l="0" t="0" r="0" b="0"/>
                <wp:wrapNone/>
                <wp:docPr id="40" name="Frame21"/>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1"/>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4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 descr=""/>
                                    <pic:cNvPicPr>
                                      <a:picLocks noChangeAspect="1" noChangeArrowheads="1"/>
                                    </pic:cNvPicPr>
                                  </pic:nvPicPr>
                                  <pic:blipFill>
                                    <a:blip r:embed="rId22"/>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2" w:before="0" w:after="0"/>
        <w:jc w:val="left"/>
        <w:rPr>
          <w:rFonts w:ascii="Roboto Black;sans-serif" w:hAnsi="Roboto Black;sans-serif"/>
          <w:b/>
          <w:color w:val="00B0B9"/>
          <w:sz w:val="110"/>
        </w:rPr>
      </w:pPr>
      <w:r>
        <w:rPr>
          <w:rFonts w:ascii="Roboto Black;sans-serif" w:hAnsi="Roboto Black;sans-serif"/>
          <w:b/>
          <w:color w:val="00B0B9"/>
          <w:sz w:val="110"/>
        </w:rPr>
        <w:t>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35000"/>
                <wp:effectExtent l="0" t="0" r="0" b="0"/>
                <wp:wrapNone/>
                <wp:docPr id="43" name="Frame22"/>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4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0" descr=""/>
                                          <pic:cNvPicPr>
                                            <a:picLocks noChangeAspect="1" noChangeArrowheads="1"/>
                                          </pic:cNvPicPr>
                                        </pic:nvPicPr>
                                        <pic:blipFill>
                                          <a:blip r:embed="rId23"/>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4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0" descr=""/>
                                    <pic:cNvPicPr>
                                      <a:picLocks noChangeAspect="1" noChangeArrowheads="1"/>
                                    </pic:cNvPicPr>
                                  </pic:nvPicPr>
                                  <pic:blipFill>
                                    <a:blip r:embed="rId24"/>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57"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Key Metrics (Unaudited, dollars in millions except per share amounts)</w:t>
      </w:r>
    </w:p>
    <w:tbl>
      <w:tblPr>
        <w:tblW w:w="10205" w:type="dxa"/>
        <w:jc w:val="left"/>
        <w:tblInd w:w="0" w:type="dxa"/>
        <w:tblLayout w:type="fixed"/>
        <w:tblCellMar>
          <w:top w:w="28" w:type="dxa"/>
          <w:left w:w="28" w:type="dxa"/>
          <w:bottom w:w="28" w:type="dxa"/>
          <w:right w:w="28" w:type="dxa"/>
        </w:tblCellMar>
      </w:tblPr>
      <w:tblGrid>
        <w:gridCol w:w="894"/>
        <w:gridCol w:w="517"/>
        <w:gridCol w:w="522"/>
        <w:gridCol w:w="117"/>
        <w:gridCol w:w="117"/>
        <w:gridCol w:w="117"/>
        <w:gridCol w:w="344"/>
        <w:gridCol w:w="344"/>
        <w:gridCol w:w="307"/>
        <w:gridCol w:w="117"/>
        <w:gridCol w:w="117"/>
        <w:gridCol w:w="117"/>
        <w:gridCol w:w="344"/>
        <w:gridCol w:w="344"/>
        <w:gridCol w:w="307"/>
        <w:gridCol w:w="117"/>
        <w:gridCol w:w="117"/>
        <w:gridCol w:w="117"/>
        <w:gridCol w:w="385"/>
        <w:gridCol w:w="317"/>
        <w:gridCol w:w="318"/>
        <w:gridCol w:w="117"/>
        <w:gridCol w:w="117"/>
        <w:gridCol w:w="117"/>
        <w:gridCol w:w="352"/>
        <w:gridCol w:w="338"/>
        <w:gridCol w:w="339"/>
        <w:gridCol w:w="117"/>
        <w:gridCol w:w="117"/>
        <w:gridCol w:w="117"/>
        <w:gridCol w:w="344"/>
        <w:gridCol w:w="344"/>
        <w:gridCol w:w="307"/>
        <w:gridCol w:w="117"/>
        <w:gridCol w:w="117"/>
        <w:gridCol w:w="117"/>
        <w:gridCol w:w="117"/>
        <w:gridCol w:w="117"/>
        <w:gridCol w:w="117"/>
        <w:gridCol w:w="117"/>
        <w:gridCol w:w="117"/>
        <w:gridCol w:w="117"/>
        <w:gridCol w:w="117"/>
        <w:gridCol w:w="117"/>
        <w:gridCol w:w="196"/>
      </w:tblGrid>
      <w:tr>
        <w:trPr/>
        <w:tc>
          <w:tcPr>
            <w:tcW w:w="8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As of or For the Three Months Ended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Financial Results and Metrics (1)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5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5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5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5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income (loss) available to shareholders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$956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$(792)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Adjusted earnings (2)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$970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Adjusted earnings, less notable items (2)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Total corporate expenses (3)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Combined total adjusted capital (4)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$4,900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$4,967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$5,328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$5,400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$5,560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Combined risk-based capital ratio (4), (5)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430%-450%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430%-450%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435%-455%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405%-425%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Stockholders' Equity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Brighthouse Financial, Inc.’s stockholders’ equity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$6,550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$5,563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$6,768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$6,363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$5,673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Preferred stock, net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Brighthouse Financial, Inc.’s common stockholders’ equity, including AOCI</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$4,851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$3,864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$5,069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$4,664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$3,974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AOCI</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(4,156)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(3,729)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(4,020)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(4,257)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 xml:space="preserve">Brighthouse Financial, Inc.’s common stockholders’ equity, excluding AOCI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$8,977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$8,020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$8,798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$8,684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$8,231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Return on Common Equity (1)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Return on common equity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Return on common equity, excluding AOCI</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Adjusted return on common equity, excluding AOCI</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Earnings Per Common Share, Diluted (1), (6)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income (loss) available to shareholders per common share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$16.53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$(13.82)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$7.89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Adjusted earnings per common share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$16.87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Adjusted earnings, less notable items per common share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Weighted average common shares outstanding</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57,840,353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57,735,327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57,829,186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57,512,901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57,734,170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Book Value Per Common Share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Book value per common share (1)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$84.35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$67.27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$88.66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$81.60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$69.57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Book value per common share, excluding AOCI (1)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$156.10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$139.63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$153.89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$151.94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$144.09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Ending common shares outstanding</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57,508,193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57,437,709</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57,171,217</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57,153,571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57,122,494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(1) See definitions for Non-GAAP and Other Financial Disclosures in the Appendix beginning on page A-2.</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Roboto;sans-serif" w:hAnsi="Roboto;sans-serif"/>
                <w:b w:val="false"/>
                <w:color w:val="000000"/>
                <w:sz w:val="12"/>
              </w:rPr>
            </w:pPr>
            <w:r>
              <w:rPr>
                <w:rFonts w:ascii="Roboto;sans-serif" w:hAnsi="Roboto;sans-serif"/>
                <w:b w:val="false"/>
                <w:color w:val="000000"/>
                <w:sz w:val="12"/>
              </w:rPr>
              <w:t>(2) See additional information regarding notable items on page 18.</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(3) Includes functional department expenses, public company expenses, certain investment expenses, retirement funding and incentive compensation. Beginning in 2026, corporate expenses exclude certain transaction-related costs. Corporate expenses excluding certain transaction-related costs were $219 million, $200 million and $195 million for the three months ended December 31, 2025, September 30, 2025 and June 30, 2025, respectively.</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2"/>
              </w:rPr>
            </w:pPr>
            <w:r>
              <w:rPr>
                <w:rFonts w:ascii="Roboto;sans-serif" w:hAnsi="Roboto;sans-serif"/>
                <w:b w:val="false"/>
                <w:color w:val="000000"/>
                <w:sz w:val="12"/>
              </w:rPr>
              <w:t>(4) Reflects preliminary statutory results as of or for the three months ended June 30, 2026. See additional information on page 22.</w:t>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8272" w:type="dxa"/>
            <w:gridSpan w:val="42"/>
            <w:tcBorders/>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(5) The RBC ratio is reported as a preliminary range for all periods, except those ended December 31.</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2"/>
              </w:rPr>
            </w:pPr>
            <w:r>
              <w:rPr>
                <w:rFonts w:ascii="Roboto;sans-serif" w:hAnsi="Roboto;sans-serif"/>
                <w:b w:val="false"/>
                <w:color w:val="000000"/>
                <w:sz w:val="12"/>
              </w:rPr>
              <w:t>(6) For loss periods, dilutive shares were not included in the calculation of net income (loss) available to shareholders per common share or adjusted earnings (loss) per common share as inclusion of such shares would have an anti-dilutive effect.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35000"/>
                <wp:effectExtent l="0" t="0" r="0" b="0"/>
                <wp:wrapNone/>
                <wp:docPr id="46" name="Frame23"/>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4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1" descr=""/>
                                          <pic:cNvPicPr>
                                            <a:picLocks noChangeAspect="1" noChangeArrowheads="1"/>
                                          </pic:cNvPicPr>
                                        </pic:nvPicPr>
                                        <pic:blipFill>
                                          <a:blip r:embed="rId25"/>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4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 descr=""/>
                                    <pic:cNvPicPr>
                                      <a:picLocks noChangeAspect="1" noChangeArrowheads="1"/>
                                    </pic:cNvPicPr>
                                  </pic:nvPicPr>
                                  <pic:blipFill>
                                    <a:blip r:embed="rId26"/>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57"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2</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GAAP Statements of Operations (Unaudited, in millions)</w:t>
      </w:r>
    </w:p>
    <w:tbl>
      <w:tblPr>
        <w:tblW w:w="10205" w:type="dxa"/>
        <w:jc w:val="left"/>
        <w:tblInd w:w="0" w:type="dxa"/>
        <w:tblLayout w:type="fixed"/>
        <w:tblCellMar>
          <w:top w:w="28" w:type="dxa"/>
          <w:left w:w="28" w:type="dxa"/>
          <w:bottom w:w="28" w:type="dxa"/>
          <w:right w:w="28" w:type="dxa"/>
        </w:tblCellMar>
      </w:tblPr>
      <w:tblGrid>
        <w:gridCol w:w="981"/>
        <w:gridCol w:w="865"/>
        <w:gridCol w:w="871"/>
        <w:gridCol w:w="109"/>
        <w:gridCol w:w="109"/>
        <w:gridCol w:w="109"/>
        <w:gridCol w:w="229"/>
        <w:gridCol w:w="219"/>
        <w:gridCol w:w="178"/>
        <w:gridCol w:w="109"/>
        <w:gridCol w:w="109"/>
        <w:gridCol w:w="109"/>
        <w:gridCol w:w="243"/>
        <w:gridCol w:w="211"/>
        <w:gridCol w:w="212"/>
        <w:gridCol w:w="109"/>
        <w:gridCol w:w="109"/>
        <w:gridCol w:w="109"/>
        <w:gridCol w:w="306"/>
        <w:gridCol w:w="306"/>
        <w:gridCol w:w="307"/>
        <w:gridCol w:w="109"/>
        <w:gridCol w:w="109"/>
        <w:gridCol w:w="109"/>
        <w:gridCol w:w="326"/>
        <w:gridCol w:w="326"/>
        <w:gridCol w:w="327"/>
        <w:gridCol w:w="109"/>
        <w:gridCol w:w="109"/>
        <w:gridCol w:w="109"/>
        <w:gridCol w:w="229"/>
        <w:gridCol w:w="198"/>
        <w:gridCol w:w="178"/>
        <w:gridCol w:w="109"/>
        <w:gridCol w:w="109"/>
        <w:gridCol w:w="109"/>
        <w:gridCol w:w="230"/>
        <w:gridCol w:w="230"/>
        <w:gridCol w:w="167"/>
        <w:gridCol w:w="140"/>
        <w:gridCol w:w="140"/>
        <w:gridCol w:w="140"/>
        <w:gridCol w:w="215"/>
        <w:gridCol w:w="215"/>
        <w:gridCol w:w="254"/>
      </w:tblGrid>
      <w:tr>
        <w:trPr/>
        <w:tc>
          <w:tcPr>
            <w:tcW w:w="9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717"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2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$352</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1,096</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2,499</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2,582</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258</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279</w:t>
            </w:r>
          </w:p>
        </w:tc>
      </w:tr>
      <w:tr>
        <w:trPr/>
        <w:tc>
          <w:tcPr>
            <w:tcW w:w="2717"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Revenues before NIGL and NDGL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4,193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4,309</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(122)</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derivative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(986)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(926)</w:t>
            </w:r>
          </w:p>
        </w:tc>
      </w:tr>
      <w:tr>
        <w:trPr/>
        <w:tc>
          <w:tcPr>
            <w:tcW w:w="2717"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$3,149</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$3,261</w:t>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$1,228</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$1,360</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1,024</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1,098</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297</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Change in market risk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(622)</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(208)</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76</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888</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899</w:t>
            </w:r>
          </w:p>
        </w:tc>
      </w:tr>
      <w:tr>
        <w:trPr/>
        <w:tc>
          <w:tcPr>
            <w:tcW w:w="2717"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2,909</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3,522</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Income (loss)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(261)</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(80)</w:t>
            </w:r>
          </w:p>
        </w:tc>
      </w:tr>
      <w:tr>
        <w:trPr/>
        <w:tc>
          <w:tcPr>
            <w:tcW w:w="2717"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217</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(181)</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r>
      <w:tr>
        <w:trPr/>
        <w:tc>
          <w:tcPr>
            <w:tcW w:w="2717"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Net income (loss) attributable to Brighthouse Financial,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(183)</w:t>
            </w:r>
          </w:p>
        </w:tc>
      </w:tr>
      <w:tr>
        <w:trPr/>
        <w:tc>
          <w:tcPr>
            <w:tcW w:w="271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w:t>
            </w:r>
          </w:p>
        </w:tc>
      </w:tr>
      <w:tr>
        <w:trPr/>
        <w:tc>
          <w:tcPr>
            <w:tcW w:w="2717"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Net income (loss) available to Brighthouse Financial, Inc.’s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$164</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35000"/>
                <wp:effectExtent l="0" t="0" r="0" b="0"/>
                <wp:wrapNone/>
                <wp:docPr id="49" name="Frame24"/>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5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2" descr=""/>
                                          <pic:cNvPicPr>
                                            <a:picLocks noChangeAspect="1" noChangeArrowheads="1"/>
                                          </pic:cNvPicPr>
                                        </pic:nvPicPr>
                                        <pic:blipFill>
                                          <a:blip r:embed="rId27"/>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5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2" descr=""/>
                                    <pic:cNvPicPr>
                                      <a:picLocks noChangeAspect="1" noChangeArrowheads="1"/>
                                    </pic:cNvPicPr>
                                  </pic:nvPicPr>
                                  <pic:blipFill>
                                    <a:blip r:embed="rId28"/>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57"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3</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GAAP Balance Sheets (Unaudited, in millions)</w:t>
      </w:r>
    </w:p>
    <w:tbl>
      <w:tblPr>
        <w:tblW w:w="10205" w:type="dxa"/>
        <w:jc w:val="left"/>
        <w:tblInd w:w="0" w:type="dxa"/>
        <w:tblLayout w:type="fixed"/>
        <w:tblCellMar>
          <w:top w:w="28" w:type="dxa"/>
          <w:left w:w="28" w:type="dxa"/>
          <w:bottom w:w="28" w:type="dxa"/>
          <w:right w:w="28" w:type="dxa"/>
        </w:tblCellMar>
      </w:tblPr>
      <w:tblGrid>
        <w:gridCol w:w="1458"/>
        <w:gridCol w:w="1278"/>
        <w:gridCol w:w="1296"/>
        <w:gridCol w:w="109"/>
        <w:gridCol w:w="109"/>
        <w:gridCol w:w="109"/>
        <w:gridCol w:w="258"/>
        <w:gridCol w:w="258"/>
        <w:gridCol w:w="265"/>
        <w:gridCol w:w="109"/>
        <w:gridCol w:w="109"/>
        <w:gridCol w:w="109"/>
        <w:gridCol w:w="274"/>
        <w:gridCol w:w="274"/>
        <w:gridCol w:w="263"/>
        <w:gridCol w:w="109"/>
        <w:gridCol w:w="109"/>
        <w:gridCol w:w="109"/>
        <w:gridCol w:w="342"/>
        <w:gridCol w:w="342"/>
        <w:gridCol w:w="344"/>
        <w:gridCol w:w="109"/>
        <w:gridCol w:w="109"/>
        <w:gridCol w:w="109"/>
        <w:gridCol w:w="362"/>
        <w:gridCol w:w="362"/>
        <w:gridCol w:w="364"/>
        <w:gridCol w:w="109"/>
        <w:gridCol w:w="109"/>
        <w:gridCol w:w="109"/>
        <w:gridCol w:w="240"/>
        <w:gridCol w:w="240"/>
        <w:gridCol w:w="350"/>
      </w:tblGrid>
      <w:tr>
        <w:trPr/>
        <w:tc>
          <w:tcPr>
            <w:tcW w:w="145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4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As of</w:t>
            </w:r>
          </w:p>
        </w:tc>
      </w:tr>
      <w:tr>
        <w:trPr/>
        <w:tc>
          <w:tcPr>
            <w:tcW w:w="403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Fixed maturity securities 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$80,823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$81,232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$81,537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$80,835</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Trading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596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528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520</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74</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22,607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22,620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22,755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22,862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22,993</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Policy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1,458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1,439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1,425</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Limited partnerships and limited liability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4,673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4,696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4,816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4,798</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1,170</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Other invested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13,940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9,617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7,932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8,842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8,932</w:t>
            </w:r>
          </w:p>
        </w:tc>
      </w:tr>
      <w:tr>
        <w:trPr/>
        <w:tc>
          <w:tcPr>
            <w:tcW w:w="403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125,032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121,456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120,629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120,880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120,747</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7,105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5,387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5,540</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Accrued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1,235</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Reinsurance recoverables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20,064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20,313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20,903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20,400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20,701</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Premiums and 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557</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4,567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4,636</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Current income tax recoverable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17</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Deferred income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1,535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1,531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1,695</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Market risk benefit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979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1,084</w:t>
            </w:r>
          </w:p>
        </w:tc>
      </w:tr>
      <w:tr>
        <w:trPr/>
        <w:tc>
          <w:tcPr>
            <w:tcW w:w="40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348</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Separate account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85,691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80,821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85,528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87,127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86,085</w:t>
            </w:r>
          </w:p>
        </w:tc>
      </w:tr>
      <w:tr>
        <w:trPr/>
        <w:tc>
          <w:tcPr>
            <w:tcW w:w="403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$247,180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$236,803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$241,800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$244,679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$242,645</w:t>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Future policy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$31,940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$31,773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$31,974</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89,076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86,379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87,952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88,046</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Market risk benefit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7,439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8,051</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Other policy-related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3,836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3,893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3,918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3,977</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Payables for collateral under securities loaned and other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4,661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4,347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3,994</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3,155</w:t>
            </w:r>
          </w:p>
        </w:tc>
      </w:tr>
      <w:tr>
        <w:trPr/>
        <w:tc>
          <w:tcPr>
            <w:tcW w:w="4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12,648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11,829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9,646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10,451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11,625</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Separate account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85,691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80,821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85,528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87,127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86,085</w:t>
            </w:r>
          </w:p>
        </w:tc>
      </w:tr>
      <w:tr>
        <w:trPr/>
        <w:tc>
          <w:tcPr>
            <w:tcW w:w="403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240,565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231,175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234,967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238,251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236,907</w:t>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Preferred stock, at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Common stock, at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13,847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13,869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13,870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13,893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13,918</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(823)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(1,302)</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(2,687)</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(3,729)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(4,257)</w:t>
            </w:r>
          </w:p>
        </w:tc>
      </w:tr>
      <w:tr>
        <w:trPr/>
        <w:tc>
          <w:tcPr>
            <w:tcW w:w="403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5,563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6,768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6,363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5,673</w:t>
            </w:r>
          </w:p>
        </w:tc>
      </w:tr>
      <w:tr>
        <w:trPr/>
        <w:tc>
          <w:tcPr>
            <w:tcW w:w="403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3"/>
              </w:rPr>
            </w:pPr>
            <w:r>
              <w:rPr>
                <w:rFonts w:ascii="Roboto;sans-serif" w:hAnsi="Roboto;sans-serif"/>
                <w:b w:val="false"/>
                <w:color w:val="000000"/>
                <w:sz w:val="13"/>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3"/>
              </w:rPr>
            </w:pPr>
            <w:r>
              <w:rPr>
                <w:rFonts w:ascii="Roboto;sans-serif" w:hAnsi="Roboto;sans-serif"/>
                <w:b w:val="false"/>
                <w:color w:val="000000"/>
                <w:sz w:val="13"/>
              </w:rPr>
              <w:t>65</w:t>
            </w:r>
          </w:p>
        </w:tc>
      </w:tr>
      <w:tr>
        <w:trPr/>
        <w:tc>
          <w:tcPr>
            <w:tcW w:w="403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5,628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6,428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5,738</w:t>
            </w:r>
          </w:p>
        </w:tc>
      </w:tr>
      <w:tr>
        <w:trPr/>
        <w:tc>
          <w:tcPr>
            <w:tcW w:w="403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$247,180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$236,803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$241,800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$244,679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$242,645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35000"/>
                <wp:effectExtent l="0" t="0" r="0" b="0"/>
                <wp:wrapNone/>
                <wp:docPr id="52" name="Frame25"/>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 descr=""/>
                                          <pic:cNvPicPr>
                                            <a:picLocks noChangeAspect="1" noChangeArrowheads="1"/>
                                          </pic:cNvPicPr>
                                        </pic:nvPicPr>
                                        <pic:blipFill>
                                          <a:blip r:embed="rId29"/>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5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3" descr=""/>
                                    <pic:cNvPicPr>
                                      <a:picLocks noChangeAspect="1" noChangeArrowheads="1"/>
                                    </pic:cNvPicPr>
                                  </pic:nvPicPr>
                                  <pic:blipFill>
                                    <a:blip r:embed="rId30"/>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2" w:before="0" w:after="0"/>
        <w:jc w:val="left"/>
        <w:rPr>
          <w:rFonts w:ascii="Roboto Black;sans-serif" w:hAnsi="Roboto Black;sans-serif"/>
          <w:b/>
          <w:color w:val="00B0B9"/>
          <w:sz w:val="110"/>
        </w:rPr>
      </w:pPr>
      <w:r>
        <w:rPr>
          <w:rFonts w:ascii="Roboto Black;sans-serif" w:hAnsi="Roboto Black;sans-serif"/>
          <w:b/>
          <w:color w:val="00B0B9"/>
          <w:sz w:val="110"/>
        </w:rPr>
        <w:t xml:space="preserve">Earnings and </w:t>
      </w:r>
    </w:p>
    <w:p>
      <w:pPr>
        <w:pStyle w:val="TextBody"/>
        <w:bidi w:val="0"/>
        <w:spacing w:lineRule="auto" w:line="252" w:before="0" w:after="0"/>
        <w:jc w:val="left"/>
        <w:rPr>
          <w:rFonts w:ascii="Roboto Black;sans-serif" w:hAnsi="Roboto Black;sans-serif"/>
          <w:b/>
          <w:color w:val="00B0B9"/>
          <w:sz w:val="110"/>
        </w:rPr>
      </w:pPr>
      <w:r>
        <w:rPr>
          <w:rFonts w:ascii="Roboto Black;sans-serif" w:hAnsi="Roboto Black;sans-serif"/>
          <w:b/>
          <w:color w:val="00B0B9"/>
          <w:sz w:val="110"/>
        </w:rPr>
        <w:t>Select Metrics from</w:t>
      </w:r>
    </w:p>
    <w:p>
      <w:pPr>
        <w:pStyle w:val="TextBody"/>
        <w:bidi w:val="0"/>
        <w:spacing w:lineRule="auto" w:line="252" w:before="0" w:after="0"/>
        <w:jc w:val="left"/>
        <w:rPr>
          <w:rFonts w:ascii="Roboto Black;sans-serif" w:hAnsi="Roboto Black;sans-serif"/>
          <w:b/>
          <w:color w:val="00B0B9"/>
          <w:sz w:val="110"/>
        </w:rPr>
      </w:pPr>
      <w:r>
        <w:rPr>
          <w:rFonts w:ascii="Roboto Black;sans-serif" w:hAnsi="Roboto Black;sans-serif"/>
          <w:b/>
          <w:color w:val="00B0B9"/>
          <w:sz w:val="110"/>
        </w:rPr>
        <w:t>Segments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35000"/>
                <wp:effectExtent l="0" t="0" r="0" b="0"/>
                <wp:wrapNone/>
                <wp:docPr id="55" name="Frame26"/>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5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4" descr=""/>
                                          <pic:cNvPicPr>
                                            <a:picLocks noChangeAspect="1" noChangeArrowheads="1"/>
                                          </pic:cNvPicPr>
                                        </pic:nvPicPr>
                                        <pic:blipFill>
                                          <a:blip r:embed="rId31"/>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4" descr=""/>
                                    <pic:cNvPicPr>
                                      <a:picLocks noChangeAspect="1" noChangeArrowheads="1"/>
                                    </pic:cNvPicPr>
                                  </pic:nvPicPr>
                                  <pic:blipFill>
                                    <a:blip r:embed="rId32"/>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032"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554"/>
        <w:gridCol w:w="554"/>
        <w:gridCol w:w="55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4"/>
              </w:rPr>
            </w:pPr>
            <w:r>
              <w:rPr>
                <w:rFonts w:ascii="Roboto;sans-serif" w:hAnsi="Roboto;sans-serif"/>
                <w:b w:val="false"/>
                <w:color w:val="000000"/>
                <w:sz w:val="14"/>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4"/>
              </w:rPr>
            </w:pPr>
            <w:r>
              <w:rPr>
                <w:rFonts w:ascii="Roboto;sans-serif" w:hAnsi="Roboto;sans-serif"/>
                <w:b/>
                <w:color w:val="000000"/>
                <w:sz w:val="14"/>
              </w:rPr>
              <w:t>5</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Roboto Slab Bold;sans-serif" w:hAnsi="Roboto Slab Bold;sans-serif"/>
          <w:b/>
          <w:color w:val="00B0B9"/>
          <w:sz w:val="18"/>
        </w:rPr>
      </w:pPr>
      <w:r>
        <w:rPr>
          <w:rFonts w:ascii="Roboto Slab Bold;sans-serif" w:hAnsi="Roboto Slab Bold;sans-serif"/>
          <w:b/>
          <w:color w:val="00B0B9"/>
          <w:sz w:val="18"/>
        </w:rPr>
        <w:t>Statements of Adjusted Earnings by Segment (Unaudited, in millions)</w:t>
      </w:r>
    </w:p>
    <w:tbl>
      <w:tblPr>
        <w:tblW w:w="9637" w:type="dxa"/>
        <w:jc w:val="left"/>
        <w:tblInd w:w="0" w:type="dxa"/>
        <w:tblLayout w:type="fixed"/>
        <w:tblCellMar>
          <w:top w:w="28" w:type="dxa"/>
          <w:left w:w="28" w:type="dxa"/>
          <w:bottom w:w="28" w:type="dxa"/>
          <w:right w:w="28" w:type="dxa"/>
        </w:tblCellMar>
      </w:tblPr>
      <w:tblGrid>
        <w:gridCol w:w="1492"/>
        <w:gridCol w:w="1311"/>
        <w:gridCol w:w="1322"/>
        <w:gridCol w:w="109"/>
        <w:gridCol w:w="109"/>
        <w:gridCol w:w="109"/>
        <w:gridCol w:w="255"/>
        <w:gridCol w:w="255"/>
        <w:gridCol w:w="256"/>
        <w:gridCol w:w="112"/>
        <w:gridCol w:w="112"/>
        <w:gridCol w:w="112"/>
        <w:gridCol w:w="163"/>
        <w:gridCol w:w="163"/>
        <w:gridCol w:w="168"/>
        <w:gridCol w:w="112"/>
        <w:gridCol w:w="112"/>
        <w:gridCol w:w="112"/>
        <w:gridCol w:w="195"/>
        <w:gridCol w:w="195"/>
        <w:gridCol w:w="196"/>
        <w:gridCol w:w="112"/>
        <w:gridCol w:w="112"/>
        <w:gridCol w:w="112"/>
        <w:gridCol w:w="449"/>
        <w:gridCol w:w="449"/>
        <w:gridCol w:w="451"/>
        <w:gridCol w:w="112"/>
        <w:gridCol w:w="112"/>
        <w:gridCol w:w="112"/>
        <w:gridCol w:w="187"/>
        <w:gridCol w:w="187"/>
        <w:gridCol w:w="272"/>
      </w:tblGrid>
      <w:tr>
        <w:trPr/>
        <w:tc>
          <w:tcPr>
            <w:tcW w:w="149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For the Three Months Ended June 30, 2026</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Annuities</w:t>
            </w:r>
          </w:p>
        </w:tc>
        <w:tc>
          <w:tcPr>
            <w:tcW w:w="33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Life</w:t>
            </w:r>
          </w:p>
        </w:tc>
        <w:tc>
          <w:tcPr>
            <w:tcW w:w="33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Run-off</w:t>
            </w:r>
          </w:p>
        </w:tc>
        <w:tc>
          <w:tcPr>
            <w:tcW w:w="33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Corporate &amp; Other</w:t>
            </w:r>
          </w:p>
        </w:tc>
        <w:tc>
          <w:tcPr>
            <w:tcW w:w="33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Total</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$94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$165</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393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89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88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570</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799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242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1,239</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114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129</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$1,374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$339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$2,103</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$119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$148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$591</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345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91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527</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137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157</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38</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Other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342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449</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943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409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1,762</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Adjusted earnings (loss)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341</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82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58</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 after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349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283</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Less: 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Less: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25</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$349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$258</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For the Three Months Ended June 30, 2025</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Annuities</w:t>
            </w:r>
          </w:p>
        </w:tc>
        <w:tc>
          <w:tcPr>
            <w:tcW w:w="33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Life</w:t>
            </w:r>
          </w:p>
        </w:tc>
        <w:tc>
          <w:tcPr>
            <w:tcW w:w="33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Run-off</w:t>
            </w:r>
          </w:p>
        </w:tc>
        <w:tc>
          <w:tcPr>
            <w:tcW w:w="33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Corporate &amp; Other</w:t>
            </w:r>
          </w:p>
        </w:tc>
        <w:tc>
          <w:tcPr>
            <w:tcW w:w="33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Total</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$104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$166</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385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90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553</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757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97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283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155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1,292</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129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143</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$283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$382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$2,154</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$98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$213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$400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$711</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354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103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543</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127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149</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38</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Other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342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444</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921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487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1,885</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Adjusted earnings (loss)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410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(105)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269</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46</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 after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223</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Less: 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Less: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25</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$198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35000"/>
                <wp:effectExtent l="0" t="0" r="0" b="0"/>
                <wp:wrapNone/>
                <wp:docPr id="58" name="Frame27"/>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5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5" descr=""/>
                                          <pic:cNvPicPr>
                                            <a:picLocks noChangeAspect="1" noChangeArrowheads="1"/>
                                          </pic:cNvPicPr>
                                        </pic:nvPicPr>
                                        <pic:blipFill>
                                          <a:blip r:embed="rId33"/>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5" descr=""/>
                                    <pic:cNvPicPr>
                                      <a:picLocks noChangeAspect="1" noChangeArrowheads="1"/>
                                    </pic:cNvPicPr>
                                  </pic:nvPicPr>
                                  <pic:blipFill>
                                    <a:blip r:embed="rId34"/>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57"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6</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Roboto Slab Bold;sans-serif" w:hAnsi="Roboto Slab Bold;sans-serif"/>
          <w:b/>
          <w:color w:val="00B0B9"/>
          <w:sz w:val="18"/>
        </w:rPr>
      </w:pPr>
      <w:r>
        <w:rPr>
          <w:rFonts w:ascii="Roboto Slab Bold;sans-serif" w:hAnsi="Roboto Slab Bold;sans-serif"/>
          <w:b/>
          <w:color w:val="00B0B9"/>
          <w:sz w:val="18"/>
        </w:rPr>
        <w:t>Statements of Adjusted Earnings by Segment (Unaudited, in millions)</w:t>
      </w:r>
    </w:p>
    <w:tbl>
      <w:tblPr>
        <w:tblW w:w="9601" w:type="dxa"/>
        <w:jc w:val="left"/>
        <w:tblInd w:w="0" w:type="dxa"/>
        <w:tblLayout w:type="fixed"/>
        <w:tblCellMar>
          <w:top w:w="28" w:type="dxa"/>
          <w:left w:w="28" w:type="dxa"/>
          <w:bottom w:w="28" w:type="dxa"/>
          <w:right w:w="28" w:type="dxa"/>
        </w:tblCellMar>
      </w:tblPr>
      <w:tblGrid>
        <w:gridCol w:w="1492"/>
        <w:gridCol w:w="1311"/>
        <w:gridCol w:w="1322"/>
        <w:gridCol w:w="109"/>
        <w:gridCol w:w="109"/>
        <w:gridCol w:w="109"/>
        <w:gridCol w:w="255"/>
        <w:gridCol w:w="255"/>
        <w:gridCol w:w="256"/>
        <w:gridCol w:w="109"/>
        <w:gridCol w:w="109"/>
        <w:gridCol w:w="109"/>
        <w:gridCol w:w="162"/>
        <w:gridCol w:w="162"/>
        <w:gridCol w:w="170"/>
        <w:gridCol w:w="109"/>
        <w:gridCol w:w="109"/>
        <w:gridCol w:w="109"/>
        <w:gridCol w:w="195"/>
        <w:gridCol w:w="195"/>
        <w:gridCol w:w="196"/>
        <w:gridCol w:w="109"/>
        <w:gridCol w:w="109"/>
        <w:gridCol w:w="109"/>
        <w:gridCol w:w="449"/>
        <w:gridCol w:w="449"/>
        <w:gridCol w:w="451"/>
        <w:gridCol w:w="109"/>
        <w:gridCol w:w="109"/>
        <w:gridCol w:w="109"/>
        <w:gridCol w:w="187"/>
        <w:gridCol w:w="187"/>
        <w:gridCol w:w="272"/>
      </w:tblGrid>
      <w:tr>
        <w:trPr/>
        <w:tc>
          <w:tcPr>
            <w:tcW w:w="149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For the Six Months Ended June 30, 2026</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Annuities</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Life</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Run-off</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Corporate &amp; Other</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Total</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$333</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1,103</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1,570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2,507</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258</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$4,201</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$1,228</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1,033</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315</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76</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Other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888</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3,540</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Adjusted earnings (loss)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831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661</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111</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Adjusted earnings (loss) after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550</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Less: 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Less: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51</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$497</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For the Six Months Ended June 30, 2025</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Annuities</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Life</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Run-off</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Corporate &amp; Other</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2"/>
              </w:rPr>
            </w:pPr>
            <w:r>
              <w:rPr>
                <w:rFonts w:ascii="Roboto Black;sans-serif" w:hAnsi="Roboto Black;sans-serif"/>
                <w:b/>
                <w:color w:val="00B0B9"/>
                <w:sz w:val="12"/>
              </w:rPr>
              <w:t>Total</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$352</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1,096</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2,583</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279</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$4,310</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$1,360</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1,094</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297</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76</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Other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899</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3,726</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Adjusted earnings (loss)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797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584</w:t>
            </w:r>
          </w:p>
        </w:tc>
      </w:tr>
      <w:tr>
        <w:trPr/>
        <w:tc>
          <w:tcPr>
            <w:tcW w:w="412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98</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 after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486</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Less: 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2</w:t>
            </w:r>
          </w:p>
        </w:tc>
      </w:tr>
      <w:tr>
        <w:trPr/>
        <w:tc>
          <w:tcPr>
            <w:tcW w:w="41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Less: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2"/>
              </w:rPr>
            </w:pPr>
            <w:r>
              <w:rPr>
                <w:rFonts w:ascii="Roboto;sans-serif" w:hAnsi="Roboto;sans-serif"/>
                <w:b w:val="false"/>
                <w:color w:val="000000"/>
                <w:sz w:val="12"/>
              </w:rPr>
              <w:t>51</w:t>
            </w:r>
          </w:p>
        </w:tc>
      </w:tr>
      <w:tr>
        <w:trPr/>
        <w:tc>
          <w:tcPr>
            <w:tcW w:w="412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$433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35000"/>
                <wp:effectExtent l="0" t="0" r="0" b="0"/>
                <wp:wrapNone/>
                <wp:docPr id="61" name="Frame28"/>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6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6" descr=""/>
                                          <pic:cNvPicPr>
                                            <a:picLocks noChangeAspect="1" noChangeArrowheads="1"/>
                                          </pic:cNvPicPr>
                                        </pic:nvPicPr>
                                        <pic:blipFill>
                                          <a:blip r:embed="rId35"/>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6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6" descr=""/>
                                    <pic:cNvPicPr>
                                      <a:picLocks noChangeAspect="1" noChangeArrowheads="1"/>
                                    </pic:cNvPicPr>
                                  </pic:nvPicPr>
                                  <pic:blipFill>
                                    <a:blip r:embed="rId36"/>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57"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7</w:t>
            </w:r>
          </w:p>
        </w:tc>
      </w:tr>
    </w:tbl>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Annuities — Statements of Adjusted Earnings (Unaudited, in millions)</w:t>
      </w:r>
    </w:p>
    <w:tbl>
      <w:tblPr>
        <w:tblW w:w="10205" w:type="dxa"/>
        <w:jc w:val="left"/>
        <w:tblInd w:w="0" w:type="dxa"/>
        <w:tblLayout w:type="fixed"/>
        <w:tblCellMar>
          <w:top w:w="28" w:type="dxa"/>
          <w:left w:w="28" w:type="dxa"/>
          <w:bottom w:w="28" w:type="dxa"/>
          <w:right w:w="28" w:type="dxa"/>
        </w:tblCellMar>
      </w:tblPr>
      <w:tblGrid>
        <w:gridCol w:w="939"/>
        <w:gridCol w:w="826"/>
        <w:gridCol w:w="725"/>
        <w:gridCol w:w="109"/>
        <w:gridCol w:w="109"/>
        <w:gridCol w:w="109"/>
        <w:gridCol w:w="229"/>
        <w:gridCol w:w="221"/>
        <w:gridCol w:w="189"/>
        <w:gridCol w:w="109"/>
        <w:gridCol w:w="109"/>
        <w:gridCol w:w="109"/>
        <w:gridCol w:w="249"/>
        <w:gridCol w:w="224"/>
        <w:gridCol w:w="225"/>
        <w:gridCol w:w="109"/>
        <w:gridCol w:w="109"/>
        <w:gridCol w:w="109"/>
        <w:gridCol w:w="319"/>
        <w:gridCol w:w="319"/>
        <w:gridCol w:w="320"/>
        <w:gridCol w:w="109"/>
        <w:gridCol w:w="109"/>
        <w:gridCol w:w="109"/>
        <w:gridCol w:w="339"/>
        <w:gridCol w:w="339"/>
        <w:gridCol w:w="340"/>
        <w:gridCol w:w="109"/>
        <w:gridCol w:w="109"/>
        <w:gridCol w:w="109"/>
        <w:gridCol w:w="229"/>
        <w:gridCol w:w="221"/>
        <w:gridCol w:w="189"/>
        <w:gridCol w:w="109"/>
        <w:gridCol w:w="109"/>
        <w:gridCol w:w="109"/>
        <w:gridCol w:w="230"/>
        <w:gridCol w:w="230"/>
        <w:gridCol w:w="180"/>
        <w:gridCol w:w="155"/>
        <w:gridCol w:w="155"/>
        <w:gridCol w:w="155"/>
        <w:gridCol w:w="215"/>
        <w:gridCol w:w="215"/>
        <w:gridCol w:w="266"/>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4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16" w:space="0" w:color="0B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65" w:type="dxa"/>
            <w:gridSpan w:val="3"/>
            <w:tcBorders>
              <w:top w:val="single" w:sz="16" w:space="0" w:color="0B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16" w:space="0" w:color="0B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$147</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$125</w:t>
            </w:r>
          </w:p>
        </w:tc>
      </w:tr>
      <w:tr>
        <w:trPr/>
        <w:tc>
          <w:tcPr>
            <w:tcW w:w="24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781</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781</w:t>
            </w:r>
          </w:p>
        </w:tc>
      </w:tr>
      <w:tr>
        <w:trPr/>
        <w:tc>
          <w:tcPr>
            <w:tcW w:w="24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1,570</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1,510</w:t>
            </w:r>
          </w:p>
        </w:tc>
      </w:tr>
      <w:tr>
        <w:trPr/>
        <w:tc>
          <w:tcPr>
            <w:tcW w:w="24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231</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259</w:t>
            </w:r>
          </w:p>
        </w:tc>
      </w:tr>
      <w:tr>
        <w:trPr/>
        <w:tc>
          <w:tcPr>
            <w:tcW w:w="24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$2,729</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$2,675</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$243</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$208</w:t>
            </w:r>
          </w:p>
        </w:tc>
      </w:tr>
      <w:tr>
        <w:trPr/>
        <w:tc>
          <w:tcPr>
            <w:tcW w:w="24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679</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712</w:t>
            </w:r>
          </w:p>
        </w:tc>
      </w:tr>
      <w:tr>
        <w:trPr/>
        <w:tc>
          <w:tcPr>
            <w:tcW w:w="2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274</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253</w:t>
            </w:r>
          </w:p>
        </w:tc>
      </w:tr>
      <w:tr>
        <w:trPr/>
        <w:tc>
          <w:tcPr>
            <w:tcW w:w="24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702</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705</w:t>
            </w:r>
          </w:p>
        </w:tc>
      </w:tr>
      <w:tr>
        <w:trPr/>
        <w:tc>
          <w:tcPr>
            <w:tcW w:w="24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1,898</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1,878</w:t>
            </w:r>
          </w:p>
        </w:tc>
      </w:tr>
      <w:tr>
        <w:trPr/>
        <w:tc>
          <w:tcPr>
            <w:tcW w:w="24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Adjusted earnings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831</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797</w:t>
            </w:r>
          </w:p>
        </w:tc>
      </w:tr>
      <w:tr>
        <w:trPr/>
        <w:tc>
          <w:tcPr>
            <w:tcW w:w="24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158</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151</w:t>
            </w:r>
          </w:p>
        </w:tc>
      </w:tr>
      <w:tr>
        <w:trPr/>
        <w:tc>
          <w:tcPr>
            <w:tcW w:w="24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0B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16" w:space="0" w:color="0B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16" w:space="0" w:color="0B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16" w:space="0" w:color="0B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0B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16" w:space="0" w:color="0B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$673</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16" w:space="0" w:color="0B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$646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35000"/>
                <wp:effectExtent l="0" t="0" r="0" b="0"/>
                <wp:wrapNone/>
                <wp:docPr id="64" name="Frame29"/>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6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 descr=""/>
                                          <pic:cNvPicPr>
                                            <a:picLocks noChangeAspect="1" noChangeArrowheads="1"/>
                                          </pic:cNvPicPr>
                                        </pic:nvPicPr>
                                        <pic:blipFill>
                                          <a:blip r:embed="rId37"/>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6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7" descr=""/>
                                    <pic:cNvPicPr>
                                      <a:picLocks noChangeAspect="1" noChangeArrowheads="1"/>
                                    </pic:cNvPicPr>
                                  </pic:nvPicPr>
                                  <pic:blipFill>
                                    <a:blip r:embed="rId38"/>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57"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8</w:t>
            </w:r>
          </w:p>
        </w:tc>
      </w:tr>
    </w:tbl>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Annuities — Select Operating Metrics (Unaudited, in millions)</w:t>
      </w:r>
    </w:p>
    <w:tbl>
      <w:tblPr>
        <w:tblW w:w="10205" w:type="dxa"/>
        <w:jc w:val="left"/>
        <w:tblInd w:w="0" w:type="dxa"/>
        <w:tblLayout w:type="fixed"/>
        <w:tblCellMar>
          <w:top w:w="28" w:type="dxa"/>
          <w:left w:w="28" w:type="dxa"/>
          <w:bottom w:w="28" w:type="dxa"/>
          <w:right w:w="28" w:type="dxa"/>
        </w:tblCellMar>
      </w:tblPr>
      <w:tblGrid>
        <w:gridCol w:w="1494"/>
        <w:gridCol w:w="1244"/>
        <w:gridCol w:w="1252"/>
        <w:gridCol w:w="109"/>
        <w:gridCol w:w="109"/>
        <w:gridCol w:w="109"/>
        <w:gridCol w:w="259"/>
        <w:gridCol w:w="259"/>
        <w:gridCol w:w="263"/>
        <w:gridCol w:w="109"/>
        <w:gridCol w:w="109"/>
        <w:gridCol w:w="109"/>
        <w:gridCol w:w="274"/>
        <w:gridCol w:w="274"/>
        <w:gridCol w:w="266"/>
        <w:gridCol w:w="109"/>
        <w:gridCol w:w="109"/>
        <w:gridCol w:w="109"/>
        <w:gridCol w:w="348"/>
        <w:gridCol w:w="348"/>
        <w:gridCol w:w="350"/>
        <w:gridCol w:w="109"/>
        <w:gridCol w:w="109"/>
        <w:gridCol w:w="109"/>
        <w:gridCol w:w="368"/>
        <w:gridCol w:w="368"/>
        <w:gridCol w:w="370"/>
        <w:gridCol w:w="109"/>
        <w:gridCol w:w="109"/>
        <w:gridCol w:w="109"/>
        <w:gridCol w:w="240"/>
        <w:gridCol w:w="240"/>
        <w:gridCol w:w="353"/>
      </w:tblGrid>
      <w:tr>
        <w:trPr/>
        <w:tc>
          <w:tcPr>
            <w:tcW w:w="149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r>
      <w:tr>
        <w:trPr/>
        <w:tc>
          <w:tcPr>
            <w:tcW w:w="39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VARIABLE AND SHIELD LEVEL ANNUITIES ACCOUNT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Account value,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$124,228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$129,906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$130,470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$127,180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$120,963</w:t>
            </w:r>
          </w:p>
        </w:tc>
      </w:tr>
      <w:tr>
        <w:trPr/>
        <w:tc>
          <w:tcPr>
            <w:tcW w:w="39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 and deposits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2,188</w:t>
            </w:r>
          </w:p>
        </w:tc>
      </w:tr>
      <w:tr>
        <w:trPr/>
        <w:tc>
          <w:tcPr>
            <w:tcW w:w="39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Withdrawals, surrenders and contract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(4,190)</w:t>
            </w:r>
          </w:p>
        </w:tc>
      </w:tr>
      <w:tr>
        <w:trPr/>
        <w:tc>
          <w:tcPr>
            <w:tcW w:w="39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flows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(2,002)</w:t>
            </w:r>
          </w:p>
        </w:tc>
      </w:tr>
      <w:tr>
        <w:trPr/>
        <w:tc>
          <w:tcPr>
            <w:tcW w:w="39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 performance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11,707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8,758</w:t>
            </w:r>
          </w:p>
        </w:tc>
      </w:tr>
      <w:tr>
        <w:trPr/>
        <w:tc>
          <w:tcPr>
            <w:tcW w:w="39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 charges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(539)</w:t>
            </w:r>
          </w:p>
        </w:tc>
      </w:tr>
      <w:tr>
        <w:trPr/>
        <w:tc>
          <w:tcPr>
            <w:tcW w:w="39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Account value,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$132,977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$124,228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$129,906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$130,470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$127,180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FIXED ANNUITIES ACCOUNT VALUE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Account value,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$17,820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$19,355</w:t>
            </w:r>
          </w:p>
        </w:tc>
      </w:tr>
      <w:tr>
        <w:trPr/>
        <w:tc>
          <w:tcPr>
            <w:tcW w:w="39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 and deposits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504</w:t>
            </w:r>
          </w:p>
        </w:tc>
      </w:tr>
      <w:tr>
        <w:trPr/>
        <w:tc>
          <w:tcPr>
            <w:tcW w:w="39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Withdrawals, surrenders and contract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(688)</w:t>
            </w:r>
          </w:p>
        </w:tc>
      </w:tr>
      <w:tr>
        <w:trPr/>
        <w:tc>
          <w:tcPr>
            <w:tcW w:w="39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flows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(184)</w:t>
            </w:r>
          </w:p>
        </w:tc>
      </w:tr>
      <w:tr>
        <w:trPr/>
        <w:tc>
          <w:tcPr>
            <w:tcW w:w="39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credited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w:t>
            </w:r>
          </w:p>
        </w:tc>
      </w:tr>
      <w:tr>
        <w:trPr/>
        <w:tc>
          <w:tcPr>
            <w:tcW w:w="399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r>
      <w:tr>
        <w:trPr/>
        <w:tc>
          <w:tcPr>
            <w:tcW w:w="39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Account value,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$16,954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$17,820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$19,339</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INSTITUTIONAL GROUP ANNUITIES ACCOUNT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Institutional group annuities account value,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$566</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INCOME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Income annuity insurance liabilities,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$4,645</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(1) Includes general account and separate account.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(2) Includes premiums and deposits directed to the general account investment option of variable products.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(3) Deposits and withdrawals include policy exchanges.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(4) Includes the interest credited on the general account option of variable products.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(5) Includes fixed index annuities.</w:t>
            </w:r>
          </w:p>
        </w:tc>
      </w:tr>
    </w:tbl>
    <w:p>
      <w:pPr>
        <w:pStyle w:val="TextBody"/>
        <w:bidi w:val="0"/>
        <w:spacing w:before="0" w:after="12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605" cy="14605"/>
                <wp:effectExtent l="0" t="0" r="0" b="0"/>
                <wp:wrapNone/>
                <wp:docPr id="67" name="Frame3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39"/>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6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8" descr=""/>
                                    <pic:cNvPicPr>
                                      <a:picLocks noChangeAspect="1" noChangeArrowheads="1"/>
                                    </pic:cNvPicPr>
                                  </pic:nvPicPr>
                                  <pic:blipFill>
                                    <a:blip r:embed="rId40"/>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57"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9</w:t>
            </w:r>
          </w:p>
        </w:tc>
      </w:tr>
    </w:tbl>
    <w:p>
      <w:pPr>
        <w:pStyle w:val="TextBody"/>
        <w:bidi w:val="0"/>
        <w:spacing w:lineRule="auto" w:line="288" w:before="0" w:after="6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Annuities — Select Operating Metrics (Cont.) (Unaudited, in millions)</w:t>
      </w:r>
    </w:p>
    <w:tbl>
      <w:tblPr>
        <w:tblW w:w="10205" w:type="dxa"/>
        <w:jc w:val="left"/>
        <w:tblInd w:w="0" w:type="dxa"/>
        <w:tblLayout w:type="fixed"/>
        <w:tblCellMar>
          <w:top w:w="28" w:type="dxa"/>
          <w:left w:w="28" w:type="dxa"/>
          <w:bottom w:w="28" w:type="dxa"/>
          <w:right w:w="28" w:type="dxa"/>
        </w:tblCellMar>
      </w:tblPr>
      <w:tblGrid>
        <w:gridCol w:w="858"/>
        <w:gridCol w:w="743"/>
        <w:gridCol w:w="748"/>
        <w:gridCol w:w="109"/>
        <w:gridCol w:w="109"/>
        <w:gridCol w:w="109"/>
        <w:gridCol w:w="229"/>
        <w:gridCol w:w="223"/>
        <w:gridCol w:w="196"/>
        <w:gridCol w:w="109"/>
        <w:gridCol w:w="109"/>
        <w:gridCol w:w="109"/>
        <w:gridCol w:w="253"/>
        <w:gridCol w:w="233"/>
        <w:gridCol w:w="234"/>
        <w:gridCol w:w="109"/>
        <w:gridCol w:w="109"/>
        <w:gridCol w:w="109"/>
        <w:gridCol w:w="328"/>
        <w:gridCol w:w="328"/>
        <w:gridCol w:w="329"/>
        <w:gridCol w:w="109"/>
        <w:gridCol w:w="109"/>
        <w:gridCol w:w="109"/>
        <w:gridCol w:w="348"/>
        <w:gridCol w:w="348"/>
        <w:gridCol w:w="349"/>
        <w:gridCol w:w="109"/>
        <w:gridCol w:w="109"/>
        <w:gridCol w:w="109"/>
        <w:gridCol w:w="229"/>
        <w:gridCol w:w="223"/>
        <w:gridCol w:w="196"/>
        <w:gridCol w:w="109"/>
        <w:gridCol w:w="109"/>
        <w:gridCol w:w="109"/>
        <w:gridCol w:w="230"/>
        <w:gridCol w:w="230"/>
        <w:gridCol w:w="189"/>
        <w:gridCol w:w="166"/>
        <w:gridCol w:w="166"/>
        <w:gridCol w:w="166"/>
        <w:gridCol w:w="215"/>
        <w:gridCol w:w="215"/>
        <w:gridCol w:w="271"/>
      </w:tblGrid>
      <w:tr>
        <w:trPr/>
        <w:tc>
          <w:tcPr>
            <w:tcW w:w="85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34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VARIABLE AND SHIELD LEVEL ANNUITY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98"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Shield Level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$3,987</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$3,882</w:t>
            </w:r>
          </w:p>
        </w:tc>
      </w:tr>
      <w:tr>
        <w:trPr/>
        <w:tc>
          <w:tcPr>
            <w:tcW w:w="2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GMWB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217</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212</w:t>
            </w:r>
          </w:p>
        </w:tc>
      </w:tr>
      <w:tr>
        <w:trPr/>
        <w:tc>
          <w:tcPr>
            <w:tcW w:w="2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GMDB only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115</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125</w:t>
            </w:r>
          </w:p>
        </w:tc>
      </w:tr>
      <w:tr>
        <w:trPr/>
        <w:tc>
          <w:tcPr>
            <w:tcW w:w="2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GMIB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r>
      <w:tr>
        <w:trPr/>
        <w:tc>
          <w:tcPr>
            <w:tcW w:w="234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variable and Shield Level annuity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$2,292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$4,325</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$4,227</w:t>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FIXED AND INCOME ANNUITY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Fixed index annuities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$154</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$115</w:t>
            </w:r>
          </w:p>
        </w:tc>
      </w:tr>
      <w:tr>
        <w:trPr/>
        <w:tc>
          <w:tcPr>
            <w:tcW w:w="2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Fixed deferred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119</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515</w:t>
            </w:r>
          </w:p>
        </w:tc>
      </w:tr>
      <w:tr>
        <w:trPr/>
        <w:tc>
          <w:tcPr>
            <w:tcW w:w="2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Single premium immediate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r>
      <w:tr>
        <w:trPr/>
        <w:tc>
          <w:tcPr>
            <w:tcW w:w="23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fixed and income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r>
      <w:tr>
        <w:trPr/>
        <w:tc>
          <w:tcPr>
            <w:tcW w:w="234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fixed and income annuity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$278</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$642</w:t>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(1) Shield Level Annuities refers to our suite of structured annuities consisting of products marketed under various names.</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(2) Represents 100% of gross sales on directly written business and the proportion of assumed gross sales under reinsurance agreements.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35000"/>
                <wp:effectExtent l="0" t="0" r="0" b="0"/>
                <wp:wrapNone/>
                <wp:docPr id="70" name="Frame31"/>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7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9" descr=""/>
                                          <pic:cNvPicPr>
                                            <a:picLocks noChangeAspect="1" noChangeArrowheads="1"/>
                                          </pic:cNvPicPr>
                                        </pic:nvPicPr>
                                        <pic:blipFill>
                                          <a:blip r:embed="rId41"/>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7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9" descr=""/>
                                    <pic:cNvPicPr>
                                      <a:picLocks noChangeAspect="1" noChangeArrowheads="1"/>
                                    </pic:cNvPicPr>
                                  </pic:nvPicPr>
                                  <pic:blipFill>
                                    <a:blip r:embed="rId42"/>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10</w:t>
            </w:r>
          </w:p>
        </w:tc>
      </w:tr>
    </w:tbl>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Life — Statements of Adjusted Earnings (Unaudited, in millions)</w:t>
      </w:r>
    </w:p>
    <w:tbl>
      <w:tblPr>
        <w:tblW w:w="10205" w:type="dxa"/>
        <w:jc w:val="left"/>
        <w:tblInd w:w="0" w:type="dxa"/>
        <w:tblLayout w:type="fixed"/>
        <w:tblCellMar>
          <w:top w:w="28" w:type="dxa"/>
          <w:left w:w="28" w:type="dxa"/>
          <w:bottom w:w="28" w:type="dxa"/>
          <w:right w:w="28" w:type="dxa"/>
        </w:tblCellMar>
      </w:tblPr>
      <w:tblGrid>
        <w:gridCol w:w="1016"/>
        <w:gridCol w:w="893"/>
        <w:gridCol w:w="803"/>
        <w:gridCol w:w="109"/>
        <w:gridCol w:w="109"/>
        <w:gridCol w:w="109"/>
        <w:gridCol w:w="191"/>
        <w:gridCol w:w="191"/>
        <w:gridCol w:w="193"/>
        <w:gridCol w:w="109"/>
        <w:gridCol w:w="109"/>
        <w:gridCol w:w="109"/>
        <w:gridCol w:w="228"/>
        <w:gridCol w:w="228"/>
        <w:gridCol w:w="230"/>
        <w:gridCol w:w="109"/>
        <w:gridCol w:w="109"/>
        <w:gridCol w:w="109"/>
        <w:gridCol w:w="323"/>
        <w:gridCol w:w="323"/>
        <w:gridCol w:w="325"/>
        <w:gridCol w:w="109"/>
        <w:gridCol w:w="109"/>
        <w:gridCol w:w="109"/>
        <w:gridCol w:w="343"/>
        <w:gridCol w:w="343"/>
        <w:gridCol w:w="345"/>
        <w:gridCol w:w="109"/>
        <w:gridCol w:w="109"/>
        <w:gridCol w:w="109"/>
        <w:gridCol w:w="191"/>
        <w:gridCol w:w="191"/>
        <w:gridCol w:w="193"/>
        <w:gridCol w:w="109"/>
        <w:gridCol w:w="109"/>
        <w:gridCol w:w="109"/>
        <w:gridCol w:w="222"/>
        <w:gridCol w:w="185"/>
        <w:gridCol w:w="168"/>
        <w:gridCol w:w="161"/>
        <w:gridCol w:w="161"/>
        <w:gridCol w:w="161"/>
        <w:gridCol w:w="215"/>
        <w:gridCol w:w="178"/>
        <w:gridCol w:w="24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71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83"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$183</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$225</w:t>
            </w:r>
          </w:p>
        </w:tc>
      </w:tr>
      <w:tr>
        <w:trPr/>
        <w:tc>
          <w:tcPr>
            <w:tcW w:w="271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137</w:t>
            </w:r>
          </w:p>
        </w:tc>
      </w:tr>
      <w:tr>
        <w:trPr/>
        <w:tc>
          <w:tcPr>
            <w:tcW w:w="271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164</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204</w:t>
            </w:r>
          </w:p>
        </w:tc>
      </w:tr>
      <w:tr>
        <w:trPr/>
        <w:tc>
          <w:tcPr>
            <w:tcW w:w="271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r>
      <w:tr>
        <w:trPr/>
        <w:tc>
          <w:tcPr>
            <w:tcW w:w="271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$501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$574</w:t>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$318</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$400</w:t>
            </w:r>
          </w:p>
        </w:tc>
      </w:tr>
      <w:tr>
        <w:trPr/>
        <w:tc>
          <w:tcPr>
            <w:tcW w:w="271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w:t>
            </w:r>
          </w:p>
        </w:tc>
      </w:tr>
      <w:tr>
        <w:trPr/>
        <w:tc>
          <w:tcPr>
            <w:tcW w:w="271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w:t>
            </w:r>
          </w:p>
        </w:tc>
      </w:tr>
      <w:tr>
        <w:trPr/>
        <w:tc>
          <w:tcPr>
            <w:tcW w:w="271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71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99</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98</w:t>
            </w:r>
          </w:p>
        </w:tc>
      </w:tr>
      <w:tr>
        <w:trPr/>
        <w:tc>
          <w:tcPr>
            <w:tcW w:w="271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516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597</w:t>
            </w:r>
          </w:p>
        </w:tc>
      </w:tr>
      <w:tr>
        <w:trPr/>
        <w:tc>
          <w:tcPr>
            <w:tcW w:w="271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Adjusted earnings (loss)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w:t>
            </w:r>
          </w:p>
        </w:tc>
      </w:tr>
      <w:tr>
        <w:trPr/>
        <w:tc>
          <w:tcPr>
            <w:tcW w:w="271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r>
      <w:tr>
        <w:trPr/>
        <w:tc>
          <w:tcPr>
            <w:tcW w:w="271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35000"/>
                <wp:effectExtent l="0" t="0" r="0" b="0"/>
                <wp:wrapNone/>
                <wp:docPr id="73" name="Frame32"/>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7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0" descr=""/>
                                          <pic:cNvPicPr>
                                            <a:picLocks noChangeAspect="1" noChangeArrowheads="1"/>
                                          </pic:cNvPicPr>
                                        </pic:nvPicPr>
                                        <pic:blipFill>
                                          <a:blip r:embed="rId43"/>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7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0" descr=""/>
                                    <pic:cNvPicPr>
                                      <a:picLocks noChangeAspect="1" noChangeArrowheads="1"/>
                                    </pic:cNvPicPr>
                                  </pic:nvPicPr>
                                  <pic:blipFill>
                                    <a:blip r:embed="rId44"/>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11</w:t>
            </w:r>
          </w:p>
        </w:tc>
      </w:tr>
    </w:tbl>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Life — Select Operating Metrics (Unaudited, in millions)</w:t>
      </w:r>
    </w:p>
    <w:tbl>
      <w:tblPr>
        <w:tblW w:w="10205" w:type="dxa"/>
        <w:jc w:val="left"/>
        <w:tblInd w:w="0" w:type="dxa"/>
        <w:tblLayout w:type="fixed"/>
        <w:tblCellMar>
          <w:top w:w="28" w:type="dxa"/>
          <w:left w:w="28" w:type="dxa"/>
          <w:bottom w:w="28" w:type="dxa"/>
          <w:right w:w="28" w:type="dxa"/>
        </w:tblCellMar>
      </w:tblPr>
      <w:tblGrid>
        <w:gridCol w:w="1570"/>
        <w:gridCol w:w="1342"/>
        <w:gridCol w:w="1353"/>
        <w:gridCol w:w="109"/>
        <w:gridCol w:w="109"/>
        <w:gridCol w:w="109"/>
        <w:gridCol w:w="229"/>
        <w:gridCol w:w="225"/>
        <w:gridCol w:w="213"/>
        <w:gridCol w:w="109"/>
        <w:gridCol w:w="109"/>
        <w:gridCol w:w="109"/>
        <w:gridCol w:w="263"/>
        <w:gridCol w:w="252"/>
        <w:gridCol w:w="254"/>
        <w:gridCol w:w="109"/>
        <w:gridCol w:w="109"/>
        <w:gridCol w:w="109"/>
        <w:gridCol w:w="347"/>
        <w:gridCol w:w="347"/>
        <w:gridCol w:w="349"/>
        <w:gridCol w:w="109"/>
        <w:gridCol w:w="109"/>
        <w:gridCol w:w="109"/>
        <w:gridCol w:w="367"/>
        <w:gridCol w:w="367"/>
        <w:gridCol w:w="369"/>
        <w:gridCol w:w="109"/>
        <w:gridCol w:w="109"/>
        <w:gridCol w:w="109"/>
        <w:gridCol w:w="214"/>
        <w:gridCol w:w="214"/>
        <w:gridCol w:w="295"/>
      </w:tblGrid>
      <w:tr>
        <w:trPr/>
        <w:tc>
          <w:tcPr>
            <w:tcW w:w="157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r>
      <w:tr>
        <w:trPr/>
        <w:tc>
          <w:tcPr>
            <w:tcW w:w="426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LIFE ACCOUNT VALUE: GENERAL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4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Universal and variable universal life account value,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$2,597</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 and deposits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62</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Withdrawals, surrenders and contract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w:t>
            </w:r>
          </w:p>
        </w:tc>
      </w:tr>
      <w:tr>
        <w:trPr/>
        <w:tc>
          <w:tcPr>
            <w:tcW w:w="426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transfers from (to) separate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credited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 xml:space="preserve">Policy charges and 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w:t>
            </w:r>
          </w:p>
        </w:tc>
      </w:tr>
      <w:tr>
        <w:trPr/>
        <w:tc>
          <w:tcPr>
            <w:tcW w:w="426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Universal and variable universal life account value,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$2,605</w:t>
            </w:r>
          </w:p>
        </w:tc>
      </w:tr>
      <w:tr>
        <w:trPr/>
        <w:tc>
          <w:tcPr>
            <w:tcW w:w="4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LIFE ACCOUNT VALUE: SEPARATE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Variable universal life account value,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$6,497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$6,860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$6,859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$6,632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$6,125</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 and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Withdrawals, surrenders and contract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(71)</w:t>
            </w:r>
          </w:p>
        </w:tc>
      </w:tr>
      <w:tr>
        <w:trPr/>
        <w:tc>
          <w:tcPr>
            <w:tcW w:w="426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605</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transfers from (to) general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r>
      <w:tr>
        <w:trPr/>
        <w:tc>
          <w:tcPr>
            <w:tcW w:w="42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 charges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w:t>
            </w:r>
          </w:p>
        </w:tc>
      </w:tr>
      <w:tr>
        <w:trPr/>
        <w:tc>
          <w:tcPr>
            <w:tcW w:w="426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Variable universal life account value,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$6,497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$6,860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$6,859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$6,632</w:t>
            </w:r>
          </w:p>
        </w:tc>
      </w:tr>
      <w:tr>
        <w:trPr/>
        <w:tc>
          <w:tcPr>
            <w:tcW w:w="4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(1) Includes premiums and deposits directed to the general account investment option of variable products.</w:t>
            </w:r>
          </w:p>
        </w:tc>
      </w:tr>
    </w:tbl>
    <w:p>
      <w:pPr>
        <w:pStyle w:val="TextBody"/>
        <w:bidi w:val="0"/>
        <w:spacing w:before="0" w:after="12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35000"/>
                <wp:effectExtent l="0" t="0" r="0" b="0"/>
                <wp:wrapNone/>
                <wp:docPr id="76" name="Frame33"/>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7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1" descr=""/>
                                          <pic:cNvPicPr>
                                            <a:picLocks noChangeAspect="1" noChangeArrowheads="1"/>
                                          </pic:cNvPicPr>
                                        </pic:nvPicPr>
                                        <pic:blipFill>
                                          <a:blip r:embed="rId45"/>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7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1" descr=""/>
                                    <pic:cNvPicPr>
                                      <a:picLocks noChangeAspect="1" noChangeArrowheads="1"/>
                                    </pic:cNvPicPr>
                                  </pic:nvPicPr>
                                  <pic:blipFill>
                                    <a:blip r:embed="rId46"/>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12</w:t>
            </w:r>
          </w:p>
        </w:tc>
      </w:tr>
    </w:tbl>
    <w:p>
      <w:pPr>
        <w:pStyle w:val="TextBody"/>
        <w:bidi w:val="0"/>
        <w:spacing w:lineRule="auto" w:line="288" w:before="0" w:after="6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Life — Select Operating Metrics (Cont.) (Unaudited, in millions)</w:t>
      </w:r>
    </w:p>
    <w:tbl>
      <w:tblPr>
        <w:tblW w:w="9680" w:type="dxa"/>
        <w:jc w:val="left"/>
        <w:tblInd w:w="0" w:type="dxa"/>
        <w:tblLayout w:type="fixed"/>
        <w:tblCellMar>
          <w:top w:w="28" w:type="dxa"/>
          <w:left w:w="28" w:type="dxa"/>
          <w:bottom w:w="28" w:type="dxa"/>
          <w:right w:w="28" w:type="dxa"/>
        </w:tblCellMar>
      </w:tblPr>
      <w:tblGrid>
        <w:gridCol w:w="423"/>
        <w:gridCol w:w="371"/>
        <w:gridCol w:w="375"/>
        <w:gridCol w:w="109"/>
        <w:gridCol w:w="109"/>
        <w:gridCol w:w="109"/>
        <w:gridCol w:w="229"/>
        <w:gridCol w:w="229"/>
        <w:gridCol w:w="231"/>
        <w:gridCol w:w="109"/>
        <w:gridCol w:w="109"/>
        <w:gridCol w:w="109"/>
        <w:gridCol w:w="274"/>
        <w:gridCol w:w="274"/>
        <w:gridCol w:w="276"/>
        <w:gridCol w:w="109"/>
        <w:gridCol w:w="109"/>
        <w:gridCol w:w="109"/>
        <w:gridCol w:w="369"/>
        <w:gridCol w:w="369"/>
        <w:gridCol w:w="371"/>
        <w:gridCol w:w="109"/>
        <w:gridCol w:w="109"/>
        <w:gridCol w:w="109"/>
        <w:gridCol w:w="389"/>
        <w:gridCol w:w="389"/>
        <w:gridCol w:w="391"/>
        <w:gridCol w:w="109"/>
        <w:gridCol w:w="109"/>
        <w:gridCol w:w="109"/>
        <w:gridCol w:w="229"/>
        <w:gridCol w:w="229"/>
        <w:gridCol w:w="231"/>
        <w:gridCol w:w="109"/>
        <w:gridCol w:w="109"/>
        <w:gridCol w:w="109"/>
        <w:gridCol w:w="230"/>
        <w:gridCol w:w="230"/>
        <w:gridCol w:w="230"/>
        <w:gridCol w:w="215"/>
        <w:gridCol w:w="215"/>
        <w:gridCol w:w="215"/>
        <w:gridCol w:w="215"/>
        <w:gridCol w:w="215"/>
        <w:gridCol w:w="304"/>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116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LIFE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645"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Total life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$71</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w:t>
            </w:r>
          </w:p>
        </w:tc>
      </w:tr>
    </w:tbl>
    <w:tbl>
      <w:tblPr>
        <w:tblW w:w="9509" w:type="dxa"/>
        <w:jc w:val="left"/>
        <w:tblInd w:w="0" w:type="dxa"/>
        <w:tblLayout w:type="fixed"/>
        <w:tblCellMar>
          <w:top w:w="28" w:type="dxa"/>
          <w:left w:w="28" w:type="dxa"/>
          <w:bottom w:w="28" w:type="dxa"/>
          <w:right w:w="28" w:type="dxa"/>
        </w:tblCellMar>
      </w:tblPr>
      <w:tblGrid>
        <w:gridCol w:w="1146"/>
        <w:gridCol w:w="1006"/>
        <w:gridCol w:w="1013"/>
        <w:gridCol w:w="109"/>
        <w:gridCol w:w="109"/>
        <w:gridCol w:w="109"/>
        <w:gridCol w:w="258"/>
        <w:gridCol w:w="258"/>
        <w:gridCol w:w="265"/>
        <w:gridCol w:w="109"/>
        <w:gridCol w:w="109"/>
        <w:gridCol w:w="109"/>
        <w:gridCol w:w="274"/>
        <w:gridCol w:w="274"/>
        <w:gridCol w:w="276"/>
        <w:gridCol w:w="109"/>
        <w:gridCol w:w="109"/>
        <w:gridCol w:w="109"/>
        <w:gridCol w:w="369"/>
        <w:gridCol w:w="369"/>
        <w:gridCol w:w="371"/>
        <w:gridCol w:w="109"/>
        <w:gridCol w:w="109"/>
        <w:gridCol w:w="109"/>
        <w:gridCol w:w="389"/>
        <w:gridCol w:w="389"/>
        <w:gridCol w:w="391"/>
        <w:gridCol w:w="109"/>
        <w:gridCol w:w="109"/>
        <w:gridCol w:w="109"/>
        <w:gridCol w:w="240"/>
        <w:gridCol w:w="240"/>
        <w:gridCol w:w="346"/>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As of</w:t>
            </w:r>
          </w:p>
        </w:tc>
      </w:tr>
      <w:tr>
        <w:trPr/>
        <w:tc>
          <w:tcPr>
            <w:tcW w:w="316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val="false"/>
                <w:color w:val="000000"/>
                <w:sz w:val="14"/>
              </w:rPr>
            </w:pPr>
            <w:r>
              <w:rPr>
                <w:rFonts w:ascii="Roboto Black;sans-serif" w:hAnsi="Roboto Black;sans-serif"/>
                <w:b w:val="false"/>
                <w:color w:val="000000"/>
                <w:sz w:val="14"/>
              </w:rPr>
              <w:t>LIFE INSURANCE IN-FORCE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val="false"/>
                <w:color w:val="000000"/>
                <w:sz w:val="14"/>
              </w:rPr>
            </w:pPr>
            <w:r>
              <w:rPr>
                <w:rFonts w:ascii="Roboto Black;sans-serif" w:hAnsi="Roboto Black;sans-serif"/>
                <w:b w:val="false"/>
                <w:color w:val="000000"/>
                <w:sz w:val="14"/>
              </w:rPr>
              <w:t>Whole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 Insurance in-force, before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$15,754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$15,931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$16,280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$16,441</w:t>
            </w:r>
          </w:p>
        </w:tc>
      </w:tr>
      <w:tr>
        <w:trPr/>
        <w:tc>
          <w:tcPr>
            <w:tcW w:w="31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 Insurance in-force, net of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$2,818</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val="false"/>
                <w:color w:val="000000"/>
                <w:sz w:val="14"/>
              </w:rPr>
            </w:pPr>
            <w:r>
              <w:rPr>
                <w:rFonts w:ascii="Roboto Black;sans-serif" w:hAnsi="Roboto Black;sans-serif"/>
                <w:b w:val="false"/>
                <w:color w:val="000000"/>
                <w:sz w:val="14"/>
              </w:rPr>
              <w:t>Term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 Insurance in-force, before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$300,615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$306,263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$312,477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$319,061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$325,210</w:t>
            </w:r>
          </w:p>
        </w:tc>
      </w:tr>
      <w:tr>
        <w:trPr/>
        <w:tc>
          <w:tcPr>
            <w:tcW w:w="31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 Insurance in-force, net of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$249,861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$253,538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$258,169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$263,178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$267,845</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val="false"/>
                <w:color w:val="000000"/>
                <w:sz w:val="14"/>
              </w:rPr>
            </w:pPr>
            <w:r>
              <w:rPr>
                <w:rFonts w:ascii="Roboto Black;sans-serif" w:hAnsi="Roboto Black;sans-serif"/>
                <w:b w:val="false"/>
                <w:color w:val="000000"/>
                <w:sz w:val="14"/>
              </w:rPr>
              <w:t>Universal and Variable Universal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 Insurance in-force, before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$40,451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$41,726</w:t>
            </w:r>
          </w:p>
        </w:tc>
      </w:tr>
      <w:tr>
        <w:trPr/>
        <w:tc>
          <w:tcPr>
            <w:tcW w:w="31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 Insurance in-force, net of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$30,886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$32,026</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35000"/>
                <wp:effectExtent l="0" t="0" r="0" b="0"/>
                <wp:wrapNone/>
                <wp:docPr id="79" name="Frame34"/>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8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2" descr=""/>
                                          <pic:cNvPicPr>
                                            <a:picLocks noChangeAspect="1" noChangeArrowheads="1"/>
                                          </pic:cNvPicPr>
                                        </pic:nvPicPr>
                                        <pic:blipFill>
                                          <a:blip r:embed="rId47"/>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8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2" descr=""/>
                                    <pic:cNvPicPr>
                                      <a:picLocks noChangeAspect="1" noChangeArrowheads="1"/>
                                    </pic:cNvPicPr>
                                  </pic:nvPicPr>
                                  <pic:blipFill>
                                    <a:blip r:embed="rId48"/>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13</w:t>
            </w:r>
          </w:p>
        </w:tc>
      </w:tr>
    </w:tbl>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Run-off — Statements of Adjusted Earnings (Unaudited, in millions)</w:t>
      </w:r>
    </w:p>
    <w:tbl>
      <w:tblPr>
        <w:tblW w:w="10205" w:type="dxa"/>
        <w:jc w:val="left"/>
        <w:tblInd w:w="0" w:type="dxa"/>
        <w:tblLayout w:type="fixed"/>
        <w:tblCellMar>
          <w:top w:w="28" w:type="dxa"/>
          <w:left w:w="28" w:type="dxa"/>
          <w:bottom w:w="28" w:type="dxa"/>
          <w:right w:w="28" w:type="dxa"/>
        </w:tblCellMar>
      </w:tblPr>
      <w:tblGrid>
        <w:gridCol w:w="1004"/>
        <w:gridCol w:w="882"/>
        <w:gridCol w:w="789"/>
        <w:gridCol w:w="109"/>
        <w:gridCol w:w="109"/>
        <w:gridCol w:w="109"/>
        <w:gridCol w:w="190"/>
        <w:gridCol w:w="190"/>
        <w:gridCol w:w="192"/>
        <w:gridCol w:w="109"/>
        <w:gridCol w:w="109"/>
        <w:gridCol w:w="109"/>
        <w:gridCol w:w="227"/>
        <w:gridCol w:w="227"/>
        <w:gridCol w:w="229"/>
        <w:gridCol w:w="109"/>
        <w:gridCol w:w="109"/>
        <w:gridCol w:w="109"/>
        <w:gridCol w:w="322"/>
        <w:gridCol w:w="322"/>
        <w:gridCol w:w="324"/>
        <w:gridCol w:w="109"/>
        <w:gridCol w:w="109"/>
        <w:gridCol w:w="109"/>
        <w:gridCol w:w="342"/>
        <w:gridCol w:w="342"/>
        <w:gridCol w:w="344"/>
        <w:gridCol w:w="109"/>
        <w:gridCol w:w="109"/>
        <w:gridCol w:w="109"/>
        <w:gridCol w:w="190"/>
        <w:gridCol w:w="190"/>
        <w:gridCol w:w="192"/>
        <w:gridCol w:w="109"/>
        <w:gridCol w:w="109"/>
        <w:gridCol w:w="109"/>
        <w:gridCol w:w="230"/>
        <w:gridCol w:w="207"/>
        <w:gridCol w:w="167"/>
        <w:gridCol w:w="160"/>
        <w:gridCol w:w="160"/>
        <w:gridCol w:w="160"/>
        <w:gridCol w:w="215"/>
        <w:gridCol w:w="208"/>
        <w:gridCol w:w="238"/>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6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8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r>
      <w:tr>
        <w:trPr/>
        <w:tc>
          <w:tcPr>
            <w:tcW w:w="26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178</w:t>
            </w:r>
          </w:p>
        </w:tc>
      </w:tr>
      <w:tr>
        <w:trPr/>
        <w:tc>
          <w:tcPr>
            <w:tcW w:w="26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555</w:t>
            </w:r>
          </w:p>
        </w:tc>
      </w:tr>
      <w:tr>
        <w:trPr/>
        <w:tc>
          <w:tcPr>
            <w:tcW w:w="26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w:t>
            </w:r>
          </w:p>
        </w:tc>
      </w:tr>
      <w:tr>
        <w:trPr/>
        <w:tc>
          <w:tcPr>
            <w:tcW w:w="26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$702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$749</w:t>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$667</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$752</w:t>
            </w:r>
          </w:p>
        </w:tc>
      </w:tr>
      <w:tr>
        <w:trPr/>
        <w:tc>
          <w:tcPr>
            <w:tcW w:w="26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118</w:t>
            </w:r>
          </w:p>
        </w:tc>
      </w:tr>
      <w:tr>
        <w:trPr/>
        <w:tc>
          <w:tcPr>
            <w:tcW w:w="267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65</w:t>
            </w:r>
          </w:p>
        </w:tc>
      </w:tr>
      <w:tr>
        <w:trPr/>
        <w:tc>
          <w:tcPr>
            <w:tcW w:w="26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833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935</w:t>
            </w:r>
          </w:p>
        </w:tc>
      </w:tr>
      <w:tr>
        <w:trPr/>
        <w:tc>
          <w:tcPr>
            <w:tcW w:w="26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Adjusted earnings (loss)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(186)</w:t>
            </w:r>
          </w:p>
        </w:tc>
      </w:tr>
      <w:tr>
        <w:trPr/>
        <w:tc>
          <w:tcPr>
            <w:tcW w:w="267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r>
      <w:tr>
        <w:trPr/>
        <w:tc>
          <w:tcPr>
            <w:tcW w:w="267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$(104)</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$(147)</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35000"/>
                <wp:effectExtent l="0" t="0" r="0" b="0"/>
                <wp:wrapNone/>
                <wp:docPr id="82" name="Frame35"/>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8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3" descr=""/>
                                          <pic:cNvPicPr>
                                            <a:picLocks noChangeAspect="1" noChangeArrowheads="1"/>
                                          </pic:cNvPicPr>
                                        </pic:nvPicPr>
                                        <pic:blipFill>
                                          <a:blip r:embed="rId49"/>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8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3" descr=""/>
                                    <pic:cNvPicPr>
                                      <a:picLocks noChangeAspect="1" noChangeArrowheads="1"/>
                                    </pic:cNvPicPr>
                                  </pic:nvPicPr>
                                  <pic:blipFill>
                                    <a:blip r:embed="rId50"/>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14</w:t>
            </w:r>
          </w:p>
        </w:tc>
      </w:tr>
    </w:tbl>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Run-off — Select Operating Metrics (Unaudited, in millions)</w:t>
      </w:r>
    </w:p>
    <w:tbl>
      <w:tblPr>
        <w:tblW w:w="10205" w:type="dxa"/>
        <w:jc w:val="left"/>
        <w:tblInd w:w="0" w:type="dxa"/>
        <w:tblLayout w:type="fixed"/>
        <w:tblCellMar>
          <w:top w:w="28" w:type="dxa"/>
          <w:left w:w="28" w:type="dxa"/>
          <w:bottom w:w="28" w:type="dxa"/>
          <w:right w:w="28" w:type="dxa"/>
        </w:tblCellMar>
      </w:tblPr>
      <w:tblGrid>
        <w:gridCol w:w="1541"/>
        <w:gridCol w:w="1352"/>
        <w:gridCol w:w="1360"/>
        <w:gridCol w:w="109"/>
        <w:gridCol w:w="109"/>
        <w:gridCol w:w="109"/>
        <w:gridCol w:w="229"/>
        <w:gridCol w:w="226"/>
        <w:gridCol w:w="214"/>
        <w:gridCol w:w="109"/>
        <w:gridCol w:w="109"/>
        <w:gridCol w:w="109"/>
        <w:gridCol w:w="264"/>
        <w:gridCol w:w="254"/>
        <w:gridCol w:w="255"/>
        <w:gridCol w:w="109"/>
        <w:gridCol w:w="109"/>
        <w:gridCol w:w="109"/>
        <w:gridCol w:w="349"/>
        <w:gridCol w:w="349"/>
        <w:gridCol w:w="350"/>
        <w:gridCol w:w="109"/>
        <w:gridCol w:w="109"/>
        <w:gridCol w:w="109"/>
        <w:gridCol w:w="369"/>
        <w:gridCol w:w="369"/>
        <w:gridCol w:w="370"/>
        <w:gridCol w:w="109"/>
        <w:gridCol w:w="109"/>
        <w:gridCol w:w="109"/>
        <w:gridCol w:w="214"/>
        <w:gridCol w:w="214"/>
        <w:gridCol w:w="291"/>
      </w:tblGrid>
      <w:tr>
        <w:trPr/>
        <w:tc>
          <w:tcPr>
            <w:tcW w:w="154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r>
      <w:tr>
        <w:trPr/>
        <w:tc>
          <w:tcPr>
            <w:tcW w:w="4253"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UNIVERSAL LIFE WITH SECONDARY GUARANTEES ACCOUNT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4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Account value,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$4,710</w:t>
            </w:r>
          </w:p>
        </w:tc>
      </w:tr>
      <w:tr>
        <w:trPr/>
        <w:tc>
          <w:tcPr>
            <w:tcW w:w="425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 and deposits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156</w:t>
            </w:r>
          </w:p>
        </w:tc>
      </w:tr>
      <w:tr>
        <w:trPr/>
        <w:tc>
          <w:tcPr>
            <w:tcW w:w="425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Withdrawals, surrenders and contract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(42)</w:t>
            </w:r>
          </w:p>
        </w:tc>
      </w:tr>
      <w:tr>
        <w:trPr/>
        <w:tc>
          <w:tcPr>
            <w:tcW w:w="4253"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114</w:t>
            </w:r>
          </w:p>
        </w:tc>
      </w:tr>
      <w:tr>
        <w:trPr/>
        <w:tc>
          <w:tcPr>
            <w:tcW w:w="425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credited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r>
      <w:tr>
        <w:trPr/>
        <w:tc>
          <w:tcPr>
            <w:tcW w:w="425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 charges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(244)</w:t>
            </w:r>
          </w:p>
        </w:tc>
      </w:tr>
      <w:tr>
        <w:trPr/>
        <w:tc>
          <w:tcPr>
            <w:tcW w:w="4253"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Account value,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$4,619</w:t>
            </w:r>
          </w:p>
        </w:tc>
      </w:tr>
    </w:tbl>
    <w:tbl>
      <w:tblPr>
        <w:tblW w:w="9358" w:type="dxa"/>
        <w:jc w:val="left"/>
        <w:tblInd w:w="0" w:type="dxa"/>
        <w:tblLayout w:type="fixed"/>
        <w:tblCellMar>
          <w:top w:w="28" w:type="dxa"/>
          <w:left w:w="28" w:type="dxa"/>
          <w:bottom w:w="28" w:type="dxa"/>
          <w:right w:w="28" w:type="dxa"/>
        </w:tblCellMar>
      </w:tblPr>
      <w:tblGrid>
        <w:gridCol w:w="1156"/>
        <w:gridCol w:w="1016"/>
        <w:gridCol w:w="1022"/>
        <w:gridCol w:w="109"/>
        <w:gridCol w:w="109"/>
        <w:gridCol w:w="109"/>
        <w:gridCol w:w="229"/>
        <w:gridCol w:w="229"/>
        <w:gridCol w:w="233"/>
        <w:gridCol w:w="109"/>
        <w:gridCol w:w="109"/>
        <w:gridCol w:w="109"/>
        <w:gridCol w:w="274"/>
        <w:gridCol w:w="274"/>
        <w:gridCol w:w="276"/>
        <w:gridCol w:w="109"/>
        <w:gridCol w:w="109"/>
        <w:gridCol w:w="109"/>
        <w:gridCol w:w="369"/>
        <w:gridCol w:w="369"/>
        <w:gridCol w:w="371"/>
        <w:gridCol w:w="109"/>
        <w:gridCol w:w="109"/>
        <w:gridCol w:w="109"/>
        <w:gridCol w:w="389"/>
        <w:gridCol w:w="389"/>
        <w:gridCol w:w="391"/>
        <w:gridCol w:w="109"/>
        <w:gridCol w:w="109"/>
        <w:gridCol w:w="109"/>
        <w:gridCol w:w="214"/>
        <w:gridCol w:w="214"/>
        <w:gridCol w:w="308"/>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As of</w:t>
            </w:r>
          </w:p>
        </w:tc>
      </w:tr>
      <w:tr>
        <w:trPr/>
        <w:tc>
          <w:tcPr>
            <w:tcW w:w="319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LIFE INSURANCE IN-FORCE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Universal Life with Secondary Guarantees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 Insurance in-force, before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$65,481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$65,867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$66,293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$66,904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$67,445</w:t>
            </w:r>
          </w:p>
        </w:tc>
      </w:tr>
      <w:tr>
        <w:trPr/>
        <w:tc>
          <w:tcPr>
            <w:tcW w:w="319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 Insurance in-force, net of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$31,867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$32,556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$32,879</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8"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(1) Includes premiums and deposits directed to the general account investment option of variable products.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35000"/>
                <wp:effectExtent l="0" t="0" r="0" b="0"/>
                <wp:wrapNone/>
                <wp:docPr id="85" name="Frame36"/>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8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4" descr=""/>
                                          <pic:cNvPicPr>
                                            <a:picLocks noChangeAspect="1" noChangeArrowheads="1"/>
                                          </pic:cNvPicPr>
                                        </pic:nvPicPr>
                                        <pic:blipFill>
                                          <a:blip r:embed="rId51"/>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8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4" descr=""/>
                                    <pic:cNvPicPr>
                                      <a:picLocks noChangeAspect="1" noChangeArrowheads="1"/>
                                    </pic:cNvPicPr>
                                  </pic:nvPicPr>
                                  <pic:blipFill>
                                    <a:blip r:embed="rId52"/>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15</w:t>
            </w:r>
          </w:p>
        </w:tc>
      </w:tr>
    </w:tbl>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Corporate &amp; Other — Statements of Adjusted Earnings and Select Operating Metrics (Unaudited, in millions)</w:t>
      </w:r>
    </w:p>
    <w:tbl>
      <w:tblPr>
        <w:tblW w:w="10205" w:type="dxa"/>
        <w:jc w:val="left"/>
        <w:tblInd w:w="0" w:type="dxa"/>
        <w:tblLayout w:type="fixed"/>
        <w:tblCellMar>
          <w:top w:w="28" w:type="dxa"/>
          <w:left w:w="28" w:type="dxa"/>
          <w:bottom w:w="28" w:type="dxa"/>
          <w:right w:w="28" w:type="dxa"/>
        </w:tblCellMar>
      </w:tblPr>
      <w:tblGrid>
        <w:gridCol w:w="1020"/>
        <w:gridCol w:w="896"/>
        <w:gridCol w:w="783"/>
        <w:gridCol w:w="109"/>
        <w:gridCol w:w="109"/>
        <w:gridCol w:w="109"/>
        <w:gridCol w:w="229"/>
        <w:gridCol w:w="220"/>
        <w:gridCol w:w="184"/>
        <w:gridCol w:w="109"/>
        <w:gridCol w:w="109"/>
        <w:gridCol w:w="109"/>
        <w:gridCol w:w="246"/>
        <w:gridCol w:w="218"/>
        <w:gridCol w:w="219"/>
        <w:gridCol w:w="109"/>
        <w:gridCol w:w="109"/>
        <w:gridCol w:w="109"/>
        <w:gridCol w:w="313"/>
        <w:gridCol w:w="313"/>
        <w:gridCol w:w="314"/>
        <w:gridCol w:w="109"/>
        <w:gridCol w:w="109"/>
        <w:gridCol w:w="109"/>
        <w:gridCol w:w="333"/>
        <w:gridCol w:w="333"/>
        <w:gridCol w:w="334"/>
        <w:gridCol w:w="109"/>
        <w:gridCol w:w="109"/>
        <w:gridCol w:w="109"/>
        <w:gridCol w:w="229"/>
        <w:gridCol w:w="229"/>
        <w:gridCol w:w="233"/>
        <w:gridCol w:w="109"/>
        <w:gridCol w:w="109"/>
        <w:gridCol w:w="109"/>
        <w:gridCol w:w="220"/>
        <w:gridCol w:w="174"/>
        <w:gridCol w:w="154"/>
        <w:gridCol w:w="148"/>
        <w:gridCol w:w="148"/>
        <w:gridCol w:w="148"/>
        <w:gridCol w:w="215"/>
        <w:gridCol w:w="169"/>
        <w:gridCol w:w="221"/>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69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44"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r>
      <w:tr>
        <w:trPr/>
        <w:tc>
          <w:tcPr>
            <w:tcW w:w="269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Universal life and investment-type product policy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9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263</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314</w:t>
            </w:r>
          </w:p>
        </w:tc>
      </w:tr>
      <w:tr>
        <w:trPr/>
        <w:tc>
          <w:tcPr>
            <w:tcW w:w="269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r>
      <w:tr>
        <w:trPr/>
        <w:tc>
          <w:tcPr>
            <w:tcW w:w="269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$269</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$312</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r>
      <w:tr>
        <w:trPr/>
        <w:tc>
          <w:tcPr>
            <w:tcW w:w="269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credited to policyholder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181</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209</w:t>
            </w:r>
          </w:p>
        </w:tc>
      </w:tr>
      <w:tr>
        <w:trPr/>
        <w:tc>
          <w:tcPr>
            <w:tcW w:w="269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Amortization of DAC and VOBA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9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expense on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76</w:t>
            </w:r>
          </w:p>
        </w:tc>
      </w:tr>
      <w:tr>
        <w:trPr/>
        <w:tc>
          <w:tcPr>
            <w:tcW w:w="269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w:t>
            </w:r>
          </w:p>
        </w:tc>
      </w:tr>
      <w:tr>
        <w:trPr/>
        <w:tc>
          <w:tcPr>
            <w:tcW w:w="269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293</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316</w:t>
            </w:r>
          </w:p>
        </w:tc>
      </w:tr>
      <w:tr>
        <w:trPr/>
        <w:tc>
          <w:tcPr>
            <w:tcW w:w="269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Adjusted earnings before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r>
      <w:tr>
        <w:trPr/>
        <w:tc>
          <w:tcPr>
            <w:tcW w:w="269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r>
      <w:tr>
        <w:trPr/>
        <w:tc>
          <w:tcPr>
            <w:tcW w:w="269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 after provision for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w:t>
            </w:r>
          </w:p>
        </w:tc>
      </w:tr>
      <w:tr>
        <w:trPr/>
        <w:tc>
          <w:tcPr>
            <w:tcW w:w="269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r>
      <w:tr>
        <w:trPr/>
        <w:tc>
          <w:tcPr>
            <w:tcW w:w="269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w:t>
            </w:r>
          </w:p>
        </w:tc>
      </w:tr>
      <w:tr>
        <w:trPr/>
        <w:tc>
          <w:tcPr>
            <w:tcW w:w="269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$(62)</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$(49)</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INSTITUTIONAL SPREAD MARGIN BUSINESS ACCOUNT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Institutional spread margin business account 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$9,850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35000"/>
                <wp:effectExtent l="0" t="0" r="0" b="0"/>
                <wp:wrapNone/>
                <wp:docPr id="88" name="Frame37"/>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8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5" descr=""/>
                                          <pic:cNvPicPr>
                                            <a:picLocks noChangeAspect="1" noChangeArrowheads="1"/>
                                          </pic:cNvPicPr>
                                        </pic:nvPicPr>
                                        <pic:blipFill>
                                          <a:blip r:embed="rId53"/>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9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5" descr=""/>
                                    <pic:cNvPicPr>
                                      <a:picLocks noChangeAspect="1" noChangeArrowheads="1"/>
                                    </pic:cNvPicPr>
                                  </pic:nvPicPr>
                                  <pic:blipFill>
                                    <a:blip r:embed="rId54"/>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2" w:before="0" w:after="0"/>
        <w:jc w:val="left"/>
        <w:rPr>
          <w:rFonts w:ascii="Roboto Black;sans-serif" w:hAnsi="Roboto Black;sans-serif"/>
          <w:b/>
          <w:color w:val="00B0B9"/>
          <w:sz w:val="110"/>
        </w:rPr>
      </w:pPr>
      <w:r>
        <w:rPr>
          <w:rFonts w:ascii="Roboto Black;sans-serif" w:hAnsi="Roboto Black;sans-serif"/>
          <w:b/>
          <w:color w:val="00B0B9"/>
          <w:sz w:val="110"/>
        </w:rPr>
        <w:t>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35000"/>
                <wp:effectExtent l="0" t="0" r="0" b="0"/>
                <wp:wrapNone/>
                <wp:docPr id="91" name="Frame38"/>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9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6" descr=""/>
                                          <pic:cNvPicPr>
                                            <a:picLocks noChangeAspect="1" noChangeArrowheads="1"/>
                                          </pic:cNvPicPr>
                                        </pic:nvPicPr>
                                        <pic:blipFill>
                                          <a:blip r:embed="rId55"/>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9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6" descr=""/>
                                    <pic:cNvPicPr>
                                      <a:picLocks noChangeAspect="1" noChangeArrowheads="1"/>
                                    </pic:cNvPicPr>
                                  </pic:nvPicPr>
                                  <pic:blipFill>
                                    <a:blip r:embed="rId56"/>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17</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Change in Market Risk Benefits and Net Derivative Gains (Losses) (Unaudited, in millions)</w:t>
      </w:r>
    </w:p>
    <w:tbl>
      <w:tblPr>
        <w:tblW w:w="10205" w:type="dxa"/>
        <w:jc w:val="left"/>
        <w:tblInd w:w="0" w:type="dxa"/>
        <w:tblLayout w:type="fixed"/>
        <w:tblCellMar>
          <w:top w:w="28" w:type="dxa"/>
          <w:left w:w="28" w:type="dxa"/>
          <w:bottom w:w="28" w:type="dxa"/>
          <w:right w:w="28" w:type="dxa"/>
        </w:tblCellMar>
      </w:tblPr>
      <w:tblGrid>
        <w:gridCol w:w="924"/>
        <w:gridCol w:w="693"/>
        <w:gridCol w:w="695"/>
        <w:gridCol w:w="109"/>
        <w:gridCol w:w="109"/>
        <w:gridCol w:w="109"/>
        <w:gridCol w:w="229"/>
        <w:gridCol w:w="224"/>
        <w:gridCol w:w="204"/>
        <w:gridCol w:w="109"/>
        <w:gridCol w:w="109"/>
        <w:gridCol w:w="109"/>
        <w:gridCol w:w="242"/>
        <w:gridCol w:w="242"/>
        <w:gridCol w:w="244"/>
        <w:gridCol w:w="109"/>
        <w:gridCol w:w="109"/>
        <w:gridCol w:w="109"/>
        <w:gridCol w:w="337"/>
        <w:gridCol w:w="337"/>
        <w:gridCol w:w="339"/>
        <w:gridCol w:w="109"/>
        <w:gridCol w:w="109"/>
        <w:gridCol w:w="109"/>
        <w:gridCol w:w="357"/>
        <w:gridCol w:w="357"/>
        <w:gridCol w:w="359"/>
        <w:gridCol w:w="109"/>
        <w:gridCol w:w="109"/>
        <w:gridCol w:w="109"/>
        <w:gridCol w:w="229"/>
        <w:gridCol w:w="224"/>
        <w:gridCol w:w="204"/>
        <w:gridCol w:w="109"/>
        <w:gridCol w:w="109"/>
        <w:gridCol w:w="109"/>
        <w:gridCol w:w="224"/>
        <w:gridCol w:w="198"/>
        <w:gridCol w:w="187"/>
        <w:gridCol w:w="177"/>
        <w:gridCol w:w="177"/>
        <w:gridCol w:w="177"/>
        <w:gridCol w:w="215"/>
        <w:gridCol w:w="189"/>
        <w:gridCol w:w="259"/>
      </w:tblGrid>
      <w:tr>
        <w:trPr/>
        <w:tc>
          <w:tcPr>
            <w:tcW w:w="92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31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CHANGE IN MARKET RISK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53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Market risk benefits mark-to-market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$469</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w:t>
            </w:r>
          </w:p>
        </w:tc>
      </w:tr>
      <w:tr>
        <w:trPr/>
        <w:tc>
          <w:tcPr>
            <w:tcW w:w="231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Market risk benefits fees, net of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159</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192</w:t>
            </w:r>
          </w:p>
        </w:tc>
      </w:tr>
      <w:tr>
        <w:trPr/>
        <w:tc>
          <w:tcPr>
            <w:tcW w:w="231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Ceded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r>
      <w:tr>
        <w:trPr/>
        <w:tc>
          <w:tcPr>
            <w:tcW w:w="2312"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change in market risk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$622</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$208</w:t>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3"/>
        <w:gridCol w:w="709"/>
        <w:gridCol w:w="713"/>
        <w:gridCol w:w="109"/>
        <w:gridCol w:w="109"/>
        <w:gridCol w:w="109"/>
        <w:gridCol w:w="229"/>
        <w:gridCol w:w="223"/>
        <w:gridCol w:w="200"/>
        <w:gridCol w:w="109"/>
        <w:gridCol w:w="109"/>
        <w:gridCol w:w="109"/>
        <w:gridCol w:w="274"/>
        <w:gridCol w:w="244"/>
        <w:gridCol w:w="239"/>
        <w:gridCol w:w="109"/>
        <w:gridCol w:w="109"/>
        <w:gridCol w:w="109"/>
        <w:gridCol w:w="333"/>
        <w:gridCol w:w="333"/>
        <w:gridCol w:w="334"/>
        <w:gridCol w:w="109"/>
        <w:gridCol w:w="109"/>
        <w:gridCol w:w="109"/>
        <w:gridCol w:w="353"/>
        <w:gridCol w:w="353"/>
        <w:gridCol w:w="354"/>
        <w:gridCol w:w="109"/>
        <w:gridCol w:w="109"/>
        <w:gridCol w:w="109"/>
        <w:gridCol w:w="234"/>
        <w:gridCol w:w="234"/>
        <w:gridCol w:w="225"/>
        <w:gridCol w:w="109"/>
        <w:gridCol w:w="109"/>
        <w:gridCol w:w="109"/>
        <w:gridCol w:w="230"/>
        <w:gridCol w:w="230"/>
        <w:gridCol w:w="194"/>
        <w:gridCol w:w="172"/>
        <w:gridCol w:w="172"/>
        <w:gridCol w:w="172"/>
        <w:gridCol w:w="215"/>
        <w:gridCol w:w="209"/>
        <w:gridCol w:w="252"/>
      </w:tblGrid>
      <w:tr>
        <w:trPr/>
        <w:tc>
          <w:tcPr>
            <w:tcW w:w="81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23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NET DERIVATIVE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516"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Net derivative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Variable annuity and Shield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$1,418</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$196</w:t>
            </w:r>
          </w:p>
        </w:tc>
      </w:tr>
      <w:tr>
        <w:trPr/>
        <w:tc>
          <w:tcPr>
            <w:tcW w:w="223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Shield embedded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(2,404)</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(932)</w:t>
            </w:r>
          </w:p>
        </w:tc>
      </w:tr>
      <w:tr>
        <w:trPr/>
        <w:tc>
          <w:tcPr>
            <w:tcW w:w="223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ULSG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(132)</w:t>
            </w:r>
          </w:p>
        </w:tc>
      </w:tr>
      <w:tr>
        <w:trPr/>
        <w:tc>
          <w:tcPr>
            <w:tcW w:w="223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 hedges and embedded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w:t>
            </w:r>
          </w:p>
        </w:tc>
      </w:tr>
      <w:tr>
        <w:trPr/>
        <w:tc>
          <w:tcPr>
            <w:tcW w:w="223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(1,238)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(986)</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(927)</w:t>
            </w:r>
          </w:p>
        </w:tc>
      </w:tr>
      <w:tr>
        <w:trPr/>
        <w:tc>
          <w:tcPr>
            <w:tcW w:w="223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 hedge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r>
      <w:tr>
        <w:trPr/>
        <w:tc>
          <w:tcPr>
            <w:tcW w:w="223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net derivative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$(986)</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35000"/>
                <wp:effectExtent l="0" t="0" r="0" b="0"/>
                <wp:wrapNone/>
                <wp:docPr id="94" name="Frame39"/>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9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7" descr=""/>
                                          <pic:cNvPicPr>
                                            <a:picLocks noChangeAspect="1" noChangeArrowheads="1"/>
                                          </pic:cNvPicPr>
                                        </pic:nvPicPr>
                                        <pic:blipFill>
                                          <a:blip r:embed="rId57"/>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9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7" descr=""/>
                                    <pic:cNvPicPr>
                                      <a:picLocks noChangeAspect="1" noChangeArrowheads="1"/>
                                    </pic:cNvPicPr>
                                  </pic:nvPicPr>
                                  <pic:blipFill>
                                    <a:blip r:embed="rId58"/>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18</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Notable Items (Unaudited, in millions)</w:t>
      </w:r>
    </w:p>
    <w:tbl>
      <w:tblPr>
        <w:tblW w:w="10205" w:type="dxa"/>
        <w:jc w:val="left"/>
        <w:tblInd w:w="0" w:type="dxa"/>
        <w:tblLayout w:type="fixed"/>
        <w:tblCellMar>
          <w:top w:w="28" w:type="dxa"/>
          <w:left w:w="28" w:type="dxa"/>
          <w:bottom w:w="28" w:type="dxa"/>
          <w:right w:w="28" w:type="dxa"/>
        </w:tblCellMar>
      </w:tblPr>
      <w:tblGrid>
        <w:gridCol w:w="949"/>
        <w:gridCol w:w="818"/>
        <w:gridCol w:w="820"/>
        <w:gridCol w:w="109"/>
        <w:gridCol w:w="109"/>
        <w:gridCol w:w="109"/>
        <w:gridCol w:w="196"/>
        <w:gridCol w:w="196"/>
        <w:gridCol w:w="197"/>
        <w:gridCol w:w="109"/>
        <w:gridCol w:w="109"/>
        <w:gridCol w:w="109"/>
        <w:gridCol w:w="234"/>
        <w:gridCol w:w="234"/>
        <w:gridCol w:w="236"/>
        <w:gridCol w:w="109"/>
        <w:gridCol w:w="109"/>
        <w:gridCol w:w="109"/>
        <w:gridCol w:w="329"/>
        <w:gridCol w:w="329"/>
        <w:gridCol w:w="331"/>
        <w:gridCol w:w="109"/>
        <w:gridCol w:w="109"/>
        <w:gridCol w:w="109"/>
        <w:gridCol w:w="349"/>
        <w:gridCol w:w="349"/>
        <w:gridCol w:w="351"/>
        <w:gridCol w:w="109"/>
        <w:gridCol w:w="109"/>
        <w:gridCol w:w="109"/>
        <w:gridCol w:w="196"/>
        <w:gridCol w:w="196"/>
        <w:gridCol w:w="197"/>
        <w:gridCol w:w="109"/>
        <w:gridCol w:w="109"/>
        <w:gridCol w:w="109"/>
        <w:gridCol w:w="223"/>
        <w:gridCol w:w="190"/>
        <w:gridCol w:w="176"/>
        <w:gridCol w:w="167"/>
        <w:gridCol w:w="167"/>
        <w:gridCol w:w="167"/>
        <w:gridCol w:w="215"/>
        <w:gridCol w:w="182"/>
        <w:gridCol w:w="249"/>
      </w:tblGrid>
      <w:tr>
        <w:trPr/>
        <w:tc>
          <w:tcPr>
            <w:tcW w:w="94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587" w:type="dxa"/>
            <w:gridSpan w:val="3"/>
            <w:tcBorders>
              <w:top w:val="single" w:sz="16" w:space="0" w:color="929292"/>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NOTABLE ITEMS IMPACTING ADJUSTED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501"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Actuarial items and other insurance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2587" w:type="dxa"/>
            <w:gridSpan w:val="3"/>
            <w:tcBorders>
              <w:top w:val="single" w:sz="16" w:space="0" w:color="929292"/>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notable items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$10</w:t>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top w:val="single" w:sz="16" w:space="0" w:color="929292"/>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NOTABLE ITEMS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r>
      <w:tr>
        <w:trPr/>
        <w:tc>
          <w:tcPr>
            <w:tcW w:w="258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58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Run-off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58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587" w:type="dxa"/>
            <w:gridSpan w:val="3"/>
            <w:tcBorders>
              <w:top w:val="single" w:sz="16" w:space="0" w:color="929292"/>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Total notable items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$10</w:t>
            </w:r>
          </w:p>
        </w:tc>
      </w:tr>
      <w:tr>
        <w:trPr/>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(1) See definitions for Non-GAAP and Other Financial Disclosures in the Appendix beginning on page 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35000"/>
                <wp:effectExtent l="0" t="0" r="0" b="0"/>
                <wp:wrapNone/>
                <wp:docPr id="97" name="Frame40"/>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9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8" descr=""/>
                                          <pic:cNvPicPr>
                                            <a:picLocks noChangeAspect="1" noChangeArrowheads="1"/>
                                          </pic:cNvPicPr>
                                        </pic:nvPicPr>
                                        <pic:blipFill>
                                          <a:blip r:embed="rId59"/>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9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8" descr=""/>
                                    <pic:cNvPicPr>
                                      <a:picLocks noChangeAspect="1" noChangeArrowheads="1"/>
                                    </pic:cNvPicPr>
                                  </pic:nvPicPr>
                                  <pic:blipFill>
                                    <a:blip r:embed="rId60"/>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19</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Variable Annuity Separate Account Returns and Allocations (Unaudited)</w:t>
      </w:r>
    </w:p>
    <w:tbl>
      <w:tblPr>
        <w:tblW w:w="10205" w:type="dxa"/>
        <w:jc w:val="left"/>
        <w:tblInd w:w="0" w:type="dxa"/>
        <w:tblLayout w:type="fixed"/>
        <w:tblCellMar>
          <w:top w:w="28" w:type="dxa"/>
          <w:left w:w="28" w:type="dxa"/>
          <w:bottom w:w="28" w:type="dxa"/>
          <w:right w:w="28" w:type="dxa"/>
        </w:tblCellMar>
      </w:tblPr>
      <w:tblGrid>
        <w:gridCol w:w="1569"/>
        <w:gridCol w:w="1336"/>
        <w:gridCol w:w="1340"/>
        <w:gridCol w:w="109"/>
        <w:gridCol w:w="109"/>
        <w:gridCol w:w="109"/>
        <w:gridCol w:w="223"/>
        <w:gridCol w:w="216"/>
        <w:gridCol w:w="217"/>
        <w:gridCol w:w="109"/>
        <w:gridCol w:w="109"/>
        <w:gridCol w:w="109"/>
        <w:gridCol w:w="258"/>
        <w:gridCol w:w="258"/>
        <w:gridCol w:w="260"/>
        <w:gridCol w:w="109"/>
        <w:gridCol w:w="109"/>
        <w:gridCol w:w="109"/>
        <w:gridCol w:w="353"/>
        <w:gridCol w:w="353"/>
        <w:gridCol w:w="355"/>
        <w:gridCol w:w="109"/>
        <w:gridCol w:w="109"/>
        <w:gridCol w:w="109"/>
        <w:gridCol w:w="373"/>
        <w:gridCol w:w="373"/>
        <w:gridCol w:w="375"/>
        <w:gridCol w:w="109"/>
        <w:gridCol w:w="109"/>
        <w:gridCol w:w="109"/>
        <w:gridCol w:w="210"/>
        <w:gridCol w:w="202"/>
        <w:gridCol w:w="299"/>
      </w:tblGrid>
      <w:tr>
        <w:trPr/>
        <w:tc>
          <w:tcPr>
            <w:tcW w:w="156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r>
      <w:tr>
        <w:trPr/>
        <w:tc>
          <w:tcPr>
            <w:tcW w:w="424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VARIABLE ANNUITY SEPARATE ACCOUNT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Total Quarterly VA separate account gross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7.59%</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VARIABLE ANNUITY SEPARATE ACCOUNT ALLOCATIONS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Percent allocated to equity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32.54%</w:t>
            </w:r>
          </w:p>
        </w:tc>
      </w:tr>
      <w:tr>
        <w:trPr/>
        <w:tc>
          <w:tcPr>
            <w:tcW w:w="424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Percent allocated to bond funds/other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9.04%</w:t>
            </w:r>
          </w:p>
        </w:tc>
      </w:tr>
      <w:tr>
        <w:trPr/>
        <w:tc>
          <w:tcPr>
            <w:tcW w:w="424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Percent allocated to target volatility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17.81%</w:t>
            </w:r>
          </w:p>
        </w:tc>
      </w:tr>
      <w:tr>
        <w:trPr/>
        <w:tc>
          <w:tcPr>
            <w:tcW w:w="424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Percent allocated to balanced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40.61%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35000"/>
                <wp:effectExtent l="0" t="0" r="0" b="0"/>
                <wp:wrapNone/>
                <wp:docPr id="100" name="Frame41"/>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0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9" descr=""/>
                                          <pic:cNvPicPr>
                                            <a:picLocks noChangeAspect="1" noChangeArrowheads="1"/>
                                          </pic:cNvPicPr>
                                        </pic:nvPicPr>
                                        <pic:blipFill>
                                          <a:blip r:embed="rId61"/>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0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9" descr=""/>
                                    <pic:cNvPicPr>
                                      <a:picLocks noChangeAspect="1" noChangeArrowheads="1"/>
                                    </pic:cNvPicPr>
                                  </pic:nvPicPr>
                                  <pic:blipFill>
                                    <a:blip r:embed="rId62"/>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20</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both"/>
        <w:rPr>
          <w:rFonts w:ascii="Roboto Slab Bold;sans-serif" w:hAnsi="Roboto Slab Bold;sans-serif"/>
          <w:b/>
          <w:color w:val="00B0B9"/>
          <w:sz w:val="18"/>
        </w:rPr>
      </w:pPr>
      <w:r>
        <w:rPr>
          <w:rFonts w:ascii="Roboto Slab Bold;sans-serif" w:hAnsi="Roboto Slab Bold;sans-serif"/>
          <w:b/>
          <w:color w:val="00B0B9"/>
          <w:sz w:val="18"/>
        </w:rPr>
        <w:t>Summary of Investments (Unaudited, dollars in millions)</w:t>
      </w:r>
    </w:p>
    <w:tbl>
      <w:tblPr>
        <w:tblW w:w="8761" w:type="dxa"/>
        <w:jc w:val="left"/>
        <w:tblInd w:w="0" w:type="dxa"/>
        <w:tblLayout w:type="fixed"/>
        <w:tblCellMar>
          <w:top w:w="28" w:type="dxa"/>
          <w:left w:w="28" w:type="dxa"/>
          <w:bottom w:w="28" w:type="dxa"/>
          <w:right w:w="28" w:type="dxa"/>
        </w:tblCellMar>
      </w:tblPr>
      <w:tblGrid>
        <w:gridCol w:w="1423"/>
        <w:gridCol w:w="1252"/>
        <w:gridCol w:w="1255"/>
        <w:gridCol w:w="109"/>
        <w:gridCol w:w="109"/>
        <w:gridCol w:w="109"/>
        <w:gridCol w:w="258"/>
        <w:gridCol w:w="258"/>
        <w:gridCol w:w="265"/>
        <w:gridCol w:w="121"/>
        <w:gridCol w:w="121"/>
        <w:gridCol w:w="121"/>
        <w:gridCol w:w="285"/>
        <w:gridCol w:w="285"/>
        <w:gridCol w:w="286"/>
        <w:gridCol w:w="109"/>
        <w:gridCol w:w="109"/>
        <w:gridCol w:w="109"/>
        <w:gridCol w:w="258"/>
        <w:gridCol w:w="258"/>
        <w:gridCol w:w="265"/>
        <w:gridCol w:w="165"/>
        <w:gridCol w:w="165"/>
        <w:gridCol w:w="165"/>
        <w:gridCol w:w="264"/>
        <w:gridCol w:w="264"/>
        <w:gridCol w:w="373"/>
      </w:tblGrid>
      <w:tr>
        <w:trPr/>
        <w:tc>
          <w:tcPr>
            <w:tcW w:w="142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 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Amount</w:t>
            </w:r>
          </w:p>
        </w:tc>
        <w:tc>
          <w:tcPr>
            <w:tcW w:w="363"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Amount</w:t>
            </w:r>
          </w:p>
        </w:tc>
        <w:tc>
          <w:tcPr>
            <w:tcW w:w="495"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 of Total</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Fixed 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U.S. corporate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$38,208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$38,909</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30.88%</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Foreign corporate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11,043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11,497</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9.12%</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Residential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8,929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8,532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6.77%</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U.S. government and agency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6,927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6,711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5.32%</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Asset-backed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5,808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6,059</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4.81%</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Commercial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5,798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5,870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4.66%</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State and political subdivision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3,272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3,494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2.77%</w:t>
            </w:r>
          </w:p>
        </w:tc>
      </w:tr>
      <w:tr>
        <w:trPr/>
        <w:tc>
          <w:tcPr>
            <w:tcW w:w="393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Foreign government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838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942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0.75%</w:t>
            </w:r>
          </w:p>
        </w:tc>
      </w:tr>
      <w:tr>
        <w:trPr/>
        <w:tc>
          <w:tcPr>
            <w:tcW w:w="393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fixed 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80,823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82,014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65.08%</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Trading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596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506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0.40%</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79</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0.06%</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Commercial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11,930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12,323</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9.78%</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Residential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6,211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5,976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4.74%</w:t>
            </w:r>
          </w:p>
        </w:tc>
      </w:tr>
      <w:tr>
        <w:trPr/>
        <w:tc>
          <w:tcPr>
            <w:tcW w:w="393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Agricultural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4,686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4,656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3.70%</w:t>
            </w:r>
          </w:p>
        </w:tc>
      </w:tr>
      <w:tr>
        <w:trPr/>
        <w:tc>
          <w:tcPr>
            <w:tcW w:w="393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(0.16)%</w:t>
            </w:r>
          </w:p>
        </w:tc>
      </w:tr>
      <w:tr>
        <w:trPr/>
        <w:tc>
          <w:tcPr>
            <w:tcW w:w="393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mortgage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22,607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22,755</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18.06%</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Policy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1,455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1,450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1.15%</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Limited partnerships and limited liability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4,568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4,696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3.73%</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Cash, cash equivalents and 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8,065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6,584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5.22%</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Other invested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Equity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12,148</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6,121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4.86%</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297</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0.23%</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Foreign currency exchange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375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0.28%</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0.01%</w:t>
            </w:r>
          </w:p>
        </w:tc>
      </w:tr>
      <w:tr>
        <w:trPr/>
        <w:tc>
          <w:tcPr>
            <w:tcW w:w="393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Total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12,749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6,779</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5.38%</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ICOLI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849</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822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0.65%</w:t>
            </w:r>
          </w:p>
        </w:tc>
      </w:tr>
      <w:tr>
        <w:trPr/>
        <w:tc>
          <w:tcPr>
            <w:tcW w:w="39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FHLB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217</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0.17%</w:t>
            </w:r>
          </w:p>
        </w:tc>
      </w:tr>
      <w:tr>
        <w:trPr/>
        <w:tc>
          <w:tcPr>
            <w:tcW w:w="393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114</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0.10%</w:t>
            </w:r>
          </w:p>
        </w:tc>
      </w:tr>
      <w:tr>
        <w:trPr/>
        <w:tc>
          <w:tcPr>
            <w:tcW w:w="393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other invested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13,940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7,932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6.30%</w:t>
            </w:r>
          </w:p>
        </w:tc>
      </w:tr>
      <w:tr>
        <w:trPr/>
        <w:tc>
          <w:tcPr>
            <w:tcW w:w="3930"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investments and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$132,137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$126,016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100.00%</w:t>
            </w:r>
          </w:p>
        </w:tc>
      </w:tr>
    </w:tbl>
    <w:p>
      <w:pPr>
        <w:pStyle w:val="TextBody"/>
        <w:bidi w:val="0"/>
        <w:spacing w:before="0" w:after="0"/>
        <w:jc w:val="left"/>
        <w:rPr/>
      </w:pPr>
      <w:r>
        <w:rPr/>
      </w:r>
    </w:p>
    <w:tbl>
      <w:tblPr>
        <w:tblW w:w="9265" w:type="dxa"/>
        <w:jc w:val="left"/>
        <w:tblInd w:w="0" w:type="dxa"/>
        <w:tblLayout w:type="fixed"/>
        <w:tblCellMar>
          <w:top w:w="28" w:type="dxa"/>
          <w:left w:w="28" w:type="dxa"/>
          <w:bottom w:w="28" w:type="dxa"/>
          <w:right w:w="28" w:type="dxa"/>
        </w:tblCellMar>
      </w:tblPr>
      <w:tblGrid>
        <w:gridCol w:w="1124"/>
        <w:gridCol w:w="987"/>
        <w:gridCol w:w="994"/>
        <w:gridCol w:w="109"/>
        <w:gridCol w:w="109"/>
        <w:gridCol w:w="109"/>
        <w:gridCol w:w="229"/>
        <w:gridCol w:w="229"/>
        <w:gridCol w:w="231"/>
        <w:gridCol w:w="109"/>
        <w:gridCol w:w="109"/>
        <w:gridCol w:w="109"/>
        <w:gridCol w:w="274"/>
        <w:gridCol w:w="274"/>
        <w:gridCol w:w="276"/>
        <w:gridCol w:w="109"/>
        <w:gridCol w:w="109"/>
        <w:gridCol w:w="109"/>
        <w:gridCol w:w="369"/>
        <w:gridCol w:w="369"/>
        <w:gridCol w:w="371"/>
        <w:gridCol w:w="109"/>
        <w:gridCol w:w="109"/>
        <w:gridCol w:w="109"/>
        <w:gridCol w:w="389"/>
        <w:gridCol w:w="389"/>
        <w:gridCol w:w="391"/>
        <w:gridCol w:w="109"/>
        <w:gridCol w:w="109"/>
        <w:gridCol w:w="109"/>
        <w:gridCol w:w="214"/>
        <w:gridCol w:w="214"/>
        <w:gridCol w:w="306"/>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Adjusted net investment income yield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4.28%</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5" w:type="dxa"/>
            <w:gridSpan w:val="33"/>
            <w:tcBorders/>
            <w:tcMar>
              <w:top w:w="0" w:type="dxa"/>
              <w:left w:w="0" w:type="dxa"/>
              <w:bottom w:w="0" w:type="dxa"/>
              <w:right w:w="0" w:type="dxa"/>
            </w:tcMar>
            <w:vAlign w:val="center"/>
          </w:tcPr>
          <w:p>
            <w:pPr>
              <w:pStyle w:val="TableContents"/>
              <w:bidi w:val="0"/>
              <w:spacing w:lineRule="auto" w:line="276" w:before="0" w:after="283"/>
              <w:jc w:val="both"/>
              <w:rPr>
                <w:rFonts w:ascii="Roboto;sans-serif" w:hAnsi="Roboto;sans-serif"/>
                <w:b w:val="false"/>
                <w:color w:val="000000"/>
                <w:sz w:val="12"/>
              </w:rPr>
            </w:pPr>
            <w:r>
              <w:rPr>
                <w:rFonts w:ascii="Roboto;sans-serif" w:hAnsi="Roboto;sans-serif"/>
                <w:b w:val="false"/>
                <w:color w:val="000000"/>
                <w:sz w:val="12"/>
              </w:rPr>
              <w:t>(1) See definitions for Non-GAAP and Other Financial Disclosures in the Appendix beginning on page A-2.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35000"/>
                <wp:effectExtent l="0" t="0" r="0" b="0"/>
                <wp:wrapNone/>
                <wp:docPr id="103" name="Frame42"/>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0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0" descr=""/>
                                          <pic:cNvPicPr>
                                            <a:picLocks noChangeAspect="1" noChangeArrowheads="1"/>
                                          </pic:cNvPicPr>
                                        </pic:nvPicPr>
                                        <pic:blipFill>
                                          <a:blip r:embed="rId63"/>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0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0" descr=""/>
                                    <pic:cNvPicPr>
                                      <a:picLocks noChangeAspect="1" noChangeArrowheads="1"/>
                                    </pic:cNvPicPr>
                                  </pic:nvPicPr>
                                  <pic:blipFill>
                                    <a:blip r:embed="rId64"/>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21</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Statutory Statement of Operations Information (Unaudited, in millions)</w:t>
      </w:r>
    </w:p>
    <w:tbl>
      <w:tblPr>
        <w:tblW w:w="10205" w:type="dxa"/>
        <w:jc w:val="left"/>
        <w:tblInd w:w="0" w:type="dxa"/>
        <w:tblLayout w:type="fixed"/>
        <w:tblCellMar>
          <w:top w:w="28" w:type="dxa"/>
          <w:left w:w="28" w:type="dxa"/>
          <w:bottom w:w="28" w:type="dxa"/>
          <w:right w:w="28" w:type="dxa"/>
        </w:tblCellMar>
      </w:tblPr>
      <w:tblGrid>
        <w:gridCol w:w="699"/>
        <w:gridCol w:w="506"/>
        <w:gridCol w:w="509"/>
        <w:gridCol w:w="109"/>
        <w:gridCol w:w="109"/>
        <w:gridCol w:w="109"/>
        <w:gridCol w:w="388"/>
        <w:gridCol w:w="388"/>
        <w:gridCol w:w="389"/>
        <w:gridCol w:w="109"/>
        <w:gridCol w:w="109"/>
        <w:gridCol w:w="109"/>
        <w:gridCol w:w="235"/>
        <w:gridCol w:w="194"/>
        <w:gridCol w:w="195"/>
        <w:gridCol w:w="109"/>
        <w:gridCol w:w="109"/>
        <w:gridCol w:w="109"/>
        <w:gridCol w:w="290"/>
        <w:gridCol w:w="290"/>
        <w:gridCol w:w="291"/>
        <w:gridCol w:w="109"/>
        <w:gridCol w:w="109"/>
        <w:gridCol w:w="109"/>
        <w:gridCol w:w="310"/>
        <w:gridCol w:w="310"/>
        <w:gridCol w:w="311"/>
        <w:gridCol w:w="109"/>
        <w:gridCol w:w="109"/>
        <w:gridCol w:w="109"/>
        <w:gridCol w:w="231"/>
        <w:gridCol w:w="231"/>
        <w:gridCol w:w="208"/>
        <w:gridCol w:w="109"/>
        <w:gridCol w:w="109"/>
        <w:gridCol w:w="109"/>
        <w:gridCol w:w="388"/>
        <w:gridCol w:w="388"/>
        <w:gridCol w:w="389"/>
        <w:gridCol w:w="119"/>
        <w:gridCol w:w="119"/>
        <w:gridCol w:w="119"/>
        <w:gridCol w:w="217"/>
        <w:gridCol w:w="217"/>
        <w:gridCol w:w="312"/>
      </w:tblGrid>
      <w:tr>
        <w:trPr/>
        <w:tc>
          <w:tcPr>
            <w:tcW w:w="6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171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COMBINED REVENUES AND EXPENSES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PRELIMINARY</w:t>
              <w:br/>
              <w:t>June 30,</w:t>
              <w:br/>
              <w:t>2026 (2)</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PRELIMINARY</w:t>
              <w:br/>
              <w:t>June 30,</w:t>
              <w:br/>
              <w:t>2026 (2)</w:t>
            </w:r>
          </w:p>
        </w:tc>
        <w:tc>
          <w:tcPr>
            <w:tcW w:w="35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Total revenues (Line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$5,209</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$6,264</w:t>
            </w:r>
          </w:p>
        </w:tc>
      </w:tr>
      <w:tr>
        <w:trPr/>
        <w:tc>
          <w:tcPr>
            <w:tcW w:w="17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4"/>
              </w:rPr>
            </w:pPr>
            <w:r>
              <w:rPr>
                <w:rFonts w:ascii="Roboto;sans-serif" w:hAnsi="Roboto;sans-serif"/>
                <w:b w:val="false"/>
                <w:color w:val="000000"/>
                <w:sz w:val="14"/>
              </w:rPr>
              <w:t>Total benefits and expenses before dividends to policyholders (Line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$6,215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$5,944</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COMBINED NET INCOME (LOSS) (1),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Gain (loss) from operations net of taxes and dividends to policyholders (Line 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$(1,003)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$304</w:t>
            </w:r>
          </w:p>
        </w:tc>
      </w:tr>
      <w:tr>
        <w:trPr/>
        <w:tc>
          <w:tcPr>
            <w:tcW w:w="17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4"/>
              </w:rPr>
            </w:pPr>
            <w:r>
              <w:rPr>
                <w:rFonts w:ascii="Roboto;sans-serif" w:hAnsi="Roboto;sans-serif"/>
                <w:b w:val="false"/>
                <w:color w:val="000000"/>
                <w:sz w:val="14"/>
              </w:rPr>
              <w:t>Net realized capital gains (losses), net of taxes and certain transfers to interest maintenance reserve (Line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(1,815)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(1,427)</w:t>
            </w:r>
          </w:p>
        </w:tc>
      </w:tr>
      <w:tr>
        <w:trPr/>
        <w:tc>
          <w:tcPr>
            <w:tcW w:w="171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Net income (loss) (Line 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$(2,818)</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$(1,123)</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COMBINED CHANGE IN NET UNREALIZED GAIN (LOSS) (3),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Change in net unrealized gain (loss) recorded in surplus, net of tax (Lines 38, 39, 46 &amp; 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$2,303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$1,295</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(1) Combined statutory results are for Brighthouse Life Insurance Company, Brighthouse Life Insurance Company of NY and New England Life Insurance Company.</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(2) Reflects preliminary statutory results for the three months and six months ended June 30, 2026.</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2"/>
              </w:rPr>
            </w:pPr>
            <w:r>
              <w:rPr>
                <w:rFonts w:ascii="Roboto;sans-serif" w:hAnsi="Roboto;sans-serif"/>
                <w:b w:val="false"/>
                <w:color w:val="000000"/>
                <w:sz w:val="12"/>
              </w:rPr>
              <w:t>(3) Combined net income (loss) and combined change in net unrealized gain (loss) should be considered in aggregate for a more complete understanding of our business, including realized and unrealized gains (losses) associated with our variable annuities and Shield hedges and other equity risk management strategies.</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 xml:space="preserve">(4) Combined statutory results are for Brighthouse Life Insurance Company and New England Life Insurance Company. </w:t>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8491" w:type="dxa"/>
            <w:gridSpan w:val="42"/>
            <w:tcBorders/>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8491" w:type="dxa"/>
            <w:gridSpan w:val="42"/>
            <w:tcBorders/>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8491" w:type="dxa"/>
            <w:gridSpan w:val="4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35000"/>
                <wp:effectExtent l="0" t="0" r="0" b="0"/>
                <wp:wrapNone/>
                <wp:docPr id="106" name="Frame43"/>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0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1" descr=""/>
                                          <pic:cNvPicPr>
                                            <a:picLocks noChangeAspect="1" noChangeArrowheads="1"/>
                                          </pic:cNvPicPr>
                                        </pic:nvPicPr>
                                        <pic:blipFill>
                                          <a:blip r:embed="rId65"/>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0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1" descr=""/>
                                    <pic:cNvPicPr>
                                      <a:picLocks noChangeAspect="1" noChangeArrowheads="1"/>
                                    </pic:cNvPicPr>
                                  </pic:nvPicPr>
                                  <pic:blipFill>
                                    <a:blip r:embed="rId66"/>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276"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22</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color w:val="00B0B9"/>
          <w:sz w:val="18"/>
        </w:rPr>
      </w:pPr>
      <w:r>
        <w:rPr>
          <w:rFonts w:ascii="Roboto Slab Bold;sans-serif" w:hAnsi="Roboto Slab Bold;sans-serif"/>
          <w:b/>
          <w:color w:val="00B0B9"/>
          <w:sz w:val="18"/>
        </w:rPr>
        <w:t>Statutory Balance Sheet and Surplus Information (Unaudited, in millions)</w:t>
      </w:r>
    </w:p>
    <w:tbl>
      <w:tblPr>
        <w:tblW w:w="10205" w:type="dxa"/>
        <w:jc w:val="left"/>
        <w:tblInd w:w="0" w:type="dxa"/>
        <w:tblLayout w:type="fixed"/>
        <w:tblCellMar>
          <w:top w:w="28" w:type="dxa"/>
          <w:left w:w="28" w:type="dxa"/>
          <w:bottom w:w="28" w:type="dxa"/>
          <w:right w:w="28" w:type="dxa"/>
        </w:tblCellMar>
      </w:tblPr>
      <w:tblGrid>
        <w:gridCol w:w="1185"/>
        <w:gridCol w:w="1041"/>
        <w:gridCol w:w="1043"/>
        <w:gridCol w:w="109"/>
        <w:gridCol w:w="109"/>
        <w:gridCol w:w="109"/>
        <w:gridCol w:w="385"/>
        <w:gridCol w:w="385"/>
        <w:gridCol w:w="386"/>
        <w:gridCol w:w="109"/>
        <w:gridCol w:w="109"/>
        <w:gridCol w:w="109"/>
        <w:gridCol w:w="281"/>
        <w:gridCol w:w="281"/>
        <w:gridCol w:w="246"/>
        <w:gridCol w:w="109"/>
        <w:gridCol w:w="109"/>
        <w:gridCol w:w="109"/>
        <w:gridCol w:w="293"/>
        <w:gridCol w:w="293"/>
        <w:gridCol w:w="295"/>
        <w:gridCol w:w="109"/>
        <w:gridCol w:w="109"/>
        <w:gridCol w:w="109"/>
        <w:gridCol w:w="313"/>
        <w:gridCol w:w="313"/>
        <w:gridCol w:w="315"/>
        <w:gridCol w:w="109"/>
        <w:gridCol w:w="109"/>
        <w:gridCol w:w="109"/>
        <w:gridCol w:w="268"/>
        <w:gridCol w:w="268"/>
        <w:gridCol w:w="272"/>
        <w:gridCol w:w="109"/>
        <w:gridCol w:w="109"/>
        <w:gridCol w:w="109"/>
        <w:gridCol w:w="109"/>
        <w:gridCol w:w="109"/>
        <w:gridCol w:w="162"/>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COMBINED ASSETS, LIABILITIES, AND CAPITAL AND SURPLUS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PRELIMINARY</w:t>
              <w:br/>
              <w:t>June 30,</w:t>
              <w:br/>
              <w:t>2026 (2)</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B0B9"/>
                <w:sz w:val="14"/>
              </w:rPr>
            </w:pPr>
            <w:r>
              <w:rPr>
                <w:rFonts w:ascii="Roboto;sans-serif" w:hAnsi="Roboto;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Total assets (Line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$208,100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$196,990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$201,005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$203,382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$202,943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Total liabilities (Line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$204,600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$193,512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$197,152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$199,492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$198,900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Total capital and surplus (Line 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COMBINED TAC AND RBC RATIO (1),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Combined total adjusted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Combined risk-based capital ratio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430%-450%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430%-450%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435%-455%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405%-425%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4"/>
              </w:rPr>
            </w:pPr>
            <w:r>
              <w:rPr>
                <w:rFonts w:ascii="Roboto;sans-serif" w:hAnsi="Roboto;sans-serif"/>
                <w:b/>
                <w:color w:val="000000"/>
                <w:sz w:val="14"/>
              </w:rPr>
              <w:t>DIVIDENDS PAID TO HOLDING COMPANY (1),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Total 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(1) Combined statutory results are for Brighthouse Life Insurance Company and New England Life Insurance Company.</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(2) Reflects preliminary statutory results as of June 30, 2026.</w:t>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6936" w:type="dxa"/>
            <w:gridSpan w:val="36"/>
            <w:tcBorders/>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(3) See definitions for Non-GAAP and Other Financial Disclosures in the Appendix beginning on page A-2.</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(4) The RBC ratio is reported as a preliminary range for all periods, except those ended December 31.</w:t>
            </w:r>
          </w:p>
        </w:tc>
      </w:tr>
      <w:tr>
        <w:trPr/>
        <w:tc>
          <w:tcPr>
            <w:tcW w:w="10205"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35000"/>
                <wp:effectExtent l="0" t="0" r="0" b="0"/>
                <wp:wrapNone/>
                <wp:docPr id="109" name="Frame44"/>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1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2" descr=""/>
                                          <pic:cNvPicPr>
                                            <a:picLocks noChangeAspect="1" noChangeArrowheads="1"/>
                                          </pic:cNvPicPr>
                                        </pic:nvPicPr>
                                        <pic:blipFill>
                                          <a:blip r:embed="rId67"/>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1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2" descr=""/>
                                    <pic:cNvPicPr>
                                      <a:picLocks noChangeAspect="1" noChangeArrowheads="1"/>
                                    </pic:cNvPicPr>
                                  </pic:nvPicPr>
                                  <pic:blipFill>
                                    <a:blip r:embed="rId68"/>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2" w:before="0" w:after="0"/>
        <w:jc w:val="left"/>
        <w:rPr>
          <w:rFonts w:ascii="Roboto Black;sans-serif" w:hAnsi="Roboto Black;sans-serif"/>
          <w:b/>
          <w:color w:val="00B0B9"/>
          <w:sz w:val="110"/>
        </w:rPr>
      </w:pPr>
      <w:r>
        <w:rPr>
          <w:rFonts w:ascii="Roboto Black;sans-serif" w:hAnsi="Roboto Black;sans-serif"/>
          <w:b/>
          <w:color w:val="00B0B9"/>
          <w:sz w:val="110"/>
        </w:rPr>
        <w:t>Appendix</w:t>
      </w:r>
    </w:p>
    <w:p>
      <w:pPr>
        <w:pStyle w:val="TextBody"/>
        <w:bidi w:val="0"/>
        <w:spacing w:before="10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35000"/>
                <wp:effectExtent l="0" t="0" r="0" b="0"/>
                <wp:wrapNone/>
                <wp:docPr id="112" name="Frame45"/>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1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3" descr=""/>
                                          <pic:cNvPicPr>
                                            <a:picLocks noChangeAspect="1" noChangeArrowheads="1"/>
                                          </pic:cNvPicPr>
                                        </pic:nvPicPr>
                                        <pic:blipFill>
                                          <a:blip r:embed="rId69"/>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1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3" descr=""/>
                                    <pic:cNvPicPr>
                                      <a:picLocks noChangeAspect="1" noChangeArrowheads="1"/>
                                    </pic:cNvPicPr>
                                  </pic:nvPicPr>
                                  <pic:blipFill>
                                    <a:blip r:embed="rId70"/>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36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A-1</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val="false"/>
          <w:color w:val="00B0B9"/>
          <w:sz w:val="18"/>
        </w:rPr>
      </w:pPr>
      <w:r>
        <w:rPr>
          <w:rFonts w:ascii="Roboto Slab Bold;sans-serif" w:hAnsi="Roboto Slab Bold;sans-serif"/>
          <w:b w:val="false"/>
          <w:color w:val="00B0B9"/>
          <w:sz w:val="18"/>
        </w:rPr>
        <w:t>Note Regarding Forward-Looking Statements</w:t>
      </w:r>
    </w:p>
    <w:p>
      <w:pPr>
        <w:pStyle w:val="TextBody"/>
        <w:bidi w:val="0"/>
        <w:spacing w:before="0" w:after="0"/>
        <w:ind w:left="0" w:right="0" w:firstLine="180"/>
        <w:jc w:val="both"/>
        <w:rPr/>
      </w:pPr>
      <w:r>
        <w:rPr/>
      </w:r>
    </w:p>
    <w:p>
      <w:pPr>
        <w:pStyle w:val="TextBody"/>
        <w:bidi w:val="0"/>
        <w:spacing w:lineRule="auto" w:line="288" w:before="0" w:after="120"/>
        <w:ind w:left="0" w:right="0" w:firstLine="360"/>
        <w:jc w:val="both"/>
        <w:rPr>
          <w:rFonts w:ascii="Roboto;sans-serif" w:hAnsi="Roboto;sans-serif"/>
          <w:b w:val="false"/>
          <w:color w:val="000000"/>
          <w:sz w:val="18"/>
        </w:rPr>
      </w:pPr>
      <w:r>
        <w:rPr>
          <w:rFonts w:ascii="Roboto;sans-serif" w:hAnsi="Roboto;sans-serif"/>
          <w:b w:val="false"/>
          <w:color w:val="000000"/>
          <w:sz w:val="18"/>
        </w:rPr>
        <w:t>This financial supplement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the completion of the pending merger with an affiliate of Aquarian Capital LLC,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bidi w:val="0"/>
        <w:spacing w:lineRule="auto" w:line="268" w:before="0" w:after="0"/>
        <w:ind w:left="0" w:right="0" w:firstLine="360"/>
        <w:jc w:val="left"/>
        <w:rPr>
          <w:rFonts w:ascii="Roboto;sans-serif" w:hAnsi="Roboto;sans-serif"/>
          <w:b w:val="false"/>
          <w:color w:val="000000"/>
          <w:sz w:val="18"/>
        </w:rPr>
      </w:pPr>
      <w:r>
        <w:rPr>
          <w:rFonts w:ascii="Roboto;sans-serif" w:hAnsi="Roboto;sans-serif"/>
          <w:b w:val="false"/>
          <w:color w:val="000000"/>
          <w:sz w:val="18"/>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 our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 the effect of the pendency of the merger on our ongoing business and operations, including disruption to our business relationships, the diversion of management’s attention from ongoing business operations and opportunities, or the outcome of any legal proceedings that may be instituted against Aquarian Capital LLC or Brighthouse Financial following announcement of the merger; restrictions on the conduct of our business prior to the closing of the merger and on our ability to pursue alternatives to the merger; the possibility that the merger may be more expensive to complete than anticipated, including as a result of unexpected factors or events; differences between actual experience and actuarial assumptions and the effectiveness of our actuarial models; higher risk management costs and exposure to increased market risk due to guarantees within certain of our products; the effectiveness of our risk management strategy and the impacts of such strategy on volatility in our profitability measures and the negative effects on our statutory capital; material differences between actual outcomes and the sensitivities calculated under certain scenarios that we may utilize in connection with our risk management strategies; the impact of interest rates on our future ULSG policyholder obligations and net income volatility; the potential material adverse effect of changes in accounting standards, practices or policies applicable to us; loss of business and other negative impacts resulting from a downgrade or a potential downgrade in our financial strength or credit ratings; the availability of reinsurance and the ability of the counterparties to our reinsurance or indemnification arrangements to perform their obligations thereunder; heightened competition, including with respect to service, product features, product mix, scale, price, actual or perceived financial strength, claims-paying ratings, credit ratings, e-business capabilities and name recognition; our ability to market and distribute our products through distribution channels and maintain relationships with key distribution partners; any failure of third parties to provide services we need, any failure of the practices and procedures of such third parties and any inability to obtain information or assistance we need from third parties; the ability of our subsidiaries to pay dividends to us, and our ability to pay dividends to our shareholders and repurchase our common stock; the risks associated with climate change; the adverse impact of public health crises, extreme mortality events or similar occurrences on our business and the economy in general; the impact of adverse capital and credit market conditions, including with respect to our ability to meet liquidity needs and access capital; 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 the financial risks that our investment portfolio is subject to, including credit risk, interest rate risk, inflation risk, market valuation risk, liquidity risk, real estate risk, derivatives risk, and other factors outside our control; the impact of changes in regulation and in supervisory and enforcement policies or interpretations thereof on our insurance business or other operations; the potential material negative tax impact of potential future tax legislation that could make some of our products less attractive to consumers or increase our tax liability; the effectiveness of our policies, procedures and processes in managing risk; the loss or disclosure of confidential information, damage to our reputation and impairment of our ability to conduct business effectively as a result of any failure in cyber- or other information security systems; whether all or any portion of the tax consequences of our separation from MetLife, Inc. are not as expected, leading to material additional taxes or material adverse consequences to tax attributes that impact us; and other factors described from time to time in documents that we file with the U.S. Securities and Exchange Commission (the "SEC").</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Roboto;sans-serif" w:hAnsi="Roboto;sans-serif"/>
          <w:b w:val="false"/>
          <w:color w:val="000000"/>
          <w:sz w:val="18"/>
        </w:rPr>
      </w:pPr>
      <w:r>
        <w:rPr>
          <w:rFonts w:ascii="Roboto;sans-serif" w:hAnsi="Roboto;sans-serif"/>
          <w:b w:val="false"/>
          <w:color w:val="000000"/>
          <w:sz w:val="18"/>
        </w:rPr>
        <w:t>For the reasons described above, we caution you against relying on any forward-looking statements, which should also be read in conjunction with the other cautionary statements included and the risks, uncertainties and other factors identified in our most recent Annual Report on Form 10-K,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35000"/>
                <wp:effectExtent l="0" t="0" r="0" b="0"/>
                <wp:wrapNone/>
                <wp:docPr id="115" name="Frame46"/>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1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4" descr=""/>
                                          <pic:cNvPicPr>
                                            <a:picLocks noChangeAspect="1" noChangeArrowheads="1"/>
                                          </pic:cNvPicPr>
                                        </pic:nvPicPr>
                                        <pic:blipFill>
                                          <a:blip r:embed="rId71"/>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1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4" descr=""/>
                                    <pic:cNvPicPr>
                                      <a:picLocks noChangeAspect="1" noChangeArrowheads="1"/>
                                    </pic:cNvPicPr>
                                  </pic:nvPicPr>
                                  <pic:blipFill>
                                    <a:blip r:embed="rId72"/>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36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A-2</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val="false"/>
          <w:color w:val="00B0B9"/>
          <w:sz w:val="18"/>
        </w:rPr>
      </w:pPr>
      <w:r>
        <w:rPr>
          <w:rFonts w:ascii="Roboto Slab Bold;sans-serif" w:hAnsi="Roboto Slab Bold;sans-serif"/>
          <w:b w:val="false"/>
          <w:color w:val="00B0B9"/>
          <w:sz w:val="18"/>
        </w:rPr>
        <w:t>Non-GAAP and Other Financial Disclosures</w:t>
      </w:r>
    </w:p>
    <w:p>
      <w:pPr>
        <w:pStyle w:val="TextBody"/>
        <w:bidi w:val="0"/>
        <w:spacing w:before="0" w:after="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 xml:space="preserve">Our definitions of non-GAAP and other financial measures may differ from those used by other companies.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 Slab Bold;sans-serif" w:hAnsi="Roboto Slab Bold;sans-serif"/>
          <w:b w:val="false"/>
          <w:color w:val="000000"/>
          <w:sz w:val="18"/>
          <w:u w:val="single"/>
        </w:rPr>
      </w:pPr>
      <w:r>
        <w:rPr>
          <w:rFonts w:ascii="Roboto Slab Bold;sans-serif" w:hAnsi="Roboto Slab Bold;sans-serif"/>
          <w:b w:val="false"/>
          <w:color w:val="000000"/>
          <w:sz w:val="18"/>
          <w:u w:val="single"/>
        </w:rPr>
        <w:t>Non-GAAP Financial Disclosures</w:t>
      </w:r>
    </w:p>
    <w:p>
      <w:pPr>
        <w:pStyle w:val="TextBody"/>
        <w:bidi w:val="0"/>
        <w:spacing w:before="0" w:after="0"/>
        <w:jc w:val="left"/>
        <w:rPr/>
      </w:pPr>
      <w:r>
        <w:rPr/>
      </w:r>
    </w:p>
    <w:p>
      <w:pPr>
        <w:pStyle w:val="TextBody"/>
        <w:bidi w:val="0"/>
        <w:spacing w:lineRule="auto" w:line="268" w:before="0" w:after="0"/>
        <w:ind w:left="0" w:right="0" w:firstLine="360"/>
        <w:jc w:val="left"/>
        <w:rPr>
          <w:rFonts w:ascii="Roboto;sans-serif" w:hAnsi="Roboto;sans-serif"/>
          <w:b w:val="false"/>
          <w:color w:val="000000"/>
          <w:sz w:val="18"/>
        </w:rPr>
      </w:pPr>
      <w:r>
        <w:rPr>
          <w:rFonts w:ascii="Roboto;sans-serif" w:hAnsi="Roboto;sans-serif"/>
          <w:b w:val="false"/>
          <w:color w:val="000000"/>
          <w:sz w:val="18"/>
        </w:rPr>
        <w:t>We present certain measures of our performance that are not calculated in accordance with GAAP. We believe that these non-GAAP financial measures enhance the understanding of our performance by the investor community by highlighting the results of operations and the underlying profitability drivers of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The following non-GAAP financial measures should not be viewed as substitutes for the most directly comparable financial measures calculated in accordance with GAAP:</w:t>
      </w:r>
    </w:p>
    <w:p>
      <w:pPr>
        <w:pStyle w:val="TextBody"/>
        <w:bidi w:val="0"/>
        <w:spacing w:before="0" w:after="0"/>
        <w:ind w:left="0" w:right="0" w:firstLine="360"/>
        <w:jc w:val="both"/>
        <w:rPr/>
      </w:pPr>
      <w:r>
        <w:rPr/>
      </w:r>
    </w:p>
    <w:tbl>
      <w:tblPr>
        <w:tblW w:w="10205" w:type="dxa"/>
        <w:jc w:val="center"/>
        <w:tblInd w:w="0" w:type="dxa"/>
        <w:tblLayout w:type="fixed"/>
        <w:tblCellMar>
          <w:top w:w="28" w:type="dxa"/>
          <w:left w:w="28" w:type="dxa"/>
          <w:bottom w:w="28" w:type="dxa"/>
          <w:right w:w="28" w:type="dxa"/>
        </w:tblCellMar>
      </w:tblPr>
      <w:tblGrid>
        <w:gridCol w:w="418"/>
        <w:gridCol w:w="367"/>
        <w:gridCol w:w="367"/>
        <w:gridCol w:w="1434"/>
        <w:gridCol w:w="1164"/>
        <w:gridCol w:w="1121"/>
        <w:gridCol w:w="129"/>
        <w:gridCol w:w="129"/>
        <w:gridCol w:w="129"/>
        <w:gridCol w:w="545"/>
        <w:gridCol w:w="545"/>
        <w:gridCol w:w="545"/>
        <w:gridCol w:w="1182"/>
        <w:gridCol w:w="909"/>
        <w:gridCol w:w="122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r>
      <w:tr>
        <w:trPr/>
        <w:tc>
          <w:tcPr>
            <w:tcW w:w="48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u w:val="single"/>
              </w:rPr>
            </w:pPr>
            <w:r>
              <w:rPr>
                <w:rFonts w:ascii="Roboto;sans-serif" w:hAnsi="Roboto;sans-serif"/>
                <w:b w:val="false"/>
                <w:color w:val="000000"/>
                <w:sz w:val="18"/>
                <w:u w:val="single"/>
              </w:rPr>
              <w:t>Non-GAAP financial measures: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u w:val="single"/>
              </w:rPr>
            </w:pPr>
            <w:r>
              <w:rPr>
                <w:rFonts w:ascii="Roboto;sans-serif" w:hAnsi="Roboto;sans-serif"/>
                <w:b w:val="false"/>
                <w:color w:val="000000"/>
                <w:sz w:val="18"/>
                <w:u w:val="single"/>
              </w:rPr>
              <w:t>Most directly comparable GAAP financial measures:</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earnings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 available to shareholders (1)</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(ii)</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earnings, less notable items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(ii)</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 available to shareholders (1)</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(iii)</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revenues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(iii)</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revenues</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(iv)</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expenses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(iv)</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expenses</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earnings per common share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earnings per common share, diluted (1)</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(vi)</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earnings per common share, less notable items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(vi)</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earnings per common share, diluted (1)</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(vii)</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return on common equity</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(vii)</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return on common equity (2)</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(viii)</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adjusted net investment income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(viii)</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investment income</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(ix)</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net investment income yield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(ix)</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investment income yield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4"/>
              </w:rPr>
            </w:pPr>
            <w:r>
              <w:rPr>
                <w:rFonts w:ascii="Roboto;sans-serif" w:hAnsi="Roboto;sans-serif"/>
                <w:b w:val="false"/>
                <w:color w:val="000000"/>
                <w:sz w:val="14"/>
              </w:rPr>
              <w:t>(1) Brighthouse uses net income (loss) available to shareholders to refer to net income (loss) available to Brighthouse Financial, Inc.’s common shareholders, and earnings per common share, diluted to refer to net income (loss) available to shareholders per common share.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4"/>
              </w:rPr>
            </w:pPr>
            <w:r>
              <w:rPr>
                <w:rFonts w:ascii="Roboto;sans-serif" w:hAnsi="Roboto;sans-serif"/>
                <w:b w:val="false"/>
                <w:color w:val="000000"/>
                <w:sz w:val="14"/>
              </w:rPr>
              <w:t>(2) Brighthouse uses return on common equity to refer to return on Brighthouse Financial, Inc.’s common stockholders' equity.</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Reconciliations to the most directly comparable historical GAAP measures are included for those measures which are presented herein. Reconciliations of these non-GAAP financial measures to the most directly comparable GAAP financial measures are not accessible on a forward-looking basis because we believe it is not possible without unreasonable efforts to provide other than a range of net investment gains and losses and net derivative gains and losses, which can fluctuate significantly within or outside the range and from period to period and may have a material impact on net income (loss) available to shareholders.</w:t>
      </w:r>
    </w:p>
    <w:p>
      <w:pPr>
        <w:pStyle w:val="TextBody"/>
        <w:bidi w:val="0"/>
        <w:spacing w:before="0" w:after="0"/>
        <w:ind w:left="0" w:right="0" w:firstLine="360"/>
        <w:jc w:val="both"/>
        <w:rPr/>
      </w:pPr>
      <w:r>
        <w:rPr/>
      </w:r>
    </w:p>
    <w:p>
      <w:pPr>
        <w:pStyle w:val="TextBody"/>
        <w:bidi w:val="0"/>
        <w:spacing w:lineRule="auto" w:line="288" w:before="0" w:after="0"/>
        <w:jc w:val="left"/>
        <w:rPr>
          <w:rFonts w:ascii="Roboto Slab Bold;sans-serif" w:hAnsi="Roboto Slab Bold;sans-serif"/>
          <w:b w:val="false"/>
          <w:color w:val="000000"/>
          <w:sz w:val="18"/>
        </w:rPr>
      </w:pPr>
      <w:r>
        <w:rPr>
          <w:rFonts w:ascii="Roboto Slab Bold;sans-serif" w:hAnsi="Roboto Slab Bold;sans-serif"/>
          <w:b w:val="false"/>
          <w:color w:val="000000"/>
          <w:sz w:val="18"/>
        </w:rPr>
        <w:t>Adjusted Earnings, Adjusted Revenues and Adjusted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Adjusted earnings is a financial measure used by management to evaluate performance and facilitate comparisons to industry results. This financial measure, which may be positive or negative, focuses on our primary businesses by excluding the impact of market volatility, which could distort trends.</w:t>
      </w:r>
    </w:p>
    <w:p>
      <w:pPr>
        <w:pStyle w:val="TextBody"/>
        <w:bidi w:val="0"/>
        <w:spacing w:before="0" w:after="0"/>
        <w:jc w:val="both"/>
        <w:rPr/>
      </w:pPr>
      <w:r>
        <w:rPr/>
      </w:r>
    </w:p>
    <w:p>
      <w:pPr>
        <w:pStyle w:val="TextBody"/>
        <w:bidi w:val="0"/>
        <w:spacing w:lineRule="auto" w:line="288"/>
        <w:ind w:left="0" w:right="0" w:firstLine="360"/>
        <w:jc w:val="both"/>
        <w:rPr>
          <w:rFonts w:ascii="Roboto;sans-serif" w:hAnsi="Roboto;sans-serif"/>
          <w:b w:val="false"/>
          <w:color w:val="000000"/>
          <w:sz w:val="18"/>
        </w:rPr>
      </w:pPr>
      <w:r>
        <w:rPr>
          <w:rFonts w:ascii="Roboto;sans-serif" w:hAnsi="Roboto;sans-serif"/>
          <w:b w:val="false"/>
          <w:color w:val="000000"/>
          <w:sz w:val="18"/>
        </w:rPr>
        <w:t xml:space="preserve">Adjusted earnings reflect adjusted revenues less (i) adjusted expenses, (ii) provision for income tax expense (benefit), (iii) net income (loss) attributable to noncontrolling interests and (iv) preferred stock dividends. Provided below are the adjustments to GAAP revenues and GAAP expenses used to calculate adjusted revenues and adjusted expenses,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35000"/>
                <wp:effectExtent l="0" t="0" r="0" b="0"/>
                <wp:wrapNone/>
                <wp:docPr id="118" name="Frame47"/>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1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5" descr=""/>
                                          <pic:cNvPicPr>
                                            <a:picLocks noChangeAspect="1" noChangeArrowheads="1"/>
                                          </pic:cNvPicPr>
                                        </pic:nvPicPr>
                                        <pic:blipFill>
                                          <a:blip r:embed="rId73"/>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2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5" descr=""/>
                                    <pic:cNvPicPr>
                                      <a:picLocks noChangeAspect="1" noChangeArrowheads="1"/>
                                    </pic:cNvPicPr>
                                  </pic:nvPicPr>
                                  <pic:blipFill>
                                    <a:blip r:embed="rId74"/>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36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A-3</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Roboto Slab Bold;sans-serif" w:hAnsi="Roboto Slab Bold;sans-serif"/>
          <w:b w:val="false"/>
          <w:color w:val="00B0B9"/>
          <w:sz w:val="18"/>
        </w:rPr>
      </w:pPr>
      <w:r>
        <w:rPr>
          <w:rFonts w:ascii="Roboto Slab Bold;sans-serif" w:hAnsi="Roboto Slab Bold;sans-serif"/>
          <w:b w:val="false"/>
          <w:color w:val="00B0B9"/>
          <w:sz w:val="18"/>
        </w:rPr>
        <w:t>Non-GAAP and Other Financial Disclosures (Cont.)</w:t>
      </w:r>
    </w:p>
    <w:p>
      <w:pPr>
        <w:pStyle w:val="TextBody"/>
        <w:bidi w:val="0"/>
        <w:spacing w:before="0" w:after="0"/>
        <w:ind w:left="0" w:right="0" w:firstLine="36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The following items are excluded from total revenues in calculating the adjusted revenues component of adjusted earnings:</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 xml:space="preserve">Net investment gains (losses);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Investment gains (losses) on trading securities measured at estimated fair value through net investment income; and</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items are excluded from total expenses in calculating the adjusted expenses component of adjusted earnings: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Change in market risk benefits;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18"/>
        </w:rPr>
        <w:t>Change in fair value of the crediting rate on experience-rated contracts and market value adjustments on institutional group annuities that are economically offset by gains (losses) on the related trading securities (“Market Value Adjustments”).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Consistent with GAAP guidance for segment reporting, adjusted earnings is also our GAAP measure of segment performance.</w:t>
      </w:r>
    </w:p>
    <w:p>
      <w:pPr>
        <w:pStyle w:val="TextBody"/>
        <w:bidi w:val="0"/>
        <w:spacing w:before="0" w:after="0"/>
        <w:ind w:left="0" w:right="0" w:firstLine="360"/>
        <w:jc w:val="both"/>
        <w:rPr/>
      </w:pPr>
      <w:r>
        <w:rPr/>
      </w:r>
    </w:p>
    <w:p>
      <w:pPr>
        <w:pStyle w:val="TextBody"/>
        <w:bidi w:val="0"/>
        <w:spacing w:lineRule="auto" w:line="288" w:before="0" w:after="0"/>
        <w:jc w:val="left"/>
        <w:rPr>
          <w:rFonts w:ascii="Roboto Slab Bold;sans-serif" w:hAnsi="Roboto Slab Bold;sans-serif"/>
          <w:b w:val="false"/>
          <w:color w:val="000000"/>
          <w:sz w:val="18"/>
        </w:rPr>
      </w:pPr>
      <w:r>
        <w:rPr>
          <w:rFonts w:ascii="Roboto Slab Bold;sans-serif" w:hAnsi="Roboto Slab Bold;sans-serif"/>
          <w:b w:val="false"/>
          <w:color w:val="000000"/>
          <w:sz w:val="18"/>
        </w:rPr>
        <w:t>Adjusted Earnings per Common Share and Adjusted Return on Common Equity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 xml:space="preserve">Adjusted earnings per common share and adjusted return on common equity are measures used by management to evaluate the execution of our business strategy and align such strategy with our shareholders’ interests.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left"/>
        <w:rPr>
          <w:rFonts w:ascii="Roboto;sans-serif" w:hAnsi="Roboto;sans-serif"/>
          <w:b w:val="false"/>
          <w:color w:val="000000"/>
          <w:sz w:val="18"/>
        </w:rPr>
      </w:pPr>
      <w:r>
        <w:rPr>
          <w:rFonts w:ascii="Roboto;sans-serif" w:hAnsi="Roboto;sans-serif"/>
          <w:b w:val="false"/>
          <w:color w:val="000000"/>
          <w:sz w:val="18"/>
        </w:rPr>
        <w:t>Adjusted earnings per common share is defined as adjusted earnings for the period divided by the weighted average number of fully diluted shares of common stock outstanding for the period. The weighted average common shares outstanding used to calculate adjusted earnings per share will differ from such shares used to calculate diluted net income (loss) available to shareholders per common share when the inclusion of dilutive shares has an anti-dilutive effect for one calculation but not for the other.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 xml:space="preserve">Adjusted return on common equity is defined as total annual adjusted earnings on a four quarter trailing basis, divided by the simple average of the most recent five quarters of total Brighthouse Financial, Inc.’s common stockholders’ equity, excluding AOCI. </w:t>
      </w:r>
    </w:p>
    <w:p>
      <w:pPr>
        <w:pStyle w:val="TextBody"/>
        <w:bidi w:val="0"/>
        <w:spacing w:before="0" w:after="0"/>
        <w:ind w:left="0" w:right="0" w:firstLine="360"/>
        <w:jc w:val="both"/>
        <w:rPr/>
      </w:pPr>
      <w:r>
        <w:rPr/>
      </w:r>
    </w:p>
    <w:p>
      <w:pPr>
        <w:pStyle w:val="TextBody"/>
        <w:bidi w:val="0"/>
        <w:spacing w:lineRule="auto" w:line="288" w:before="0" w:after="0"/>
        <w:jc w:val="left"/>
        <w:rPr>
          <w:rFonts w:ascii="Roboto Slab Bold;sans-serif" w:hAnsi="Roboto Slab Bold;sans-serif"/>
          <w:b w:val="false"/>
          <w:color w:val="000000"/>
          <w:sz w:val="18"/>
        </w:rPr>
      </w:pPr>
      <w:r>
        <w:rPr>
          <w:rFonts w:ascii="Roboto Slab Bold;sans-serif" w:hAnsi="Roboto Slab Bold;sans-serif"/>
          <w:b w:val="false"/>
          <w:color w:val="000000"/>
          <w:sz w:val="18"/>
        </w:rPr>
        <w:t>Adjusted Net Investment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Adjusted net investment income is used by management to measure our performance, and we believe it enhances the understanding of our investment portfolio results. Adjusted net investment income represents GAAP net investment income plus Investment Hedge Adjustments less investment gains (losses) on trading securities.</w:t>
      </w:r>
    </w:p>
    <w:p>
      <w:pPr>
        <w:pStyle w:val="TextBody"/>
        <w:bidi w:val="0"/>
        <w:spacing w:before="0" w:after="0"/>
        <w:ind w:left="0" w:right="0" w:firstLine="360"/>
        <w:jc w:val="both"/>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35000"/>
                <wp:effectExtent l="0" t="0" r="0" b="0"/>
                <wp:wrapNone/>
                <wp:docPr id="121" name="Frame48"/>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2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6" descr=""/>
                                          <pic:cNvPicPr>
                                            <a:picLocks noChangeAspect="1" noChangeArrowheads="1"/>
                                          </pic:cNvPicPr>
                                        </pic:nvPicPr>
                                        <pic:blipFill>
                                          <a:blip r:embed="rId75"/>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2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6" descr=""/>
                                    <pic:cNvPicPr>
                                      <a:picLocks noChangeAspect="1" noChangeArrowheads="1"/>
                                    </pic:cNvPicPr>
                                  </pic:nvPicPr>
                                  <pic:blipFill>
                                    <a:blip r:embed="rId76"/>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36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A-4</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Roboto Slab Bold;sans-serif" w:hAnsi="Roboto Slab Bold;sans-serif"/>
          <w:b w:val="false"/>
          <w:color w:val="00B0B9"/>
          <w:sz w:val="18"/>
        </w:rPr>
      </w:pPr>
      <w:r>
        <w:rPr>
          <w:rFonts w:ascii="Roboto Slab Bold;sans-serif" w:hAnsi="Roboto Slab Bold;sans-serif"/>
          <w:b w:val="false"/>
          <w:color w:val="00B0B9"/>
          <w:sz w:val="18"/>
        </w:rPr>
        <w:t>Non-GAAP and Other Financial Disclosures (Cont.)</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Roboto Slab Bold;sans-serif" w:hAnsi="Roboto Slab Bold;sans-serif"/>
          <w:b w:val="false"/>
          <w:color w:val="000000"/>
          <w:sz w:val="18"/>
        </w:rPr>
      </w:pPr>
      <w:r>
        <w:rPr>
          <w:rFonts w:ascii="Roboto Slab Bold;sans-serif" w:hAnsi="Roboto Slab Bold;sans-serif"/>
          <w:b w:val="false"/>
          <w:color w:val="000000"/>
          <w:sz w:val="18"/>
        </w:rPr>
        <w:t>Adjusted Net Investment Income Yield</w:t>
      </w:r>
    </w:p>
    <w:p>
      <w:pPr>
        <w:pStyle w:val="TextBody"/>
        <w:bidi w:val="0"/>
        <w:spacing w:before="0" w:after="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pStyle w:val="TextBody"/>
        <w:bidi w:val="0"/>
        <w:spacing w:before="0" w:after="0"/>
        <w:ind w:left="0" w:right="0" w:firstLine="360"/>
        <w:jc w:val="both"/>
        <w:rPr/>
      </w:pPr>
      <w:r>
        <w:rPr/>
      </w:r>
    </w:p>
    <w:p>
      <w:pPr>
        <w:pStyle w:val="TextBody"/>
        <w:bidi w:val="0"/>
        <w:spacing w:lineRule="auto" w:line="288" w:before="0" w:after="0"/>
        <w:jc w:val="both"/>
        <w:rPr>
          <w:rFonts w:ascii="Roboto Slab Bold;sans-serif" w:hAnsi="Roboto Slab Bold;sans-serif"/>
          <w:b w:val="false"/>
          <w:color w:val="000000"/>
          <w:sz w:val="18"/>
          <w:u w:val="single"/>
        </w:rPr>
      </w:pPr>
      <w:r>
        <w:rPr>
          <w:rFonts w:ascii="Roboto Slab Bold;sans-serif" w:hAnsi="Roboto Slab Bold;sans-serif"/>
          <w:b w:val="false"/>
          <w:color w:val="000000"/>
          <w:sz w:val="18"/>
          <w:u w:val="single"/>
        </w:rPr>
        <w:t>Other Financial Disclosures</w:t>
      </w:r>
    </w:p>
    <w:p>
      <w:pPr>
        <w:pStyle w:val="TextBody"/>
        <w:bidi w:val="0"/>
        <w:spacing w:before="0" w:after="0"/>
        <w:jc w:val="left"/>
        <w:rPr/>
      </w:pPr>
      <w:r>
        <w:rPr/>
      </w:r>
    </w:p>
    <w:p>
      <w:pPr>
        <w:pStyle w:val="TextBody"/>
        <w:bidi w:val="0"/>
        <w:spacing w:lineRule="auto" w:line="288" w:before="0" w:after="0"/>
        <w:jc w:val="left"/>
        <w:rPr>
          <w:rFonts w:ascii="Roboto Slab Bold;sans-serif" w:hAnsi="Roboto Slab Bold;sans-serif"/>
          <w:b w:val="false"/>
          <w:color w:val="000000"/>
          <w:sz w:val="18"/>
        </w:rPr>
      </w:pPr>
      <w:r>
        <w:rPr>
          <w:rFonts w:ascii="Roboto Slab Bold;sans-serif" w:hAnsi="Roboto Slab Bold;sans-serif"/>
          <w:b w:val="false"/>
          <w:color w:val="000000"/>
          <w:sz w:val="18"/>
        </w:rPr>
        <w:t>Corporate Expenses</w:t>
      </w:r>
    </w:p>
    <w:p>
      <w:pPr>
        <w:pStyle w:val="TextBody"/>
        <w:bidi w:val="0"/>
        <w:spacing w:before="0" w:after="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Corporate expenses includes functional department expenses, public company expenses, certain investment expenses, retirement funding and incentive compensation.</w:t>
      </w:r>
    </w:p>
    <w:p>
      <w:pPr>
        <w:pStyle w:val="TextBody"/>
        <w:bidi w:val="0"/>
        <w:spacing w:before="0" w:after="0"/>
        <w:jc w:val="left"/>
        <w:rPr/>
      </w:pPr>
      <w:r>
        <w:rPr/>
      </w:r>
    </w:p>
    <w:p>
      <w:pPr>
        <w:pStyle w:val="TextBody"/>
        <w:bidi w:val="0"/>
        <w:spacing w:lineRule="auto" w:line="288" w:before="0" w:after="0"/>
        <w:jc w:val="left"/>
        <w:rPr>
          <w:rFonts w:ascii="Roboto Slab Bold;sans-serif" w:hAnsi="Roboto Slab Bold;sans-serif"/>
          <w:b w:val="false"/>
          <w:color w:val="000000"/>
          <w:sz w:val="18"/>
        </w:rPr>
      </w:pPr>
      <w:r>
        <w:rPr>
          <w:rFonts w:ascii="Roboto Slab Bold;sans-serif" w:hAnsi="Roboto Slab Bold;sans-serif"/>
          <w:b w:val="false"/>
          <w:color w:val="000000"/>
          <w:sz w:val="18"/>
        </w:rPr>
        <w:t>Notable Items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Certain of the non-GAAP measures described above may be presented further adjusted to exclude notable items. Notable items reflect the unfavorable (favorable) after-tax impact on our results of certain unanticipated items and events, as well as certain items and events that were anticipated. The presentation of notable items and non-GAAP measures, less notable items is intended to help investors better understand our results and to evaluate and forecast those results.</w:t>
      </w:r>
    </w:p>
    <w:p>
      <w:pPr>
        <w:pStyle w:val="TextBody"/>
        <w:bidi w:val="0"/>
        <w:spacing w:before="0" w:after="0"/>
        <w:jc w:val="left"/>
        <w:rPr/>
      </w:pPr>
      <w:r>
        <w:rPr/>
      </w:r>
    </w:p>
    <w:p>
      <w:pPr>
        <w:pStyle w:val="TextBody"/>
        <w:bidi w:val="0"/>
        <w:spacing w:lineRule="auto" w:line="288" w:before="0" w:after="0"/>
        <w:jc w:val="left"/>
        <w:rPr>
          <w:rFonts w:ascii="Roboto Slab Bold;sans-serif" w:hAnsi="Roboto Slab Bold;sans-serif"/>
          <w:b w:val="false"/>
          <w:color w:val="000000"/>
          <w:sz w:val="18"/>
        </w:rPr>
      </w:pPr>
      <w:r>
        <w:rPr>
          <w:rFonts w:ascii="Roboto Slab Bold;sans-serif" w:hAnsi="Roboto Slab Bold;sans-serif"/>
          <w:b w:val="false"/>
          <w:color w:val="000000"/>
          <w:sz w:val="18"/>
        </w:rPr>
        <w:t>Book Value per Common Share and Book Value per Common Share, excluding AOCI</w:t>
      </w:r>
    </w:p>
    <w:p>
      <w:pPr>
        <w:pStyle w:val="TextBody"/>
        <w:bidi w:val="0"/>
        <w:spacing w:before="0" w:after="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Brighthouse uses the term “book value” to refer to “Brighthouse Financial, Inc.’s common stockholders’ equity, including AOCI.” Book value per common share is defined as ending Brighthouse Financial, Inc.’s common stockholders’ equity, including AOCI, divided by ending common shares outstanding. Book value per common share, excluding AOCI, is defined as ending Brighthouse Financial, Inc.’s common stockholders’ equity, excluding AOCI, divided by ending common shares outstanding.</w:t>
      </w:r>
    </w:p>
    <w:p>
      <w:pPr>
        <w:pStyle w:val="TextBody"/>
        <w:bidi w:val="0"/>
        <w:spacing w:before="0" w:after="0"/>
        <w:ind w:left="0" w:right="0" w:firstLine="360"/>
        <w:jc w:val="both"/>
        <w:rPr/>
      </w:pPr>
      <w:r>
        <w:rPr/>
      </w:r>
    </w:p>
    <w:p>
      <w:pPr>
        <w:pStyle w:val="TextBody"/>
        <w:bidi w:val="0"/>
        <w:spacing w:lineRule="auto" w:line="288" w:before="0" w:after="0"/>
        <w:jc w:val="both"/>
        <w:rPr>
          <w:rFonts w:ascii="Roboto Slab Bold;sans-serif" w:hAnsi="Roboto Slab Bold;sans-serif"/>
          <w:b w:val="false"/>
          <w:color w:val="000000"/>
          <w:sz w:val="18"/>
        </w:rPr>
      </w:pPr>
      <w:r>
        <w:rPr>
          <w:rFonts w:ascii="Roboto Slab Bold;sans-serif" w:hAnsi="Roboto Slab Bold;sans-serif"/>
          <w:b w:val="false"/>
          <w:color w:val="000000"/>
          <w:sz w:val="18"/>
        </w:rPr>
        <w:t>Holding Company</w:t>
      </w:r>
    </w:p>
    <w:p>
      <w:pPr>
        <w:pStyle w:val="TextBody"/>
        <w:bidi w:val="0"/>
        <w:spacing w:before="0" w:after="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Holding company means, collectively, Brighthouse Financial, Inc., Brighthouse Holdings, LLC, and Brighthouse Services, LLC.</w:t>
      </w:r>
    </w:p>
    <w:p>
      <w:pPr>
        <w:pStyle w:val="TextBody"/>
        <w:bidi w:val="0"/>
        <w:spacing w:before="0" w:after="0"/>
        <w:ind w:left="0" w:right="0" w:firstLine="360"/>
        <w:jc w:val="both"/>
        <w:rPr/>
      </w:pPr>
      <w:r>
        <w:rPr/>
      </w:r>
    </w:p>
    <w:p>
      <w:pPr>
        <w:pStyle w:val="TextBody"/>
        <w:bidi w:val="0"/>
        <w:spacing w:lineRule="auto" w:line="288" w:before="0" w:after="0"/>
        <w:jc w:val="both"/>
        <w:rPr>
          <w:rFonts w:ascii="Roboto Slab Bold;sans-serif" w:hAnsi="Roboto Slab Bold;sans-serif"/>
          <w:b w:val="false"/>
          <w:color w:val="000000"/>
          <w:sz w:val="18"/>
        </w:rPr>
      </w:pPr>
      <w:r>
        <w:rPr>
          <w:rFonts w:ascii="Roboto Slab Bold;sans-serif" w:hAnsi="Roboto Slab Bold;sans-serif"/>
          <w:b w:val="false"/>
          <w:color w:val="000000"/>
          <w:sz w:val="18"/>
        </w:rPr>
        <w:t>Holding Company Liquid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Holding company liquid assets include liquid assets in Brighthouse Financial, Inc., Brighthouse Holdings, LLC, and Brighthouse Services, LLC. Liquid assets are comprised of cash and cash equivalents, short-term investments and publicly-traded securities, excluding assets that are pledged or otherwise committed. Assets pledged or otherwise committed include assets held in trust.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Roboto Slab Bold;sans-serif" w:hAnsi="Roboto Slab Bold;sans-serif"/>
          <w:b w:val="false"/>
          <w:color w:val="000000"/>
          <w:sz w:val="18"/>
        </w:rPr>
      </w:pPr>
      <w:r>
        <w:rPr>
          <w:rFonts w:ascii="Roboto Slab Bold;sans-serif" w:hAnsi="Roboto Slab Bold;sans-serif"/>
          <w:b w:val="false"/>
          <w:color w:val="000000"/>
          <w:sz w:val="18"/>
        </w:rPr>
        <w:t>Total Adjusted Capital</w:t>
      </w:r>
    </w:p>
    <w:p>
      <w:pPr>
        <w:pStyle w:val="TextBody"/>
        <w:bidi w:val="0"/>
        <w:spacing w:before="0" w:after="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Total adjusted capital primarily consists of statutory capital and surplus, as well as the statutory asset valuation reserve. When referred to as “combined,” represents that of our insurance subsidiaries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35000"/>
                <wp:effectExtent l="0" t="0" r="0" b="0"/>
                <wp:wrapNone/>
                <wp:docPr id="124" name="Frame49"/>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2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7" descr=""/>
                                          <pic:cNvPicPr>
                                            <a:picLocks noChangeAspect="1" noChangeArrowheads="1"/>
                                          </pic:cNvPicPr>
                                        </pic:nvPicPr>
                                        <pic:blipFill>
                                          <a:blip r:embed="rId77"/>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2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7" descr=""/>
                                    <pic:cNvPicPr>
                                      <a:picLocks noChangeAspect="1" noChangeArrowheads="1"/>
                                    </pic:cNvPicPr>
                                  </pic:nvPicPr>
                                  <pic:blipFill>
                                    <a:blip r:embed="rId78"/>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36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A-5</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val="false"/>
          <w:color w:val="00B0B9"/>
          <w:sz w:val="18"/>
        </w:rPr>
      </w:pPr>
      <w:r>
        <w:rPr>
          <w:rFonts w:ascii="Roboto Slab Bold;sans-serif" w:hAnsi="Roboto Slab Bold;sans-serif"/>
          <w:b w:val="false"/>
          <w:color w:val="00B0B9"/>
          <w:sz w:val="18"/>
        </w:rPr>
        <w:t>Non-GAAP and Other Financial Disclosures (Cont.)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 Slab Bold;sans-serif" w:hAnsi="Roboto Slab Bold;sans-serif"/>
          <w:b w:val="false"/>
          <w:color w:val="000000"/>
          <w:sz w:val="18"/>
          <w:u w:val="single"/>
        </w:rPr>
      </w:pPr>
      <w:r>
        <w:rPr>
          <w:rFonts w:ascii="Roboto Slab Bold;sans-serif" w:hAnsi="Roboto Slab Bold;sans-serif"/>
          <w:b w:val="false"/>
          <w:color w:val="000000"/>
          <w:sz w:val="18"/>
          <w:u w:val="single"/>
        </w:rPr>
        <w:t>Other Financial Disclosures (cont.)</w:t>
      </w:r>
    </w:p>
    <w:p>
      <w:pPr>
        <w:pStyle w:val="TextBody"/>
        <w:bidi w:val="0"/>
        <w:spacing w:before="0" w:after="0"/>
        <w:ind w:left="0" w:right="0" w:firstLine="360"/>
        <w:jc w:val="both"/>
        <w:rPr/>
      </w:pPr>
      <w:r>
        <w:rPr/>
      </w:r>
    </w:p>
    <w:p>
      <w:pPr>
        <w:pStyle w:val="TextBody"/>
        <w:bidi w:val="0"/>
        <w:spacing w:lineRule="auto" w:line="288" w:before="0" w:after="0"/>
        <w:jc w:val="both"/>
        <w:rPr>
          <w:rFonts w:ascii="Roboto Slab Bold;sans-serif" w:hAnsi="Roboto Slab Bold;sans-serif"/>
          <w:b w:val="false"/>
          <w:color w:val="000000"/>
          <w:sz w:val="18"/>
        </w:rPr>
      </w:pPr>
      <w:r>
        <w:rPr>
          <w:rFonts w:ascii="Roboto Slab Bold;sans-serif" w:hAnsi="Roboto Slab Bold;sans-serif"/>
          <w:b w:val="false"/>
          <w:color w:val="000000"/>
          <w:sz w:val="18"/>
        </w:rPr>
        <w:t>Sales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Life insurance sales consist of 100 percent of annualized new premium for term life, first-year paid premium for whole life, universal life, and variable universal life, and total paid premium for indexed universal life. We exclude company-sponsored internal exchanges, corporate-owned life insurance, bank-owned life insurance, and private placement variable universal life.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Annuity sales consist of 100 percent of direct statutory premiums, except for fixed index annuity sales, which represents 100 percent of gross sales on directly written business and the proportion of assumed gross sales under reinsurance agreements. Annuity sales exclude certain internal exchanges. These sales statistics do not correspond to revenues under GAAP, but are used as relevant measures of business activity.</w:t>
      </w:r>
    </w:p>
    <w:p>
      <w:pPr>
        <w:pStyle w:val="TextBody"/>
        <w:bidi w:val="0"/>
        <w:spacing w:before="0" w:after="0"/>
        <w:ind w:left="0" w:right="0" w:firstLine="360"/>
        <w:jc w:val="both"/>
        <w:rPr/>
      </w:pPr>
      <w:r>
        <w:rPr/>
      </w:r>
    </w:p>
    <w:p>
      <w:pPr>
        <w:pStyle w:val="TextBody"/>
        <w:bidi w:val="0"/>
        <w:spacing w:lineRule="auto" w:line="288" w:before="0" w:after="0"/>
        <w:jc w:val="left"/>
        <w:rPr>
          <w:rFonts w:ascii="Roboto Slab Bold;sans-serif" w:hAnsi="Roboto Slab Bold;sans-serif"/>
          <w:b w:val="false"/>
          <w:color w:val="000000"/>
          <w:sz w:val="18"/>
        </w:rPr>
      </w:pPr>
      <w:r>
        <w:rPr>
          <w:rFonts w:ascii="Roboto Slab Bold;sans-serif" w:hAnsi="Roboto Slab Bold;sans-serif"/>
          <w:b w:val="false"/>
          <w:color w:val="000000"/>
          <w:sz w:val="18"/>
        </w:rPr>
        <w:t>Risk-Based Capital Ratio</w:t>
      </w:r>
    </w:p>
    <w:p>
      <w:pPr>
        <w:pStyle w:val="TextBody"/>
        <w:bidi w:val="0"/>
        <w:spacing w:before="0" w:after="0"/>
        <w:jc w:val="left"/>
        <w:rPr/>
      </w:pPr>
      <w:r>
        <w:rPr/>
      </w:r>
    </w:p>
    <w:p>
      <w:pPr>
        <w:pStyle w:val="TextBody"/>
        <w:bidi w:val="0"/>
        <w:spacing w:lineRule="auto" w:line="288" w:before="0" w:after="0"/>
        <w:ind w:left="0" w:right="0" w:firstLine="360"/>
        <w:jc w:val="both"/>
        <w:rPr>
          <w:rFonts w:ascii="Roboto;sans-serif" w:hAnsi="Roboto;sans-serif"/>
          <w:b w:val="false"/>
          <w:color w:val="000000"/>
          <w:sz w:val="18"/>
        </w:rPr>
      </w:pPr>
      <w:r>
        <w:rPr>
          <w:rFonts w:ascii="Roboto;sans-serif" w:hAnsi="Roboto;sans-serif"/>
          <w:b w:val="false"/>
          <w:color w:val="000000"/>
          <w:sz w:val="18"/>
        </w:rPr>
        <w:t>The risk-based capital ratio is a method of measuring an insurance company’s capital, taking into consideration its relative size and risk profile, in order to ensure compliance with minimum regulatory capital requirements set by the National Association of Insurance Commissioners. When referred to as “combined,” represents that of our insurance subsidiaries as a whole. The reporting of our combined risk-based capital ratio is not intended for the purpose of ranking any insurance company or for use in connection with any marketing, advertising or promotional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35000"/>
                <wp:effectExtent l="0" t="0" r="0" b="0"/>
                <wp:wrapNone/>
                <wp:docPr id="127" name="Frame50"/>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2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8" descr=""/>
                                          <pic:cNvPicPr>
                                            <a:picLocks noChangeAspect="1" noChangeArrowheads="1"/>
                                          </pic:cNvPicPr>
                                        </pic:nvPicPr>
                                        <pic:blipFill>
                                          <a:blip r:embed="rId79"/>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2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8" descr=""/>
                                    <pic:cNvPicPr>
                                      <a:picLocks noChangeAspect="1" noChangeArrowheads="1"/>
                                    </pic:cNvPicPr>
                                  </pic:nvPicPr>
                                  <pic:blipFill>
                                    <a:blip r:embed="rId80"/>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36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A-6</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val="false"/>
          <w:color w:val="00B0B9"/>
          <w:sz w:val="18"/>
        </w:rPr>
      </w:pPr>
      <w:r>
        <w:rPr>
          <w:rFonts w:ascii="Roboto Slab Bold;sans-serif" w:hAnsi="Roboto Slab Bold;sans-serif"/>
          <w:b w:val="false"/>
          <w:color w:val="00B0B9"/>
          <w:sz w:val="18"/>
        </w:rPr>
        <w:t>Acronyms</w:t>
      </w:r>
    </w:p>
    <w:tbl>
      <w:tblPr>
        <w:tblW w:w="7576" w:type="dxa"/>
        <w:jc w:val="left"/>
        <w:tblInd w:w="0" w:type="dxa"/>
        <w:tblLayout w:type="fixed"/>
        <w:tblCellMar>
          <w:top w:w="28" w:type="dxa"/>
          <w:left w:w="28" w:type="dxa"/>
          <w:bottom w:w="28" w:type="dxa"/>
          <w:right w:w="28" w:type="dxa"/>
        </w:tblCellMar>
      </w:tblPr>
      <w:tblGrid>
        <w:gridCol w:w="280"/>
        <w:gridCol w:w="246"/>
        <w:gridCol w:w="255"/>
        <w:gridCol w:w="1988"/>
        <w:gridCol w:w="1988"/>
        <w:gridCol w:w="2819"/>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AOCI</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 (loss)</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DAC</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policy acquisition costs</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FHLB</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Federal Home Loan Bank</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GAAP</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Accounting principles generally accepted in the United States of America</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GMDB</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Guaranteed minimum death benefits</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GMIB</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Guaranteed minimum income benefits</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GMWB</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Guaranteed minimum withdrawal benefits</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ICOLI</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Insurance company-owned life insurance</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NDGL</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derivative gains (losses)</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NIGL</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investment gains (losses)</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RBC</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Risk-based capital</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TAC</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adjusted capital</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ULSG</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Universal life insurance with secondary guarantees</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VA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Variable annuity</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VOBA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Value of business acquired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35000"/>
                <wp:effectExtent l="0" t="0" r="0" b="0"/>
                <wp:wrapNone/>
                <wp:docPr id="130" name="Frame51"/>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3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9" descr=""/>
                                          <pic:cNvPicPr>
                                            <a:picLocks noChangeAspect="1" noChangeArrowheads="1"/>
                                          </pic:cNvPicPr>
                                        </pic:nvPicPr>
                                        <pic:blipFill>
                                          <a:blip r:embed="rId81"/>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3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9" descr=""/>
                                    <pic:cNvPicPr>
                                      <a:picLocks noChangeAspect="1" noChangeArrowheads="1"/>
                                    </pic:cNvPicPr>
                                  </pic:nvPicPr>
                                  <pic:blipFill>
                                    <a:blip r:embed="rId82"/>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36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A-7</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jc w:val="both"/>
        <w:rPr>
          <w:rFonts w:ascii="Roboto Slab Bold;sans-serif" w:hAnsi="Roboto Slab Bold;sans-serif"/>
          <w:b w:val="false"/>
          <w:color w:val="00B0B9"/>
          <w:sz w:val="18"/>
        </w:rPr>
      </w:pPr>
      <w:r>
        <w:rPr>
          <w:rFonts w:ascii="Roboto Slab Bold;sans-serif" w:hAnsi="Roboto Slab Bold;sans-serif"/>
          <w:b w:val="false"/>
          <w:color w:val="00B0B9"/>
          <w:sz w:val="18"/>
        </w:rPr>
        <w:t>Reconciliation of Net Income (Loss) Available to Shareholders to Adjusted Earnings (Loss) and Adjusted Earnings, Less Notable Items, and Reconciliation of Net Income (Loss) Available to Shareholders per Common Share to Adjusted Earnings (Loss) per Common Share and Adjusted Earnings, Less Notable Items per Common Share (Unaudited, in millions except per share data)</w:t>
      </w:r>
    </w:p>
    <w:tbl>
      <w:tblPr>
        <w:tblW w:w="10205" w:type="dxa"/>
        <w:jc w:val="left"/>
        <w:tblInd w:w="0" w:type="dxa"/>
        <w:tblLayout w:type="fixed"/>
        <w:tblCellMar>
          <w:top w:w="28" w:type="dxa"/>
          <w:left w:w="28" w:type="dxa"/>
          <w:bottom w:w="28" w:type="dxa"/>
          <w:right w:w="28" w:type="dxa"/>
        </w:tblCellMar>
      </w:tblPr>
      <w:tblGrid>
        <w:gridCol w:w="1008"/>
        <w:gridCol w:w="818"/>
        <w:gridCol w:w="823"/>
        <w:gridCol w:w="109"/>
        <w:gridCol w:w="109"/>
        <w:gridCol w:w="109"/>
        <w:gridCol w:w="229"/>
        <w:gridCol w:w="220"/>
        <w:gridCol w:w="181"/>
        <w:gridCol w:w="109"/>
        <w:gridCol w:w="109"/>
        <w:gridCol w:w="109"/>
        <w:gridCol w:w="274"/>
        <w:gridCol w:w="226"/>
        <w:gridCol w:w="216"/>
        <w:gridCol w:w="109"/>
        <w:gridCol w:w="109"/>
        <w:gridCol w:w="109"/>
        <w:gridCol w:w="310"/>
        <w:gridCol w:w="310"/>
        <w:gridCol w:w="311"/>
        <w:gridCol w:w="109"/>
        <w:gridCol w:w="109"/>
        <w:gridCol w:w="109"/>
        <w:gridCol w:w="330"/>
        <w:gridCol w:w="330"/>
        <w:gridCol w:w="331"/>
        <w:gridCol w:w="109"/>
        <w:gridCol w:w="109"/>
        <w:gridCol w:w="109"/>
        <w:gridCol w:w="229"/>
        <w:gridCol w:w="200"/>
        <w:gridCol w:w="181"/>
        <w:gridCol w:w="109"/>
        <w:gridCol w:w="109"/>
        <w:gridCol w:w="109"/>
        <w:gridCol w:w="230"/>
        <w:gridCol w:w="230"/>
        <w:gridCol w:w="151"/>
        <w:gridCol w:w="145"/>
        <w:gridCol w:w="145"/>
        <w:gridCol w:w="145"/>
        <w:gridCol w:w="215"/>
        <w:gridCol w:w="215"/>
        <w:gridCol w:w="240"/>
      </w:tblGrid>
      <w:tr>
        <w:trPr/>
        <w:tc>
          <w:tcPr>
            <w:tcW w:w="100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64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LESS NOTABLE ITEMS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35"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Net income (loss) available to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$(234)</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(122)</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 xml:space="preserve">Less: Investment gains (losses) on trading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derivative gains (losses), excluding investment hedge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(986)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(927)</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Change in market risk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622</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208</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Market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Provision for income tax (expense) benefit on reconciling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88</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178</w:t>
            </w:r>
          </w:p>
        </w:tc>
      </w:tr>
      <w:tr>
        <w:trPr/>
        <w:tc>
          <w:tcPr>
            <w:tcW w:w="264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497</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433</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Notable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r>
      <w:tr>
        <w:trPr/>
        <w:tc>
          <w:tcPr>
            <w:tcW w:w="264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less notable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$509</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$443</w:t>
            </w:r>
          </w:p>
        </w:tc>
      </w:tr>
      <w:tr>
        <w:trPr/>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LESS NOTABLE ITEMS PER COMMON SHARE (1),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Net income (loss) available to shareholders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$2.84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$(4.06)</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(2.11)</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 xml:space="preserve">Less: Investment gains (losses) on trading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derivative gains (losses), excluding investment hedge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(17.06)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(16.03)</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Change in market risk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10.76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3.60</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Market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(0.07)</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Provision for income tax (expense) benefit on reconciling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1.52</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3.08</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Impact of inclusion of dilutive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0.05</w:t>
            </w:r>
          </w:p>
        </w:tc>
      </w:tr>
      <w:tr>
        <w:trPr/>
        <w:tc>
          <w:tcPr>
            <w:tcW w:w="2649" w:type="dxa"/>
            <w:gridSpan w:val="3"/>
            <w:tcBorders>
              <w:top w:val="single" w:sz="16" w:space="0" w:color="929292"/>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(loss)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8.59</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7.44</w:t>
            </w:r>
          </w:p>
        </w:tc>
      </w:tr>
      <w:tr>
        <w:trPr/>
        <w:tc>
          <w:tcPr>
            <w:tcW w:w="264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4"/>
              </w:rPr>
            </w:pPr>
            <w:r>
              <w:rPr>
                <w:rFonts w:ascii="Roboto;sans-serif" w:hAnsi="Roboto;sans-serif"/>
                <w:b w:val="false"/>
                <w:color w:val="000000"/>
                <w:sz w:val="14"/>
              </w:rPr>
              <w:t>Less: Notable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(0.21)</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(0.17)</w:t>
            </w:r>
          </w:p>
        </w:tc>
      </w:tr>
      <w:tr>
        <w:trPr/>
        <w:tc>
          <w:tcPr>
            <w:tcW w:w="2649" w:type="dxa"/>
            <w:gridSpan w:val="3"/>
            <w:tcBorders>
              <w:top w:val="single" w:sz="16" w:space="0" w:color="929292"/>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 less notable items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$8.81</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$7.61</w:t>
            </w:r>
          </w:p>
        </w:tc>
      </w:tr>
      <w:tr>
        <w:trPr/>
        <w:tc>
          <w:tcPr>
            <w:tcW w:w="2649" w:type="dxa"/>
            <w:gridSpan w:val="3"/>
            <w:tcBorders>
              <w:top w:val="single" w:sz="8" w:space="0" w:color="CBCBC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2"/>
              </w:rPr>
            </w:pPr>
            <w:r>
              <w:rPr>
                <w:rFonts w:ascii="Roboto;sans-serif" w:hAnsi="Roboto;sans-serif"/>
                <w:b w:val="false"/>
                <w:color w:val="000000"/>
                <w:sz w:val="12"/>
              </w:rPr>
              <w:t>(1) See definitions for Non-GAAP and Other Financial Disclosures in this Appendix.</w:t>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2"/>
              </w:rPr>
            </w:pPr>
            <w:r>
              <w:rPr>
                <w:rFonts w:ascii="Roboto;sans-serif" w:hAnsi="Roboto;sans-serif"/>
                <w:b w:val="false"/>
                <w:color w:val="000000"/>
                <w:sz w:val="12"/>
              </w:rPr>
              <w:t>(2) Per share calculations are on a diluted basis and may not recalculate or foot due to rounding. For loss periods, dilutive shares were not included in the calculation as inclusion of such shares would have an anti-dilutive effect.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35000"/>
                <wp:effectExtent l="0" t="0" r="0" b="0"/>
                <wp:wrapNone/>
                <wp:docPr id="133" name="Frame52"/>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3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0" descr=""/>
                                          <pic:cNvPicPr>
                                            <a:picLocks noChangeAspect="1" noChangeArrowheads="1"/>
                                          </pic:cNvPicPr>
                                        </pic:nvPicPr>
                                        <pic:blipFill>
                                          <a:blip r:embed="rId83"/>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3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0" descr=""/>
                                    <pic:cNvPicPr>
                                      <a:picLocks noChangeAspect="1" noChangeArrowheads="1"/>
                                    </pic:cNvPicPr>
                                  </pic:nvPicPr>
                                  <pic:blipFill>
                                    <a:blip r:embed="rId84"/>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36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A-8</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val="false"/>
          <w:color w:val="00B0B9"/>
          <w:sz w:val="18"/>
        </w:rPr>
      </w:pPr>
      <w:r>
        <w:rPr>
          <w:rFonts w:ascii="Roboto Slab Bold;sans-serif" w:hAnsi="Roboto Slab Bold;sans-serif"/>
          <w:b w:val="false"/>
          <w:color w:val="00B0B9"/>
          <w:sz w:val="18"/>
        </w:rPr>
        <w:t>Reconciliation of Return on Common Equity to Adjusted Return on Common Equity, Excluding AOCI (Unaudited, dollars in millions)</w:t>
      </w:r>
    </w:p>
    <w:tbl>
      <w:tblPr>
        <w:tblW w:w="10205" w:type="dxa"/>
        <w:jc w:val="left"/>
        <w:tblInd w:w="0" w:type="dxa"/>
        <w:tblLayout w:type="fixed"/>
        <w:tblCellMar>
          <w:top w:w="28" w:type="dxa"/>
          <w:left w:w="28" w:type="dxa"/>
          <w:bottom w:w="28" w:type="dxa"/>
          <w:right w:w="28" w:type="dxa"/>
        </w:tblCellMar>
      </w:tblPr>
      <w:tblGrid>
        <w:gridCol w:w="1737"/>
        <w:gridCol w:w="1341"/>
        <w:gridCol w:w="1346"/>
        <w:gridCol w:w="109"/>
        <w:gridCol w:w="109"/>
        <w:gridCol w:w="109"/>
        <w:gridCol w:w="229"/>
        <w:gridCol w:w="223"/>
        <w:gridCol w:w="198"/>
        <w:gridCol w:w="110"/>
        <w:gridCol w:w="110"/>
        <w:gridCol w:w="110"/>
        <w:gridCol w:w="255"/>
        <w:gridCol w:w="235"/>
        <w:gridCol w:w="237"/>
        <w:gridCol w:w="110"/>
        <w:gridCol w:w="110"/>
        <w:gridCol w:w="110"/>
        <w:gridCol w:w="330"/>
        <w:gridCol w:w="330"/>
        <w:gridCol w:w="332"/>
        <w:gridCol w:w="110"/>
        <w:gridCol w:w="110"/>
        <w:gridCol w:w="110"/>
        <w:gridCol w:w="350"/>
        <w:gridCol w:w="350"/>
        <w:gridCol w:w="352"/>
        <w:gridCol w:w="110"/>
        <w:gridCol w:w="110"/>
        <w:gridCol w:w="110"/>
        <w:gridCol w:w="214"/>
        <w:gridCol w:w="214"/>
        <w:gridCol w:w="285"/>
      </w:tblGrid>
      <w:tr>
        <w:trPr/>
        <w:tc>
          <w:tcPr>
            <w:tcW w:w="17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Four Quarters Cumulative Trailing Basis</w:t>
            </w:r>
          </w:p>
        </w:tc>
      </w:tr>
      <w:tr>
        <w:trPr/>
        <w:tc>
          <w:tcPr>
            <w:tcW w:w="442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ADJUSTED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val="false"/>
                <w:color w:val="000000"/>
                <w:sz w:val="14"/>
              </w:rPr>
            </w:pPr>
            <w:r>
              <w:rPr>
                <w:rFonts w:ascii="Roboto Black;sans-serif" w:hAnsi="Roboto Black;sans-serif"/>
                <w:b w:val="false"/>
                <w:color w:val="000000"/>
                <w:sz w:val="14"/>
              </w:rPr>
              <w:t>Net income (loss) available to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$729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$(167)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$331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$865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val="false"/>
                <w:color w:val="000000"/>
                <w:sz w:val="14"/>
              </w:rPr>
            </w:pPr>
            <w:r>
              <w:rPr>
                <w:rFonts w:ascii="Roboto Black;sans-serif" w:hAnsi="Roboto Black;sans-serif"/>
                <w:b w:val="false"/>
                <w:color w:val="000000"/>
                <w:sz w:val="14"/>
              </w:rPr>
              <w:t>$562</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(255)</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Investment gains (losses) on trading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derivative gains (losses), excluding investment hedge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(1,851)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(2,612)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(1,792)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(2,332)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(2,021)</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Change in market risk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682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1,406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1,085</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Market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Provision for income tax (expense) benefit on reconciling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250</w:t>
            </w:r>
          </w:p>
        </w:tc>
      </w:tr>
      <w:tr>
        <w:trPr/>
        <w:tc>
          <w:tcPr>
            <w:tcW w:w="442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$1,681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$1,621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$1,617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$1,707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$1,504</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Five Quarters Average Stockholders' Equity Basis</w:t>
            </w:r>
          </w:p>
        </w:tc>
      </w:tr>
      <w:tr>
        <w:trPr/>
        <w:tc>
          <w:tcPr>
            <w:tcW w:w="442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BRIGHTHOUSE FINANCIAL, INC.’S COMMON STOCKHOLDERS’ EQUITY, EXCLUDING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$6,183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$5,921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$5,800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$5,552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$5,107</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Preferred stock,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1,699</w:t>
            </w:r>
          </w:p>
        </w:tc>
      </w:tr>
      <w:tr>
        <w:trPr/>
        <w:tc>
          <w:tcPr>
            <w:tcW w:w="442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Brighthouse Financial, Inc.’s common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4,484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4,222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3,853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3,408</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(4,058)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(4,166)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(4,391)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(4,470)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(4,750)</w:t>
            </w:r>
          </w:p>
        </w:tc>
      </w:tr>
      <w:tr>
        <w:trPr/>
        <w:tc>
          <w:tcPr>
            <w:tcW w:w="442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Brighthouse Financial, Inc.’s common stockholders’ equity, excluding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$8,542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$8,388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$8,492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$8,323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$8,158</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Five Quarters Average Common Stockholders' Equity Basis</w:t>
            </w:r>
          </w:p>
        </w:tc>
      </w:tr>
      <w:tr>
        <w:trPr/>
        <w:tc>
          <w:tcPr>
            <w:tcW w:w="442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0"/>
              <w:jc w:val="left"/>
              <w:rPr>
                <w:rFonts w:ascii="Roboto Black;sans-serif" w:hAnsi="Roboto Black;sans-serif"/>
                <w:b/>
                <w:color w:val="000000"/>
                <w:sz w:val="14"/>
              </w:rPr>
            </w:pPr>
            <w:r>
              <w:rPr>
                <w:rFonts w:ascii="Roboto Black;sans-serif" w:hAnsi="Roboto Black;sans-serif"/>
                <w:b/>
                <w:color w:val="000000"/>
                <w:sz w:val="14"/>
              </w:rPr>
              <w:t>ADJUSTED RETURN ON COMMON EQUITY, EXCLUDING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3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Return on common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16.5%</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Return on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(11.8)%</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Return on common equity, excluding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6.9%</w:t>
            </w:r>
          </w:p>
        </w:tc>
      </w:tr>
      <w:tr>
        <w:trPr/>
        <w:tc>
          <w:tcPr>
            <w:tcW w:w="442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Return on net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Return on investment gains (losses) on trading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Roboto;sans-serif" w:hAnsi="Roboto;sans-serif"/>
                <w:b w:val="false"/>
                <w:color w:val="000000"/>
                <w:sz w:val="1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Roboto;sans-serif" w:hAnsi="Roboto;sans-serif"/>
                <w:b w:val="false"/>
                <w:color w:val="000000"/>
                <w:sz w:val="14"/>
              </w:rPr>
              <w:t>%</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Return on net derivative gains (losses), excluding investment hedge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(21.1)%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(24.8)%</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Return on change in market risk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16.9%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13.3%</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Return on market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Roboto;sans-serif" w:hAnsi="Roboto;sans-serif"/>
                <w:b w:val="false"/>
                <w:color w:val="000000"/>
                <w:sz w:val="14"/>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Roboto;sans-serif" w:hAnsi="Roboto;sans-serif"/>
                <w:b w:val="false"/>
                <w:color w:val="000000"/>
                <w:sz w:val="14"/>
              </w:rPr>
              <w:t>%</w:t>
            </w:r>
          </w:p>
        </w:tc>
      </w:tr>
      <w:tr>
        <w:trPr/>
        <w:tc>
          <w:tcPr>
            <w:tcW w:w="44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Return on provision for income tax (expense) benefit on reconciling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3.1%</w:t>
            </w:r>
          </w:p>
        </w:tc>
      </w:tr>
      <w:tr>
        <w:trPr/>
        <w:tc>
          <w:tcPr>
            <w:tcW w:w="442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return on common equity, excluding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19.7%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19.3%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19.0%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20.5%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4"/>
              </w:rPr>
            </w:pPr>
            <w:r>
              <w:rPr>
                <w:rFonts w:ascii="Roboto;sans-serif" w:hAnsi="Roboto;sans-serif"/>
                <w:b/>
                <w:color w:val="000000"/>
                <w:sz w:val="14"/>
              </w:rPr>
              <w:t>18.4%</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35000"/>
                <wp:effectExtent l="0" t="0" r="0" b="0"/>
                <wp:wrapNone/>
                <wp:docPr id="136" name="Frame53"/>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3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1" descr=""/>
                                          <pic:cNvPicPr>
                                            <a:picLocks noChangeAspect="1" noChangeArrowheads="1"/>
                                          </pic:cNvPicPr>
                                        </pic:nvPicPr>
                                        <pic:blipFill>
                                          <a:blip r:embed="rId85"/>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3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1" descr=""/>
                                    <pic:cNvPicPr>
                                      <a:picLocks noChangeAspect="1" noChangeArrowheads="1"/>
                                    </pic:cNvPicPr>
                                  </pic:nvPicPr>
                                  <pic:blipFill>
                                    <a:blip r:embed="rId86"/>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364"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A-9</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val="false"/>
          <w:color w:val="00B0B9"/>
          <w:sz w:val="18"/>
        </w:rPr>
      </w:pPr>
      <w:r>
        <w:rPr>
          <w:rFonts w:ascii="Roboto Slab Bold;sans-serif" w:hAnsi="Roboto Slab Bold;sans-serif"/>
          <w:b w:val="false"/>
          <w:color w:val="00B0B9"/>
          <w:sz w:val="18"/>
        </w:rPr>
        <w:t>Reconciliation of Total Revenues to Adjusted Revenues and Reconciliation of Total Expenses to Adjusted Expenses (Unaudited, in millions)</w:t>
      </w:r>
    </w:p>
    <w:tbl>
      <w:tblPr>
        <w:tblW w:w="10205" w:type="dxa"/>
        <w:jc w:val="left"/>
        <w:tblInd w:w="0" w:type="dxa"/>
        <w:tblLayout w:type="fixed"/>
        <w:tblCellMar>
          <w:top w:w="28" w:type="dxa"/>
          <w:left w:w="28" w:type="dxa"/>
          <w:bottom w:w="28" w:type="dxa"/>
          <w:right w:w="28" w:type="dxa"/>
        </w:tblCellMar>
      </w:tblPr>
      <w:tblGrid>
        <w:gridCol w:w="953"/>
        <w:gridCol w:w="736"/>
        <w:gridCol w:w="741"/>
        <w:gridCol w:w="109"/>
        <w:gridCol w:w="109"/>
        <w:gridCol w:w="109"/>
        <w:gridCol w:w="229"/>
        <w:gridCol w:w="222"/>
        <w:gridCol w:w="192"/>
        <w:gridCol w:w="109"/>
        <w:gridCol w:w="109"/>
        <w:gridCol w:w="109"/>
        <w:gridCol w:w="251"/>
        <w:gridCol w:w="228"/>
        <w:gridCol w:w="229"/>
        <w:gridCol w:w="109"/>
        <w:gridCol w:w="109"/>
        <w:gridCol w:w="109"/>
        <w:gridCol w:w="323"/>
        <w:gridCol w:w="323"/>
        <w:gridCol w:w="324"/>
        <w:gridCol w:w="109"/>
        <w:gridCol w:w="109"/>
        <w:gridCol w:w="109"/>
        <w:gridCol w:w="343"/>
        <w:gridCol w:w="343"/>
        <w:gridCol w:w="344"/>
        <w:gridCol w:w="109"/>
        <w:gridCol w:w="109"/>
        <w:gridCol w:w="109"/>
        <w:gridCol w:w="229"/>
        <w:gridCol w:w="222"/>
        <w:gridCol w:w="192"/>
        <w:gridCol w:w="109"/>
        <w:gridCol w:w="109"/>
        <w:gridCol w:w="109"/>
        <w:gridCol w:w="230"/>
        <w:gridCol w:w="230"/>
        <w:gridCol w:w="184"/>
        <w:gridCol w:w="160"/>
        <w:gridCol w:w="160"/>
        <w:gridCol w:w="160"/>
        <w:gridCol w:w="215"/>
        <w:gridCol w:w="215"/>
        <w:gridCol w:w="265"/>
      </w:tblGrid>
      <w:tr>
        <w:trPr/>
        <w:tc>
          <w:tcPr>
            <w:tcW w:w="95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80"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$1,689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$871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$3,149</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$3,261</w:t>
            </w:r>
          </w:p>
        </w:tc>
      </w:tr>
      <w:tr>
        <w:trPr/>
        <w:tc>
          <w:tcPr>
            <w:tcW w:w="24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(58)</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(122)</w:t>
            </w:r>
          </w:p>
        </w:tc>
      </w:tr>
      <w:tr>
        <w:trPr/>
        <w:tc>
          <w:tcPr>
            <w:tcW w:w="24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Investment gains (losses) on trading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4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Net derivative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(986)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(926)</w:t>
            </w:r>
          </w:p>
        </w:tc>
      </w:tr>
      <w:tr>
        <w:trPr/>
        <w:tc>
          <w:tcPr>
            <w:tcW w:w="24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Investment hedge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16" w:space="0" w:color="929292"/>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$4,201</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$4,310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$2,909</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$3,522</w:t>
            </w:r>
          </w:p>
        </w:tc>
      </w:tr>
      <w:tr>
        <w:trPr/>
        <w:tc>
          <w:tcPr>
            <w:tcW w:w="24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Change in market risk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(622)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(208)</w:t>
            </w:r>
          </w:p>
        </w:tc>
      </w:tr>
      <w:tr>
        <w:trPr/>
        <w:tc>
          <w:tcPr>
            <w:tcW w:w="24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Less: Market value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r>
      <w:tr>
        <w:trPr/>
        <w:tc>
          <w:tcPr>
            <w:tcW w:w="2430" w:type="dxa"/>
            <w:gridSpan w:val="3"/>
            <w:tcBorders>
              <w:top w:val="single" w:sz="16" w:space="0" w:color="929292"/>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Total adjusted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$932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$1,885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$3,540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16" w:space="0" w:color="00B0BA"/>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$3,726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35000"/>
                <wp:effectExtent l="0" t="0" r="0" b="0"/>
                <wp:wrapNone/>
                <wp:docPr id="139" name="Frame54"/>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4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2" descr=""/>
                                          <pic:cNvPicPr>
                                            <a:picLocks noChangeAspect="1" noChangeArrowheads="1"/>
                                          </pic:cNvPicPr>
                                        </pic:nvPicPr>
                                        <pic:blipFill>
                                          <a:blip r:embed="rId87"/>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4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2" descr=""/>
                                    <pic:cNvPicPr>
                                      <a:picLocks noChangeAspect="1" noChangeArrowheads="1"/>
                                    </pic:cNvPicPr>
                                  </pic:nvPicPr>
                                  <pic:blipFill>
                                    <a:blip r:embed="rId88"/>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tbl>
      <w:tblPr>
        <w:tblW w:w="3485"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629"/>
        <w:gridCol w:w="629"/>
        <w:gridCol w:w="631"/>
        <w:gridCol w:w="109"/>
        <w:gridCol w:w="109"/>
        <w:gridCol w:w="109"/>
        <w:gridCol w:w="175"/>
        <w:gridCol w:w="175"/>
        <w:gridCol w:w="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Financial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bottom w:val="single" w:sz="8" w:space="0" w:color="CBCBCB"/>
            </w:tcBorders>
            <w:tcMar>
              <w:top w:w="0" w:type="dxa"/>
              <w:left w:w="0" w:type="dxa"/>
              <w:bottom w:w="30" w:type="dxa"/>
              <w:right w:w="0" w:type="dxa"/>
            </w:tcMar>
            <w:vAlign w:val="center"/>
          </w:tcPr>
          <w:p>
            <w:pPr>
              <w:pStyle w:val="TableContents"/>
              <w:bidi w:val="0"/>
              <w:spacing w:lineRule="auto" w:line="240" w:before="0" w:after="0"/>
              <w:jc w:val="right"/>
              <w:rPr>
                <w:rFonts w:ascii="Roboto;sans-serif" w:hAnsi="Roboto;sans-serif"/>
                <w:b/>
                <w:color w:val="000000"/>
                <w:sz w:val="16"/>
              </w:rPr>
            </w:pPr>
            <w:r>
              <w:rPr>
                <w:rFonts w:ascii="Roboto;sans-serif" w:hAnsi="Roboto;sans-serif"/>
                <w:b/>
                <w:color w:val="000000"/>
                <w:sz w:val="16"/>
              </w:rPr>
              <w:t>A-10</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20"/>
        <w:ind w:left="0" w:right="0" w:firstLine="360"/>
        <w:jc w:val="both"/>
        <w:rPr>
          <w:rFonts w:ascii="Roboto Slab Bold;sans-serif" w:hAnsi="Roboto Slab Bold;sans-serif"/>
          <w:b w:val="false"/>
          <w:color w:val="00B0B9"/>
          <w:sz w:val="18"/>
        </w:rPr>
      </w:pPr>
      <w:r>
        <w:rPr>
          <w:rFonts w:ascii="Roboto Slab Bold;sans-serif" w:hAnsi="Roboto Slab Bold;sans-serif"/>
          <w:b w:val="false"/>
          <w:color w:val="00B0B9"/>
          <w:sz w:val="18"/>
        </w:rPr>
        <w:t>Investment Reconciliation Details (Unaudited, dollars in millions)</w:t>
      </w:r>
    </w:p>
    <w:tbl>
      <w:tblPr>
        <w:tblW w:w="10205" w:type="dxa"/>
        <w:jc w:val="left"/>
        <w:tblInd w:w="0" w:type="dxa"/>
        <w:tblLayout w:type="fixed"/>
        <w:tblCellMar>
          <w:top w:w="28" w:type="dxa"/>
          <w:left w:w="28" w:type="dxa"/>
          <w:bottom w:w="28" w:type="dxa"/>
          <w:right w:w="28" w:type="dxa"/>
        </w:tblCellMar>
      </w:tblPr>
      <w:tblGrid>
        <w:gridCol w:w="1017"/>
        <w:gridCol w:w="894"/>
        <w:gridCol w:w="896"/>
        <w:gridCol w:w="109"/>
        <w:gridCol w:w="109"/>
        <w:gridCol w:w="109"/>
        <w:gridCol w:w="186"/>
        <w:gridCol w:w="186"/>
        <w:gridCol w:w="188"/>
        <w:gridCol w:w="109"/>
        <w:gridCol w:w="109"/>
        <w:gridCol w:w="109"/>
        <w:gridCol w:w="223"/>
        <w:gridCol w:w="223"/>
        <w:gridCol w:w="224"/>
        <w:gridCol w:w="109"/>
        <w:gridCol w:w="109"/>
        <w:gridCol w:w="109"/>
        <w:gridCol w:w="318"/>
        <w:gridCol w:w="318"/>
        <w:gridCol w:w="319"/>
        <w:gridCol w:w="109"/>
        <w:gridCol w:w="109"/>
        <w:gridCol w:w="109"/>
        <w:gridCol w:w="338"/>
        <w:gridCol w:w="338"/>
        <w:gridCol w:w="339"/>
        <w:gridCol w:w="109"/>
        <w:gridCol w:w="109"/>
        <w:gridCol w:w="109"/>
        <w:gridCol w:w="186"/>
        <w:gridCol w:w="186"/>
        <w:gridCol w:w="188"/>
        <w:gridCol w:w="109"/>
        <w:gridCol w:w="109"/>
        <w:gridCol w:w="109"/>
        <w:gridCol w:w="221"/>
        <w:gridCol w:w="179"/>
        <w:gridCol w:w="160"/>
        <w:gridCol w:w="154"/>
        <w:gridCol w:w="154"/>
        <w:gridCol w:w="154"/>
        <w:gridCol w:w="215"/>
        <w:gridCol w:w="207"/>
        <w:gridCol w:w="232"/>
      </w:tblGrid>
      <w:tr>
        <w:trPr/>
        <w:tc>
          <w:tcPr>
            <w:tcW w:w="101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Six Months Ended</w:t>
            </w:r>
          </w:p>
        </w:tc>
      </w:tr>
      <w:tr>
        <w:trPr/>
        <w:tc>
          <w:tcPr>
            <w:tcW w:w="2807"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NET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462"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 portfolio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$(20)</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$(36)</w:t>
            </w:r>
          </w:p>
        </w:tc>
      </w:tr>
      <w:tr>
        <w:trPr/>
        <w:tc>
          <w:tcPr>
            <w:tcW w:w="2807"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 portfolio credit loss (provision) release and (writedowns)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(38)</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(86)</w:t>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Net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$(58)</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$(122)</w:t>
            </w:r>
          </w:p>
        </w:tc>
      </w:tr>
    </w:tbl>
    <w:p>
      <w:pPr>
        <w:pStyle w:val="TextBody"/>
        <w:bidi w:val="0"/>
        <w:spacing w:before="0" w:after="0"/>
        <w:jc w:val="left"/>
        <w:rPr/>
      </w:pPr>
      <w:r>
        <w:rPr/>
      </w:r>
    </w:p>
    <w:tbl>
      <w:tblPr>
        <w:tblW w:w="9774" w:type="dxa"/>
        <w:jc w:val="left"/>
        <w:tblInd w:w="0" w:type="dxa"/>
        <w:tblLayout w:type="fixed"/>
        <w:tblCellMar>
          <w:top w:w="28" w:type="dxa"/>
          <w:left w:w="28" w:type="dxa"/>
          <w:bottom w:w="28" w:type="dxa"/>
          <w:right w:w="28" w:type="dxa"/>
        </w:tblCellMar>
      </w:tblPr>
      <w:tblGrid>
        <w:gridCol w:w="1309"/>
        <w:gridCol w:w="1151"/>
        <w:gridCol w:w="1154"/>
        <w:gridCol w:w="109"/>
        <w:gridCol w:w="109"/>
        <w:gridCol w:w="109"/>
        <w:gridCol w:w="229"/>
        <w:gridCol w:w="229"/>
        <w:gridCol w:w="231"/>
        <w:gridCol w:w="109"/>
        <w:gridCol w:w="109"/>
        <w:gridCol w:w="109"/>
        <w:gridCol w:w="274"/>
        <w:gridCol w:w="274"/>
        <w:gridCol w:w="276"/>
        <w:gridCol w:w="109"/>
        <w:gridCol w:w="109"/>
        <w:gridCol w:w="109"/>
        <w:gridCol w:w="369"/>
        <w:gridCol w:w="369"/>
        <w:gridCol w:w="371"/>
        <w:gridCol w:w="109"/>
        <w:gridCol w:w="109"/>
        <w:gridCol w:w="109"/>
        <w:gridCol w:w="389"/>
        <w:gridCol w:w="389"/>
        <w:gridCol w:w="391"/>
        <w:gridCol w:w="109"/>
        <w:gridCol w:w="109"/>
        <w:gridCol w:w="109"/>
        <w:gridCol w:w="214"/>
        <w:gridCol w:w="214"/>
        <w:gridCol w:w="306"/>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For the Three Months Ended</w:t>
            </w:r>
          </w:p>
        </w:tc>
      </w:tr>
      <w:tr>
        <w:trPr/>
        <w:tc>
          <w:tcPr>
            <w:tcW w:w="361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14"/>
              </w:rPr>
            </w:pPr>
            <w:r>
              <w:rPr>
                <w:rFonts w:ascii="Roboto Black;sans-serif" w:hAnsi="Roboto Black;sans-serif"/>
                <w:b/>
                <w:color w:val="000000"/>
                <w:sz w:val="14"/>
              </w:rPr>
              <w:t>ADJUSTED NET INVESTMENT INCOME YIELD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March 31,</w:t>
              <w:br/>
              <w:t>2026</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December 31,</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September 30,</w:t>
              <w:br/>
              <w:t>2025</w:t>
            </w:r>
          </w:p>
        </w:tc>
        <w:tc>
          <w:tcPr>
            <w:tcW w:w="327" w:type="dxa"/>
            <w:gridSpan w:val="3"/>
            <w:tcBorders>
              <w:top w:val="single" w:sz="16" w:space="0" w:color="00B0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B0B9"/>
                <w:sz w:val="14"/>
              </w:rPr>
            </w:pPr>
            <w:r>
              <w:rPr>
                <w:rFonts w:ascii="Roboto Black;sans-serif" w:hAnsi="Roboto Black;sans-serif"/>
                <w:b/>
                <w:color w:val="00B0B9"/>
                <w:sz w:val="14"/>
              </w:rPr>
              <w:t>June 30,</w:t>
              <w:br/>
              <w:t>2025</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 income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4.41%</w:t>
            </w:r>
          </w:p>
        </w:tc>
      </w:tr>
      <w:tr>
        <w:trPr/>
        <w:tc>
          <w:tcPr>
            <w:tcW w:w="361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4"/>
              </w:rPr>
            </w:pPr>
            <w:r>
              <w:rPr>
                <w:rFonts w:ascii="Roboto;sans-serif" w:hAnsi="Roboto;sans-serif"/>
                <w:b w:val="false"/>
                <w:color w:val="000000"/>
                <w:sz w:val="14"/>
              </w:rPr>
              <w:t>Investment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CBCBCB"/>
            </w:tcBorders>
            <w:tcMar>
              <w:top w:w="52"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4"/>
              </w:rPr>
            </w:pPr>
            <w:r>
              <w:rPr>
                <w:rFonts w:ascii="Roboto;sans-serif" w:hAnsi="Roboto;sans-serif"/>
                <w:b w:val="false"/>
                <w:color w:val="000000"/>
                <w:sz w:val="14"/>
              </w:rPr>
              <w:t>(0.13)%</w:t>
            </w:r>
          </w:p>
        </w:tc>
      </w:tr>
      <w:tr>
        <w:trPr/>
        <w:tc>
          <w:tcPr>
            <w:tcW w:w="3614" w:type="dxa"/>
            <w:gridSpan w:val="3"/>
            <w:tcBorders>
              <w:top w:val="single" w:sz="16" w:space="0" w:color="8A8A8A"/>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4"/>
              </w:rPr>
            </w:pPr>
            <w:r>
              <w:rPr>
                <w:rFonts w:ascii="Roboto;sans-serif" w:hAnsi="Roboto;sans-serif"/>
                <w:b/>
                <w:color w:val="000000"/>
                <w:sz w:val="14"/>
              </w:rPr>
              <w:t>Adjusted net investment income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6" w:space="0" w:color="00B0B9"/>
            </w:tcBorders>
            <w:tcMar>
              <w:top w:w="52" w:type="dxa"/>
              <w:left w:w="0" w:type="dxa"/>
              <w:bottom w:w="0" w:type="dxa"/>
              <w:right w:w="0" w:type="dxa"/>
            </w:tcMar>
            <w:vAlign w:val="center"/>
          </w:tcPr>
          <w:p>
            <w:pPr>
              <w:pStyle w:val="TableContents"/>
              <w:bidi w:val="0"/>
              <w:spacing w:lineRule="auto" w:line="240" w:before="0" w:after="283"/>
              <w:jc w:val="center"/>
              <w:rPr>
                <w:rFonts w:ascii="Roboto Black;sans-serif" w:hAnsi="Roboto Black;sans-serif"/>
                <w:b/>
                <w:color w:val="000000"/>
                <w:sz w:val="14"/>
              </w:rPr>
            </w:pPr>
            <w:r>
              <w:rPr>
                <w:rFonts w:ascii="Roboto Black;sans-serif" w:hAnsi="Roboto Black;sans-serif"/>
                <w:b/>
                <w:color w:val="000000"/>
                <w:sz w:val="14"/>
              </w:rPr>
              <w:t>4.28%</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4" w:type="dxa"/>
            <w:gridSpan w:val="33"/>
            <w:tcBorders/>
            <w:tcMar>
              <w:top w:w="0" w:type="dxa"/>
              <w:left w:w="0" w:type="dxa"/>
              <w:bottom w:w="0" w:type="dxa"/>
              <w:right w:w="0" w:type="dxa"/>
            </w:tcMar>
            <w:vAlign w:val="center"/>
          </w:tcPr>
          <w:p>
            <w:pPr>
              <w:pStyle w:val="TableContents"/>
              <w:bidi w:val="0"/>
              <w:spacing w:lineRule="auto" w:line="276" w:before="0" w:after="283"/>
              <w:jc w:val="both"/>
              <w:rPr>
                <w:rFonts w:ascii="Roboto;sans-serif" w:hAnsi="Roboto;sans-serif"/>
                <w:b w:val="false"/>
                <w:color w:val="000000"/>
                <w:sz w:val="12"/>
              </w:rPr>
            </w:pPr>
            <w:r>
              <w:rPr>
                <w:rFonts w:ascii="Roboto;sans-serif" w:hAnsi="Roboto;sans-serif"/>
                <w:b w:val="false"/>
                <w:color w:val="000000"/>
                <w:sz w:val="12"/>
              </w:rPr>
              <w:t>(1) See definitions for Non-GAAP and Other Financial Disclosures in this Appendix.</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35000"/>
                <wp:effectExtent l="0" t="0" r="0" b="0"/>
                <wp:wrapNone/>
                <wp:docPr id="142" name="Frame55"/>
                <a:graphic xmlns:a="http://schemas.openxmlformats.org/drawingml/2006/main">
                  <a:graphicData uri="http://schemas.microsoft.com/office/word/2010/wordprocessingShape">
                    <wps:wsp>
                      <wps:cNvSpPr txBox="1"/>
                      <wps:spPr>
                        <a:xfrm>
                          <a:off x="0" y="0"/>
                          <a:ext cx="6480175" cy="635000"/>
                        </a:xfrm>
                        <a:prstGeom prst="rect"/>
                        <a:solidFill>
                          <a:srgbClr val="FFFFFF"/>
                        </a:solidFill>
                      </wps:spPr>
                      <wps:txbx>
                        <w:txbxContent>
                          <w:p>
                            <w:pPr>
                              <w:pStyle w:val="TextBody"/>
                              <w:bidi w:val="0"/>
                              <w:spacing w:before="0" w:after="0"/>
                              <w:jc w:val="right"/>
                              <w:rPr/>
                            </w:pPr>
                            <w:r>
                              <w:rPr/>
                              <w:drawing>
                                <wp:inline distT="0" distB="0" distL="0" distR="0">
                                  <wp:extent cx="2286000" cy="571500"/>
                                  <wp:effectExtent l="0" t="0" r="0" b="0"/>
                                  <wp:docPr id="14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3" descr=""/>
                                          <pic:cNvPicPr>
                                            <a:picLocks noChangeAspect="1" noChangeArrowheads="1"/>
                                          </pic:cNvPicPr>
                                        </pic:nvPicPr>
                                        <pic:blipFill>
                                          <a:blip r:embed="rId89"/>
                                          <a:stretch>
                                            <a:fillRect/>
                                          </a:stretch>
                                        </pic:blipFill>
                                        <pic:spPr bwMode="auto">
                                          <a:xfrm>
                                            <a:off x="0" y="0"/>
                                            <a:ext cx="2286000" cy="5715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286000" cy="571500"/>
                            <wp:effectExtent l="0" t="0" r="0" b="0"/>
                            <wp:docPr id="14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3" descr=""/>
                                    <pic:cNvPicPr>
                                      <a:picLocks noChangeAspect="1" noChangeArrowheads="1"/>
                                    </pic:cNvPicPr>
                                  </pic:nvPicPr>
                                  <pic:blipFill>
                                    <a:blip r:embed="rId90"/>
                                    <a:stretch>
                                      <a:fillRect/>
                                    </a:stretch>
                                  </pic:blipFill>
                                  <pic:spPr bwMode="auto">
                                    <a:xfrm>
                                      <a:off x="0" y="0"/>
                                      <a:ext cx="2286000" cy="571500"/>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Roboto">
    <w:altName w:val="sans-serif"/>
    <w:charset w:val="01"/>
    <w:family w:val="auto"/>
    <w:pitch w:val="default"/>
  </w:font>
  <w:font w:name="Roboto Light">
    <w:altName w:val="sans-serif"/>
    <w:charset w:val="01"/>
    <w:family w:val="auto"/>
    <w:pitch w:val="default"/>
  </w:font>
  <w:font w:name="Roboto Black">
    <w:altName w:val="sans-serif"/>
    <w:charset w:val="01"/>
    <w:family w:val="auto"/>
    <w:pitch w:val="default"/>
  </w:font>
  <w:font w:name="Roboto Slab 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fontTable" Target="fontTable.xml"/><Relationship Id="rId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15011</Words>
  <Characters>84942</Characters>
  <CharactersWithSpaces>96171</CharactersWithSpaces>
  <Paragraphs>4122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