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Arial" w:hAnsi="Arial"/>
          <w:b/>
          <w:sz w:val="20"/>
        </w:rPr>
      </w:pPr>
      <w:bookmarkStart w:id="0" w:name="d60141drw.htm"/>
      <w:bookmarkStart w:id="1" w:name="ksd60141drw"/>
      <w:bookmarkEnd w:id="0"/>
      <w:bookmarkEnd w:id="1"/>
      <w:r>
        <w:rPr>
          <w:rFonts w:ascii="Arial" w:hAnsi="Arial"/>
          <w:b/>
          <w:sz w:val="20"/>
        </w:rPr>
        <w:t xml:space="preserve">Brighthouse Life Insurance Company </w:t>
      </w:r>
    </w:p>
    <w:p>
      <w:pPr>
        <w:pStyle w:val="TextBody"/>
        <w:bidi w:val="0"/>
        <w:spacing w:before="0" w:after="0"/>
        <w:jc w:val="left"/>
        <w:rPr>
          <w:rFonts w:ascii="Arial" w:hAnsi="Arial"/>
          <w:b/>
          <w:sz w:val="20"/>
        </w:rPr>
      </w:pPr>
      <w:r>
        <w:rPr>
          <w:rFonts w:ascii="Arial" w:hAnsi="Arial"/>
          <w:b/>
          <w:sz w:val="20"/>
        </w:rPr>
        <w:t xml:space="preserve">11225 North Community House Road </w:t>
      </w:r>
    </w:p>
    <w:p>
      <w:pPr>
        <w:pStyle w:val="TextBody"/>
        <w:bidi w:val="0"/>
        <w:spacing w:before="0" w:after="0"/>
        <w:jc w:val="left"/>
        <w:rPr>
          <w:rFonts w:ascii="Arial" w:hAnsi="Arial"/>
          <w:b/>
          <w:sz w:val="20"/>
        </w:rPr>
      </w:pPr>
      <w:r>
        <w:rPr>
          <w:rFonts w:ascii="Arial" w:hAnsi="Arial"/>
          <w:b/>
          <w:sz w:val="20"/>
        </w:rPr>
        <w:t xml:space="preserve">Charlotte, NC 28277 </w:t>
      </w:r>
    </w:p>
    <w:p>
      <w:pPr>
        <w:pStyle w:val="TextBody"/>
        <w:bidi w:val="0"/>
        <w:spacing w:before="360" w:after="0"/>
        <w:jc w:val="left"/>
        <w:rPr>
          <w:rFonts w:ascii="Arial" w:hAnsi="Arial"/>
          <w:sz w:val="20"/>
        </w:rPr>
      </w:pPr>
      <w:r>
        <w:rPr>
          <w:rFonts w:ascii="Arial" w:hAnsi="Arial"/>
          <w:sz w:val="20"/>
        </w:rPr>
        <w:t xml:space="preserve">November 24, 2025 </w:t>
      </w:r>
    </w:p>
    <w:p>
      <w:pPr>
        <w:pStyle w:val="TextBody"/>
        <w:bidi w:val="0"/>
        <w:spacing w:before="240" w:after="0"/>
        <w:jc w:val="left"/>
        <w:rPr>
          <w:rFonts w:ascii="Arial" w:hAnsi="Arial"/>
          <w:sz w:val="20"/>
        </w:rPr>
      </w:pPr>
      <w:r>
        <w:rPr>
          <w:rFonts w:ascii="Arial" w:hAnsi="Arial"/>
          <w:sz w:val="20"/>
        </w:rPr>
        <w:t xml:space="preserve">U.S. Securities and Exchange Commission </w:t>
      </w:r>
    </w:p>
    <w:p>
      <w:pPr>
        <w:pStyle w:val="TextBody"/>
        <w:bidi w:val="0"/>
        <w:spacing w:before="0" w:after="0"/>
        <w:jc w:val="left"/>
        <w:rPr>
          <w:rFonts w:ascii="Arial" w:hAnsi="Arial"/>
          <w:sz w:val="20"/>
        </w:rPr>
      </w:pPr>
      <w:r>
        <w:rPr>
          <w:rFonts w:ascii="Arial" w:hAnsi="Arial"/>
          <w:sz w:val="20"/>
        </w:rPr>
        <w:t xml:space="preserve">100 F Street, NE </w:t>
      </w:r>
    </w:p>
    <w:p>
      <w:pPr>
        <w:pStyle w:val="TextBody"/>
        <w:bidi w:val="0"/>
        <w:spacing w:before="0" w:after="0"/>
        <w:jc w:val="left"/>
        <w:rPr>
          <w:rFonts w:ascii="Arial" w:hAnsi="Arial"/>
          <w:sz w:val="20"/>
        </w:rPr>
      </w:pPr>
      <w:r>
        <w:rPr>
          <w:rFonts w:ascii="Arial" w:hAnsi="Arial"/>
          <w:sz w:val="20"/>
        </w:rPr>
        <w:t xml:space="preserve">Washington, DC 20549 </w:t>
      </w:r>
    </w:p>
    <w:p>
      <w:pPr>
        <w:pStyle w:val="TextBody"/>
        <w:bidi w:val="0"/>
        <w:spacing w:before="240" w:after="0"/>
        <w:jc w:val="left"/>
        <w:rPr>
          <w:rFonts w:ascii="Arial" w:hAnsi="Arial"/>
          <w:sz w:val="20"/>
        </w:rPr>
      </w:pPr>
      <w:r>
        <w:rPr>
          <w:rFonts w:ascii="Arial" w:hAnsi="Arial"/>
          <w:sz w:val="20"/>
        </w:rPr>
        <w:t xml:space="preserve">VIA EDGAR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b/>
              </w:rPr>
            </w:pPr>
            <w:r>
              <w:rPr>
                <w:b/>
              </w:rPr>
              <w:t>RE:</w:t>
            </w:r>
          </w:p>
        </w:tc>
        <w:tc>
          <w:tcPr>
            <w:tcW w:w="9491" w:type="dxa"/>
            <w:tcBorders/>
          </w:tcPr>
          <w:p>
            <w:pPr>
              <w:pStyle w:val="TableContents"/>
              <w:bidi w:val="0"/>
              <w:spacing w:before="0" w:after="0"/>
              <w:jc w:val="left"/>
              <w:rPr>
                <w:rFonts w:ascii="Arial" w:hAnsi="Arial"/>
                <w:b/>
                <w:sz w:val="20"/>
              </w:rPr>
            </w:pPr>
            <w:r>
              <w:rPr>
                <w:rFonts w:ascii="Arial" w:hAnsi="Arial"/>
                <w:b/>
                <w:sz w:val="20"/>
              </w:rPr>
              <w:t xml:space="preserve">Brighthouse Life Insurance Company </w:t>
            </w:r>
          </w:p>
        </w:tc>
      </w:tr>
    </w:tbl>
    <w:p>
      <w:pPr>
        <w:pStyle w:val="TextBody"/>
        <w:bidi w:val="0"/>
        <w:spacing w:before="0" w:after="0"/>
        <w:jc w:val="left"/>
        <w:rPr>
          <w:rFonts w:ascii="Arial" w:hAnsi="Arial"/>
          <w:b/>
          <w:sz w:val="20"/>
        </w:rPr>
      </w:pPr>
      <w:r>
        <w:rPr>
          <w:rFonts w:ascii="Arial" w:hAnsi="Arial"/>
          <w:b/>
          <w:sz w:val="20"/>
        </w:rPr>
        <w:t xml:space="preserve">File No. 333-289017 </w:t>
      </w:r>
    </w:p>
    <w:p>
      <w:pPr>
        <w:pStyle w:val="TextBody"/>
        <w:bidi w:val="0"/>
        <w:spacing w:before="0" w:after="0"/>
        <w:jc w:val="left"/>
        <w:rPr>
          <w:rFonts w:ascii="Arial" w:hAnsi="Arial"/>
          <w:b/>
          <w:sz w:val="20"/>
        </w:rPr>
      </w:pPr>
      <w:r>
        <w:rPr>
          <w:rFonts w:ascii="Arial" w:hAnsi="Arial"/>
          <w:b/>
          <w:sz w:val="20"/>
        </w:rPr>
        <w:t xml:space="preserve">SEC Accession No. 0001193125-25-167303 (33 Act) </w:t>
      </w:r>
    </w:p>
    <w:p>
      <w:pPr>
        <w:pStyle w:val="TextBody"/>
        <w:bidi w:val="0"/>
        <w:spacing w:before="0" w:after="0"/>
        <w:jc w:val="left"/>
        <w:rPr>
          <w:rFonts w:ascii="Arial" w:hAnsi="Arial"/>
          <w:b/>
          <w:sz w:val="20"/>
        </w:rPr>
      </w:pPr>
      <w:r>
        <w:rPr>
          <w:rFonts w:ascii="Arial" w:hAnsi="Arial"/>
          <w:b/>
          <w:sz w:val="20"/>
        </w:rPr>
        <w:t xml:space="preserve">Request for Withdrawal of Registration Statement Pursuant to Rule 477 </w:t>
      </w:r>
    </w:p>
    <w:p>
      <w:pPr>
        <w:pStyle w:val="TextBody"/>
        <w:bidi w:val="0"/>
        <w:spacing w:before="240" w:after="0"/>
        <w:jc w:val="left"/>
        <w:rPr>
          <w:rFonts w:ascii="Arial" w:hAnsi="Arial"/>
          <w:sz w:val="20"/>
        </w:rPr>
      </w:pPr>
      <w:r>
        <w:rPr>
          <w:rFonts w:ascii="Arial" w:hAnsi="Arial"/>
          <w:sz w:val="20"/>
        </w:rPr>
        <w:t xml:space="preserve">Dear Sir or Madam: </w:t>
      </w:r>
    </w:p>
    <w:p>
      <w:pPr>
        <w:pStyle w:val="TextBody"/>
        <w:bidi w:val="0"/>
        <w:spacing w:before="240" w:after="0"/>
        <w:jc w:val="left"/>
        <w:rPr>
          <w:rFonts w:ascii="Arial" w:hAnsi="Arial"/>
          <w:sz w:val="20"/>
        </w:rPr>
      </w:pPr>
      <w:r>
        <w:rPr>
          <w:rFonts w:ascii="Arial" w:hAnsi="Arial"/>
          <w:sz w:val="20"/>
        </w:rPr>
        <w:t xml:space="preserve">Pursuant to Rule 477(a) under the Securities Act of 1933, as amended, Brighthouse Life Insurance Company (the “Registrant”) hereby requests the withdrawal of the Registrant’s initial registration statement on Form S-3 for Brighthouse Shield® Level Select 3-Year Annuity for certain individual single premium deferred index-linked separate account annuity contracts (the “Contracts”), File No. 333-289017 filed with the Securities and Exchange Commission on July 29, 2025 (the “Registration Statement”). </w:t>
      </w:r>
    </w:p>
    <w:p>
      <w:pPr>
        <w:pStyle w:val="TextBody"/>
        <w:bidi w:val="0"/>
        <w:spacing w:before="240" w:after="0"/>
        <w:jc w:val="left"/>
        <w:rPr>
          <w:rFonts w:ascii="Arial" w:hAnsi="Arial"/>
          <w:sz w:val="20"/>
        </w:rPr>
      </w:pPr>
      <w:r>
        <w:rPr>
          <w:rFonts w:ascii="Arial" w:hAnsi="Arial"/>
          <w:sz w:val="20"/>
        </w:rPr>
        <w:t xml:space="preserve">Brighthouse Life Insurance Company has determined not to issue the Contracts. Therefore, the Registrant hereby requests the withdrawal of the Registration Statement. The Registration Statement has not yet become effective, and no securities have been sold in connection with the Registration Statement. </w:t>
      </w:r>
    </w:p>
    <w:p>
      <w:pPr>
        <w:pStyle w:val="TextBody"/>
        <w:bidi w:val="0"/>
        <w:spacing w:before="240" w:after="0"/>
        <w:jc w:val="left"/>
        <w:rPr>
          <w:rFonts w:ascii="Arial" w:hAnsi="Arial"/>
          <w:sz w:val="20"/>
        </w:rPr>
      </w:pPr>
      <w:r>
        <w:rPr>
          <w:rFonts w:ascii="Arial" w:hAnsi="Arial"/>
          <w:sz w:val="20"/>
        </w:rPr>
        <w:t xml:space="preserve">If you have any questions or comments regarding the Registration Statement, please call W. Thomas Conner at (202) 965-8139. </w:t>
      </w:r>
    </w:p>
    <w:p>
      <w:pPr>
        <w:pStyle w:val="TextBody"/>
        <w:bidi w:val="0"/>
        <w:spacing w:before="240" w:after="0"/>
        <w:jc w:val="left"/>
        <w:rPr>
          <w:rFonts w:ascii="Arial" w:hAnsi="Arial"/>
          <w:sz w:val="20"/>
        </w:rPr>
      </w:pPr>
      <w:r>
        <w:rPr>
          <w:rFonts w:ascii="Arial" w:hAnsi="Arial"/>
          <w:sz w:val="20"/>
        </w:rPr>
        <w:t xml:space="preserve">Sincerely, </w:t>
      </w:r>
    </w:p>
    <w:p>
      <w:pPr>
        <w:pStyle w:val="TextBody"/>
        <w:bidi w:val="0"/>
        <w:spacing w:before="240" w:after="0"/>
        <w:jc w:val="left"/>
        <w:rPr>
          <w:rFonts w:ascii="Arial" w:hAnsi="Arial"/>
          <w:sz w:val="20"/>
        </w:rPr>
      </w:pPr>
      <w:r>
        <w:rPr>
          <w:rFonts w:ascii="Arial" w:hAnsi="Arial"/>
          <w:sz w:val="20"/>
        </w:rPr>
        <w:t xml:space="preserve">Brighthouse Life Insurance Company </w:t>
      </w:r>
    </w:p>
    <w:p>
      <w:pPr>
        <w:pStyle w:val="TextBody"/>
        <w:bidi w:val="0"/>
        <w:spacing w:before="0" w:after="0"/>
        <w:jc w:val="left"/>
        <w:rPr>
          <w:rFonts w:ascii="Arial" w:hAnsi="Arial"/>
          <w:sz w:val="20"/>
        </w:rPr>
      </w:pPr>
      <w:r>
        <w:rPr>
          <w:rFonts w:ascii="Arial" w:hAnsi="Arial"/>
          <w:sz w:val="20"/>
        </w:rPr>
        <w:t xml:space="preserve">(Registrant)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3"/>
        <w:gridCol w:w="226"/>
        <w:gridCol w:w="9286"/>
      </w:tblGrid>
      <w:tr>
        <w:trPr/>
        <w:tc>
          <w:tcPr>
            <w:tcW w:w="693"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928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Arial" w:hAnsi="Arial"/>
                <w:sz w:val="20"/>
              </w:rPr>
            </w:pPr>
            <w:r>
              <w:rPr>
                <w:rFonts w:ascii="Arial" w:hAnsi="Arial"/>
                <w:sz w:val="20"/>
              </w:rPr>
              <w:t>By:/s/ Donald A. Leintz</w:t>
            </w:r>
          </w:p>
        </w:tc>
      </w:tr>
      <w:tr>
        <w:trPr/>
        <w:tc>
          <w:tcPr>
            <w:tcW w:w="10205" w:type="dxa"/>
            <w:gridSpan w:val="3"/>
            <w:tcBorders/>
          </w:tcPr>
          <w:p>
            <w:pPr>
              <w:pStyle w:val="TableContents"/>
              <w:bidi w:val="0"/>
              <w:spacing w:before="0" w:after="0"/>
              <w:jc w:val="left"/>
              <w:rPr/>
            </w:pPr>
            <w:r>
              <w:rPr/>
              <w:t>   </w:t>
            </w:r>
            <w:r>
              <w:rPr>
                <w:u w:val="single"/>
              </w:rPr>
              <w:t>             </w:t>
            </w:r>
          </w:p>
        </w:tc>
      </w:tr>
      <w:tr>
        <w:trPr/>
        <w:tc>
          <w:tcPr>
            <w:tcW w:w="10205" w:type="dxa"/>
            <w:gridSpan w:val="3"/>
            <w:tcBorders/>
          </w:tcPr>
          <w:p>
            <w:pPr>
              <w:pStyle w:val="TableContents"/>
              <w:bidi w:val="0"/>
              <w:spacing w:before="0" w:after="0"/>
              <w:jc w:val="left"/>
              <w:rPr/>
            </w:pPr>
            <w:r>
              <w:rPr/>
              <w:t>   </w:t>
            </w:r>
            <w:r>
              <w:rPr>
                <w:rFonts w:ascii="Arial" w:hAnsi="Arial"/>
                <w:sz w:val="20"/>
              </w:rPr>
              <w:t>Donald A. Leintz</w:t>
            </w:r>
          </w:p>
        </w:tc>
      </w:tr>
      <w:tr>
        <w:trPr/>
        <w:tc>
          <w:tcPr>
            <w:tcW w:w="10205" w:type="dxa"/>
            <w:gridSpan w:val="3"/>
            <w:tcBorders/>
          </w:tcPr>
          <w:p>
            <w:pPr>
              <w:pStyle w:val="TableContents"/>
              <w:bidi w:val="0"/>
              <w:spacing w:before="0" w:after="0"/>
              <w:jc w:val="left"/>
              <w:rPr/>
            </w:pPr>
            <w:r>
              <w:rPr/>
              <w:t>   </w:t>
            </w:r>
            <w:r>
              <w:rPr>
                <w:rFonts w:ascii="Arial" w:hAnsi="Arial"/>
                <w:sz w:val="20"/>
              </w:rPr>
              <w:t>Vice President of Brighthouse Life Insurance Company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cc:</w:t>
            </w:r>
          </w:p>
        </w:tc>
        <w:tc>
          <w:tcPr>
            <w:tcW w:w="9493" w:type="dxa"/>
            <w:tcBorders/>
          </w:tcPr>
          <w:p>
            <w:pPr>
              <w:pStyle w:val="TableContents"/>
              <w:bidi w:val="0"/>
              <w:spacing w:before="0" w:after="0"/>
              <w:jc w:val="left"/>
              <w:rPr>
                <w:rFonts w:ascii="Arial" w:hAnsi="Arial"/>
                <w:sz w:val="20"/>
              </w:rPr>
            </w:pPr>
            <w:r>
              <w:rPr>
                <w:rFonts w:ascii="Arial" w:hAnsi="Arial"/>
                <w:sz w:val="20"/>
              </w:rPr>
              <w:t xml:space="preserve">Michele H. Abate, Vice President and Associate General Counsel, Brighthouse Life Insurance Company </w:t>
            </w:r>
          </w:p>
        </w:tc>
      </w:tr>
    </w:tbl>
    <w:tbl>
      <w:tblPr>
        <w:tblW w:w="5000" w:type="pct"/>
        <w:jc w:val="left"/>
        <w:tblInd w:w="0" w:type="dxa"/>
        <w:tblLayout w:type="fixed"/>
        <w:tblCellMar>
          <w:top w:w="0" w:type="dxa"/>
          <w:left w:w="0" w:type="dxa"/>
          <w:bottom w:w="0" w:type="dxa"/>
          <w:right w:w="0" w:type="dxa"/>
        </w:tblCellMar>
      </w:tblPr>
      <w:tblGrid>
        <w:gridCol w:w="709"/>
        <w:gridCol w:w="9496"/>
      </w:tblGrid>
      <w:tr>
        <w:trPr/>
        <w:tc>
          <w:tcPr>
            <w:tcW w:w="709" w:type="dxa"/>
            <w:tcBorders/>
          </w:tcPr>
          <w:p>
            <w:pPr>
              <w:pStyle w:val="TableContents"/>
              <w:bidi w:val="0"/>
              <w:spacing w:before="0" w:after="283"/>
              <w:jc w:val="left"/>
              <w:rPr/>
            </w:pPr>
            <w:r>
              <w:rPr/>
              <w:t> </w:t>
            </w:r>
          </w:p>
        </w:tc>
        <w:tc>
          <w:tcPr>
            <w:tcW w:w="9496" w:type="dxa"/>
            <w:tcBorders/>
          </w:tcPr>
          <w:p>
            <w:pPr>
              <w:pStyle w:val="TableContents"/>
              <w:bidi w:val="0"/>
              <w:spacing w:before="0" w:after="0"/>
              <w:jc w:val="left"/>
              <w:rPr>
                <w:rFonts w:ascii="Arial" w:hAnsi="Arial"/>
                <w:sz w:val="20"/>
              </w:rPr>
            </w:pPr>
            <w:r>
              <w:rPr>
                <w:rFonts w:ascii="Arial" w:hAnsi="Arial"/>
                <w:sz w:val="20"/>
              </w:rPr>
              <w:t xml:space="preserve">Alyson Saad, Managing Corporate Counsel, Brighthouse Life Insurance Company </w:t>
            </w:r>
          </w:p>
        </w:tc>
      </w:tr>
    </w:tbl>
    <w:tbl>
      <w:tblPr>
        <w:tblW w:w="5000" w:type="pct"/>
        <w:jc w:val="left"/>
        <w:tblInd w:w="0" w:type="dxa"/>
        <w:tblLayout w:type="fixed"/>
        <w:tblCellMar>
          <w:top w:w="0" w:type="dxa"/>
          <w:left w:w="0" w:type="dxa"/>
          <w:bottom w:w="0" w:type="dxa"/>
          <w:right w:w="0" w:type="dxa"/>
        </w:tblCellMar>
      </w:tblPr>
      <w:tblGrid>
        <w:gridCol w:w="713"/>
        <w:gridCol w:w="9492"/>
      </w:tblGrid>
      <w:tr>
        <w:trPr/>
        <w:tc>
          <w:tcPr>
            <w:tcW w:w="713" w:type="dxa"/>
            <w:tcBorders/>
          </w:tcPr>
          <w:p>
            <w:pPr>
              <w:pStyle w:val="TableContents"/>
              <w:bidi w:val="0"/>
              <w:spacing w:before="0" w:after="283"/>
              <w:jc w:val="left"/>
              <w:rPr/>
            </w:pPr>
            <w:r>
              <w:rPr/>
              <w:t> </w:t>
            </w:r>
          </w:p>
        </w:tc>
        <w:tc>
          <w:tcPr>
            <w:tcW w:w="9492" w:type="dxa"/>
            <w:tcBorders/>
          </w:tcPr>
          <w:p>
            <w:pPr>
              <w:pStyle w:val="TableContents"/>
              <w:bidi w:val="0"/>
              <w:spacing w:before="0" w:after="0"/>
              <w:jc w:val="left"/>
              <w:rPr>
                <w:rFonts w:ascii="Arial" w:hAnsi="Arial"/>
                <w:sz w:val="20"/>
              </w:rPr>
            </w:pPr>
            <w:r>
              <w:rPr>
                <w:rFonts w:ascii="Arial" w:hAnsi="Arial"/>
                <w:sz w:val="20"/>
              </w:rPr>
              <w:t xml:space="preserve">W. Thomas Conner, Carlton Fields., P.A.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235</Words>
  <Characters>1457</Characters>
  <CharactersWithSpaces>1714</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Brighthouse Shield/SM/ Level Select 3-Year Annuity</dc:title>
</cp:coreProperties>
</file>