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September 30, 2024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 to 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p>
    <w:p>
      <w:pPr>
        <w:pStyle w:val="TextBody"/>
        <w:bidi w:val="0"/>
        <w:spacing w:lineRule="auto" w:line="216"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Brighthouse Financial, Inc. </w:t>
      </w:r>
    </w:p>
    <w:p>
      <w:pPr>
        <w:pStyle w:val="TextBody"/>
        <w:bidi w:val="0"/>
        <w:spacing w:lineRule="auto" w:line="288" w:before="60" w:after="283"/>
        <w:ind w:left="0" w:right="0" w:firstLine="36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(980) 365-7100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bl>
    <w:p>
      <w:pPr>
        <w:pStyle w:val="TextBody"/>
        <w:bidi w:val="0"/>
        <w:spacing w:lineRule="auto" w:line="288" w:before="20" w:after="283"/>
        <w:jc w:val="both"/>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4"/>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As of November 1, 2024, 59,354,252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64"/>
        <w:gridCol w:w="318"/>
        <w:gridCol w:w="318"/>
        <w:gridCol w:w="3195"/>
        <w:gridCol w:w="2751"/>
        <w:gridCol w:w="2684"/>
        <w:gridCol w:w="167"/>
        <w:gridCol w:w="167"/>
        <w:gridCol w:w="241"/>
      </w:tblGrid>
      <w:tr>
        <w:trPr/>
        <w:tc>
          <w:tcPr>
            <w:tcW w:w="3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10">
              <w:r>
                <w:rPr>
                  <w:rStyle w:val="InternetLink"/>
                  <w:rFonts w:ascii="Times New Roman;sans-serif" w:hAnsi="Times New Roman;sans-serif"/>
                  <w:b/>
                  <w:color w:val="0000FF"/>
                  <w:sz w:val="20"/>
                  <w:u w:val="singl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(at September 30, 2024 (Unaudited) and December 31, 2023 and for the Three Months and Nine Months Ended September 30, 2024 and 2023 (Unaudited)):</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cea4fc17f9a48918bed698d2ea9d65e_16">
              <w:r>
                <w:rPr>
                  <w:rStyle w:val="InternetLink"/>
                  <w:rFonts w:ascii="Times New Roman;sans-serif" w:hAnsi="Times New Roman;sans-serif"/>
                  <w:b w:val="false"/>
                  <w:color w:val="0000FF"/>
                  <w:sz w:val="20"/>
                  <w:u w:val="single"/>
                </w:rPr>
                <w:t>Interim 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16">
              <w:r>
                <w:rPr>
                  <w:rStyle w:val="InternetLink"/>
                  <w:rFonts w:ascii="Times New Roman;sans-serif" w:hAnsi="Times New Roman;sans-serif"/>
                  <w:b w:val="false"/>
                  <w:color w:val="0000FF"/>
                  <w:sz w:val="20"/>
                  <w:u w:val="single"/>
                </w:rPr>
                <w:t>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cea4fc17f9a48918bed698d2ea9d65e_19">
              <w:r>
                <w:rPr>
                  <w:rStyle w:val="InternetLink"/>
                  <w:rFonts w:ascii="Times New Roman;sans-serif" w:hAnsi="Times New Roman;sans-serif"/>
                  <w:b w:val="false"/>
                  <w:color w:val="0000FF"/>
                  <w:sz w:val="20"/>
                  <w:u w:val="single"/>
                </w:rPr>
                <w:t>Interim Condensed Consolidated Statements of Operations and Comprehensive Income (Loss)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19">
              <w:r>
                <w:rPr>
                  <w:rStyle w:val="InternetLink"/>
                  <w:rFonts w:ascii="Times New Roman;sans-serif" w:hAnsi="Times New Roman;sans-serif"/>
                  <w:b w:val="false"/>
                  <w:color w:val="0000FF"/>
                  <w:sz w:val="20"/>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cea4fc17f9a48918bed698d2ea9d65e_25">
              <w:r>
                <w:rPr>
                  <w:rStyle w:val="InternetLink"/>
                  <w:rFonts w:ascii="Times New Roman;sans-serif" w:hAnsi="Times New Roman;sans-serif"/>
                  <w:b w:val="false"/>
                  <w:color w:val="0000FF"/>
                  <w:sz w:val="20"/>
                  <w:u w:val="single"/>
                </w:rPr>
                <w:t>Interim Condensed Consolidated Statements of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5">
              <w:r>
                <w:rPr>
                  <w:rStyle w:val="InternetLink"/>
                  <w:rFonts w:ascii="Times New Roman;sans-serif" w:hAnsi="Times New Roman;sans-serif"/>
                  <w:b w:val="false"/>
                  <w:color w:val="0000FF"/>
                  <w:sz w:val="20"/>
                  <w:u w:val="single"/>
                </w:rPr>
                <w:t>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cea4fc17f9a48918bed698d2ea9d65e_28">
              <w:r>
                <w:rPr>
                  <w:rStyle w:val="InternetLink"/>
                  <w:rFonts w:ascii="Times New Roman;sans-serif" w:hAnsi="Times New Roman;sans-serif"/>
                  <w:b w:val="false"/>
                  <w:color w:val="0000FF"/>
                  <w:sz w:val="20"/>
                  <w:u w:val="single"/>
                </w:rPr>
                <w:t>Interim 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8">
              <w:r>
                <w:rPr>
                  <w:rStyle w:val="InternetLink"/>
                  <w:rFonts w:ascii="Times New Roman;sans-serif" w:hAnsi="Times New Roman;sans-serif"/>
                  <w:b w:val="false"/>
                  <w:color w:val="0000FF"/>
                  <w:sz w:val="20"/>
                  <w:u w:val="single"/>
                </w:rPr>
                <w:t>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cea4fc17f9a48918bed698d2ea9d65e_31">
              <w:r>
                <w:rPr>
                  <w:rStyle w:val="InternetLink"/>
                  <w:rFonts w:ascii="Times New Roman;sans-serif" w:hAnsi="Times New Roman;sans-serif"/>
                  <w:b w:val="false"/>
                  <w:color w:val="0000FF"/>
                  <w:sz w:val="20"/>
                  <w:u w:val="single"/>
                </w:rPr>
                <w:t>Notes to the Interim 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31">
              <w:r>
                <w:rPr>
                  <w:rStyle w:val="InternetLink"/>
                  <w:rFonts w:ascii="Times New Roman;sans-serif" w:hAnsi="Times New Roman;sans-serif"/>
                  <w:b w:val="false"/>
                  <w:color w:val="0000FF"/>
                  <w:sz w:val="20"/>
                  <w:u w:val="single"/>
                </w:rPr>
                <w:t>Note 1 — Business, Basis of Presentation and Summary of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1">
              <w:r>
                <w:rPr>
                  <w:rStyle w:val="InternetLink"/>
                  <w:rFonts w:ascii="Times New Roman;sans-serif" w:hAnsi="Times New Roman;sans-serif"/>
                  <w:b w:val="false"/>
                  <w:color w:val="0000FF"/>
                  <w:sz w:val="20"/>
                  <w:u w:val="single"/>
                </w:rPr>
                <w:t>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37">
              <w:r>
                <w:rPr>
                  <w:rStyle w:val="InternetLink"/>
                  <w:rFonts w:ascii="Times New Roman;sans-serif" w:hAnsi="Times New Roman;sans-serif"/>
                  <w:b w:val="false"/>
                  <w:color w:val="0000FF"/>
                  <w:sz w:val="20"/>
                  <w:u w:val="single"/>
                </w:rPr>
                <w:t>Note 2 — 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7">
              <w:r>
                <w:rPr>
                  <w:rStyle w:val="InternetLink"/>
                  <w:rFonts w:ascii="Times New Roman;sans-serif" w:hAnsi="Times New Roman;sans-serif"/>
                  <w:b w:val="false"/>
                  <w:color w:val="0000FF"/>
                  <w:sz w:val="20"/>
                  <w:u w:val="single"/>
                </w:rPr>
                <w:t>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49">
              <w:r>
                <w:rPr>
                  <w:rStyle w:val="InternetLink"/>
                  <w:rFonts w:ascii="Times New Roman;sans-serif" w:hAnsi="Times New Roman;sans-serif"/>
                  <w:b w:val="false"/>
                  <w:color w:val="0000FF"/>
                  <w:sz w:val="20"/>
                  <w:u w:val="single"/>
                </w:rPr>
                <w:t>Note 3 — Insurance Liabilities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9">
              <w:r>
                <w:rPr>
                  <w:rStyle w:val="InternetLink"/>
                  <w:rFonts w:ascii="Times New Roman;sans-serif" w:hAnsi="Times New Roman;sans-serif"/>
                  <w:b w:val="false"/>
                  <w:color w:val="0000FF"/>
                  <w:sz w:val="20"/>
                  <w:u w:val="single"/>
                </w:rPr>
                <w:t>11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70">
              <w:r>
                <w:rPr>
                  <w:rStyle w:val="InternetLink"/>
                  <w:rFonts w:ascii="Times New Roman;sans-serif" w:hAnsi="Times New Roman;sans-serif"/>
                  <w:b w:val="false"/>
                  <w:color w:val="0000FF"/>
                  <w:sz w:val="20"/>
                  <w:u w:val="single"/>
                </w:rPr>
                <w:t>Note 4 — Market Risk Benefits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70">
              <w:r>
                <w:rPr>
                  <w:rStyle w:val="InternetLink"/>
                  <w:rFonts w:ascii="Times New Roman;sans-serif" w:hAnsi="Times New Roman;sans-serif"/>
                  <w:b w:val="false"/>
                  <w:color w:val="0000FF"/>
                  <w:sz w:val="20"/>
                  <w:u w:val="single"/>
                </w:rPr>
                <w:t>16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79">
              <w:r>
                <w:rPr>
                  <w:rStyle w:val="InternetLink"/>
                  <w:rFonts w:ascii="Times New Roman;sans-serif" w:hAnsi="Times New Roman;sans-serif"/>
                  <w:b w:val="false"/>
                  <w:color w:val="0000FF"/>
                  <w:sz w:val="20"/>
                  <w:u w:val="single"/>
                </w:rPr>
                <w:t>Note 5 — Separate Accounts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79">
              <w:r>
                <w:rPr>
                  <w:rStyle w:val="InternetLink"/>
                  <w:rFonts w:ascii="Times New Roman;sans-serif" w:hAnsi="Times New Roman;sans-serif"/>
                  <w:b w:val="false"/>
                  <w:color w:val="0000FF"/>
                  <w:sz w:val="20"/>
                  <w:u w:val="single"/>
                </w:rPr>
                <w:t>17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88">
              <w:r>
                <w:rPr>
                  <w:rStyle w:val="InternetLink"/>
                  <w:rFonts w:ascii="Times New Roman;sans-serif" w:hAnsi="Times New Roman;sans-serif"/>
                  <w:b w:val="false"/>
                  <w:color w:val="0000FF"/>
                  <w:sz w:val="20"/>
                  <w:u w:val="single"/>
                </w:rPr>
                <w:t>Note 6 — Deferred Policy Acquisition Costs, Value of Business Acquired and Other Intangibles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88">
              <w:r>
                <w:rPr>
                  <w:rStyle w:val="InternetLink"/>
                  <w:rFonts w:ascii="Times New Roman;sans-serif" w:hAnsi="Times New Roman;sans-serif"/>
                  <w:b w:val="false"/>
                  <w:color w:val="0000FF"/>
                  <w:sz w:val="20"/>
                  <w:u w:val="single"/>
                </w:rPr>
                <w:t>19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100">
              <w:r>
                <w:rPr>
                  <w:rStyle w:val="InternetLink"/>
                  <w:rFonts w:ascii="Times New Roman;sans-serif" w:hAnsi="Times New Roman;sans-serif"/>
                  <w:b w:val="false"/>
                  <w:color w:val="0000FF"/>
                  <w:sz w:val="20"/>
                  <w:u w:val="single"/>
                </w:rPr>
                <w:t>Note 7 — Investments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100">
              <w:r>
                <w:rPr>
                  <w:rStyle w:val="InternetLink"/>
                  <w:rFonts w:ascii="Times New Roman;sans-serif" w:hAnsi="Times New Roman;sans-serif"/>
                  <w:b w:val="false"/>
                  <w:color w:val="0000FF"/>
                  <w:sz w:val="20"/>
                  <w:u w:val="single"/>
                </w:rPr>
                <w:t>20</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163">
              <w:r>
                <w:rPr>
                  <w:rStyle w:val="InternetLink"/>
                  <w:rFonts w:ascii="Times New Roman;sans-serif" w:hAnsi="Times New Roman;sans-serif"/>
                  <w:b w:val="false"/>
                  <w:color w:val="0000FF"/>
                  <w:sz w:val="20"/>
                  <w:u w:val="single"/>
                </w:rPr>
                <w:t>Note 8 — Derivatives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163">
              <w:r>
                <w:rPr>
                  <w:rStyle w:val="InternetLink"/>
                  <w:rFonts w:ascii="Times New Roman;sans-serif" w:hAnsi="Times New Roman;sans-serif"/>
                  <w:b w:val="false"/>
                  <w:color w:val="0000FF"/>
                  <w:sz w:val="20"/>
                  <w:u w:val="single"/>
                </w:rPr>
                <w:t>32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190">
              <w:r>
                <w:rPr>
                  <w:rStyle w:val="InternetLink"/>
                  <w:rFonts w:ascii="Times New Roman;sans-serif" w:hAnsi="Times New Roman;sans-serif"/>
                  <w:b w:val="false"/>
                  <w:color w:val="0000FF"/>
                  <w:sz w:val="20"/>
                  <w:u w:val="single"/>
                </w:rPr>
                <w:t>Note 9 — Fair Value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190">
              <w:r>
                <w:rPr>
                  <w:rStyle w:val="InternetLink"/>
                  <w:rFonts w:ascii="Times New Roman;sans-serif" w:hAnsi="Times New Roman;sans-serif"/>
                  <w:b w:val="false"/>
                  <w:color w:val="0000FF"/>
                  <w:sz w:val="20"/>
                  <w:u w:val="single"/>
                </w:rPr>
                <w:t>38</w:t>
              </w:r>
            </w:hyperlink>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863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226">
              <w:r>
                <w:rPr>
                  <w:rStyle w:val="InternetLink"/>
                  <w:rFonts w:ascii="Times New Roman;sans-serif" w:hAnsi="Times New Roman;sans-serif"/>
                  <w:b w:val="false"/>
                  <w:color w:val="0000FF"/>
                  <w:sz w:val="20"/>
                  <w:u w:val="single"/>
                </w:rPr>
                <w:t>Note 10 —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26">
              <w:r>
                <w:rPr>
                  <w:rStyle w:val="InternetLink"/>
                  <w:rFonts w:ascii="Times New Roman;sans-serif" w:hAnsi="Times New Roman;sans-serif"/>
                  <w:b w:val="false"/>
                  <w:color w:val="0000FF"/>
                  <w:sz w:val="20"/>
                  <w:u w:val="single"/>
                </w:rPr>
                <w:t>48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244">
              <w:r>
                <w:rPr>
                  <w:rStyle w:val="InternetLink"/>
                  <w:rFonts w:ascii="Times New Roman;sans-serif" w:hAnsi="Times New Roman;sans-serif"/>
                  <w:b w:val="false"/>
                  <w:color w:val="0000FF"/>
                  <w:sz w:val="20"/>
                  <w:u w:val="single"/>
                </w:rPr>
                <w:t>Note 11 — Other Revenues and Other Expenses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44">
              <w:r>
                <w:rPr>
                  <w:rStyle w:val="InternetLink"/>
                  <w:rFonts w:ascii="Times New Roman;sans-serif" w:hAnsi="Times New Roman;sans-serif"/>
                  <w:b w:val="false"/>
                  <w:color w:val="0000FF"/>
                  <w:sz w:val="20"/>
                  <w:u w:val="single"/>
                </w:rPr>
                <w:t>51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253">
              <w:r>
                <w:rPr>
                  <w:rStyle w:val="InternetLink"/>
                  <w:rFonts w:ascii="Times New Roman;sans-serif" w:hAnsi="Times New Roman;sans-serif"/>
                  <w:b w:val="false"/>
                  <w:color w:val="0000FF"/>
                  <w:sz w:val="20"/>
                  <w:u w:val="single"/>
                </w:rPr>
                <w:t>Note 12 — Earnings Per Common Share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53">
              <w:r>
                <w:rPr>
                  <w:rStyle w:val="InternetLink"/>
                  <w:rFonts w:ascii="Times New Roman;sans-serif" w:hAnsi="Times New Roman;sans-serif"/>
                  <w:b w:val="false"/>
                  <w:color w:val="0000FF"/>
                  <w:sz w:val="20"/>
                  <w:u w:val="single"/>
                </w:rPr>
                <w:t>52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ea4fc17f9a48918bed698d2ea9d65e_259">
              <w:r>
                <w:rPr>
                  <w:rStyle w:val="InternetLink"/>
                  <w:rFonts w:ascii="Times New Roman;sans-serif" w:hAnsi="Times New Roman;sans-serif"/>
                  <w:b w:val="false"/>
                  <w:color w:val="0000FF"/>
                  <w:sz w:val="20"/>
                  <w:u w:val="single"/>
                </w:rPr>
                <w:t>Note 13 — Contingencies, Commitments and Guarantees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59">
              <w:r>
                <w:rPr>
                  <w:rStyle w:val="InternetLink"/>
                  <w:rFonts w:ascii="Times New Roman;sans-serif" w:hAnsi="Times New Roman;sans-serif"/>
                  <w:b w:val="false"/>
                  <w:color w:val="0000FF"/>
                  <w:sz w:val="20"/>
                  <w:u w:val="single"/>
                </w:rPr>
                <w:t>52</w:t>
              </w:r>
            </w:hyperlink>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863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274">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0cea4fc17f9a48918bed698d2ea9d65e_274">
              <w:r>
                <w:rPr>
                  <w:rStyle w:val="InternetLink"/>
                  <w:rFonts w:ascii="Times New Roman;sans-serif" w:hAnsi="Times New Roman;sans-serif"/>
                  <w:b w:val="false"/>
                  <w:color w:val="0000FF"/>
                  <w:sz w:val="20"/>
                  <w:u w:val="single"/>
                </w:rPr>
                <w:t>56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93">
              <w:r>
                <w:rPr>
                  <w:rStyle w:val="InternetLink"/>
                  <w:rFonts w:ascii="Times New Roman;sans-serif" w:hAnsi="Times New Roman;sans-serif"/>
                  <w:b/>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0cea4fc17f9a48918bed698d2ea9d65e_493">
              <w:r>
                <w:rPr>
                  <w:rStyle w:val="InternetLink"/>
                  <w:rFonts w:ascii="Times New Roman;sans-serif" w:hAnsi="Times New Roman;sans-serif"/>
                  <w:b w:val="false"/>
                  <w:color w:val="0000FF"/>
                  <w:sz w:val="20"/>
                  <w:u w:val="single"/>
                </w:rPr>
                <w:t>97</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99">
              <w:r>
                <w:rPr>
                  <w:rStyle w:val="InternetLink"/>
                  <w:rFonts w:ascii="Times New Roman;sans-serif" w:hAnsi="Times New Roman;sans-serif"/>
                  <w:b/>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99">
              <w:r>
                <w:rPr>
                  <w:rStyle w:val="InternetLink"/>
                  <w:rFonts w:ascii="Times New Roman;sans-serif" w:hAnsi="Times New Roman;sans-serif"/>
                  <w:b w:val="false"/>
                  <w:color w:val="0000FF"/>
                  <w:sz w:val="20"/>
                  <w:u w:val="single"/>
                </w:rPr>
                <w:t>98</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02">
              <w:r>
                <w:rPr>
                  <w:rStyle w:val="InternetLink"/>
                  <w:rFonts w:ascii="Times New Roman;sans-serif" w:hAnsi="Times New Roman;sans-serif"/>
                  <w:b/>
                  <w:color w:val="0000FF"/>
                  <w:sz w:val="20"/>
                  <w:u w:val="singl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05">
              <w:r>
                <w:rPr>
                  <w:rStyle w:val="InternetLink"/>
                  <w:rFonts w:ascii="Times New Roman;sans-serif" w:hAnsi="Times New Roman;sans-serif"/>
                  <w:b/>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0cea4fc17f9a48918bed698d2ea9d65e_505">
              <w:r>
                <w:rPr>
                  <w:rStyle w:val="InternetLink"/>
                  <w:rFonts w:ascii="Times New Roman;sans-serif" w:hAnsi="Times New Roman;sans-serif"/>
                  <w:b w:val="false"/>
                  <w:color w:val="0000FF"/>
                  <w:sz w:val="20"/>
                  <w:u w:val="single"/>
                </w:rPr>
                <w:t>98</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08">
              <w:r>
                <w:rPr>
                  <w:rStyle w:val="InternetLink"/>
                  <w:rFonts w:ascii="Times New Roman;sans-serif" w:hAnsi="Times New Roman;sans-serif"/>
                  <w:b/>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0cea4fc17f9a48918bed698d2ea9d65e_508">
              <w:r>
                <w:rPr>
                  <w:rStyle w:val="InternetLink"/>
                  <w:rFonts w:ascii="Times New Roman;sans-serif" w:hAnsi="Times New Roman;sans-serif"/>
                  <w:b w:val="false"/>
                  <w:color w:val="0000FF"/>
                  <w:sz w:val="20"/>
                  <w:u w:val="single"/>
                </w:rPr>
                <w:t>98</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11">
              <w:r>
                <w:rPr>
                  <w:rStyle w:val="InternetLink"/>
                  <w:rFonts w:ascii="Times New Roman;sans-serif" w:hAnsi="Times New Roman;sans-serif"/>
                  <w:b/>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511">
              <w:r>
                <w:rPr>
                  <w:rStyle w:val="InternetLink"/>
                  <w:rFonts w:ascii="Times New Roman;sans-serif" w:hAnsi="Times New Roman;sans-serif"/>
                  <w:b w:val="false"/>
                  <w:color w:val="0000FF"/>
                  <w:sz w:val="20"/>
                  <w:u w:val="single"/>
                </w:rPr>
                <w:t>98</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17">
              <w:r>
                <w:rPr>
                  <w:rStyle w:val="InternetLink"/>
                  <w:rFonts w:ascii="Times New Roman;sans-serif" w:hAnsi="Times New Roman;sans-serif"/>
                  <w:b/>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0cea4fc17f9a48918bed698d2ea9d65e_517">
              <w:r>
                <w:rPr>
                  <w:rStyle w:val="InternetLink"/>
                  <w:rFonts w:ascii="Times New Roman;sans-serif" w:hAnsi="Times New Roman;sans-serif"/>
                  <w:b w:val="false"/>
                  <w:color w:val="0000FF"/>
                  <w:sz w:val="20"/>
                  <w:u w:val="single"/>
                </w:rPr>
                <w:t>98</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w:t>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29">
              <w:r>
                <w:rPr>
                  <w:rStyle w:val="InternetLink"/>
                  <w:rFonts w:ascii="Times New Roman;sans-serif" w:hAnsi="Times New Roman;sans-serif"/>
                  <w:b/>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529">
              <w:r>
                <w:rPr>
                  <w:rStyle w:val="InternetLink"/>
                  <w:rFonts w:ascii="Times New Roman;sans-serif" w:hAnsi="Times New Roman;sans-serif"/>
                  <w:b w:val="false"/>
                  <w:color w:val="0000FF"/>
                  <w:sz w:val="20"/>
                  <w:u w:val="single"/>
                </w:rPr>
                <w:t>99</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532">
              <w:r>
                <w:rPr>
                  <w:rStyle w:val="InternetLink"/>
                  <w:rFonts w:ascii="Times New Roman;sans-serif" w:hAnsi="Times New Roman;sans-serif"/>
                  <w:b/>
                  <w:color w:val="0000FF"/>
                  <w:sz w:val="20"/>
                  <w:u w:val="single"/>
                </w:rPr>
                <w:t>Signature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532">
              <w:r>
                <w:rPr>
                  <w:rStyle w:val="InternetLink"/>
                  <w:rFonts w:ascii="Times New Roman;sans-serif" w:hAnsi="Times New Roman;sans-serif"/>
                  <w:b w:val="false"/>
                  <w:color w:val="0000FF"/>
                  <w:sz w:val="20"/>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 (Unaudited) and December 31,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484"/>
        <w:gridCol w:w="2193"/>
        <w:gridCol w:w="2222"/>
        <w:gridCol w:w="109"/>
        <w:gridCol w:w="109"/>
        <w:gridCol w:w="109"/>
        <w:gridCol w:w="239"/>
        <w:gridCol w:w="898"/>
        <w:gridCol w:w="132"/>
        <w:gridCol w:w="109"/>
        <w:gridCol w:w="109"/>
        <w:gridCol w:w="109"/>
        <w:gridCol w:w="217"/>
        <w:gridCol w:w="817"/>
        <w:gridCol w:w="349"/>
      </w:tblGrid>
      <w:tr>
        <w:trPr/>
        <w:tc>
          <w:tcPr>
            <w:tcW w:w="2484"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 available-for-sale, at estimated fair value (amortized cost: $87,838 and $87,131, respectively; allowance for credit losses of $61 and $21,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(net of allowance for credit losses of $167 and $137,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 principally at estimated fair value (net of allowance for credit losses of $12 and $13,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118,854 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115,456 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Premiums, reinsurance and other receivables (net of allowance for credit losses of $3 and $3,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 and value of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income tax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245,156 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81,068 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policy-related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for collateral under securities loaned and other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231,332 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Contingencies, Commitments and Guarantees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$0.01 per share; $1,753 aggregate liquidation preference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1,000,000,000 shares authorized; 123,456,323 and 122,818,568 shares issued, respectively; 59,838,034 and 63,503,355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63,618,289 and 59,315,213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245,156 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and Nine Months Ended September 30,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023"/>
        <w:gridCol w:w="1771"/>
        <w:gridCol w:w="1794"/>
        <w:gridCol w:w="196"/>
        <w:gridCol w:w="556"/>
        <w:gridCol w:w="109"/>
        <w:gridCol w:w="109"/>
        <w:gridCol w:w="109"/>
        <w:gridCol w:w="109"/>
        <w:gridCol w:w="196"/>
        <w:gridCol w:w="467"/>
        <w:gridCol w:w="109"/>
        <w:gridCol w:w="109"/>
        <w:gridCol w:w="109"/>
        <w:gridCol w:w="109"/>
        <w:gridCol w:w="221"/>
        <w:gridCol w:w="532"/>
        <w:gridCol w:w="123"/>
        <w:gridCol w:w="123"/>
        <w:gridCol w:w="123"/>
        <w:gridCol w:w="123"/>
        <w:gridCol w:w="221"/>
        <w:gridCol w:w="685"/>
        <w:gridCol w:w="179"/>
      </w:tblGrid>
      <w:tr>
        <w:trPr/>
        <w:tc>
          <w:tcPr>
            <w:tcW w:w="202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($978), ($234), ($978) and ($234),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policy acquisition costs and value of business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Brighthouse Financial,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55" w:type="dxa"/>
        <w:jc w:val="center"/>
        <w:tblInd w:w="0" w:type="dxa"/>
        <w:tblLayout w:type="fixed"/>
        <w:tblCellMar>
          <w:top w:w="28" w:type="dxa"/>
          <w:left w:w="28" w:type="dxa"/>
          <w:bottom w:w="28" w:type="dxa"/>
          <w:right w:w="28" w:type="dxa"/>
        </w:tblCellMar>
      </w:tblPr>
      <w:tblGrid>
        <w:gridCol w:w="831"/>
        <w:gridCol w:w="731"/>
        <w:gridCol w:w="733"/>
        <w:gridCol w:w="196"/>
        <w:gridCol w:w="466"/>
        <w:gridCol w:w="109"/>
        <w:gridCol w:w="109"/>
        <w:gridCol w:w="109"/>
        <w:gridCol w:w="109"/>
        <w:gridCol w:w="196"/>
        <w:gridCol w:w="466"/>
        <w:gridCol w:w="109"/>
        <w:gridCol w:w="109"/>
        <w:gridCol w:w="109"/>
        <w:gridCol w:w="109"/>
        <w:gridCol w:w="196"/>
        <w:gridCol w:w="541"/>
        <w:gridCol w:w="109"/>
        <w:gridCol w:w="109"/>
        <w:gridCol w:w="109"/>
        <w:gridCol w:w="109"/>
        <w:gridCol w:w="196"/>
        <w:gridCol w:w="54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and Nine Months Ended September 30,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tbl>
      <w:tblPr>
        <w:tblW w:w="11243" w:type="dxa"/>
        <w:jc w:val="center"/>
        <w:tblInd w:w="0" w:type="dxa"/>
        <w:tblLayout w:type="fixed"/>
        <w:tblCellMar>
          <w:top w:w="28" w:type="dxa"/>
          <w:left w:w="28" w:type="dxa"/>
          <w:bottom w:w="28" w:type="dxa"/>
          <w:right w:w="28" w:type="dxa"/>
        </w:tblCellMar>
      </w:tblPr>
      <w:tblGrid>
        <w:gridCol w:w="39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18"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376"/>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(7,116)</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 2024 and 2023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Withdrawals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payables for collateral under securities loaned and other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repaid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paid (received)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the following segments: Annuities; Life; and Run-off. In addition, the Company reports certain of its results of operations in Corporate &amp; Other.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Consolidation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2023 consolidated balance sheet data was derived from audited consolidated financial statements included in Brighthouse Financial, Inc.’s Annual Report on Form 10-K for the year ended December 31, 2023 (the “2023 Annual Report”), which include all disclosures required by GAAP. Therefore, these interim condensed consolidated financial statements should be read in conjunction with the consolidated financial statements of the Company included in the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September 30, 2024.</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December 2023, the FASB issued new guidance on Income Tax Disclosures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ASU updates the required income tax disclosures to include disclosure of income taxes paid disaggregated by jurisdiction and greater disaggregation of information in the required rate reconciliation. This ASU is effective for fiscal years starting January 1, 2025, and will be applied on a prospective basis. The Company is currently evaluating the impact of this guidance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November 2023, the FASB issued new guidance on Segment Reporting Disclosures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This ASU updates reportable segment disclosures primarily through enhanced disclosures about significant segment expenses. This ASU does not change how a company identifies its operating segments, aggregates those operating segments, or applies the quantitative thresholds to determine its reportable segments. This ASU is effective for fiscal years starting January 1, 2024, and for interim periods starting January 1, 2025, and will be applied on a retrospective basis.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the following segments: Annuities; Life; and Run-off. In addition, the Company reports certain of its results of operations in Corporate &amp; Other.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business reinsured through 100% quota share reinsurance agreements and activities related to funding agreements associated with the Company’s institutional spread margin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Measures and Segment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the Company’s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by segment, as well as Corporate &amp; Other,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40"/>
        <w:gridCol w:w="1306"/>
        <w:gridCol w:w="1317"/>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51"/>
        <w:gridCol w:w="754"/>
        <w:gridCol w:w="195"/>
        <w:gridCol w:w="109"/>
        <w:gridCol w:w="109"/>
        <w:gridCol w:w="109"/>
        <w:gridCol w:w="196"/>
        <w:gridCol w:w="421"/>
        <w:gridCol w:w="157"/>
      </w:tblGrid>
      <w:tr>
        <w:trPr/>
        <w:tc>
          <w:tcPr>
            <w:tcW w:w="164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81"/>
        <w:gridCol w:w="1288"/>
        <w:gridCol w:w="1295"/>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51"/>
        <w:gridCol w:w="754"/>
        <w:gridCol w:w="195"/>
        <w:gridCol w:w="109"/>
        <w:gridCol w:w="109"/>
        <w:gridCol w:w="109"/>
        <w:gridCol w:w="196"/>
        <w:gridCol w:w="421"/>
        <w:gridCol w:w="156"/>
      </w:tblGrid>
      <w:tr>
        <w:trPr/>
        <w:tc>
          <w:tcPr>
            <w:tcW w:w="16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28"/>
        <w:gridCol w:w="1221"/>
        <w:gridCol w:w="1226"/>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344"/>
        <w:gridCol w:w="738"/>
        <w:gridCol w:w="191"/>
        <w:gridCol w:w="109"/>
        <w:gridCol w:w="109"/>
        <w:gridCol w:w="109"/>
        <w:gridCol w:w="196"/>
        <w:gridCol w:w="556"/>
        <w:gridCol w:w="157"/>
      </w:tblGrid>
      <w:tr>
        <w:trPr/>
        <w:tc>
          <w:tcPr>
            <w:tcW w:w="162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28"/>
        <w:gridCol w:w="1221"/>
        <w:gridCol w:w="1226"/>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344"/>
        <w:gridCol w:w="738"/>
        <w:gridCol w:w="191"/>
        <w:gridCol w:w="109"/>
        <w:gridCol w:w="109"/>
        <w:gridCol w:w="109"/>
        <w:gridCol w:w="196"/>
        <w:gridCol w:w="556"/>
        <w:gridCol w:w="157"/>
      </w:tblGrid>
      <w:tr>
        <w:trPr/>
        <w:tc>
          <w:tcPr>
            <w:tcW w:w="162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by segment, as well as Corporate &amp; Other, were as follows:</w:t>
      </w:r>
    </w:p>
    <w:tbl>
      <w:tblPr>
        <w:tblW w:w="6252"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segment, as well as Corporate &amp; Other, were as follows at:</w:t>
      </w:r>
    </w:p>
    <w:tbl>
      <w:tblPr>
        <w:tblW w:w="5199"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291"/>
        <w:gridCol w:w="1093"/>
        <w:gridCol w:w="161"/>
        <w:gridCol w:w="109"/>
        <w:gridCol w:w="109"/>
        <w:gridCol w:w="109"/>
        <w:gridCol w:w="279"/>
        <w:gridCol w:w="1047"/>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160,775 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Liability for 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liability for future policy benefits (“LFPB”) for non-participating traditional and limited-payment contracts was as follows: </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cash flow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cash flow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7,361 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7,148 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3,895 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6,586 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years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of LFPBs can be significantly impacted by changes in assumptions for policyholder behavior. As part of the 2024 and 2023 annual actuarial reviews (“AAR”), the Company updated assumptions regarding mortality and lapses for term and non-participating whole life insurance. The impact from changes in assumptions is presented in effect of changes in cash flow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additional insurance liabilities for universal life-type contracts with secondary guarantees was as follows:</w:t>
      </w:r>
    </w:p>
    <w:tbl>
      <w:tblPr>
        <w:tblW w:w="7732"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216"/>
        <w:gridCol w:w="614"/>
        <w:gridCol w:w="283"/>
        <w:gridCol w:w="120"/>
        <w:gridCol w:w="120"/>
        <w:gridCol w:w="120"/>
        <w:gridCol w:w="216"/>
        <w:gridCol w:w="614"/>
        <w:gridCol w:w="332"/>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cash flow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beginning of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assessments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before the 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additional liability,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years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6.7 years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Gross assessments recognized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of liabilities for secondary guarantees can be significantly impacted by changes in assumptions for policyholder behavior, as well as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2024 and 2023 AAR, the Company updated assumptions regarding policyholder behavior, including mortality, premium persistency, lapses and withdrawals. In 2024, the Company also increased the long-term general account earned rate, driven by an increase in the mean reversion rate, from 3.75% to 4.00%. The impact from changes in assumptions, excluding the effects on the ULSG liability for profits followed by losses, is presented in effect of changes in cash flow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September 30, 2024 and 2023, and 39% and 40% of gross traditional life insurance premiums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850"/>
        <w:gridCol w:w="366"/>
        <w:gridCol w:w="367"/>
        <w:gridCol w:w="109"/>
        <w:gridCol w:w="109"/>
        <w:gridCol w:w="109"/>
        <w:gridCol w:w="210"/>
        <w:gridCol w:w="597"/>
        <w:gridCol w:w="259"/>
        <w:gridCol w:w="109"/>
        <w:gridCol w:w="109"/>
        <w:gridCol w:w="109"/>
        <w:gridCol w:w="206"/>
        <w:gridCol w:w="586"/>
        <w:gridCol w:w="254"/>
        <w:gridCol w:w="109"/>
        <w:gridCol w:w="109"/>
        <w:gridCol w:w="109"/>
        <w:gridCol w:w="204"/>
        <w:gridCol w:w="674"/>
        <w:gridCol w:w="251"/>
        <w:gridCol w:w="109"/>
        <w:gridCol w:w="109"/>
        <w:gridCol w:w="109"/>
        <w:gridCol w:w="201"/>
        <w:gridCol w:w="664"/>
        <w:gridCol w:w="247"/>
        <w:gridCol w:w="109"/>
        <w:gridCol w:w="109"/>
        <w:gridCol w:w="109"/>
        <w:gridCol w:w="196"/>
        <w:gridCol w:w="556"/>
        <w:gridCol w:w="241"/>
        <w:gridCol w:w="109"/>
        <w:gridCol w:w="109"/>
        <w:gridCol w:w="109"/>
        <w:gridCol w:w="283"/>
        <w:gridCol w:w="608"/>
        <w:gridCol w:w="423"/>
      </w:tblGrid>
      <w:tr>
        <w:trPr/>
        <w:tc>
          <w:tcPr>
            <w:tcW w:w="8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 (1)</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4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47,814 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(2)Excludes the effects of embedded derivatives related to index-linked crediting rates.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275"/>
        <w:gridCol w:w="909"/>
        <w:gridCol w:w="155"/>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are gross of policy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MRB assets and liabilities associated with variable annuities was as follows:</w:t>
      </w:r>
    </w:p>
    <w:tbl>
      <w:tblPr>
        <w:tblW w:w="10012"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09"/>
        <w:gridCol w:w="109"/>
        <w:gridCol w:w="262"/>
        <w:gridCol w:w="262"/>
        <w:gridCol w:w="471"/>
        <w:gridCol w:w="1337"/>
        <w:gridCol w:w="262"/>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future expected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different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fund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risk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Aging of the block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before 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net of reinsurance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attained age of contract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represent the sum of MRB assets and MRB liabilities presented on the consolidated balance sheets at September 30, 2024 and 2023, with the exception of $47 million and ($7) million, respectively, of index-linked annuities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2024 AAR, the Company updated assumptions regarding policyholder behavior, mortality and separate account fund allocations. As part of the 2023 AAR, the Company updated assumptions regarding policyholder behavior, mortality, separate account fund allocations and volatility. The impact from changes in assumptions is presented in effect of changes in future expected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Separate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 of assets, by major investment asset category, supporting separate accounts was as follows at:</w:t>
      </w:r>
    </w:p>
    <w:tbl>
      <w:tblPr>
        <w:tblW w:w="7013"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318"/>
        <w:gridCol w:w="1050"/>
        <w:gridCol w:w="177"/>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90,313 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Separate Accounts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 and Cash Surrender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net amount at risk and cash surrender value for insurance products was as follows at:</w:t>
      </w:r>
    </w:p>
    <w:tbl>
      <w:tblPr>
        <w:tblW w:w="10205" w:type="dxa"/>
        <w:jc w:val="left"/>
        <w:tblInd w:w="0" w:type="dxa"/>
        <w:tblLayout w:type="fixed"/>
        <w:tblCellMar>
          <w:top w:w="28" w:type="dxa"/>
          <w:left w:w="28" w:type="dxa"/>
          <w:bottom w:w="28" w:type="dxa"/>
          <w:right w:w="28" w:type="dxa"/>
        </w:tblCellMar>
      </w:tblPr>
      <w:tblGrid>
        <w:gridCol w:w="670"/>
        <w:gridCol w:w="537"/>
        <w:gridCol w:w="541"/>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6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33,923 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36,238 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791"/>
        <w:gridCol w:w="632"/>
        <w:gridCol w:w="636"/>
        <w:gridCol w:w="109"/>
        <w:gridCol w:w="109"/>
        <w:gridCol w:w="109"/>
        <w:gridCol w:w="257"/>
        <w:gridCol w:w="731"/>
        <w:gridCol w:w="143"/>
        <w:gridCol w:w="109"/>
        <w:gridCol w:w="109"/>
        <w:gridCol w:w="109"/>
        <w:gridCol w:w="312"/>
        <w:gridCol w:w="674"/>
        <w:gridCol w:w="177"/>
        <w:gridCol w:w="109"/>
        <w:gridCol w:w="109"/>
        <w:gridCol w:w="109"/>
        <w:gridCol w:w="303"/>
        <w:gridCol w:w="861"/>
        <w:gridCol w:w="169"/>
        <w:gridCol w:w="109"/>
        <w:gridCol w:w="109"/>
        <w:gridCol w:w="109"/>
        <w:gridCol w:w="413"/>
        <w:gridCol w:w="890"/>
        <w:gridCol w:w="233"/>
        <w:gridCol w:w="109"/>
        <w:gridCol w:w="109"/>
        <w:gridCol w:w="109"/>
        <w:gridCol w:w="339"/>
        <w:gridCol w:w="732"/>
        <w:gridCol w:w="277"/>
      </w:tblGrid>
      <w:tr>
        <w:trPr/>
        <w:tc>
          <w:tcPr>
            <w:tcW w:w="7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Sales Inducements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by sector were as follows at:</w:t>
      </w:r>
    </w:p>
    <w:tbl>
      <w:tblPr>
        <w:tblW w:w="12834" w:type="dxa"/>
        <w:jc w:val="left"/>
        <w:tblInd w:w="0" w:type="dxa"/>
        <w:tblLayout w:type="fixed"/>
        <w:tblCellMar>
          <w:top w:w="28" w:type="dxa"/>
          <w:left w:w="28" w:type="dxa"/>
          <w:bottom w:w="28" w:type="dxa"/>
          <w:right w:w="28" w:type="dxa"/>
        </w:tblCellMar>
      </w:tblPr>
      <w:tblGrid>
        <w:gridCol w:w="658"/>
        <w:gridCol w:w="248"/>
        <w:gridCol w:w="250"/>
        <w:gridCol w:w="196"/>
        <w:gridCol w:w="646"/>
        <w:gridCol w:w="109"/>
        <w:gridCol w:w="109"/>
        <w:gridCol w:w="109"/>
        <w:gridCol w:w="109"/>
        <w:gridCol w:w="222"/>
        <w:gridCol w:w="375"/>
        <w:gridCol w:w="124"/>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8"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non-income producing fixed maturity securities with an estimated fair value of $40 million and $52 million at September 30,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by contractual maturity date, were as follows at September 30, 2024:</w:t>
      </w:r>
    </w:p>
    <w:tbl>
      <w:tblPr>
        <w:tblW w:w="9723" w:type="dxa"/>
        <w:jc w:val="left"/>
        <w:tblInd w:w="0" w:type="dxa"/>
        <w:tblLayout w:type="fixed"/>
        <w:tblCellMar>
          <w:top w:w="28" w:type="dxa"/>
          <w:left w:w="28" w:type="dxa"/>
          <w:bottom w:w="28" w:type="dxa"/>
          <w:right w:w="28" w:type="dxa"/>
        </w:tblCellMar>
      </w:tblPr>
      <w:tblGrid>
        <w:gridCol w:w="548"/>
        <w:gridCol w:w="481"/>
        <w:gridCol w:w="485"/>
        <w:gridCol w:w="232"/>
        <w:gridCol w:w="659"/>
        <w:gridCol w:w="129"/>
        <w:gridCol w:w="109"/>
        <w:gridCol w:w="109"/>
        <w:gridCol w:w="109"/>
        <w:gridCol w:w="241"/>
        <w:gridCol w:w="795"/>
        <w:gridCol w:w="134"/>
        <w:gridCol w:w="109"/>
        <w:gridCol w:w="109"/>
        <w:gridCol w:w="109"/>
        <w:gridCol w:w="247"/>
        <w:gridCol w:w="815"/>
        <w:gridCol w:w="137"/>
        <w:gridCol w:w="109"/>
        <w:gridCol w:w="109"/>
        <w:gridCol w:w="109"/>
        <w:gridCol w:w="235"/>
        <w:gridCol w:w="775"/>
        <w:gridCol w:w="130"/>
        <w:gridCol w:w="109"/>
        <w:gridCol w:w="109"/>
        <w:gridCol w:w="109"/>
        <w:gridCol w:w="216"/>
        <w:gridCol w:w="713"/>
        <w:gridCol w:w="120"/>
        <w:gridCol w:w="109"/>
        <w:gridCol w:w="109"/>
        <w:gridCol w:w="109"/>
        <w:gridCol w:w="196"/>
        <w:gridCol w:w="64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w:t>
              <w:br/>
              <w:t>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One</w:t>
              <w:br/>
              <w:t>Year Through</w:t>
              <w:b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Five</w:t>
              <w:br/>
              <w:t>Years Through</w:t>
              <w:br/>
              <w:t>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Ten</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Structured</w:t>
              <w:br/>
              <w:t>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Fixed</w:t>
              <w:br/>
              <w:t>Maturity</w:t>
              <w:br/>
              <w:t>Securities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$717 million and $655 million at September 30, 2024 and December 31, 2023, respectively, and is included in accrued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current evaluation of its fixed maturity securities in an unrealized loss position and the current intent or requirement to sell, the Company recorded an allowance for credit losses of $61 million, relating to 28 securities, at September 30, 2024.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309"/>
        <w:gridCol w:w="1152"/>
        <w:gridCol w:w="1159"/>
        <w:gridCol w:w="109"/>
        <w:gridCol w:w="109"/>
        <w:gridCol w:w="109"/>
        <w:gridCol w:w="324"/>
        <w:gridCol w:w="548"/>
        <w:gridCol w:w="181"/>
        <w:gridCol w:w="109"/>
        <w:gridCol w:w="109"/>
        <w:gridCol w:w="109"/>
        <w:gridCol w:w="109"/>
        <w:gridCol w:w="109"/>
        <w:gridCol w:w="330"/>
        <w:gridCol w:w="683"/>
        <w:gridCol w:w="184"/>
        <w:gridCol w:w="109"/>
        <w:gridCol w:w="109"/>
        <w:gridCol w:w="109"/>
        <w:gridCol w:w="204"/>
        <w:gridCol w:w="252"/>
        <w:gridCol w:w="115"/>
        <w:gridCol w:w="109"/>
        <w:gridCol w:w="109"/>
        <w:gridCol w:w="109"/>
        <w:gridCol w:w="204"/>
        <w:gridCol w:w="252"/>
        <w:gridCol w:w="115"/>
        <w:gridCol w:w="109"/>
        <w:gridCol w:w="109"/>
        <w:gridCol w:w="109"/>
        <w:gridCol w:w="109"/>
        <w:gridCol w:w="109"/>
        <w:gridCol w:w="109"/>
        <w:gridCol w:w="109"/>
        <w:gridCol w:w="109"/>
        <w:gridCol w:w="109"/>
        <w:gridCol w:w="196"/>
        <w:gridCol w:w="331"/>
        <w:gridCol w:w="159"/>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667" w:type="dxa"/>
            <w:gridSpan w:val="12"/>
            <w:tcBorders/>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recorded total write-offs of $10 million and $8 million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Mortgage Loans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summarized as follows at:</w:t>
      </w:r>
    </w:p>
    <w:tbl>
      <w:tblPr>
        <w:tblW w:w="6640"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23"/>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(1)Purchases of mortgage loans from third parties were $314 million and $664 million for the three months and nine months ended September 30, 2024, respectively, and $224 million and $255 million for the three months and nine months ended September 30, 2023, respectively, and were primarily comprised of residential mortgage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$128 million and $123 million at September 30,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by portfolio segment were as follows:</w:t>
      </w:r>
    </w:p>
    <w:tbl>
      <w:tblPr>
        <w:tblW w:w="7875" w:type="dxa"/>
        <w:jc w:val="left"/>
        <w:tblInd w:w="0" w:type="dxa"/>
        <w:tblLayout w:type="fixed"/>
        <w:tblCellMar>
          <w:top w:w="28" w:type="dxa"/>
          <w:left w:w="28" w:type="dxa"/>
          <w:bottom w:w="28" w:type="dxa"/>
          <w:right w:w="28" w:type="dxa"/>
        </w:tblCellMar>
      </w:tblPr>
      <w:tblGrid>
        <w:gridCol w:w="1166"/>
        <w:gridCol w:w="1026"/>
        <w:gridCol w:w="1033"/>
        <w:gridCol w:w="305"/>
        <w:gridCol w:w="515"/>
        <w:gridCol w:w="171"/>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 net of recoveries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 net of recoveries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66"/>
        <w:gridCol w:w="739"/>
        <w:gridCol w:w="744"/>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56"/>
      </w:tblGrid>
      <w:tr>
        <w:trPr/>
        <w:tc>
          <w:tcPr>
            <w:tcW w:w="8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tbl>
      <w:tblPr>
        <w:tblW w:w="10205" w:type="dxa"/>
        <w:jc w:val="left"/>
        <w:tblInd w:w="0" w:type="dxa"/>
        <w:tblLayout w:type="fixed"/>
        <w:tblCellMar>
          <w:top w:w="28" w:type="dxa"/>
          <w:left w:w="28" w:type="dxa"/>
          <w:bottom w:w="28" w:type="dxa"/>
          <w:right w:w="28" w:type="dxa"/>
        </w:tblCellMar>
      </w:tblPr>
      <w:tblGrid>
        <w:gridCol w:w="847"/>
        <w:gridCol w:w="683"/>
        <w:gridCol w:w="685"/>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high-quality, well-performing mortgage loan portfolio, with over 99% of all mortgage loans classified as performing at both September 30, 2024 and December 31, 2023.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in a nonaccrual status by portfolio segment was as follows at:</w:t>
      </w:r>
    </w:p>
    <w:tbl>
      <w:tblPr>
        <w:tblW w:w="6238" w:type="dxa"/>
        <w:jc w:val="left"/>
        <w:tblInd w:w="0" w:type="dxa"/>
        <w:tblLayout w:type="fixed"/>
        <w:tblCellMar>
          <w:top w:w="28" w:type="dxa"/>
          <w:left w:w="28" w:type="dxa"/>
          <w:bottom w:w="28" w:type="dxa"/>
          <w:right w:w="28" w:type="dxa"/>
        </w:tblCellMar>
      </w:tblPr>
      <w:tblGrid>
        <w:gridCol w:w="559"/>
        <w:gridCol w:w="491"/>
        <w:gridCol w:w="494"/>
        <w:gridCol w:w="267"/>
        <w:gridCol w:w="574"/>
        <w:gridCol w:w="150"/>
        <w:gridCol w:w="109"/>
        <w:gridCol w:w="109"/>
        <w:gridCol w:w="109"/>
        <w:gridCol w:w="277"/>
        <w:gridCol w:w="574"/>
        <w:gridCol w:w="155"/>
        <w:gridCol w:w="109"/>
        <w:gridCol w:w="109"/>
        <w:gridCol w:w="109"/>
        <w:gridCol w:w="255"/>
        <w:gridCol w:w="548"/>
        <w:gridCol w:w="142"/>
        <w:gridCol w:w="109"/>
        <w:gridCol w:w="109"/>
        <w:gridCol w:w="109"/>
        <w:gridCol w:w="196"/>
        <w:gridCol w:w="42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Residential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mortgage loans in nonaccrual status for which there was no related allowance for credit losses at both September 30, 2024 and December 31,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period investment income on mortgage loans in nonaccrual status was $3 million and $1 million for the nine months ended September 30, 2024 and 2023,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modifications are granted to nonperforming mortgage loans. Generally, the types of concessions may include interest rate reduction, term extension, principal forgiveness, or a combination of all three. The Company did not have a significant amount of mortgage loans modified during both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Unrealized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unrealized investment gains (losses), included in AOCI, were as follows at:</w:t>
      </w:r>
    </w:p>
    <w:tbl>
      <w:tblPr>
        <w:tblW w:w="6385" w:type="dxa"/>
        <w:jc w:val="left"/>
        <w:tblInd w:w="0" w:type="dxa"/>
        <w:tblLayout w:type="fixed"/>
        <w:tblCellMar>
          <w:top w:w="28" w:type="dxa"/>
          <w:left w:w="28" w:type="dxa"/>
          <w:bottom w:w="28" w:type="dxa"/>
          <w:right w:w="28" w:type="dxa"/>
        </w:tblCellMar>
      </w:tblPr>
      <w:tblGrid>
        <w:gridCol w:w="1077"/>
        <w:gridCol w:w="942"/>
        <w:gridCol w:w="950"/>
        <w:gridCol w:w="323"/>
        <w:gridCol w:w="1042"/>
        <w:gridCol w:w="180"/>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allocated from:</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net unrealized investment gains (losses) were as follows:</w:t>
      </w:r>
    </w:p>
    <w:tbl>
      <w:tblPr>
        <w:tblW w:w="7019" w:type="dxa"/>
        <w:jc w:val="left"/>
        <w:tblInd w:w="0" w:type="dxa"/>
        <w:tblLayout w:type="fixed"/>
        <w:tblCellMar>
          <w:top w:w="28" w:type="dxa"/>
          <w:left w:w="28" w:type="dxa"/>
          <w:bottom w:w="28" w:type="dxa"/>
          <w:right w:w="28" w:type="dxa"/>
        </w:tblCellMar>
      </w:tblPr>
      <w:tblGrid>
        <w:gridCol w:w="1437"/>
        <w:gridCol w:w="1266"/>
        <w:gridCol w:w="1271"/>
        <w:gridCol w:w="608"/>
        <w:gridCol w:w="1959"/>
        <w:gridCol w:w="478"/>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during the period</w:t>
            </w:r>
          </w:p>
        </w:tc>
        <w:tc>
          <w:tcPr>
            <w:tcW w:w="2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relating to:</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2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2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investment gains (losses)</w:t>
            </w:r>
          </w:p>
        </w:tc>
        <w:tc>
          <w:tcPr>
            <w:tcW w:w="6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4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investments in any counterparty that were greater than 10% of the Company’s equity, other than the U.S. government and its agencies, at both September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Elements of the securities lending program are presented below at:</w:t>
      </w:r>
    </w:p>
    <w:tbl>
      <w:tblPr>
        <w:tblW w:w="6881" w:type="dxa"/>
        <w:jc w:val="left"/>
        <w:tblInd w:w="0" w:type="dxa"/>
        <w:tblLayout w:type="fixed"/>
        <w:tblCellMar>
          <w:top w:w="28" w:type="dxa"/>
          <w:left w:w="28" w:type="dxa"/>
          <w:bottom w:w="28" w:type="dxa"/>
          <w:right w:w="28" w:type="dxa"/>
        </w:tblCellMar>
      </w:tblPr>
      <w:tblGrid>
        <w:gridCol w:w="1257"/>
        <w:gridCol w:w="1102"/>
        <w:gridCol w:w="1106"/>
        <w:gridCol w:w="351"/>
        <w:gridCol w:w="997"/>
        <w:gridCol w:w="197"/>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on loan: (1)</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collateral received from counterparties (2)</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Reinvestment portfolio — estimated fair value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fixed maturity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cash collateral liability by loaned security type and remaining tenor of the agreements were as follows at:</w:t>
      </w:r>
    </w:p>
    <w:tbl>
      <w:tblPr>
        <w:tblW w:w="10650"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2" w:type="dxa"/>
            <w:gridSpan w:val="3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September 30, 2024 was $624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reinvestment portfolio acquired with the cash collateral consisted principally of fixed maturity securities (including agency RMBS, ABS, U.S. and foreign corporate securities, U.S. government and agency securities, non-agency RMBS and CMBS) with 52% invested in agency RMBS, U.S. government and agency securities and cash and cash equivalents at September 30, 2024.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Invested assets on deposit, held in trust and pledged as collateral at estimated fair value were as follows at:</w:t>
      </w:r>
    </w:p>
    <w:tbl>
      <w:tblPr>
        <w:tblW w:w="8472" w:type="dxa"/>
        <w:jc w:val="left"/>
        <w:tblInd w:w="0" w:type="dxa"/>
        <w:tblLayout w:type="fixed"/>
        <w:tblCellMar>
          <w:top w:w="28" w:type="dxa"/>
          <w:left w:w="28" w:type="dxa"/>
          <w:bottom w:w="28" w:type="dxa"/>
          <w:right w:w="28" w:type="dxa"/>
        </w:tblCellMar>
      </w:tblPr>
      <w:tblGrid>
        <w:gridCol w:w="1828"/>
        <w:gridCol w:w="1611"/>
        <w:gridCol w:w="1616"/>
        <w:gridCol w:w="318"/>
        <w:gridCol w:w="1050"/>
        <w:gridCol w:w="177"/>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on deposit (regulatory deposits) (1)</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held in trust (reinsurance agreements) (2)</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pledged as collateral (3)</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invested assets on deposit, held in trust and pledged as collateral</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assets, primarily fixed maturity securities, on deposit with governmental authorities relating to certain policyholder liabilities, of which $87 million and $102 million of the assets on deposit represents restricted cash and cash equivalents at September 30,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has assets, primarily fixed maturity securities, held in trust relating to certain reinsurance transactions, of which $299 million and $120 million of the assets held in trust balance represents restricted cash and cash equivalents at September 30,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pledged invested assets in connection with various agreements and transactions, including funding agreements (see Note 4 of the Notes to the Consolidated Financial Statements included in the 2023 Annual Report) and derivative transactions (see Note 8).</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Securities Lending” for information regarding securities on loan. In addition, the Company’s investment in FHLB common stock, which is considered restricted until redeemed by the issuer, was $242 million and $245 million at redemption value at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VIEs for which the Company has concluded that it is the primary beneficiary at either September 30, 2024 or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maximum exposure to loss related to the VIEs for which the Company has concluded that it holds a variable interest, but is not the primary beneficiary, were as follows at:</w:t>
      </w:r>
    </w:p>
    <w:tbl>
      <w:tblPr>
        <w:tblW w:w="7155" w:type="dxa"/>
        <w:jc w:val="left"/>
        <w:tblInd w:w="0" w:type="dxa"/>
        <w:tblLayout w:type="fixed"/>
        <w:tblCellMar>
          <w:top w:w="28" w:type="dxa"/>
          <w:left w:w="28" w:type="dxa"/>
          <w:bottom w:w="28" w:type="dxa"/>
          <w:right w:w="28" w:type="dxa"/>
        </w:tblCellMar>
      </w:tblPr>
      <w:tblGrid>
        <w:gridCol w:w="843"/>
        <w:gridCol w:w="738"/>
        <w:gridCol w:w="74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 xml:space="preserve">Exposure </w:t>
              <w:br/>
              <w:t>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Exposure</w:t>
              <w:br/>
              <w:t>to Loss</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VIEs are described below.</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Limited Partnerships and LLCs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income were as follows:</w:t>
      </w:r>
    </w:p>
    <w:tbl>
      <w:tblPr>
        <w:tblW w:w="8160" w:type="dxa"/>
        <w:jc w:val="left"/>
        <w:tblInd w:w="0" w:type="dxa"/>
        <w:tblLayout w:type="fixed"/>
        <w:tblCellMar>
          <w:top w:w="28" w:type="dxa"/>
          <w:left w:w="28" w:type="dxa"/>
          <w:bottom w:w="28" w:type="dxa"/>
          <w:right w:w="28" w:type="dxa"/>
        </w:tblCellMar>
      </w:tblPr>
      <w:tblGrid>
        <w:gridCol w:w="1335"/>
        <w:gridCol w:w="1176"/>
        <w:gridCol w:w="117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net investment income pertaining to other limited partnership interests of $64 million and $259 million for the three months and nine months ended September 30, 2024, respectively, and $64 million and $156 million for the three months and nine months ended September 30, 2023,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gains (losses) were as follows:</w:t>
      </w:r>
    </w:p>
    <w:tbl>
      <w:tblPr>
        <w:tblW w:w="6615" w:type="dxa"/>
        <w:jc w:val="left"/>
        <w:tblInd w:w="0" w:type="dxa"/>
        <w:tblLayout w:type="fixed"/>
        <w:tblCellMar>
          <w:top w:w="28" w:type="dxa"/>
          <w:left w:w="28" w:type="dxa"/>
          <w:bottom w:w="28" w:type="dxa"/>
          <w:right w:w="28" w:type="dxa"/>
        </w:tblCellMar>
      </w:tblPr>
      <w:tblGrid>
        <w:gridCol w:w="928"/>
        <w:gridCol w:w="817"/>
        <w:gridCol w:w="820"/>
        <w:gridCol w:w="196"/>
        <w:gridCol w:w="406"/>
        <w:gridCol w:w="109"/>
        <w:gridCol w:w="109"/>
        <w:gridCol w:w="109"/>
        <w:gridCol w:w="109"/>
        <w:gridCol w:w="196"/>
        <w:gridCol w:w="406"/>
        <w:gridCol w:w="109"/>
        <w:gridCol w:w="109"/>
        <w:gridCol w:w="109"/>
        <w:gridCol w:w="109"/>
        <w:gridCol w:w="196"/>
        <w:gridCol w:w="496"/>
        <w:gridCol w:w="109"/>
        <w:gridCol w:w="109"/>
        <w:gridCol w:w="109"/>
        <w:gridCol w:w="109"/>
        <w:gridCol w:w="196"/>
        <w:gridCol w:w="49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investment gains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from foreign currency transactions included within net investment gains (losses) were not significant for the three months and nine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6404" w:type="dxa"/>
        <w:jc w:val="left"/>
        <w:tblInd w:w="0" w:type="dxa"/>
        <w:tblLayout w:type="fixed"/>
        <w:tblCellMar>
          <w:top w:w="28" w:type="dxa"/>
          <w:left w:w="28" w:type="dxa"/>
          <w:bottom w:w="28" w:type="dxa"/>
          <w:right w:w="28" w:type="dxa"/>
        </w:tblCellMar>
      </w:tblPr>
      <w:tblGrid>
        <w:gridCol w:w="797"/>
        <w:gridCol w:w="701"/>
        <w:gridCol w:w="706"/>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derivatives and the fair value hierarchy for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overall risk management strategy that incorporates the use of derivative instruments to minimize its exposure to various market risks.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Interest rate derivatives: swaps, floors, caps, futures, swaptions and forwards;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market derivatives: futures, options, total return swaps and hybrid options;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Credit derivatives: single and index reference credit default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on these contracts and the related strategies, see Note 7 of the Notes to the Consolidated Financial Statements included in the 2023 Annual Report. In the third quarter of 2024, the Company began utilizing equity futures as non-qualified hedges to manage risk related to certain of its index-linked annuity products. In the second quarter of 2024, the Company began utilizing interest rate futures as non-qualified hedges to manage risk related to policyholder liabilities for institutional group annuities. In the first quarter of 2024, the Company entered into interest rate swaps that qualify for hedge accounting to manage the interest rate risk in certain of its funding agreement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primary underlying risk exposure, gross notional amount and estimated fair value</w:t>
      </w:r>
      <w:r>
        <w:rPr>
          <w:color w:val="000000"/>
        </w:rPr>
        <w:t xml:space="preserve"> </w:t>
      </w:r>
      <w:r>
        <w:rPr>
          <w:rFonts w:ascii="Times New Roman;sans-serif" w:hAnsi="Times New Roman;sans-serif"/>
          <w:b w:val="false"/>
          <w:color w:val="000000"/>
          <w:sz w:val="20"/>
        </w:rPr>
        <w:t>of derivatives, excluding embedded derivatives, held were as follows at:</w:t>
      </w:r>
    </w:p>
    <w:tbl>
      <w:tblPr>
        <w:tblW w:w="11030" w:type="dxa"/>
        <w:jc w:val="left"/>
        <w:tblInd w:w="0" w:type="dxa"/>
        <w:tblLayout w:type="fixed"/>
        <w:tblCellMar>
          <w:top w:w="28" w:type="dxa"/>
          <w:left w:w="28" w:type="dxa"/>
          <w:bottom w:w="28" w:type="dxa"/>
          <w:right w:w="28" w:type="dxa"/>
        </w:tblCellMar>
      </w:tblPr>
      <w:tblGrid>
        <w:gridCol w:w="802"/>
        <w:gridCol w:w="191"/>
        <w:gridCol w:w="193"/>
        <w:gridCol w:w="840"/>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4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futures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written</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futures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index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total return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Hybrid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non-designated or non-qualifying derivatives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gross notional amounts, a substantial portion of the Company’s derivatives was not designated or did not qualify as part of a hedging relationship at both September 30, 2024 and December 31, 2023.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(losses), including earned income, recognized for derivatives and gains (losses) pertaining to hedged items reported in net derivative gains (losses) were as follows:</w:t>
      </w:r>
    </w:p>
    <w:tbl>
      <w:tblPr>
        <w:tblW w:w="10205" w:type="dxa"/>
        <w:jc w:val="left"/>
        <w:tblInd w:w="0" w:type="dxa"/>
        <w:tblLayout w:type="fixed"/>
        <w:tblCellMar>
          <w:top w:w="28" w:type="dxa"/>
          <w:left w:w="28" w:type="dxa"/>
          <w:bottom w:w="28" w:type="dxa"/>
          <w:right w:w="28" w:type="dxa"/>
        </w:tblCellMar>
      </w:tblPr>
      <w:tblGrid>
        <w:gridCol w:w="854"/>
        <w:gridCol w:w="593"/>
        <w:gridCol w:w="596"/>
        <w:gridCol w:w="420"/>
        <w:gridCol w:w="935"/>
        <w:gridCol w:w="235"/>
        <w:gridCol w:w="109"/>
        <w:gridCol w:w="109"/>
        <w:gridCol w:w="109"/>
        <w:gridCol w:w="434"/>
        <w:gridCol w:w="899"/>
        <w:gridCol w:w="242"/>
        <w:gridCol w:w="109"/>
        <w:gridCol w:w="109"/>
        <w:gridCol w:w="109"/>
        <w:gridCol w:w="330"/>
        <w:gridCol w:w="557"/>
        <w:gridCol w:w="185"/>
        <w:gridCol w:w="109"/>
        <w:gridCol w:w="109"/>
        <w:gridCol w:w="109"/>
        <w:gridCol w:w="361"/>
        <w:gridCol w:w="749"/>
        <w:gridCol w:w="201"/>
        <w:gridCol w:w="109"/>
        <w:gridCol w:w="109"/>
        <w:gridCol w:w="109"/>
        <w:gridCol w:w="311"/>
        <w:gridCol w:w="740"/>
        <w:gridCol w:w="255"/>
      </w:tblGrid>
      <w:tr>
        <w:trPr/>
        <w:tc>
          <w:tcPr>
            <w:tcW w:w="8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tbl>
      <w:tblPr>
        <w:tblW w:w="10205" w:type="dxa"/>
        <w:jc w:val="left"/>
        <w:tblInd w:w="0" w:type="dxa"/>
        <w:tblLayout w:type="fixed"/>
        <w:tblCellMar>
          <w:top w:w="28" w:type="dxa"/>
          <w:left w:w="28" w:type="dxa"/>
          <w:bottom w:w="28" w:type="dxa"/>
          <w:right w:w="28" w:type="dxa"/>
        </w:tblCellMar>
      </w:tblPr>
      <w:tblGrid>
        <w:gridCol w:w="854"/>
        <w:gridCol w:w="593"/>
        <w:gridCol w:w="596"/>
        <w:gridCol w:w="334"/>
        <w:gridCol w:w="1072"/>
        <w:gridCol w:w="185"/>
        <w:gridCol w:w="109"/>
        <w:gridCol w:w="109"/>
        <w:gridCol w:w="109"/>
        <w:gridCol w:w="434"/>
        <w:gridCol w:w="899"/>
        <w:gridCol w:w="242"/>
        <w:gridCol w:w="109"/>
        <w:gridCol w:w="109"/>
        <w:gridCol w:w="109"/>
        <w:gridCol w:w="330"/>
        <w:gridCol w:w="557"/>
        <w:gridCol w:w="185"/>
        <w:gridCol w:w="109"/>
        <w:gridCol w:w="109"/>
        <w:gridCol w:w="109"/>
        <w:gridCol w:w="361"/>
        <w:gridCol w:w="749"/>
        <w:gridCol w:w="201"/>
        <w:gridCol w:w="109"/>
        <w:gridCol w:w="109"/>
        <w:gridCol w:w="109"/>
        <w:gridCol w:w="311"/>
        <w:gridCol w:w="740"/>
        <w:gridCol w:w="254"/>
      </w:tblGrid>
      <w:tr>
        <w:trPr/>
        <w:tc>
          <w:tcPr>
            <w:tcW w:w="8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balance in AOCI associated with cash flow hedges was $316 million and $351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Credit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258"/>
        <w:gridCol w:w="437"/>
        <w:gridCol w:w="145"/>
        <w:gridCol w:w="109"/>
        <w:gridCol w:w="109"/>
        <w:gridCol w:w="109"/>
        <w:gridCol w:w="290"/>
        <w:gridCol w:w="823"/>
        <w:gridCol w:w="163"/>
        <w:gridCol w:w="109"/>
        <w:gridCol w:w="109"/>
        <w:gridCol w:w="109"/>
        <w:gridCol w:w="324"/>
        <w:gridCol w:w="324"/>
        <w:gridCol w:w="326"/>
        <w:gridCol w:w="109"/>
        <w:gridCol w:w="109"/>
        <w:gridCol w:w="109"/>
        <w:gridCol w:w="273"/>
        <w:gridCol w:w="461"/>
        <w:gridCol w:w="152"/>
        <w:gridCol w:w="109"/>
        <w:gridCol w:w="109"/>
        <w:gridCol w:w="109"/>
        <w:gridCol w:w="290"/>
        <w:gridCol w:w="823"/>
        <w:gridCol w:w="163"/>
        <w:gridCol w:w="109"/>
        <w:gridCol w:w="109"/>
        <w:gridCol w:w="109"/>
        <w:gridCol w:w="298"/>
        <w:gridCol w:w="298"/>
        <w:gridCol w:w="430"/>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Caa and Lower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392"/>
        <w:gridCol w:w="345"/>
        <w:gridCol w:w="347"/>
        <w:gridCol w:w="109"/>
        <w:gridCol w:w="109"/>
        <w:gridCol w:w="109"/>
        <w:gridCol w:w="262"/>
        <w:gridCol w:w="747"/>
        <w:gridCol w:w="147"/>
        <w:gridCol w:w="109"/>
        <w:gridCol w:w="109"/>
        <w:gridCol w:w="109"/>
        <w:gridCol w:w="313"/>
        <w:gridCol w:w="745"/>
        <w:gridCol w:w="137"/>
        <w:gridCol w:w="137"/>
        <w:gridCol w:w="137"/>
        <w:gridCol w:w="137"/>
        <w:gridCol w:w="356"/>
        <w:gridCol w:w="654"/>
        <w:gridCol w:w="154"/>
        <w:gridCol w:w="109"/>
        <w:gridCol w:w="109"/>
        <w:gridCol w:w="109"/>
        <w:gridCol w:w="202"/>
        <w:gridCol w:w="573"/>
        <w:gridCol w:w="112"/>
        <w:gridCol w:w="109"/>
        <w:gridCol w:w="109"/>
        <w:gridCol w:w="109"/>
        <w:gridCol w:w="291"/>
        <w:gridCol w:w="891"/>
        <w:gridCol w:w="162"/>
        <w:gridCol w:w="109"/>
        <w:gridCol w:w="109"/>
        <w:gridCol w:w="109"/>
        <w:gridCol w:w="341"/>
        <w:gridCol w:w="708"/>
        <w:gridCol w:w="280"/>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After Securities Collateral</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8258"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351"/>
        <w:gridCol w:w="997"/>
        <w:gridCol w:w="197"/>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Considerable judgment is often required in interpreting market data to develop estimates of fair value, and the use of different assumptions or valuation methodologies may have a material effect on the estimated fair value amounts.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 assets on index-linked annuities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 Inc.’s Board of Directors regarding compliance with fair value accounting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2024.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Determination of Fair Value</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corporate and foreign corporate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government and agency, state and political subdivision and foreign government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Structured Securities:</w:t>
      </w:r>
      <w:r>
        <w:rPr>
          <w:color w:val="000000"/>
        </w:rPr>
        <w:t xml:space="preserve"> </w:t>
      </w:r>
      <w:r>
        <w:rPr>
          <w:rFonts w:ascii="Times New Roman;sans-serif" w:hAnsi="Times New Roman;sans-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Equity securities and short-term investments: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618"/>
        <w:gridCol w:w="475"/>
        <w:gridCol w:w="477"/>
        <w:gridCol w:w="167"/>
        <w:gridCol w:w="167"/>
        <w:gridCol w:w="167"/>
        <w:gridCol w:w="349"/>
        <w:gridCol w:w="349"/>
        <w:gridCol w:w="355"/>
        <w:gridCol w:w="109"/>
        <w:gridCol w:w="109"/>
        <w:gridCol w:w="109"/>
        <w:gridCol w:w="225"/>
        <w:gridCol w:w="225"/>
        <w:gridCol w:w="225"/>
        <w:gridCol w:w="594"/>
        <w:gridCol w:w="361"/>
        <w:gridCol w:w="359"/>
        <w:gridCol w:w="109"/>
        <w:gridCol w:w="109"/>
        <w:gridCol w:w="109"/>
        <w:gridCol w:w="163"/>
        <w:gridCol w:w="163"/>
        <w:gridCol w:w="145"/>
        <w:gridCol w:w="120"/>
        <w:gridCol w:w="120"/>
        <w:gridCol w:w="120"/>
        <w:gridCol w:w="157"/>
        <w:gridCol w:w="157"/>
        <w:gridCol w:w="158"/>
        <w:gridCol w:w="109"/>
        <w:gridCol w:w="109"/>
        <w:gridCol w:w="109"/>
        <w:gridCol w:w="163"/>
        <w:gridCol w:w="163"/>
        <w:gridCol w:w="145"/>
        <w:gridCol w:w="118"/>
        <w:gridCol w:w="118"/>
        <w:gridCol w:w="118"/>
        <w:gridCol w:w="157"/>
        <w:gridCol w:w="157"/>
        <w:gridCol w:w="158"/>
        <w:gridCol w:w="109"/>
        <w:gridCol w:w="109"/>
        <w:gridCol w:w="109"/>
        <w:gridCol w:w="343"/>
        <w:gridCol w:w="343"/>
        <w:gridCol w:w="498"/>
      </w:tblGrid>
      <w:tr>
        <w:trPr/>
        <w:tc>
          <w:tcPr>
            <w:tcW w:w="61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Impact of </w:t>
              <w:br/>
              <w:t>Increase in Input</w:t>
              <w:br/>
              <w:t xml:space="preserve">on Estimated </w:t>
              <w:br/>
              <w:t>Fair Value</w:t>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4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Variable annuity guaranteed minimum benefits</w:t>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(3)</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11.88%</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12.59%</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(5)</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0.49%</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0.76%</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r>
        <w:trPr/>
        <w:tc>
          <w:tcPr>
            <w:tcW w:w="544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Index-linked annuity crediting rates</w:t>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0.34%</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0.45%</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60"/>
        <w:gridCol w:w="391"/>
        <w:gridCol w:w="393"/>
        <w:gridCol w:w="109"/>
        <w:gridCol w:w="109"/>
        <w:gridCol w:w="109"/>
        <w:gridCol w:w="209"/>
        <w:gridCol w:w="538"/>
        <w:gridCol w:w="127"/>
        <w:gridCol w:w="109"/>
        <w:gridCol w:w="109"/>
        <w:gridCol w:w="109"/>
        <w:gridCol w:w="207"/>
        <w:gridCol w:w="465"/>
        <w:gridCol w:w="125"/>
        <w:gridCol w:w="109"/>
        <w:gridCol w:w="109"/>
        <w:gridCol w:w="109"/>
        <w:gridCol w:w="109"/>
        <w:gridCol w:w="109"/>
        <w:gridCol w:w="218"/>
        <w:gridCol w:w="490"/>
        <w:gridCol w:w="133"/>
        <w:gridCol w:w="109"/>
        <w:gridCol w:w="109"/>
        <w:gridCol w:w="109"/>
        <w:gridCol w:w="181"/>
        <w:gridCol w:w="406"/>
        <w:gridCol w:w="109"/>
        <w:gridCol w:w="109"/>
        <w:gridCol w:w="109"/>
        <w:gridCol w:w="109"/>
        <w:gridCol w:w="214"/>
        <w:gridCol w:w="481"/>
        <w:gridCol w:w="131"/>
        <w:gridCol w:w="109"/>
        <w:gridCol w:w="109"/>
        <w:gridCol w:w="109"/>
        <w:gridCol w:w="212"/>
        <w:gridCol w:w="475"/>
        <w:gridCol w:w="128"/>
        <w:gridCol w:w="109"/>
        <w:gridCol w:w="109"/>
        <w:gridCol w:w="109"/>
        <w:gridCol w:w="241"/>
        <w:gridCol w:w="746"/>
        <w:gridCol w:w="147"/>
        <w:gridCol w:w="109"/>
        <w:gridCol w:w="162"/>
      </w:tblGrid>
      <w:tr>
        <w:trPr/>
        <w:tc>
          <w:tcPr>
            <w:tcW w:w="6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1732" w:type="dxa"/>
            <w:gridSpan w:val="8"/>
            <w:tcBorders/>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3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732" w:type="dxa"/>
            <w:gridSpan w:val="8"/>
            <w:tcBorders/>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(6,031)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September 30,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(1,262)</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September 30,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September 30,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September 30,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660"/>
        <w:gridCol w:w="391"/>
        <w:gridCol w:w="393"/>
        <w:gridCol w:w="109"/>
        <w:gridCol w:w="109"/>
        <w:gridCol w:w="109"/>
        <w:gridCol w:w="209"/>
        <w:gridCol w:w="538"/>
        <w:gridCol w:w="127"/>
        <w:gridCol w:w="109"/>
        <w:gridCol w:w="109"/>
        <w:gridCol w:w="109"/>
        <w:gridCol w:w="207"/>
        <w:gridCol w:w="465"/>
        <w:gridCol w:w="125"/>
        <w:gridCol w:w="109"/>
        <w:gridCol w:w="109"/>
        <w:gridCol w:w="109"/>
        <w:gridCol w:w="109"/>
        <w:gridCol w:w="109"/>
        <w:gridCol w:w="218"/>
        <w:gridCol w:w="490"/>
        <w:gridCol w:w="133"/>
        <w:gridCol w:w="109"/>
        <w:gridCol w:w="109"/>
        <w:gridCol w:w="109"/>
        <w:gridCol w:w="181"/>
        <w:gridCol w:w="406"/>
        <w:gridCol w:w="109"/>
        <w:gridCol w:w="109"/>
        <w:gridCol w:w="109"/>
        <w:gridCol w:w="109"/>
        <w:gridCol w:w="214"/>
        <w:gridCol w:w="481"/>
        <w:gridCol w:w="131"/>
        <w:gridCol w:w="109"/>
        <w:gridCol w:w="109"/>
        <w:gridCol w:w="109"/>
        <w:gridCol w:w="212"/>
        <w:gridCol w:w="475"/>
        <w:gridCol w:w="128"/>
        <w:gridCol w:w="109"/>
        <w:gridCol w:w="109"/>
        <w:gridCol w:w="109"/>
        <w:gridCol w:w="241"/>
        <w:gridCol w:w="746"/>
        <w:gridCol w:w="147"/>
        <w:gridCol w:w="109"/>
        <w:gridCol w:w="162"/>
      </w:tblGrid>
      <w:tr>
        <w:trPr/>
        <w:tc>
          <w:tcPr>
            <w:tcW w:w="6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1732" w:type="dxa"/>
            <w:gridSpan w:val="8"/>
            <w:tcBorders/>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3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732" w:type="dxa"/>
            <w:gridSpan w:val="8"/>
            <w:tcBorders/>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(6,031)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September 30,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(4,183)</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September 30,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September 30,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September 30,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(4)Interest and dividend accruals, as well as cash interest coupons and dividends received,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for such financial instruments, and their corresponding placement in the fair value hierarchy, are summarized as follows at:</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shares authorized, issued and outstanding were as follows at both September 30, 2024 and December 31, 2023:</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and aggregate dividends declared for BHF’s preferred stock by series were as follows:</w:t>
      </w:r>
    </w:p>
    <w:tbl>
      <w:tblPr>
        <w:tblW w:w="10760"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8"/>
        <w:gridCol w:w="453"/>
        <w:gridCol w:w="150"/>
        <w:gridCol w:w="109"/>
        <w:gridCol w:w="109"/>
        <w:gridCol w:w="109"/>
        <w:gridCol w:w="196"/>
        <w:gridCol w:w="781"/>
        <w:gridCol w:w="109"/>
        <w:gridCol w:w="109"/>
        <w:gridCol w:w="109"/>
        <w:gridCol w:w="109"/>
        <w:gridCol w:w="268"/>
        <w:gridCol w:w="453"/>
        <w:gridCol w:w="150"/>
        <w:gridCol w:w="109"/>
        <w:gridCol w:w="109"/>
        <w:gridCol w:w="109"/>
        <w:gridCol w:w="196"/>
        <w:gridCol w:w="781"/>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BHF repurchased 4,062,047 and 3,968,138 shares, respectively, of its common stock through open market purchases pursuant to Rule 10b5-1 plans for $190 million for both periods. At September 30, 2024, BHF had $603 million remaining under its common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13"/>
        <w:gridCol w:w="450"/>
        <w:gridCol w:w="363"/>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4"/>
      </w:tblGrid>
      <w:tr>
        <w:trPr/>
        <w:tc>
          <w:tcPr>
            <w:tcW w:w="8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3"/>
        <w:gridCol w:w="450"/>
        <w:gridCol w:w="363"/>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4"/>
      </w:tblGrid>
      <w:tr>
        <w:trPr/>
        <w:tc>
          <w:tcPr>
            <w:tcW w:w="8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2023</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78"/>
        <w:gridCol w:w="486"/>
        <w:gridCol w:w="487"/>
        <w:gridCol w:w="109"/>
        <w:gridCol w:w="109"/>
        <w:gridCol w:w="109"/>
        <w:gridCol w:w="297"/>
        <w:gridCol w:w="909"/>
        <w:gridCol w:w="165"/>
        <w:gridCol w:w="109"/>
        <w:gridCol w:w="109"/>
        <w:gridCol w:w="109"/>
        <w:gridCol w:w="222"/>
        <w:gridCol w:w="479"/>
        <w:gridCol w:w="125"/>
        <w:gridCol w:w="109"/>
        <w:gridCol w:w="109"/>
        <w:gridCol w:w="109"/>
        <w:gridCol w:w="335"/>
        <w:gridCol w:w="977"/>
        <w:gridCol w:w="187"/>
        <w:gridCol w:w="109"/>
        <w:gridCol w:w="109"/>
        <w:gridCol w:w="109"/>
        <w:gridCol w:w="350"/>
        <w:gridCol w:w="752"/>
        <w:gridCol w:w="194"/>
        <w:gridCol w:w="109"/>
        <w:gridCol w:w="109"/>
        <w:gridCol w:w="109"/>
        <w:gridCol w:w="196"/>
        <w:gridCol w:w="355"/>
        <w:gridCol w:w="109"/>
        <w:gridCol w:w="109"/>
        <w:gridCol w:w="109"/>
        <w:gridCol w:w="109"/>
        <w:gridCol w:w="196"/>
        <w:gridCol w:w="580"/>
        <w:gridCol w:w="164"/>
      </w:tblGrid>
      <w:tr>
        <w:trPr/>
        <w:tc>
          <w:tcPr>
            <w:tcW w:w="6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tbl>
      <w:tblPr>
        <w:tblW w:w="10205" w:type="dxa"/>
        <w:jc w:val="left"/>
        <w:tblInd w:w="0" w:type="dxa"/>
        <w:tblLayout w:type="fixed"/>
        <w:tblCellMar>
          <w:top w:w="28" w:type="dxa"/>
          <w:left w:w="28" w:type="dxa"/>
          <w:bottom w:w="28" w:type="dxa"/>
          <w:right w:w="28" w:type="dxa"/>
        </w:tblCellMar>
      </w:tblPr>
      <w:tblGrid>
        <w:gridCol w:w="670"/>
        <w:gridCol w:w="478"/>
        <w:gridCol w:w="479"/>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3"/>
      </w:tblGrid>
      <w:tr>
        <w:trPr/>
        <w:tc>
          <w:tcPr>
            <w:tcW w:w="6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2023</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022"/>
        <w:gridCol w:w="689"/>
        <w:gridCol w:w="694"/>
        <w:gridCol w:w="109"/>
        <w:gridCol w:w="109"/>
        <w:gridCol w:w="109"/>
        <w:gridCol w:w="196"/>
        <w:gridCol w:w="369"/>
        <w:gridCol w:w="109"/>
        <w:gridCol w:w="109"/>
        <w:gridCol w:w="109"/>
        <w:gridCol w:w="109"/>
        <w:gridCol w:w="196"/>
        <w:gridCol w:w="369"/>
        <w:gridCol w:w="109"/>
        <w:gridCol w:w="109"/>
        <w:gridCol w:w="109"/>
        <w:gridCol w:w="109"/>
        <w:gridCol w:w="196"/>
        <w:gridCol w:w="459"/>
        <w:gridCol w:w="109"/>
        <w:gridCol w:w="109"/>
        <w:gridCol w:w="109"/>
        <w:gridCol w:w="109"/>
        <w:gridCol w:w="196"/>
        <w:gridCol w:w="459"/>
        <w:gridCol w:w="109"/>
        <w:gridCol w:w="109"/>
        <w:gridCol w:w="109"/>
        <w:gridCol w:w="109"/>
        <w:gridCol w:w="1201"/>
        <w:gridCol w:w="862"/>
        <w:gridCol w:w="1226"/>
      </w:tblGrid>
      <w:tr>
        <w:trPr/>
        <w:tc>
          <w:tcPr>
            <w:tcW w:w="10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Consolidated Statements of Operations and Comprehensive Income (Loss) Locations</w:t>
            </w:r>
          </w:p>
        </w:tc>
      </w:tr>
      <w:tr>
        <w:trPr/>
        <w:tc>
          <w:tcPr>
            <w:tcW w:w="2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gains (losses)</w:t>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derivatives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plans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reclassifications,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included 12b-1 fees of $68 million and $204 million for the three months and nine months ended September 30, 2024, respectively, and $68 million and $201 million for the three months and nine months ended September 30, 2023,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expenses was as follows:</w:t>
      </w:r>
    </w:p>
    <w:tbl>
      <w:tblPr>
        <w:tblW w:w="9495" w:type="dxa"/>
        <w:jc w:val="left"/>
        <w:tblInd w:w="0" w:type="dxa"/>
        <w:tblLayout w:type="fixed"/>
        <w:tblCellMar>
          <w:top w:w="28" w:type="dxa"/>
          <w:left w:w="28" w:type="dxa"/>
          <w:bottom w:w="28" w:type="dxa"/>
          <w:right w:w="28" w:type="dxa"/>
        </w:tblCellMar>
      </w:tblPr>
      <w:tblGrid>
        <w:gridCol w:w="1917"/>
        <w:gridCol w:w="1685"/>
        <w:gridCol w:w="1693"/>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Contracted services and other labor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services agreements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and other taxes, licenses and fees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fees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related costs, excluding compensation, net of DAC capitalization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Capitalization of DAC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common share was as follows:</w:t>
      </w:r>
    </w:p>
    <w:tbl>
      <w:tblPr>
        <w:tblW w:w="10205" w:type="dxa"/>
        <w:jc w:val="left"/>
        <w:tblInd w:w="0" w:type="dxa"/>
        <w:tblLayout w:type="fixed"/>
        <w:tblCellMar>
          <w:top w:w="28" w:type="dxa"/>
          <w:left w:w="28" w:type="dxa"/>
          <w:bottom w:w="28" w:type="dxa"/>
          <w:right w:w="28" w:type="dxa"/>
        </w:tblCellMar>
      </w:tblPr>
      <w:tblGrid>
        <w:gridCol w:w="1656"/>
        <w:gridCol w:w="1455"/>
        <w:gridCol w:w="1459"/>
        <w:gridCol w:w="109"/>
        <w:gridCol w:w="109"/>
        <w:gridCol w:w="109"/>
        <w:gridCol w:w="284"/>
        <w:gridCol w:w="677"/>
        <w:gridCol w:w="109"/>
        <w:gridCol w:w="109"/>
        <w:gridCol w:w="109"/>
        <w:gridCol w:w="109"/>
        <w:gridCol w:w="284"/>
        <w:gridCol w:w="677"/>
        <w:gridCol w:w="109"/>
        <w:gridCol w:w="109"/>
        <w:gridCol w:w="109"/>
        <w:gridCol w:w="109"/>
        <w:gridCol w:w="278"/>
        <w:gridCol w:w="683"/>
        <w:gridCol w:w="109"/>
        <w:gridCol w:w="109"/>
        <w:gridCol w:w="109"/>
        <w:gridCol w:w="109"/>
        <w:gridCol w:w="278"/>
        <w:gridCol w:w="683"/>
        <w:gridCol w:w="156"/>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share and per share data)</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65,408,241 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61,860,201 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66,658,796 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60,949,819 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65,744,351 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61,860,201 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66,658,796 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three months ended September 30, 2024 and 2023, weighted average shares used for calculating diluted earnings per common share excludes 187,371 shares underlying out-of-the-money stock options, as the inclusion of such shares would be antidilutive under the treasury stock method to the earnings per common share calculation due to the average share price for both the three months ended September 30, 2024 and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nine months ended September 30, 2024 and 2023, basic loss per common share equaled diluted loss per common share. The diluted shares were not included in the per share calculation for these periods as the inclusion of such shares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2024.</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September 30, 2024,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Practices Claims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Insurance Class Actions</w:t>
      </w:r>
    </w:p>
    <w:p>
      <w:pPr>
        <w:pStyle w:val="TextBody"/>
        <w:bidi w:val="0"/>
        <w:spacing w:lineRule="auto" w:line="268" w:before="120" w:after="283"/>
        <w:ind w:left="0" w:right="0" w:firstLine="360"/>
        <w:jc w:val="both"/>
        <w:rPr/>
      </w:pPr>
      <w:r>
        <w:rPr>
          <w:rFonts w:ascii="Times New Roman;sans-serif" w:hAnsi="Times New Roman;sans-serif"/>
          <w:b w:val="false"/>
          <w:i/>
          <w:color w:val="000000"/>
          <w:sz w:val="20"/>
        </w:rPr>
        <w:t xml:space="preserve">Richard A. Newton v. Brighthouse Life Insurance Company </w:t>
      </w:r>
      <w:r>
        <w:rPr>
          <w:rFonts w:ascii="Times New Roman;sans-serif" w:hAnsi="Times New Roman;sans-serif"/>
          <w:b w:val="false"/>
          <w:color w:val="000000"/>
          <w:sz w:val="20"/>
        </w:rPr>
        <w:t>(U.S. District Court, Northern District of Georgia, Atlanta Division, filed May 8, 2020). Plaintiff has filed a purported class action lawsuit against Brighthouse Life Insurance Company, a subsidiary of Brighthouse Financial, Inc.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w:t>
      </w:r>
      <w:r>
        <w:rPr>
          <w:rFonts w:ascii="Times New Roman;sans-serif" w:hAnsi="Times New Roman;sans-serif"/>
          <w:b w:val="false"/>
          <w:color w:val="0000FF"/>
          <w:sz w:val="24"/>
        </w:rPr>
        <w:t xml:space="preserve">. </w:t>
      </w:r>
      <w:r>
        <w:rPr>
          <w:rFonts w:ascii="Times New Roman;sans-serif" w:hAnsi="Times New Roman;sans-serif"/>
          <w:b w:val="false"/>
          <w:color w:val="000000"/>
          <w:sz w:val="20"/>
        </w:rPr>
        <w:t>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The Company intends to vigorously defend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Lawrence Martin v. Brighthouse Life Insurance Company</w:t>
      </w:r>
      <w:r>
        <w:rPr>
          <w:color w:val="000000"/>
        </w:rPr>
        <w:t xml:space="preserve"> </w:t>
      </w:r>
      <w:r>
        <w:rPr>
          <w:rFonts w:ascii="Times New Roman;sans-serif" w:hAnsi="Times New Roman;sans-serif"/>
          <w:b w:val="false"/>
          <w:color w:val="000000"/>
          <w:sz w:val="20"/>
        </w:rPr>
        <w:t>(U.S. District Court, Southern District of New York, filed April 6, 2021). Plaintiff has filed 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a subsidiary of Brighthouse Life Insurance Company, was initially named as a defendant when the lawsuit was filed, but was dismissed as a defendant, without prejudice, in April 2022. The Company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Kennedy v. Progress Software Corporation, et al</w:t>
      </w:r>
      <w:r>
        <w:rPr>
          <w:rFonts w:ascii="Times New Roman;sans-serif" w:hAnsi="Times New Roman;sans-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BHF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Loss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0cea4fc17f9a48918bed698d2ea9d65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September 30, 2024,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ans-serif" w:hAnsi="Times New Roman;sans-serif"/>
          <w:b w:val="false"/>
          <w:color w:val="000000"/>
          <w:sz w:val="20"/>
        </w:rPr>
        <w:t>$75 million relating to certain tax matters, as described above. For certain other matters, the Company may not currently be able to estimate the reasonably possible loss or estimated range of loss until developments in such matters have provided sufficient information to support an assessment of such loss. 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lend funds under mortgage loan commitments. The amounts of these mortgage loan commitments were $408 million and $377 million at September 30, 2024 and December 31, 2023,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fund partnership investments and to lend funds under bank credit facilities and private corporate bond investments. The amounts of these unfunded commitments were $1.6 billion and $1.4 billion at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up to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liabilities recorded at September 30, 2024 and had recorded liabilities of $1 million at December 31, 2023 for indemnities, guarantees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Management’s Discussion and Analysis of Financial Condition and Results of Operations</w:t>
      </w:r>
    </w:p>
    <w:tbl>
      <w:tblPr>
        <w:tblW w:w="4381" w:type="dxa"/>
        <w:jc w:val="center"/>
        <w:tblInd w:w="0" w:type="dxa"/>
        <w:tblLayout w:type="fixed"/>
        <w:tblCellMar>
          <w:top w:w="28" w:type="dxa"/>
          <w:left w:w="28" w:type="dxa"/>
          <w:bottom w:w="28" w:type="dxa"/>
          <w:right w:w="28" w:type="dxa"/>
        </w:tblCellMar>
      </w:tblPr>
      <w:tblGrid>
        <w:gridCol w:w="1380"/>
        <w:gridCol w:w="1212"/>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277">
              <w:r>
                <w:rPr>
                  <w:rStyle w:val="InternetLink"/>
                  <w:rFonts w:ascii="Times New Roman;sans-serif" w:hAnsi="Times New Roman;sans-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77">
              <w:r>
                <w:rPr>
                  <w:rStyle w:val="InternetLink"/>
                  <w:rFonts w:ascii="Times New Roman;sans-serif" w:hAnsi="Times New Roman;sans-serif"/>
                  <w:b w:val="false"/>
                  <w:color w:val="0000FF"/>
                  <w:sz w:val="20"/>
                  <w:u w:val="single"/>
                </w:rPr>
                <w:t>57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280">
              <w:r>
                <w:rPr>
                  <w:rStyle w:val="InternetLink"/>
                  <w:rFonts w:ascii="Times New Roman;sans-serif" w:hAnsi="Times New Roman;sans-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80">
              <w:r>
                <w:rPr>
                  <w:rStyle w:val="InternetLink"/>
                  <w:rFonts w:ascii="Times New Roman;sans-serif" w:hAnsi="Times New Roman;sans-serif"/>
                  <w:b w:val="false"/>
                  <w:color w:val="0000FF"/>
                  <w:sz w:val="20"/>
                  <w:u w:val="single"/>
                </w:rPr>
                <w:t>57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292">
              <w:r>
                <w:rPr>
                  <w:rStyle w:val="InternetLink"/>
                  <w:rFonts w:ascii="Times New Roman;sans-serif" w:hAnsi="Times New Roman;sans-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292">
              <w:r>
                <w:rPr>
                  <w:rStyle w:val="InternetLink"/>
                  <w:rFonts w:ascii="Times New Roman;sans-serif" w:hAnsi="Times New Roman;sans-serif"/>
                  <w:b w:val="false"/>
                  <w:color w:val="0000FF"/>
                  <w:sz w:val="20"/>
                  <w:u w:val="single"/>
                </w:rPr>
                <w:t>58</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304">
              <w:r>
                <w:rPr>
                  <w:rStyle w:val="InternetLink"/>
                  <w:rFonts w:ascii="Times New Roman;sans-serif" w:hAnsi="Times New Roman;sans-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04">
              <w:r>
                <w:rPr>
                  <w:rStyle w:val="InternetLink"/>
                  <w:rFonts w:ascii="Times New Roman;sans-serif" w:hAnsi="Times New Roman;sans-serif"/>
                  <w:b w:val="false"/>
                  <w:color w:val="0000FF"/>
                  <w:sz w:val="20"/>
                  <w:u w:val="single"/>
                </w:rPr>
                <w:t>60</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307">
              <w:r>
                <w:rPr>
                  <w:rStyle w:val="InternetLink"/>
                  <w:rFonts w:ascii="Times New Roman;sans-serif" w:hAnsi="Times New Roman;sans-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07">
              <w:r>
                <w:rPr>
                  <w:rStyle w:val="InternetLink"/>
                  <w:rFonts w:ascii="Times New Roman;sans-serif" w:hAnsi="Times New Roman;sans-serif"/>
                  <w:b w:val="false"/>
                  <w:color w:val="0000FF"/>
                  <w:sz w:val="20"/>
                  <w:u w:val="single"/>
                </w:rPr>
                <w:t>60</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310">
              <w:r>
                <w:rPr>
                  <w:rStyle w:val="InternetLink"/>
                  <w:rFonts w:ascii="Times New Roman;sans-serif" w:hAnsi="Times New Roman;sans-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10">
              <w:r>
                <w:rPr>
                  <w:rStyle w:val="InternetLink"/>
                  <w:rFonts w:ascii="Times New Roman;sans-serif" w:hAnsi="Times New Roman;sans-serif"/>
                  <w:b w:val="false"/>
                  <w:color w:val="0000FF"/>
                  <w:sz w:val="20"/>
                  <w:u w:val="single"/>
                </w:rPr>
                <w:t>62</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391">
              <w:r>
                <w:rPr>
                  <w:rStyle w:val="InternetLink"/>
                  <w:rFonts w:ascii="Times New Roman;sans-serif" w:hAnsi="Times New Roman;sans-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391">
              <w:r>
                <w:rPr>
                  <w:rStyle w:val="InternetLink"/>
                  <w:rFonts w:ascii="Times New Roman;sans-serif" w:hAnsi="Times New Roman;sans-serif"/>
                  <w:b w:val="false"/>
                  <w:color w:val="0000FF"/>
                  <w:sz w:val="20"/>
                  <w:u w:val="single"/>
                </w:rPr>
                <w:t>75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42">
              <w:r>
                <w:rPr>
                  <w:rStyle w:val="InternetLink"/>
                  <w:rFonts w:ascii="Times New Roman;sans-serif" w:hAnsi="Times New Roman;sans-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42">
              <w:r>
                <w:rPr>
                  <w:rStyle w:val="InternetLink"/>
                  <w:rFonts w:ascii="Times New Roman;sans-serif" w:hAnsi="Times New Roman;sans-serif"/>
                  <w:b w:val="false"/>
                  <w:color w:val="0000FF"/>
                  <w:sz w:val="20"/>
                  <w:u w:val="single"/>
                </w:rPr>
                <w:t>84</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60">
              <w:r>
                <w:rPr>
                  <w:rStyle w:val="InternetLink"/>
                  <w:rFonts w:ascii="Times New Roman;sans-serif" w:hAnsi="Times New Roman;sans-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60">
              <w:r>
                <w:rPr>
                  <w:rStyle w:val="InternetLink"/>
                  <w:rFonts w:ascii="Times New Roman;sans-serif" w:hAnsi="Times New Roman;sans-serif"/>
                  <w:b w:val="false"/>
                  <w:color w:val="0000FF"/>
                  <w:sz w:val="20"/>
                  <w:u w:val="single"/>
                </w:rPr>
                <w:t>85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81">
              <w:r>
                <w:rPr>
                  <w:rStyle w:val="InternetLink"/>
                  <w:rFonts w:ascii="Times New Roman;sans-serif" w:hAnsi="Times New Roman;sans-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81">
              <w:r>
                <w:rPr>
                  <w:rStyle w:val="InternetLink"/>
                  <w:rFonts w:ascii="Times New Roman;sans-serif" w:hAnsi="Times New Roman;sans-serif"/>
                  <w:b w:val="false"/>
                  <w:color w:val="0000FF"/>
                  <w:sz w:val="20"/>
                  <w:u w:val="single"/>
                </w:rPr>
                <w:t>88</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ea4fc17f9a48918bed698d2ea9d65e_490">
              <w:r>
                <w:rPr>
                  <w:rStyle w:val="InternetLink"/>
                  <w:rFonts w:ascii="Times New Roman;sans-serif" w:hAnsi="Times New Roman;sans-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ea4fc17f9a48918bed698d2ea9d65e_490">
              <w:r>
                <w:rPr>
                  <w:rStyle w:val="InternetLink"/>
                  <w:rFonts w:ascii="Times New Roman;sans-serif" w:hAnsi="Times New Roman;sans-serif"/>
                  <w:b w:val="false"/>
                  <w:color w:val="0000FF"/>
                  <w:sz w:val="20"/>
                  <w:u w:val="single"/>
                </w:rPr>
                <w:t>96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2023 (the “2023 Annual Report”) filed with the U.S. Securities and Exchange Commission (“SEC”) on February 22, 2024; (iii) our Quarterly Report on Form 10-Q for the quarter ended March 31, 2024 (the “First Quarter Form 10-Q”) filed with the SEC on May 8, 2024; (iv) our Quarterly Report on Form 10-Q for the quarter ended June 30, 2024 (the “Second Quarter Form 10-Q” and, together with the First Quarter Form 10-Q, the “Quarterly Reports”) filed with the SEC on August 8, 2024; and (v) our current reports on Form 8-K filed in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Industry Trends and Uncertainties” discusses updates and changes to a number of trends and uncertainties included in our 2023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Summary of Critical Accounting Estimates” explains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discussion and analysis presents a review for the three months and nine months ended September 30, 2024 and 2023 and period-over-period, as well as year-over-year,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the following segments: (i) Annuities, (ii) Life and (iii) Run-off, which consists primarily of products that are no longer actively sold and are separately managed. In addition, we report certain of our results of operations in Corporate &amp; Other. See “Business — Segments and Corporate &amp; Other” and “Management’s Discussion and Analysis of Financial Condition and Results of Operations — Executive Summary” included in our 2023 Annual Report, as well as Note 2 of the Notes to the Interim Condensed Consolidated Financial Statements for further information regarding our segments and Corporate &amp;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shareholders and adjusted earnings, a non-GAAP financial measure, were as follows:</w:t>
      </w:r>
    </w:p>
    <w:tbl>
      <w:tblPr>
        <w:tblW w:w="10205" w:type="dxa"/>
        <w:jc w:val="left"/>
        <w:tblInd w:w="0" w:type="dxa"/>
        <w:tblLayout w:type="fixed"/>
        <w:tblCellMar>
          <w:top w:w="28" w:type="dxa"/>
          <w:left w:w="28" w:type="dxa"/>
          <w:bottom w:w="28" w:type="dxa"/>
          <w:right w:w="28" w:type="dxa"/>
        </w:tblCellMar>
      </w:tblPr>
      <w:tblGrid>
        <w:gridCol w:w="2130"/>
        <w:gridCol w:w="1812"/>
        <w:gridCol w:w="181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471"/>
        <w:gridCol w:w="156"/>
      </w:tblGrid>
      <w:tr>
        <w:trPr/>
        <w:tc>
          <w:tcPr>
            <w:tcW w:w="213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we had net income available to shareholders of $150 million and adjusted earnings of $767 million compared to net income available to shareholders of $453 million and adjusted earnings of $326 million for the three months ended September 30, 2023. Net income available to shareholders for the three months ended September 30, 2024 primarily reflects favorable pre-tax adjusted earnings and a favorable change in the estimated fair value of freestanding interest rate derivatives we use to hedge our universal life with secondary guarantees (“ULSG”) business resulting from decreasing long-term interest rates. The favorable impacts were partially offset by net unfavorable changes in the estimated fair value of our variable annuity guaranteed benefit riders due to market factors, net investment losses on sales of fixed maturity securities and net investment losses on mortgage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had net loss available to shareholders of $360 million and adjusted earnings of $1.0 billion compared to net loss available to shareholders of $272 million and adjusted earnings of $792 million for the nine months ended September 30, 2023. Net loss available to shareholders for the nine months ended September 30, 2024 primarily reflects net unfavorable changes in the estimated fair value of our variable annuity guaranteed benefit riders due to market factors, net investment losses on sales of fixed maturity securities, net investment losses on mortgage loans and an unfavorable change in the estimated fair value of freestanding interest rate derivatives we use to hedge our ULSG business resulting from increasing long-term interest rates. These unfavorable impacts were partially offset by favorable pre-tax adjusted earnings, net of an unfavorable impact due to a reinsurance premium rate increase retroactive to September 2019, which resulted from the conclusion of a reinsurance arbitration, and the related impacts.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Non-GAAP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Trends and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2023 Annual Report, as amended or supplemented by our subsequent Quarterly Reports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The Federal Reserve Board (the “Federal Reserve”) decreased the target range for the federal funds rate in September and November 2024, and may decrease the target range again, which may negatively impact our business in certain respects, including our investment portfolio, by lowering the level of long-term interest rates and changing the shape of the yield curve.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political and economic conditions that might contribute to market volatility and their impact on our business operations, investment portfolio and derivatives, such as global inflation,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—Investments” included in our 2023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2023 Annual Report, as amended or supplemented by our subsequent Quarterly Reports under the heading “Management’s Discussion and Analysis of Financial Condition and Results of Operations — Industry Trends and Uncertainties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Disclosures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our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316"/>
        <w:gridCol w:w="277"/>
        <w:gridCol w:w="277"/>
        <w:gridCol w:w="814"/>
        <w:gridCol w:w="814"/>
        <w:gridCol w:w="562"/>
        <w:gridCol w:w="219"/>
        <w:gridCol w:w="219"/>
        <w:gridCol w:w="219"/>
        <w:gridCol w:w="1872"/>
        <w:gridCol w:w="1872"/>
        <w:gridCol w:w="2744"/>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30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Adjusted Earnings</w:t>
            </w:r>
          </w:p>
        </w:tc>
        <w:tc>
          <w:tcPr>
            <w:tcW w:w="71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How Derived from GAAP (1)</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Universal life and investment-type product policy fees</w:t>
            </w:r>
            <w:r>
              <w:rPr>
                <w:color w:val="000000"/>
              </w:rPr>
              <w:t xml:space="preserve"> </w:t>
            </w:r>
            <w:r>
              <w:rPr>
                <w:rFonts w:ascii="Times New Roman;sans-serif" w:hAnsi="Times New Roman;sans-serif"/>
                <w:b w:val="false"/>
                <w:color w:val="000000"/>
                <w:sz w:val="20"/>
              </w:rPr>
              <w:t xml:space="preserve">plus </w:t>
            </w:r>
            <w:r>
              <w:rPr>
                <w:rFonts w:ascii="Times New Roman;sans-serif" w:hAnsi="Times New Roman;sans-serif"/>
                <w:b w:val="false"/>
                <w:i/>
                <w:color w:val="000000"/>
                <w:sz w:val="20"/>
              </w:rPr>
              <w:t>Other revenues</w:t>
            </w: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spread</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Net investment income</w:t>
            </w:r>
            <w:r>
              <w:rPr>
                <w:color w:val="000000"/>
              </w:rPr>
              <w:t xml:space="preserve"> </w:t>
            </w:r>
            <w:r>
              <w:rPr>
                <w:rFonts w:ascii="Times New Roman;sans-serif" w:hAnsi="Times New Roman;sans-serif"/>
                <w:b w:val="false"/>
                <w:color w:val="000000"/>
                <w:sz w:val="20"/>
              </w:rPr>
              <w:t xml:space="preserve">plus Investment Hedge Adjustments reduced by </w:t>
            </w:r>
            <w:r>
              <w:rPr>
                <w:rFonts w:ascii="Times New Roman;sans-serif" w:hAnsi="Times New Roman;sans-serif"/>
                <w:b w:val="false"/>
                <w:i/>
                <w:color w:val="000000"/>
                <w:sz w:val="20"/>
              </w:rPr>
              <w:t xml:space="preserve">Interest credited to policyholder account balances </w:t>
            </w:r>
            <w:r>
              <w:rPr>
                <w:rFonts w:ascii="Times New Roman;sans-serif" w:hAnsi="Times New Roman;sans-serif"/>
                <w:b w:val="false"/>
                <w:color w:val="000000"/>
                <w:sz w:val="20"/>
              </w:rPr>
              <w:t>(excluding Market Value Adjustments) and interest on future policy benefits.</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Insurance-related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 xml:space="preserve">Premiums </w:t>
            </w:r>
            <w:r>
              <w:rPr>
                <w:rFonts w:ascii="Times New Roman;sans-serif" w:hAnsi="Times New Roman;sans-serif"/>
                <w:b w:val="false"/>
                <w:color w:val="000000"/>
                <w:sz w:val="20"/>
              </w:rPr>
              <w:t>less</w:t>
            </w:r>
            <w:r>
              <w:rPr>
                <w:color w:val="000000"/>
              </w:rPr>
              <w:t xml:space="preserve"> </w:t>
            </w:r>
            <w:r>
              <w:rPr>
                <w:rFonts w:ascii="Times New Roman;sans-serif" w:hAnsi="Times New Roman;sans-serif"/>
                <w:b w:val="false"/>
                <w:i/>
                <w:color w:val="000000"/>
                <w:sz w:val="20"/>
              </w:rPr>
              <w:t>Policyholder benefits and claims</w:t>
            </w:r>
            <w:r>
              <w:rPr>
                <w:rFonts w:ascii="Times New Roman;sans-serif" w:hAnsi="Times New Roman;sans-serif"/>
                <w:b w:val="false"/>
                <w:color w:val="000000"/>
                <w:sz w:val="20"/>
              </w:rPr>
              <w:t>, excluding interest on future policy benefits.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DAC and VOBA</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Amortization of deferred policy acquisition costs (“DAC”) and value of business acquired (“VOBA”)</w:t>
            </w: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 (benefit)</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investment income is used by management to measure our performance,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 Yield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Annual Actuarial Review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conduct our annual actuarial review (“AAR”) in the third quarter of each year. As part of the 2024 AAR, for our ULSG business, we increased the long-term general account earned rate, driven by an increase in the mean reversion rate, from 3.75% to 4.00%. Also, with respect to our ULSG business, we updated assumptions regarding policyholder behavior, including mortality, premium persistency, lapses and withdrawals. For our variable annuity business, we updated our annuitization, mortality, lapses and withdrawals, as well as separate account assumptions, including fund fees and allocations. For term participating and non-participating whole life insurance, we updated assumptions regarding mortality and lapses.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2023 AAR, for our ULSG business, we increased the long-term general account earned rate, driven by an increase in the mean reversion rate, from 3.50% to 3.75%. Also, with respect to our ULSG business, we updated assumptions regarding policyholder behavior, including mortality, premium persistency, lapses, withdrawals and maintenance expenses. For our variable annuity business, we updated our annuitization, mortality, lapses and withdrawals, as well as separate account assumptions, including fund fees, allocations and volatility. For term participating and non-participating whole life insurance, we updated assumptions regarding mortality and lapses.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on income (loss) available to shareholders before provision for income tax was as follows:</w:t>
      </w:r>
    </w:p>
    <w:tbl>
      <w:tblPr>
        <w:tblW w:w="8510" w:type="dxa"/>
        <w:jc w:val="left"/>
        <w:tblInd w:w="0" w:type="dxa"/>
        <w:tblLayout w:type="fixed"/>
        <w:tblCellMar>
          <w:top w:w="28" w:type="dxa"/>
          <w:left w:w="28" w:type="dxa"/>
          <w:bottom w:w="28" w:type="dxa"/>
          <w:right w:w="28" w:type="dxa"/>
        </w:tblCellMar>
      </w:tblPr>
      <w:tblGrid>
        <w:gridCol w:w="2279"/>
        <w:gridCol w:w="1999"/>
        <w:gridCol w:w="2006"/>
        <w:gridCol w:w="109"/>
        <w:gridCol w:w="109"/>
        <w:gridCol w:w="109"/>
        <w:gridCol w:w="196"/>
        <w:gridCol w:w="421"/>
        <w:gridCol w:w="109"/>
        <w:gridCol w:w="109"/>
        <w:gridCol w:w="109"/>
        <w:gridCol w:w="109"/>
        <w:gridCol w:w="196"/>
        <w:gridCol w:w="496"/>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risk benefits and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Included in 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annuity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included in 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impact on 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and Nine Months Ended September 30, 2024 and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115"/>
        <w:gridCol w:w="1852"/>
        <w:gridCol w:w="1876"/>
        <w:gridCol w:w="109"/>
        <w:gridCol w:w="109"/>
        <w:gridCol w:w="109"/>
        <w:gridCol w:w="196"/>
        <w:gridCol w:w="421"/>
        <w:gridCol w:w="109"/>
        <w:gridCol w:w="109"/>
        <w:gridCol w:w="109"/>
        <w:gridCol w:w="109"/>
        <w:gridCol w:w="198"/>
        <w:gridCol w:w="425"/>
        <w:gridCol w:w="109"/>
        <w:gridCol w:w="109"/>
        <w:gridCol w:w="109"/>
        <w:gridCol w:w="109"/>
        <w:gridCol w:w="196"/>
        <w:gridCol w:w="469"/>
        <w:gridCol w:w="109"/>
        <w:gridCol w:w="109"/>
        <w:gridCol w:w="109"/>
        <w:gridCol w:w="109"/>
        <w:gridCol w:w="196"/>
        <w:gridCol w:w="469"/>
        <w:gridCol w:w="157"/>
      </w:tblGrid>
      <w:tr>
        <w:trPr/>
        <w:tc>
          <w:tcPr>
            <w:tcW w:w="211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($978), ($234), ($978) and ($234),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085"/>
        <w:gridCol w:w="1700"/>
        <w:gridCol w:w="1707"/>
        <w:gridCol w:w="109"/>
        <w:gridCol w:w="109"/>
        <w:gridCol w:w="109"/>
        <w:gridCol w:w="196"/>
        <w:gridCol w:w="470"/>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208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available to shareholders before provision for income tax was $160 million ($150 million, net of income tax), a decrease of $402 million ($303 million, net of income tax) from income available to shareholders before provision for income tax of $562 million ($453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income before provision for income tax was driven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losses from variable annuity guaranteed benefit riders, see “— Annuity Guaranteed Benefits and Shield Annuity Liabilities for the Three Months and Nine Months Ended September 30, 2024 and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net impact of embedded derivatives and equity options we use to hedge our non-variable annuity business, as equity markets increased in the current period, resulting in a loss of $26 million, and decreased in the prior period, resulting in a gain of $71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income before provision for income taxes was partially offset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long-term interest rates on interest rate derivatives used to manage interest rate exposure in our ULSG business, as the long-term interest rate decreased in the current period, resulting in a gain of $113 million, and increased in the prior period, resulting in a loss of $500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pre-tax adjusted earnings, as discussed in greater detail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income (loss) before provision for income tax, resulted in an effective tax rate of 5% in the current period compared to 18% in the prior period. Our effective tax rate differs from the statutory tax rate primarily due to the impacts of the dividends received deduction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available to shareholders before provision for income tax was $493 million ($360 million, net of income tax), a higher loss of $112 million ($88 million, net of income tax) from loss available to shareholders before provision for income tax of $381 million ($272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higher loss before provision for income tax was driven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losses from variable annuity guaranteed benefit riders, see “— Annuity Guaranteed Benefits and Shield Annuity Liabilities for the Three Months and Nine Months Ended September 30, 2024 and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net impact of embedded derivatives and equity options we use to hedge our non-variable annuity business, as equity markets increased more in the current period, resulting in a loss of $26 million, and increased less in the prior period, resulting in a gain of $74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higher loss before provision for income tax was partially offset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pre-tax adjusted earnings, as discussed in greater detail below;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long-term interest rates on interest rate derivatives used to manage interest rate exposure in our ULSG business, as the long-term interest rate increased less in the current period, resulting in a loss of $196 million, and increased more in the prior period, resulting in a loss of $443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income (loss) before provision for income tax, resulted in an effective tax rate of 32% in the current period compared to 36%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Available to Shareholders to Adjusted Earnings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(loss) available to shareholders to adjusted earnings (loss)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12"/>
        <w:gridCol w:w="1414"/>
        <w:gridCol w:w="1419"/>
        <w:gridCol w:w="109"/>
        <w:gridCol w:w="109"/>
        <w:gridCol w:w="109"/>
        <w:gridCol w:w="196"/>
        <w:gridCol w:w="484"/>
        <w:gridCol w:w="109"/>
        <w:gridCol w:w="109"/>
        <w:gridCol w:w="109"/>
        <w:gridCol w:w="109"/>
        <w:gridCol w:w="196"/>
        <w:gridCol w:w="372"/>
        <w:gridCol w:w="109"/>
        <w:gridCol w:w="109"/>
        <w:gridCol w:w="109"/>
        <w:gridCol w:w="109"/>
        <w:gridCol w:w="196"/>
        <w:gridCol w:w="421"/>
        <w:gridCol w:w="109"/>
        <w:gridCol w:w="109"/>
        <w:gridCol w:w="109"/>
        <w:gridCol w:w="109"/>
        <w:gridCol w:w="348"/>
        <w:gridCol w:w="615"/>
        <w:gridCol w:w="195"/>
        <w:gridCol w:w="109"/>
        <w:gridCol w:w="109"/>
        <w:gridCol w:w="109"/>
        <w:gridCol w:w="196"/>
        <w:gridCol w:w="421"/>
        <w:gridCol w:w="158"/>
      </w:tblGrid>
      <w:tr>
        <w:trPr/>
        <w:tc>
          <w:tcPr>
            <w:tcW w:w="161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4"/>
        <w:gridCol w:w="1382"/>
        <w:gridCol w:w="1386"/>
        <w:gridCol w:w="109"/>
        <w:gridCol w:w="109"/>
        <w:gridCol w:w="109"/>
        <w:gridCol w:w="196"/>
        <w:gridCol w:w="556"/>
        <w:gridCol w:w="109"/>
        <w:gridCol w:w="109"/>
        <w:gridCol w:w="109"/>
        <w:gridCol w:w="109"/>
        <w:gridCol w:w="196"/>
        <w:gridCol w:w="371"/>
        <w:gridCol w:w="109"/>
        <w:gridCol w:w="109"/>
        <w:gridCol w:w="109"/>
        <w:gridCol w:w="109"/>
        <w:gridCol w:w="196"/>
        <w:gridCol w:w="461"/>
        <w:gridCol w:w="109"/>
        <w:gridCol w:w="109"/>
        <w:gridCol w:w="109"/>
        <w:gridCol w:w="109"/>
        <w:gridCol w:w="346"/>
        <w:gridCol w:w="610"/>
        <w:gridCol w:w="194"/>
        <w:gridCol w:w="109"/>
        <w:gridCol w:w="109"/>
        <w:gridCol w:w="109"/>
        <w:gridCol w:w="196"/>
        <w:gridCol w:w="421"/>
        <w:gridCol w:w="158"/>
      </w:tblGrid>
      <w:tr>
        <w:trPr/>
        <w:tc>
          <w:tcPr>
            <w:tcW w:w="15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67"/>
        <w:gridCol w:w="1375"/>
        <w:gridCol w:w="1380"/>
        <w:gridCol w:w="109"/>
        <w:gridCol w:w="109"/>
        <w:gridCol w:w="109"/>
        <w:gridCol w:w="196"/>
        <w:gridCol w:w="484"/>
        <w:gridCol w:w="109"/>
        <w:gridCol w:w="109"/>
        <w:gridCol w:w="109"/>
        <w:gridCol w:w="109"/>
        <w:gridCol w:w="196"/>
        <w:gridCol w:w="371"/>
        <w:gridCol w:w="109"/>
        <w:gridCol w:w="109"/>
        <w:gridCol w:w="109"/>
        <w:gridCol w:w="109"/>
        <w:gridCol w:w="196"/>
        <w:gridCol w:w="421"/>
        <w:gridCol w:w="109"/>
        <w:gridCol w:w="109"/>
        <w:gridCol w:w="109"/>
        <w:gridCol w:w="109"/>
        <w:gridCol w:w="303"/>
        <w:gridCol w:w="675"/>
        <w:gridCol w:w="169"/>
        <w:gridCol w:w="109"/>
        <w:gridCol w:w="109"/>
        <w:gridCol w:w="109"/>
        <w:gridCol w:w="196"/>
        <w:gridCol w:w="556"/>
        <w:gridCol w:w="158"/>
      </w:tblGrid>
      <w:tr>
        <w:trPr/>
        <w:tc>
          <w:tcPr>
            <w:tcW w:w="156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612"/>
        <w:gridCol w:w="1415"/>
        <w:gridCol w:w="1420"/>
        <w:gridCol w:w="109"/>
        <w:gridCol w:w="109"/>
        <w:gridCol w:w="109"/>
        <w:gridCol w:w="210"/>
        <w:gridCol w:w="452"/>
        <w:gridCol w:w="119"/>
        <w:gridCol w:w="109"/>
        <w:gridCol w:w="109"/>
        <w:gridCol w:w="109"/>
        <w:gridCol w:w="196"/>
        <w:gridCol w:w="372"/>
        <w:gridCol w:w="109"/>
        <w:gridCol w:w="109"/>
        <w:gridCol w:w="109"/>
        <w:gridCol w:w="109"/>
        <w:gridCol w:w="196"/>
        <w:gridCol w:w="386"/>
        <w:gridCol w:w="109"/>
        <w:gridCol w:w="109"/>
        <w:gridCol w:w="109"/>
        <w:gridCol w:w="109"/>
        <w:gridCol w:w="306"/>
        <w:gridCol w:w="681"/>
        <w:gridCol w:w="171"/>
        <w:gridCol w:w="109"/>
        <w:gridCol w:w="109"/>
        <w:gridCol w:w="109"/>
        <w:gridCol w:w="196"/>
        <w:gridCol w:w="462"/>
        <w:gridCol w:w="158"/>
      </w:tblGrid>
      <w:tr>
        <w:trPr/>
        <w:tc>
          <w:tcPr>
            <w:tcW w:w="16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and Nine Months Ended September 30, 2024 and 2023 — 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adjusted earnings were as follows:</w:t>
      </w:r>
    </w:p>
    <w:tbl>
      <w:tblPr>
        <w:tblW w:w="10205" w:type="dxa"/>
        <w:jc w:val="left"/>
        <w:tblInd w:w="0" w:type="dxa"/>
        <w:tblLayout w:type="fixed"/>
        <w:tblCellMar>
          <w:top w:w="28" w:type="dxa"/>
          <w:left w:w="28" w:type="dxa"/>
          <w:bottom w:w="28" w:type="dxa"/>
          <w:right w:w="28" w:type="dxa"/>
        </w:tblCellMar>
      </w:tblPr>
      <w:tblGrid>
        <w:gridCol w:w="2106"/>
        <w:gridCol w:w="1825"/>
        <w:gridCol w:w="1746"/>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5"/>
      </w:tblGrid>
      <w:tr>
        <w:trPr/>
        <w:tc>
          <w:tcPr>
            <w:tcW w:w="210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$767 million in the current period, an increase of $441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decrease in liability balances resulting from year-over-year changes made in connection with the AAR in our Run-off and Annuities segments and other refinements;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income annuity underwriting margins;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paid claims, net of reinsurance;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fees resulting from higher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on our fixed annuity business resulting from higher account balances;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decline in the net cost of insurance fees driven by the aging in-force business in our Run-off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prior period actuarial modeling improvements, net of changes made in the current period in connection with the AAR in our Annuities segment;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deferred compensation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variable annuity expenses resulting from higher average separate account balances, a portion of which is offset in fee income;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operational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18% in the current period compared to 17% in the prior period. Our effective tax rate differs from the statutory tax rate primarily due to the impacts of the dividends received deduction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$1.0 billion in the current period, an increase of $223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decrease in liability balances resulting from year-over-year changes made in connection with the AAR in our Run-off and Annuities segments and other refinements;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paid claims, net of reinsurance;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in our Run-off segment resulting from a reinsurance premium rate increase associated with the conclusion of a reinsurance arbitration;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other limited partnerships;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prior period actuarial modeling improvements, net of changes made in the current period in connection with the AAR in our Annuities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related to the conclusion of the aforementioned reinsurance arbitration in our Life and Run-off segments, as well as the aging in-force business in our Run-off segment;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on our fixed annuity business resulting from higher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fees resulting from higher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variable and deferred compensation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variable annuity expenses resulting from higher average separate account balances, a portion of which is offset in fee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operational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an effective tax rate of 18% in the current period compared to 17%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Segments and Corporate &amp; Other Results for the Three Months and Nine Months Ended September 30, 2024 and 2023 —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Annuities segment were as follows:</w:t>
      </w:r>
    </w:p>
    <w:tbl>
      <w:tblPr>
        <w:tblW w:w="766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$327 million in the current period, an increase of $8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net favorable impacts were: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fees resulting from higher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on our fixed annuity business resulting from higher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income annuity underwriting margins;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increase in liability balances resulting from year-over-year changes made in connection with the AAR.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prior period actuarial modeling improvements, net of changes made in the current period in connection with the AAR;</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variable annuity expenses resulting from higher average separate account balances, a portion of which is offset in fee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deferred compensation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operational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both the current period and the prior period. Our effective tax rate differs from the statutory tax rate primarily due to the impacts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$972 million in the current period, an increase of $48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on our fixed annuity business resulting from higher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fees resulting from higher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prior period actuarial modeling improvements, net of changes made in the current period in connection with the AAR.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increase in liability balances resulting from year-over-year changes made in connection with the AAR;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asset-based variable annuity expenses resulting from higher average separate account balances, a portion of which is offset in fee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variable and deferred compensation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operational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Life segment were as follows:</w:t>
      </w:r>
    </w:p>
    <w:tbl>
      <w:tblPr>
        <w:tblW w:w="736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$25 million in the current period, a lower loss of $48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favorable impact was lower costs associated with insurance-related activities due to lower paid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22%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$19 million in the current period, a lower loss of $38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favorable impact was lower costs associated with insurance-related activities due to lower paid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unfavorable impact was lower fee income due to higher ceded cost of insurance fees related to the conclusion of the aforementioned reinsurance arbitration.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27% in the current period compared to 24%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Run-off segment were as follows:</w:t>
      </w:r>
    </w:p>
    <w:tbl>
      <w:tblPr>
        <w:tblW w:w="739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$463 million in the current period, an increase of $368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net favorable impact was: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decrease in liability balances resulting from year-over-year changes made in connection with the AAR and other refinements;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paid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returns on real estate joint ventures;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average invested long-term assets;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interest credited to policyholders due to lower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fee income due to a decline in the net cost of insurance fees driven by the aging in-force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21%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$92 million in the current period, an increase of $119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decrease in liability balances resulting from year-over-year changes made in connection with the AAR and other refinements;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resulting from a reinsurance premium rate increase associated with the conclusion of the aforementioned reinsurance arbitration;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paid claims, net of reinsurance;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other limited partnerships;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interest credited to policyholders due to lower account balances;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average invested long-term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unfavorable impact was lower fee income due to higher ceded cost of insurance fees related to the conclusion of the aforementioned reinsurance arbitration and the aging in-force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20% in the current period compared to 23%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Corporate &amp; Other were as follows:</w:t>
      </w:r>
    </w:p>
    <w:tbl>
      <w:tblPr>
        <w:tblW w:w="10205" w:type="dxa"/>
        <w:jc w:val="left"/>
        <w:tblInd w:w="0" w:type="dxa"/>
        <w:tblLayout w:type="fixed"/>
        <w:tblCellMar>
          <w:top w:w="28" w:type="dxa"/>
          <w:left w:w="28" w:type="dxa"/>
          <w:bottom w:w="28" w:type="dxa"/>
          <w:right w:w="28" w:type="dxa"/>
        </w:tblCellMar>
      </w:tblPr>
      <w:tblGrid>
        <w:gridCol w:w="2294"/>
        <w:gridCol w:w="1996"/>
        <w:gridCol w:w="1934"/>
        <w:gridCol w:w="109"/>
        <w:gridCol w:w="109"/>
        <w:gridCol w:w="109"/>
        <w:gridCol w:w="197"/>
        <w:gridCol w:w="242"/>
        <w:gridCol w:w="109"/>
        <w:gridCol w:w="109"/>
        <w:gridCol w:w="109"/>
        <w:gridCol w:w="109"/>
        <w:gridCol w:w="197"/>
        <w:gridCol w:w="388"/>
        <w:gridCol w:w="109"/>
        <w:gridCol w:w="109"/>
        <w:gridCol w:w="109"/>
        <w:gridCol w:w="109"/>
        <w:gridCol w:w="196"/>
        <w:gridCol w:w="385"/>
        <w:gridCol w:w="109"/>
        <w:gridCol w:w="109"/>
        <w:gridCol w:w="109"/>
        <w:gridCol w:w="109"/>
        <w:gridCol w:w="196"/>
        <w:gridCol w:w="385"/>
        <w:gridCol w:w="160"/>
      </w:tblGrid>
      <w:tr>
        <w:trPr/>
        <w:tc>
          <w:tcPr>
            <w:tcW w:w="229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 Compared with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$2 million in the current period, an increase of $17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favorable impact was higher net investment spread due to higher investment yields and average invested long-term assets from funding agreements issued in connection with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 lower effective tax rate in the current period compared to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 Compared with the 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$30 million in the current period, a lower loss of $18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favorable impact was higher net investment spread due to higher investment yields and average invested long-term assets from funding agreements issued in connection with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Annuity Guaranteed Benefits and Shield Annuity Liabilities for the Three Months and Nine Months Ended September 30, 2024 and 2023</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overall impact on income (loss) available to shareholders before provision for income tax from the performance of annuity guaranteed benefits and Shield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Level Annuity (“Shield” and “Shield annuity”) liabilities, which includes (i) changes in the fair value of liabilities and related reinsurance, (ii) fees net of claims and (iii) the mark-to-market of hedges, was as follows:</w:t>
      </w:r>
    </w:p>
    <w:tbl>
      <w:tblPr>
        <w:tblW w:w="8770"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496"/>
        <w:gridCol w:w="109"/>
        <w:gridCol w:w="109"/>
        <w:gridCol w:w="109"/>
        <w:gridCol w:w="109"/>
        <w:gridCol w:w="200"/>
        <w:gridCol w:w="430"/>
        <w:gridCol w:w="109"/>
        <w:gridCol w:w="109"/>
        <w:gridCol w:w="109"/>
        <w:gridCol w:w="109"/>
        <w:gridCol w:w="196"/>
        <w:gridCol w:w="631"/>
        <w:gridCol w:w="109"/>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annuity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September 30,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increases in annuity guaranteed benefits liabilities due to decreasing interest rates, partially offset by increasing equity markets and changes made in connection with the AAR;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decreasing long-term interest rates and increasing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 and decreasing interest rates, partially offset by changes made in connection with the AAR.</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favorable for the three months ended September 30, 2023,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 partially offset by decreasing equity markets and changes made in connection with the AAR;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variable annuity hedges due to increasing long-term interest rates and decreasing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Shield embedded derivatives due to decreasing equity markets and increasing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nine months ended September 30,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equity markets and interest rates, as well as changes made in connection with the AAR;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 partially offset by changes made in connection with the AAR.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nine months ended September 30, 2023,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 and equity markets, partially offset by changes made in connection with the AAR;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variable annuity hedges due to increasing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Risk Management Strategy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Management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Current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capital markets and the economy, generally. As a U.S. insurance company, we are affected by the monetary policy of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2024, the Federal Reserve decreased the target range for the federal funds rate from between 5.25% and 5.50% to between 4.75% and 5.00%. On November 7, 2024, the Federal Reserve further decreased the target range for the federal funds rate from between 4.75% and 5.00% to between 4.50% and 4.75%. In 2023, the Federal Reserve increased the target range four times — from between 4.25% and 4.50% to between 5.25% and 5.50%. Target range increases have contributed to the net unrealized loss position in our investment portfolio. As a result of increases in interest rates, the unrealized losses on our fixed maturity securities exceeded the unrealized gains as of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Selected Sector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2023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increased market focus on commercial real estate, including office properties, as a result of companies shifting to hybrid work arrangements and the resulting impact on the demand for office space.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Portfolio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10205"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66"/>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fees and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(3)Adjusted net investment income presented in the yield table varies from the most directly comparable GAAP measure due to certain reclassifications, as presented below.</w:t>
      </w:r>
    </w:p>
    <w:tbl>
      <w:tblPr>
        <w:tblW w:w="9072"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 in the above yield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Results of Operations — Consolidated Results for the Three Months and Nine Months Ended September 30, 2024 and 2023”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by type (public or private) were as follows at:</w:t>
      </w:r>
    </w:p>
    <w:tbl>
      <w:tblPr>
        <w:tblW w:w="8033"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196"/>
        <w:gridCol w:w="646"/>
        <w:gridCol w:w="256"/>
        <w:gridCol w:w="109"/>
        <w:gridCol w:w="109"/>
        <w:gridCol w:w="109"/>
        <w:gridCol w:w="278"/>
        <w:gridCol w:w="278"/>
        <w:gridCol w:w="268"/>
        <w:gridCol w:w="109"/>
        <w:gridCol w:w="109"/>
        <w:gridCol w:w="109"/>
        <w:gridCol w:w="196"/>
        <w:gridCol w:w="646"/>
        <w:gridCol w:w="256"/>
        <w:gridCol w:w="109"/>
        <w:gridCol w:w="109"/>
        <w:gridCol w:w="109"/>
        <w:gridCol w:w="278"/>
        <w:gridCol w:w="278"/>
        <w:gridCol w:w="315"/>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Investments — Fixed Maturity Securities Available-For-Sale — Fixed Maturity Securities Credit Quality — Ratings” included in our 2023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1"/>
        <w:gridCol w:w="235"/>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2023</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NAIC</w:t>
              <w:b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655"/>
        <w:gridCol w:w="576"/>
        <w:gridCol w:w="577"/>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222"/>
        <w:gridCol w:w="375"/>
        <w:gridCol w:w="123"/>
        <w:gridCol w:w="109"/>
        <w:gridCol w:w="109"/>
        <w:gridCol w:w="109"/>
        <w:gridCol w:w="276"/>
        <w:gridCol w:w="468"/>
        <w:gridCol w:w="154"/>
        <w:gridCol w:w="109"/>
        <w:gridCol w:w="109"/>
        <w:gridCol w:w="109"/>
        <w:gridCol w:w="196"/>
        <w:gridCol w:w="646"/>
        <w:gridCol w:w="159"/>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Maturity Securities — by Sector &amp; Credit Quality Rating</w:t>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2% and 1% of total investments at September 30, 2024 and December 31, 2023, respectively.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held $20.7 billion and $20.2 billion of Structured Securities, at estimated fair value, at September 30, 2024 and December 31, 2023, respectively,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624"/>
        <w:gridCol w:w="543"/>
        <w:gridCol w:w="528"/>
        <w:gridCol w:w="109"/>
        <w:gridCol w:w="109"/>
        <w:gridCol w:w="109"/>
        <w:gridCol w:w="198"/>
        <w:gridCol w:w="562"/>
        <w:gridCol w:w="110"/>
        <w:gridCol w:w="109"/>
        <w:gridCol w:w="109"/>
        <w:gridCol w:w="109"/>
        <w:gridCol w:w="278"/>
        <w:gridCol w:w="278"/>
        <w:gridCol w:w="268"/>
        <w:gridCol w:w="109"/>
        <w:gridCol w:w="109"/>
        <w:gridCol w:w="109"/>
        <w:gridCol w:w="410"/>
        <w:gridCol w:w="916"/>
        <w:gridCol w:w="230"/>
        <w:gridCol w:w="109"/>
        <w:gridCol w:w="109"/>
        <w:gridCol w:w="109"/>
        <w:gridCol w:w="198"/>
        <w:gridCol w:w="562"/>
        <w:gridCol w:w="110"/>
        <w:gridCol w:w="109"/>
        <w:gridCol w:w="109"/>
        <w:gridCol w:w="109"/>
        <w:gridCol w:w="278"/>
        <w:gridCol w:w="278"/>
        <w:gridCol w:w="268"/>
        <w:gridCol w:w="109"/>
        <w:gridCol w:w="109"/>
        <w:gridCol w:w="109"/>
        <w:gridCol w:w="398"/>
        <w:gridCol w:w="887"/>
        <w:gridCol w:w="319"/>
      </w:tblGrid>
      <w:tr>
        <w:trPr/>
        <w:tc>
          <w:tcPr>
            <w:tcW w:w="6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Rated Aaa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2023, Fitch Ratings downgraded the U.S. credit rating from Aaa to Aa1, which resulted in a decrease in Aaa assets in our RMBS holdings.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2005 - 2011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CMBS rated Aaa using rating agency ratings was $4.4 billion, or 68.5% of total CMBS, and designated NAIC 1 was $6.1 billion, or 93.9% of total CMBS, at September 30, 2024. The estimated fair value of CMBS rated Aaa using rating agency ratings was $4.4 billion, or 68.5% of total CMBS, and designated NAIC 1 was $6.0 billion, or 94.2% of total CMBS,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ABS holdings are diversified by both collateral type and issuer. Our ABS holdings by collateral type and ratings profile were as follows at:</w:t>
      </w:r>
    </w:p>
    <w:tbl>
      <w:tblPr>
        <w:tblW w:w="9372" w:type="dxa"/>
        <w:jc w:val="left"/>
        <w:tblInd w:w="0" w:type="dxa"/>
        <w:tblLayout w:type="fixed"/>
        <w:tblCellMar>
          <w:top w:w="28" w:type="dxa"/>
          <w:left w:w="28" w:type="dxa"/>
          <w:bottom w:w="28" w:type="dxa"/>
          <w:right w:w="28" w:type="dxa"/>
        </w:tblCellMar>
      </w:tblPr>
      <w:tblGrid>
        <w:gridCol w:w="690"/>
        <w:gridCol w:w="605"/>
        <w:gridCol w:w="610"/>
        <w:gridCol w:w="201"/>
        <w:gridCol w:w="572"/>
        <w:gridCol w:w="112"/>
        <w:gridCol w:w="109"/>
        <w:gridCol w:w="109"/>
        <w:gridCol w:w="109"/>
        <w:gridCol w:w="278"/>
        <w:gridCol w:w="278"/>
        <w:gridCol w:w="268"/>
        <w:gridCol w:w="109"/>
        <w:gridCol w:w="109"/>
        <w:gridCol w:w="109"/>
        <w:gridCol w:w="356"/>
        <w:gridCol w:w="629"/>
        <w:gridCol w:w="199"/>
        <w:gridCol w:w="109"/>
        <w:gridCol w:w="109"/>
        <w:gridCol w:w="109"/>
        <w:gridCol w:w="201"/>
        <w:gridCol w:w="572"/>
        <w:gridCol w:w="112"/>
        <w:gridCol w:w="109"/>
        <w:gridCol w:w="109"/>
        <w:gridCol w:w="109"/>
        <w:gridCol w:w="278"/>
        <w:gridCol w:w="278"/>
        <w:gridCol w:w="268"/>
        <w:gridCol w:w="109"/>
        <w:gridCol w:w="109"/>
        <w:gridCol w:w="109"/>
        <w:gridCol w:w="306"/>
        <w:gridCol w:w="682"/>
        <w:gridCol w:w="242"/>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 type: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obligations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Automobile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Consumer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Rated Aaa</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Securities Lending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loans are principally collateralized by commercial, agricultural and residential properties. Information regarding mortgage loans by portfolio segment is summarized as follows at: </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 portfolio is diversified by both geographic region and property type to reduce the risk of concentration. The percentage of our commercial and agricultural mortgage loan portfolios collateralized by properties located in the U.S. were 98% at both September 30, 2024 and December 31, 2023. The remainder was collateralized by properties located outside of the U.S. At September 30, 2024, the carrying value as a percentage of total commercial and agricultural mortgage loans for the top three states in the U.S. was 17% for California, 11% for Texas and 8% for Florida. Additionally, we manage risk when originating commercial and agricultural mortgage loans by generally lending up to 75% of the estimated fair value of the underlying real estate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residential mortgage loan portfolio is managed in a similar manner to reduce risk of concentration. All residential mortgage loans were collateralized by properties located in the U.S. at both September 30, 2024 and December 31, 2023. At September 30, 2024, the carrying value as a percentage of total residential mortgage loans for the top three states in the U.S. was 40% for California, 10% for Florida and 6% for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Commercial Mortgage Loans by Geographic Region and Property Type</w:t>
      </w:r>
      <w:r>
        <w:rPr>
          <w:rFonts w:ascii="Times New Roman;sans-serif" w:hAnsi="Times New Roman;sans-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490"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England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North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Mortgage Loan Credit Quality — Monitoring Process.</w:t>
      </w:r>
      <w:r>
        <w:rPr>
          <w:color w:val="000000"/>
        </w:rPr>
        <w:t> </w:t>
      </w:r>
      <w:r>
        <w:rPr>
          <w:rFonts w:ascii="Times New Roman;sans-serif" w:hAnsi="Times New Roman;sans-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65% at September 30, 2024 and December 31, 2023, respectively, and our average debt-service coverage ratio was 2.3x at both September 30, 2024 and December 31, 2023.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and 47% at September 30, 2024 and December 31, 2023, respectively. The values utilized in calculating the agricultural mortgage loan loan-to-value ratio are developed in connection with the ongoing review of the agricultural loan portfolio and are routinely updated.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Mortgage Loan Allowance for Credit Losses</w:t>
      </w:r>
      <w:r>
        <w:rPr>
          <w:rFonts w:ascii="Times New Roman;sans-serif" w:hAnsi="Times New Roman;sans-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limited partnerships and limited liability companies (“LLC”) were as follows at:</w:t>
      </w:r>
    </w:p>
    <w:tbl>
      <w:tblPr>
        <w:tblW w:w="7058"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351"/>
        <w:gridCol w:w="997"/>
        <w:gridCol w:w="197"/>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estimated fair value of real estate limited partnerships and LLCs was $888 million and $927 million at September 30,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Invested Assets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other invested assets by type was as follows at:</w:t>
      </w:r>
    </w:p>
    <w:tbl>
      <w:tblPr>
        <w:tblW w:w="9014" w:type="dxa"/>
        <w:jc w:val="left"/>
        <w:tblInd w:w="0" w:type="dxa"/>
        <w:tblLayout w:type="fixed"/>
        <w:tblCellMar>
          <w:top w:w="28" w:type="dxa"/>
          <w:left w:w="28" w:type="dxa"/>
          <w:bottom w:w="28" w:type="dxa"/>
          <w:right w:w="28" w:type="dxa"/>
        </w:tblCellMar>
      </w:tblPr>
      <w:tblGrid>
        <w:gridCol w:w="1553"/>
        <w:gridCol w:w="1363"/>
        <w:gridCol w:w="1373"/>
        <w:gridCol w:w="109"/>
        <w:gridCol w:w="109"/>
        <w:gridCol w:w="109"/>
        <w:gridCol w:w="196"/>
        <w:gridCol w:w="556"/>
        <w:gridCol w:w="109"/>
        <w:gridCol w:w="109"/>
        <w:gridCol w:w="109"/>
        <w:gridCol w:w="109"/>
        <w:gridCol w:w="278"/>
        <w:gridCol w:w="278"/>
        <w:gridCol w:w="268"/>
        <w:gridCol w:w="109"/>
        <w:gridCol w:w="109"/>
        <w:gridCol w:w="109"/>
        <w:gridCol w:w="196"/>
        <w:gridCol w:w="556"/>
        <w:gridCol w:w="109"/>
        <w:gridCol w:w="109"/>
        <w:gridCol w:w="109"/>
        <w:gridCol w:w="109"/>
        <w:gridCol w:w="278"/>
        <w:gridCol w:w="278"/>
        <w:gridCol w:w="31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Leveraged leases, net of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 and renewable energy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Derivative Risks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 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information about the gross notional amount, estimated fair value, and primary underlying risk exposure of our derivatives by type of hedge designation, excluding embedded derivatives held at September 30, 2024 and December 31,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derivatives in cash flow, fair value, or non-qualifying hedge relationships on the statements of operations for the nine months ended September 30, 2024 and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“Business — Segments and Corporate &amp; Other — Annuities,” “Management’s Discussion and Analysis of Financial Condition and Results of Operations — Risk Management Strategies” included in our 2023 Annual Report for more information about our use of derivatives by major hedging programs.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Hierarchy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categorized as Level 3 at September 30, 2024 include: credit default swaps priced using unobservable credit spreads, or that are priced through independent broker quotations;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Derivatives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credit default swaps were as follows at:</w:t>
      </w:r>
    </w:p>
    <w:tbl>
      <w:tblPr>
        <w:tblW w:w="6213" w:type="dxa"/>
        <w:jc w:val="left"/>
        <w:tblInd w:w="0" w:type="dxa"/>
        <w:tblLayout w:type="fixed"/>
        <w:tblCellMar>
          <w:top w:w="28" w:type="dxa"/>
          <w:left w:w="28" w:type="dxa"/>
          <w:bottom w:w="28" w:type="dxa"/>
          <w:right w:w="28" w:type="dxa"/>
        </w:tblCellMar>
      </w:tblPr>
      <w:tblGrid>
        <w:gridCol w:w="250"/>
        <w:gridCol w:w="219"/>
        <w:gridCol w:w="221"/>
        <w:gridCol w:w="109"/>
        <w:gridCol w:w="109"/>
        <w:gridCol w:w="109"/>
        <w:gridCol w:w="273"/>
        <w:gridCol w:w="775"/>
        <w:gridCol w:w="152"/>
        <w:gridCol w:w="109"/>
        <w:gridCol w:w="109"/>
        <w:gridCol w:w="109"/>
        <w:gridCol w:w="272"/>
        <w:gridCol w:w="460"/>
        <w:gridCol w:w="153"/>
        <w:gridCol w:w="109"/>
        <w:gridCol w:w="109"/>
        <w:gridCol w:w="109"/>
        <w:gridCol w:w="273"/>
        <w:gridCol w:w="775"/>
        <w:gridCol w:w="152"/>
        <w:gridCol w:w="109"/>
        <w:gridCol w:w="109"/>
        <w:gridCol w:w="109"/>
        <w:gridCol w:w="267"/>
        <w:gridCol w:w="452"/>
        <w:gridCol w:w="2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Summary of Critical Accounting Estimates — Derivatives” included in our 2023 Annual Report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Policyholder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2023 Annual Report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These liabilities were valued at $10.8 billion at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MRBs by type of GMxB were as follows at:</w:t>
      </w:r>
    </w:p>
    <w:tbl>
      <w:tblPr>
        <w:tblW w:w="4123" w:type="dxa"/>
        <w:jc w:val="left"/>
        <w:tblInd w:w="0" w:type="dxa"/>
        <w:tblLayout w:type="fixed"/>
        <w:tblCellMar>
          <w:top w:w="28" w:type="dxa"/>
          <w:left w:w="28" w:type="dxa"/>
          <w:bottom w:w="28" w:type="dxa"/>
          <w:right w:w="28" w:type="dxa"/>
        </w:tblCellMar>
      </w:tblPr>
      <w:tblGrid>
        <w:gridCol w:w="254"/>
        <w:gridCol w:w="224"/>
        <w:gridCol w:w="228"/>
        <w:gridCol w:w="351"/>
        <w:gridCol w:w="997"/>
        <w:gridCol w:w="197"/>
        <w:gridCol w:w="109"/>
        <w:gridCol w:w="109"/>
        <w:gridCol w:w="109"/>
        <w:gridCol w:w="304"/>
        <w:gridCol w:w="1002"/>
        <w:gridCol w:w="23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Derivatives Hedging Variable Annuity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hedging our in-force variable annuity guarantees and ULSG business viewed in aggregate in our interest rate hedging program were as follows at:</w:t>
      </w:r>
    </w:p>
    <w:tbl>
      <w:tblPr>
        <w:tblW w:w="10205" w:type="dxa"/>
        <w:jc w:val="left"/>
        <w:tblInd w:w="0" w:type="dxa"/>
        <w:tblLayout w:type="fixed"/>
        <w:tblCellMar>
          <w:top w:w="28" w:type="dxa"/>
          <w:left w:w="28" w:type="dxa"/>
          <w:bottom w:w="28" w:type="dxa"/>
          <w:right w:w="28" w:type="dxa"/>
        </w:tblCellMar>
      </w:tblPr>
      <w:tblGrid>
        <w:gridCol w:w="524"/>
        <w:gridCol w:w="459"/>
        <w:gridCol w:w="463"/>
        <w:gridCol w:w="109"/>
        <w:gridCol w:w="109"/>
        <w:gridCol w:w="109"/>
        <w:gridCol w:w="368"/>
        <w:gridCol w:w="1215"/>
        <w:gridCol w:w="205"/>
        <w:gridCol w:w="109"/>
        <w:gridCol w:w="109"/>
        <w:gridCol w:w="109"/>
        <w:gridCol w:w="196"/>
        <w:gridCol w:w="421"/>
        <w:gridCol w:w="109"/>
        <w:gridCol w:w="109"/>
        <w:gridCol w:w="109"/>
        <w:gridCol w:w="109"/>
        <w:gridCol w:w="196"/>
        <w:gridCol w:w="556"/>
        <w:gridCol w:w="109"/>
        <w:gridCol w:w="109"/>
        <w:gridCol w:w="109"/>
        <w:gridCol w:w="109"/>
        <w:gridCol w:w="368"/>
        <w:gridCol w:w="1215"/>
        <w:gridCol w:w="205"/>
        <w:gridCol w:w="109"/>
        <w:gridCol w:w="109"/>
        <w:gridCol w:w="109"/>
        <w:gridCol w:w="196"/>
        <w:gridCol w:w="421"/>
        <w:gridCol w:w="109"/>
        <w:gridCol w:w="109"/>
        <w:gridCol w:w="109"/>
        <w:gridCol w:w="109"/>
        <w:gridCol w:w="196"/>
        <w:gridCol w:w="556"/>
        <w:gridCol w:w="156"/>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derivative instruments because certain positions were closed out by entering into offsetting positions that are not netted in the above table.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(2)Hybrid options have equity exposure in addition to interest rate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held in our variable annuity hedging program were as follows at:</w:t>
      </w:r>
    </w:p>
    <w:tbl>
      <w:tblPr>
        <w:tblW w:w="10205" w:type="dxa"/>
        <w:jc w:val="left"/>
        <w:tblInd w:w="0" w:type="dxa"/>
        <w:tblLayout w:type="fixed"/>
        <w:tblCellMar>
          <w:top w:w="28" w:type="dxa"/>
          <w:left w:w="28" w:type="dxa"/>
          <w:bottom w:w="28" w:type="dxa"/>
          <w:right w:w="28" w:type="dxa"/>
        </w:tblCellMar>
      </w:tblPr>
      <w:tblGrid>
        <w:gridCol w:w="534"/>
        <w:gridCol w:w="468"/>
        <w:gridCol w:w="472"/>
        <w:gridCol w:w="109"/>
        <w:gridCol w:w="109"/>
        <w:gridCol w:w="109"/>
        <w:gridCol w:w="308"/>
        <w:gridCol w:w="1159"/>
        <w:gridCol w:w="171"/>
        <w:gridCol w:w="109"/>
        <w:gridCol w:w="109"/>
        <w:gridCol w:w="109"/>
        <w:gridCol w:w="196"/>
        <w:gridCol w:w="556"/>
        <w:gridCol w:w="109"/>
        <w:gridCol w:w="109"/>
        <w:gridCol w:w="109"/>
        <w:gridCol w:w="109"/>
        <w:gridCol w:w="196"/>
        <w:gridCol w:w="556"/>
        <w:gridCol w:w="109"/>
        <w:gridCol w:w="109"/>
        <w:gridCol w:w="109"/>
        <w:gridCol w:w="109"/>
        <w:gridCol w:w="308"/>
        <w:gridCol w:w="1159"/>
        <w:gridCol w:w="171"/>
        <w:gridCol w:w="109"/>
        <w:gridCol w:w="109"/>
        <w:gridCol w:w="109"/>
        <w:gridCol w:w="196"/>
        <w:gridCol w:w="556"/>
        <w:gridCol w:w="109"/>
        <w:gridCol w:w="109"/>
        <w:gridCol w:w="109"/>
        <w:gridCol w:w="109"/>
        <w:gridCol w:w="196"/>
        <w:gridCol w:w="556"/>
        <w:gridCol w:w="158"/>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index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total return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199,980 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option instruments because certain positions were closed out by entering into offsetting positions that are not netted in the above table.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or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Management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substantial short-term liquidity position, which was $5.7 billion and $3.8 billion at September 30, 2024 and December 31, 2023,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integral part of our liquidity management includes managing our level of liquid assets, which was $51.5 billion and $45.2 billion at September 30, 2024 and December 31, 2023,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2023 Annual Report.</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support of our target combined risk-based capital (“RBC”) ratio of 400% to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plans to declare and pay dividends on our common stock. Any future declaration and payment of dividends or other distributions or returns of capital will be at the discretion of BHF’s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BHF’s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and uses of liquidity and capital were as follows at:</w:t>
      </w:r>
    </w:p>
    <w:tbl>
      <w:tblPr>
        <w:tblW w:w="8978" w:type="dxa"/>
        <w:jc w:val="left"/>
        <w:tblInd w:w="0" w:type="dxa"/>
        <w:tblLayout w:type="fixed"/>
        <w:tblCellMar>
          <w:top w:w="28" w:type="dxa"/>
          <w:left w:w="28" w:type="dxa"/>
          <w:bottom w:w="28" w:type="dxa"/>
          <w:right w:w="28" w:type="dxa"/>
        </w:tblCellMar>
      </w:tblPr>
      <w:tblGrid>
        <w:gridCol w:w="2491"/>
        <w:gridCol w:w="2183"/>
        <w:gridCol w:w="2210"/>
        <w:gridCol w:w="196"/>
        <w:gridCol w:w="556"/>
        <w:gridCol w:w="109"/>
        <w:gridCol w:w="109"/>
        <w:gridCol w:w="109"/>
        <w:gridCol w:w="109"/>
        <w:gridCol w:w="196"/>
        <w:gridCol w:w="556"/>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policyholder account balances,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sources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Funding 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and Note 13 of the Notes to the Consolidated Financial Statements included in our 2023 Annual Report for information on preferred stock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are reported in Corporate &amp; Other. See Note 4 of the Notes to the Consolidated Financial Statements included in our 2023 Annual Report for additional information on funding agreements.</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Farmer Mac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758"/>
        <w:gridCol w:w="596"/>
        <w:gridCol w:w="598"/>
        <w:gridCol w:w="109"/>
        <w:gridCol w:w="109"/>
        <w:gridCol w:w="109"/>
        <w:gridCol w:w="271"/>
        <w:gridCol w:w="900"/>
        <w:gridCol w:w="151"/>
        <w:gridCol w:w="109"/>
        <w:gridCol w:w="109"/>
        <w:gridCol w:w="109"/>
        <w:gridCol w:w="266"/>
        <w:gridCol w:w="880"/>
        <w:gridCol w:w="148"/>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60"/>
      </w:tblGrid>
      <w:tr>
        <w:trPr/>
        <w:tc>
          <w:tcPr>
            <w:tcW w:w="75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Issuances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12 and 13 of the Notes to the Consolidated Financial Statements included in our 2023 Annual Report for information regarding our 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September 30, 2024, we were in compliance with these financial covenants.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September 30, 2024. Subsequent to September 30, 2024 and through November 1, 2024, BHF repurchased an additional 506,800 shares of its common stock through open market purchases pursuant to a Rule 10b5-1 plan for $24 million.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ans-serif" w:hAnsi="Times New Roman;sans-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Pledged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derivatives to manage various risks relating to our ongoing business operations. We pledge collateral to, and have collateral pledged to us by, counterparties in connection with our derivatives. At September 30, 2024, we did not pledge any cash collateral to counterparties. At December 31, 2023, we pledged $16 million of cash collateral to counterparties. At September 30, 2024 and December 31, 2023, we were obligated to return cash collateral pledged to us by counterparties of $659 million and $393 million, respectively. The timing of the return of the derivatives collateral is uncertain. See Note 8 of the Notes to the Interim Condensed Consolidated Financial Statements for additional information about pledged collateral. We also pledge collateral from time to time in connection with our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$2.4 billion at both September 30, 2024 and December 31, 2023.</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at both September 30, 2024 and December 31,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for securities lending from counterparties, which cannot be sold or re-pledged, and which is not recorded on our consolidated balance sheets. There was no non-cash collateral at both September 30, 2024 and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further discussion of our securities lending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Parent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BHF and certain of its non-insurance subsidiaries had short-term liquidity of $1.1 billion and $1.2 billion, respectively.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both September 30, 2024 and December 31, 2023, BHF and certain of its non-insurance subsidiaries had liquid assets of $1.3 billion, of which $1.2 billion was held by BHF.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2024 would be subject to Delaware Department of Insurance approval. See Note 13 of the Notes to the Consolidated Financial Statements included in our 2023 Annual Report for additional information regarding the applicable dividend restrictions and certain of our subsidiaries’ ordinary dividend capacity, as well as the circumstances under which regulatory approval would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both the nine months ended September 30, 2024 and 2023, BHF did not receive any cash distributions from BH Holdings and did not make any cash capital contributions to BH Holdings.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nine months ended September 30, 2024 and 2023, BHF borrowed $420 million and $569 million, respectively, from certain of its non-insurance subsidiaries and repaid $180 million and $369 million of such borrowings during the nine months ended September 30, 2024 and 2023, respectively. At September 30, 2024 and December 31, 2023, BHF had total obligations outstanding of $967 million and $727 million, respectively, under such agreements.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nine months ended September 30, 2024 and 2023, there were no borrowings or repayments by BHF under these facilities and, at both September 30, 2024 and December 31, 2023,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variable annuity exposure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material differences between actual outcomes and the sensitivities calculated under certain scenarios that we may utilize in connection with our variable annuity risk management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adverse effect of changes in accounting standards, practices or policies applicable to us, including changes in the accounting for long-duration contracts;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competition, including with respect to service, product features,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market and distribute our products through distribution channels;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2023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2023 Annual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from the market risk exposures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noted above, there were no changes to the Company’s internal control over financial reporting (as defined in Rules 13a-15(f) and 15d-15(f) under the Exchange Act) that occurred during the quarter ended September 30, 2024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this report, in our 2023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BHF common stock made by or on behalf of BHF or its affiliates during the three months ended September 30, 2024 are set forth below:</w:t>
      </w:r>
    </w:p>
    <w:tbl>
      <w:tblPr>
        <w:tblW w:w="10205" w:type="dxa"/>
        <w:jc w:val="left"/>
        <w:tblInd w:w="0" w:type="dxa"/>
        <w:tblLayout w:type="fixed"/>
        <w:tblCellMar>
          <w:top w:w="28" w:type="dxa"/>
          <w:left w:w="28" w:type="dxa"/>
          <w:bottom w:w="28" w:type="dxa"/>
          <w:right w:w="28" w:type="dxa"/>
        </w:tblCellMar>
      </w:tblPr>
      <w:tblGrid>
        <w:gridCol w:w="746"/>
        <w:gridCol w:w="348"/>
        <w:gridCol w:w="353"/>
        <w:gridCol w:w="109"/>
        <w:gridCol w:w="109"/>
        <w:gridCol w:w="109"/>
        <w:gridCol w:w="653"/>
        <w:gridCol w:w="418"/>
        <w:gridCol w:w="420"/>
        <w:gridCol w:w="109"/>
        <w:gridCol w:w="109"/>
        <w:gridCol w:w="109"/>
        <w:gridCol w:w="482"/>
        <w:gridCol w:w="352"/>
        <w:gridCol w:w="354"/>
        <w:gridCol w:w="109"/>
        <w:gridCol w:w="109"/>
        <w:gridCol w:w="109"/>
        <w:gridCol w:w="920"/>
        <w:gridCol w:w="717"/>
        <w:gridCol w:w="719"/>
        <w:gridCol w:w="109"/>
        <w:gridCol w:w="109"/>
        <w:gridCol w:w="109"/>
        <w:gridCol w:w="704"/>
        <w:gridCol w:w="704"/>
        <w:gridCol w:w="1007"/>
      </w:tblGrid>
      <w:tr>
        <w:trPr/>
        <w:tc>
          <w:tcPr>
            <w:tcW w:w="7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467,000 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467,000 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489,232 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489,232 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471,774 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471,774 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1,428,006 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1,428,006 </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November 16, 2023, we authorized the repurchase of up to $750 million of our common stock, which does not have an expiration date. This authorization was in addition to the $1.2 billion total repurchases authorized in 2021, which were completed in the first quarter of 2024. See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Director and Officer Rule 10b5-1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420"/>
        <w:ind w:left="0" w:right="0" w:firstLine="180"/>
        <w:jc w:val="both"/>
        <w:rPr/>
      </w:pPr>
      <w:r>
        <w:rPr>
          <w:rFonts w:ascii="Times New Roman;sans-serif" w:hAnsi="Times New Roman;sans-serif"/>
          <w:b w:val="false"/>
          <w:i/>
          <w:color w:val="000000"/>
          <w:sz w:val="20"/>
        </w:rPr>
        <w:t>(</w:t>
      </w:r>
      <w:r>
        <w:rPr>
          <w:rFonts w:ascii="Times New Roman;sans-serif" w:hAnsi="Times New Roman;sans-serif"/>
          <w:b/>
          <w:i/>
          <w:color w:val="000000"/>
          <w:sz w:val="20"/>
        </w:rPr>
        <w:t>Note Regarding Reliance on Statements in Our Contracts:</w:t>
      </w:r>
      <w:r>
        <w:rPr>
          <w:color w:val="000000"/>
        </w:rPr>
        <w:t xml:space="preserve"> </w:t>
      </w:r>
      <w:r>
        <w:rPr>
          <w:rFonts w:ascii="Times New Roman;sans-serif" w:hAnsi="Times New Roman;sans-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33"/>
        <w:gridCol w:w="293"/>
        <w:gridCol w:w="294"/>
        <w:gridCol w:w="109"/>
        <w:gridCol w:w="109"/>
        <w:gridCol w:w="109"/>
        <w:gridCol w:w="2612"/>
        <w:gridCol w:w="2612"/>
        <w:gridCol w:w="3734"/>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hf-09302024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9302024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9302024xe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9302024xe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Brighthouse Financial, Inc.’s Quarterly Report on Form 10-Q for the quarter ended September 30, 2024, formatted in Inline XBRL (included within the Exhibit 101 attachments).</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120" w:after="283"/>
        <w:jc w:val="both"/>
        <w:rPr/>
      </w:pPr>
      <w:hyperlink w:anchor="i0cea4fc17f9a48918bed698d2ea9d65e_7">
        <w:r>
          <w:rPr>
            <w:rStyle w:val="InternetLink"/>
            <w:rFonts w:ascii="Times New Roman;sans-serif" w:hAnsi="Times New Roman;sans-serif"/>
            <w:b/>
            <w:color w:val="0000FF"/>
            <w:sz w:val="18"/>
            <w:u w:val="single"/>
          </w:rPr>
          <w:t xml:space="preserve">Table of </w:t>
        </w:r>
      </w:hyperlink>
      <w:hyperlink w:anchor="i0cea4fc17f9a48918bed698d2ea9d65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 to my knowledge, (i) Brighthouse Financial, Inc.’s Quarterly Report on Form 10-Q for the quarter ended September 30,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 to my knowledge, (i) Brighthouse Financial, Inc.’s Quarterly Report on Form 10-Q for the quarter ended September 30,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47493</Words>
  <Characters>262710</Characters>
  <CharactersWithSpaces>305298</CharactersWithSpaces>
  <Paragraphs>9911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