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408940</wp:posOffset>
            </wp:positionH>
            <wp:positionV relativeFrom="page">
              <wp:posOffset>753745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408940</wp:posOffset>
            </wp:positionH>
            <wp:positionV relativeFrom="page">
              <wp:posOffset>711835</wp:posOffset>
            </wp:positionV>
            <wp:extent cx="6995160" cy="165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16510"/>
                    </a:xfrm>
                    <a:prstGeom prst="rect">
                      <a:avLst/>
                    </a:prstGeom>
                    <a:noFill/>
                  </pic:spPr>
                </pic:pic>
              </a:graphicData>
            </a:graphic>
          </wp:anchor>
        </w:drawing>
        <w:t>UNITED STATES</w:t>
      </w:r>
    </w:p>
    <w:p>
      <w:pPr>
        <w:spacing w:after="0" w:line="7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5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2502535</wp:posOffset>
            </wp:positionH>
            <wp:positionV relativeFrom="paragraph">
              <wp:posOffset>123825</wp:posOffset>
            </wp:positionV>
            <wp:extent cx="234759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47595" cy="8255"/>
                    </a:xfrm>
                    <a:prstGeom prst="rect">
                      <a:avLst/>
                    </a:prstGeom>
                    <a:noFill/>
                  </pic:spPr>
                </pic:pic>
              </a:graphicData>
            </a:graphic>
          </wp:anchor>
        </w:drawing>
      </w:r>
    </w:p>
    <w:p>
      <w:pPr>
        <w:spacing w:after="0" w:line="200" w:lineRule="exact"/>
        <w:rPr>
          <w:sz w:val="24"/>
          <w:szCs w:val="24"/>
          <w:color w:val="auto"/>
        </w:rPr>
      </w:pPr>
    </w:p>
    <w:p>
      <w:pPr>
        <w:spacing w:after="0" w:line="222" w:lineRule="exact"/>
        <w:rPr>
          <w:sz w:val="24"/>
          <w:szCs w:val="24"/>
          <w:color w:val="auto"/>
        </w:rPr>
      </w:pPr>
    </w:p>
    <w:p>
      <w:pPr>
        <w:jc w:val="center"/>
        <w:ind w:right="-359"/>
        <w:spacing w:after="0"/>
        <w:rPr>
          <w:sz w:val="20"/>
          <w:szCs w:val="20"/>
          <w:color w:val="auto"/>
        </w:rPr>
      </w:pPr>
      <w:r>
        <w:rPr>
          <w:rFonts w:ascii="Times New Roman" w:cs="Times New Roman" w:eastAsia="Times New Roman" w:hAnsi="Times New Roman"/>
          <w:sz w:val="21"/>
          <w:szCs w:val="21"/>
          <w:b w:val="1"/>
          <w:bCs w:val="1"/>
          <w:color w:val="auto"/>
        </w:rPr>
        <w:t>FORM 10-Q</w:t>
      </w:r>
    </w:p>
    <w:p>
      <w:pPr>
        <w:spacing w:after="0" w:line="163" w:lineRule="exact"/>
        <w:rPr>
          <w:sz w:val="24"/>
          <w:szCs w:val="24"/>
          <w:color w:val="auto"/>
        </w:rPr>
      </w:pPr>
    </w:p>
    <w:p>
      <w:pPr>
        <w:ind w:left="1800" w:hanging="370"/>
        <w:spacing w:after="0"/>
        <w:tabs>
          <w:tab w:leader="none" w:pos="180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QUARTERLY REPORT PURSUANT TO SECTION 13 OR 15(d) OF THE SECURITIES EXCHANGE ACT OF 1934</w:t>
      </w:r>
    </w:p>
    <w:p>
      <w:pPr>
        <w:spacing w:after="0" w:line="26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For the quarterly period ended March 31, 2026</w:t>
      </w:r>
    </w:p>
    <w:p>
      <w:pPr>
        <w:spacing w:after="0" w:line="6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184" w:lineRule="exact"/>
        <w:rPr>
          <w:sz w:val="24"/>
          <w:szCs w:val="24"/>
          <w:color w:val="auto"/>
        </w:rPr>
      </w:pPr>
    </w:p>
    <w:p>
      <w:pPr>
        <w:ind w:left="1640" w:hanging="369"/>
        <w:spacing w:after="0"/>
        <w:tabs>
          <w:tab w:leader="none" w:pos="1640" w:val="left"/>
        </w:tabs>
        <w:numPr>
          <w:ilvl w:val="0"/>
          <w:numId w:val="2"/>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TRANSITION REPORT PURSUANT TO SECTION 13 OR 15(d) OF THE SECURITIES EXCHANGE ACT OF 1934</w:t>
      </w:r>
    </w:p>
    <w:p>
      <w:pPr>
        <w:spacing w:after="0" w:line="200" w:lineRule="exact"/>
        <w:rPr>
          <w:sz w:val="24"/>
          <w:szCs w:val="24"/>
          <w:color w:val="auto"/>
        </w:rPr>
      </w:pPr>
    </w:p>
    <w:p>
      <w:pPr>
        <w:spacing w:after="0" w:line="22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For the transition period from ___ to ___</w:t>
      </w:r>
    </w:p>
    <w:p>
      <w:pPr>
        <w:spacing w:after="0" w:line="17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Commission File Number: 033-03094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2486025</wp:posOffset>
            </wp:positionH>
            <wp:positionV relativeFrom="paragraph">
              <wp:posOffset>140335</wp:posOffset>
            </wp:positionV>
            <wp:extent cx="2171065" cy="5638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71065" cy="5638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Brighthouse Life Insurance Company</w:t>
      </w:r>
    </w:p>
    <w:p>
      <w:pPr>
        <w:spacing w:after="0" w:line="132" w:lineRule="exact"/>
        <w:rPr>
          <w:sz w:val="24"/>
          <w:szCs w:val="24"/>
          <w:color w:val="auto"/>
        </w:rPr>
      </w:pPr>
    </w:p>
    <w:tbl>
      <w:tblPr>
        <w:tblLayout w:type="fixed"/>
        <w:tblInd w:w="1240" w:type="dxa"/>
        <w:tblCellMar>
          <w:top w:w="0" w:type="dxa"/>
          <w:left w:w="0" w:type="dxa"/>
          <w:bottom w:w="0" w:type="dxa"/>
          <w:right w:w="0" w:type="dxa"/>
        </w:tblCellMar>
      </w:tblPr>
      <w:tr>
        <w:trPr>
          <w:trHeight w:val="186"/>
        </w:trPr>
        <w:tc>
          <w:tcPr>
            <w:tcW w:w="9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380" w:type="dxa"/>
            <w:vAlign w:val="bottom"/>
            <w:gridSpan w:val="3"/>
          </w:tcPr>
          <w:p>
            <w:pPr>
              <w:jc w:val="center"/>
              <w:ind w:left="275"/>
              <w:spacing w:after="0"/>
              <w:rPr>
                <w:sz w:val="20"/>
                <w:szCs w:val="20"/>
                <w:color w:val="auto"/>
              </w:rPr>
            </w:pPr>
            <w:r>
              <w:rPr>
                <w:rFonts w:ascii="Times New Roman" w:cs="Times New Roman" w:eastAsia="Times New Roman" w:hAnsi="Times New Roman"/>
                <w:sz w:val="14"/>
                <w:szCs w:val="14"/>
                <w:i w:val="1"/>
                <w:iCs w:val="1"/>
                <w:color w:val="auto"/>
              </w:rPr>
              <w:t>(Exact name of registrant as specified in its charter)</w:t>
            </w:r>
          </w:p>
        </w:tc>
        <w:tc>
          <w:tcPr>
            <w:tcW w:w="400" w:type="dxa"/>
            <w:vAlign w:val="bottom"/>
          </w:tcPr>
          <w:p>
            <w:pPr>
              <w:spacing w:after="0"/>
              <w:rPr>
                <w:sz w:val="16"/>
                <w:szCs w:val="16"/>
                <w:color w:val="auto"/>
              </w:rPr>
            </w:pPr>
          </w:p>
        </w:tc>
        <w:tc>
          <w:tcPr>
            <w:tcW w:w="2180" w:type="dxa"/>
            <w:vAlign w:val="bottom"/>
          </w:tcPr>
          <w:p>
            <w:pPr>
              <w:spacing w:after="0"/>
              <w:rPr>
                <w:sz w:val="16"/>
                <w:szCs w:val="16"/>
                <w:color w:val="auto"/>
              </w:rPr>
            </w:pPr>
          </w:p>
        </w:tc>
      </w:tr>
      <w:tr>
        <w:trPr>
          <w:trHeight w:val="305"/>
        </w:trPr>
        <w:tc>
          <w:tcPr>
            <w:tcW w:w="920" w:type="dxa"/>
            <w:vAlign w:val="bottom"/>
          </w:tcPr>
          <w:p>
            <w:pPr>
              <w:spacing w:after="0"/>
              <w:rPr>
                <w:sz w:val="24"/>
                <w:szCs w:val="24"/>
                <w:color w:val="auto"/>
              </w:rPr>
            </w:pPr>
          </w:p>
        </w:tc>
        <w:tc>
          <w:tcPr>
            <w:tcW w:w="1600" w:type="dxa"/>
            <w:vAlign w:val="bottom"/>
            <w:gridSpan w:val="2"/>
          </w:tcPr>
          <w:p>
            <w:pPr>
              <w:jc w:val="center"/>
              <w:ind w:left="414"/>
              <w:spacing w:after="0"/>
              <w:rPr>
                <w:sz w:val="20"/>
                <w:szCs w:val="20"/>
                <w:color w:val="auto"/>
              </w:rPr>
            </w:pPr>
            <w:r>
              <w:rPr>
                <w:rFonts w:ascii="Times New Roman" w:cs="Times New Roman" w:eastAsia="Times New Roman" w:hAnsi="Times New Roman"/>
                <w:sz w:val="14"/>
                <w:szCs w:val="14"/>
                <w:b w:val="1"/>
                <w:bCs w:val="1"/>
                <w:color w:val="auto"/>
                <w:w w:val="98"/>
              </w:rPr>
              <w:t>Delaware</w:t>
            </w:r>
          </w:p>
        </w:tc>
        <w:tc>
          <w:tcPr>
            <w:tcW w:w="1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580" w:type="dxa"/>
            <w:vAlign w:val="bottom"/>
            <w:gridSpan w:val="2"/>
          </w:tcPr>
          <w:p>
            <w:pPr>
              <w:jc w:val="right"/>
              <w:ind w:right="1114"/>
              <w:spacing w:after="0"/>
              <w:rPr>
                <w:sz w:val="20"/>
                <w:szCs w:val="20"/>
                <w:color w:val="auto"/>
              </w:rPr>
            </w:pPr>
            <w:r>
              <w:rPr>
                <w:rFonts w:ascii="Times New Roman" w:cs="Times New Roman" w:eastAsia="Times New Roman" w:hAnsi="Times New Roman"/>
                <w:sz w:val="14"/>
                <w:szCs w:val="14"/>
                <w:b w:val="1"/>
                <w:bCs w:val="1"/>
                <w:color w:val="auto"/>
              </w:rPr>
              <w:t>06-0566090</w:t>
            </w:r>
          </w:p>
        </w:tc>
      </w:tr>
      <w:tr>
        <w:trPr>
          <w:trHeight w:val="199"/>
        </w:trPr>
        <w:tc>
          <w:tcPr>
            <w:tcW w:w="5900" w:type="dxa"/>
            <w:vAlign w:val="bottom"/>
            <w:gridSpan w:val="6"/>
          </w:tcPr>
          <w:p>
            <w:pPr>
              <w:jc w:val="center"/>
              <w:ind w:right="1980"/>
              <w:spacing w:after="0"/>
              <w:rPr>
                <w:sz w:val="20"/>
                <w:szCs w:val="20"/>
                <w:color w:val="auto"/>
              </w:rPr>
            </w:pPr>
            <w:r>
              <w:rPr>
                <w:rFonts w:ascii="Times New Roman" w:cs="Times New Roman" w:eastAsia="Times New Roman" w:hAnsi="Times New Roman"/>
                <w:sz w:val="14"/>
                <w:szCs w:val="14"/>
                <w:i w:val="1"/>
                <w:iCs w:val="1"/>
                <w:color w:val="auto"/>
              </w:rPr>
              <w:t>(State or other jurisdiction of incorporation or organization)</w:t>
            </w:r>
          </w:p>
        </w:tc>
        <w:tc>
          <w:tcPr>
            <w:tcW w:w="2580" w:type="dxa"/>
            <w:vAlign w:val="bottom"/>
            <w:gridSpan w:val="2"/>
          </w:tcPr>
          <w:p>
            <w:pPr>
              <w:jc w:val="center"/>
              <w:ind w:right="374"/>
              <w:spacing w:after="0"/>
              <w:rPr>
                <w:sz w:val="20"/>
                <w:szCs w:val="20"/>
                <w:color w:val="auto"/>
              </w:rPr>
            </w:pPr>
            <w:r>
              <w:rPr>
                <w:rFonts w:ascii="Times New Roman" w:cs="Times New Roman" w:eastAsia="Times New Roman" w:hAnsi="Times New Roman"/>
                <w:sz w:val="14"/>
                <w:szCs w:val="14"/>
                <w:i w:val="1"/>
                <w:iCs w:val="1"/>
                <w:color w:val="auto"/>
              </w:rPr>
              <w:t>(I.R.S. Employer Identification No.)</w:t>
            </w:r>
          </w:p>
        </w:tc>
      </w:tr>
      <w:tr>
        <w:trPr>
          <w:trHeight w:val="318"/>
        </w:trPr>
        <w:tc>
          <w:tcPr>
            <w:tcW w:w="5900" w:type="dxa"/>
            <w:vAlign w:val="bottom"/>
            <w:gridSpan w:val="6"/>
          </w:tcPr>
          <w:p>
            <w:pPr>
              <w:jc w:val="center"/>
              <w:ind w:right="1980"/>
              <w:spacing w:after="0"/>
              <w:rPr>
                <w:sz w:val="20"/>
                <w:szCs w:val="20"/>
                <w:color w:val="auto"/>
              </w:rPr>
            </w:pPr>
            <w:r>
              <w:rPr>
                <w:rFonts w:ascii="Times New Roman" w:cs="Times New Roman" w:eastAsia="Times New Roman" w:hAnsi="Times New Roman"/>
                <w:sz w:val="14"/>
                <w:szCs w:val="14"/>
                <w:b w:val="1"/>
                <w:bCs w:val="1"/>
                <w:color w:val="auto"/>
              </w:rPr>
              <w:t>11225 North Community House Road, Charlotte, North Carolina</w:t>
            </w:r>
          </w:p>
        </w:tc>
        <w:tc>
          <w:tcPr>
            <w:tcW w:w="2580" w:type="dxa"/>
            <w:vAlign w:val="bottom"/>
            <w:gridSpan w:val="2"/>
          </w:tcPr>
          <w:p>
            <w:pPr>
              <w:jc w:val="right"/>
              <w:ind w:right="1274"/>
              <w:spacing w:after="0"/>
              <w:rPr>
                <w:sz w:val="20"/>
                <w:szCs w:val="20"/>
                <w:color w:val="auto"/>
              </w:rPr>
            </w:pPr>
            <w:r>
              <w:rPr>
                <w:rFonts w:ascii="Times New Roman" w:cs="Times New Roman" w:eastAsia="Times New Roman" w:hAnsi="Times New Roman"/>
                <w:sz w:val="14"/>
                <w:szCs w:val="14"/>
                <w:b w:val="1"/>
                <w:bCs w:val="1"/>
                <w:color w:val="auto"/>
              </w:rPr>
              <w:t>28277</w:t>
            </w:r>
          </w:p>
        </w:tc>
      </w:tr>
      <w:tr>
        <w:trPr>
          <w:trHeight w:val="199"/>
        </w:trPr>
        <w:tc>
          <w:tcPr>
            <w:tcW w:w="5900" w:type="dxa"/>
            <w:vAlign w:val="bottom"/>
            <w:gridSpan w:val="6"/>
          </w:tcPr>
          <w:p>
            <w:pPr>
              <w:jc w:val="center"/>
              <w:ind w:right="1980"/>
              <w:spacing w:after="0"/>
              <w:rPr>
                <w:sz w:val="20"/>
                <w:szCs w:val="20"/>
                <w:color w:val="auto"/>
              </w:rPr>
            </w:pPr>
            <w:r>
              <w:rPr>
                <w:rFonts w:ascii="Times New Roman" w:cs="Times New Roman" w:eastAsia="Times New Roman" w:hAnsi="Times New Roman"/>
                <w:sz w:val="14"/>
                <w:szCs w:val="14"/>
                <w:i w:val="1"/>
                <w:iCs w:val="1"/>
                <w:color w:val="auto"/>
              </w:rPr>
              <w:t>(Address of principal executive offices)</w:t>
            </w:r>
          </w:p>
        </w:tc>
        <w:tc>
          <w:tcPr>
            <w:tcW w:w="400" w:type="dxa"/>
            <w:vAlign w:val="bottom"/>
          </w:tcPr>
          <w:p>
            <w:pPr>
              <w:spacing w:after="0"/>
              <w:rPr>
                <w:sz w:val="17"/>
                <w:szCs w:val="17"/>
                <w:color w:val="auto"/>
              </w:rPr>
            </w:pPr>
          </w:p>
        </w:tc>
        <w:tc>
          <w:tcPr>
            <w:tcW w:w="2180" w:type="dxa"/>
            <w:vAlign w:val="bottom"/>
          </w:tcPr>
          <w:p>
            <w:pPr>
              <w:jc w:val="center"/>
              <w:ind w:right="794"/>
              <w:spacing w:after="0"/>
              <w:rPr>
                <w:sz w:val="20"/>
                <w:szCs w:val="20"/>
                <w:color w:val="auto"/>
              </w:rPr>
            </w:pPr>
            <w:r>
              <w:rPr>
                <w:rFonts w:ascii="Times New Roman" w:cs="Times New Roman" w:eastAsia="Times New Roman" w:hAnsi="Times New Roman"/>
                <w:sz w:val="14"/>
                <w:szCs w:val="14"/>
                <w:i w:val="1"/>
                <w:iCs w:val="1"/>
                <w:color w:val="auto"/>
                <w:w w:val="98"/>
              </w:rPr>
              <w:t>(Zip Code)</w:t>
            </w:r>
          </w:p>
        </w:tc>
      </w:tr>
      <w:tr>
        <w:trPr>
          <w:trHeight w:val="296"/>
        </w:trPr>
        <w:tc>
          <w:tcPr>
            <w:tcW w:w="9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300" w:type="dxa"/>
            <w:vAlign w:val="bottom"/>
            <w:gridSpan w:val="2"/>
          </w:tcPr>
          <w:p>
            <w:pPr>
              <w:jc w:val="center"/>
              <w:ind w:left="1355"/>
              <w:spacing w:after="0"/>
              <w:rPr>
                <w:sz w:val="20"/>
                <w:szCs w:val="20"/>
                <w:color w:val="auto"/>
              </w:rPr>
            </w:pPr>
            <w:r>
              <w:rPr>
                <w:rFonts w:ascii="Times New Roman" w:cs="Times New Roman" w:eastAsia="Times New Roman" w:hAnsi="Times New Roman"/>
                <w:sz w:val="14"/>
                <w:szCs w:val="14"/>
                <w:b w:val="1"/>
                <w:bCs w:val="1"/>
                <w:color w:val="auto"/>
              </w:rPr>
              <w:t>(980) 365-7100</w:t>
            </w:r>
          </w:p>
        </w:tc>
        <w:tc>
          <w:tcPr>
            <w:tcW w:w="1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162"/>
        </w:trPr>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380" w:type="dxa"/>
            <w:vAlign w:val="bottom"/>
            <w:gridSpan w:val="3"/>
          </w:tcPr>
          <w:p>
            <w:pPr>
              <w:jc w:val="center"/>
              <w:ind w:left="295"/>
              <w:spacing w:after="0"/>
              <w:rPr>
                <w:sz w:val="20"/>
                <w:szCs w:val="20"/>
                <w:color w:val="auto"/>
              </w:rPr>
            </w:pPr>
            <w:r>
              <w:rPr>
                <w:rFonts w:ascii="Times New Roman" w:cs="Times New Roman" w:eastAsia="Times New Roman" w:hAnsi="Times New Roman"/>
                <w:sz w:val="12"/>
                <w:szCs w:val="12"/>
                <w:i w:val="1"/>
                <w:iCs w:val="1"/>
                <w:color w:val="auto"/>
              </w:rPr>
              <w:t>(Registrant’s telephone number, including area code)</w:t>
            </w:r>
          </w:p>
        </w:tc>
        <w:tc>
          <w:tcPr>
            <w:tcW w:w="400" w:type="dxa"/>
            <w:vAlign w:val="bottom"/>
          </w:tcPr>
          <w:p>
            <w:pPr>
              <w:spacing w:after="0"/>
              <w:rPr>
                <w:sz w:val="14"/>
                <w:szCs w:val="14"/>
                <w:color w:val="auto"/>
              </w:rPr>
            </w:pPr>
          </w:p>
        </w:tc>
        <w:tc>
          <w:tcPr>
            <w:tcW w:w="2180" w:type="dxa"/>
            <w:vAlign w:val="bottom"/>
          </w:tcPr>
          <w:p>
            <w:pPr>
              <w:spacing w:after="0"/>
              <w:rPr>
                <w:sz w:val="14"/>
                <w:szCs w:val="14"/>
                <w:color w:val="auto"/>
              </w:rPr>
            </w:pPr>
          </w:p>
        </w:tc>
      </w:tr>
      <w:tr>
        <w:trPr>
          <w:trHeight w:val="305"/>
        </w:trPr>
        <w:tc>
          <w:tcPr>
            <w:tcW w:w="9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960" w:type="dxa"/>
            <w:vAlign w:val="bottom"/>
            <w:gridSpan w:val="5"/>
          </w:tcPr>
          <w:p>
            <w:pPr>
              <w:jc w:val="center"/>
              <w:ind w:right="2154"/>
              <w:spacing w:after="0"/>
              <w:rPr>
                <w:sz w:val="20"/>
                <w:szCs w:val="20"/>
                <w:color w:val="auto"/>
              </w:rPr>
            </w:pPr>
            <w:r>
              <w:rPr>
                <w:rFonts w:ascii="Times New Roman" w:cs="Times New Roman" w:eastAsia="Times New Roman" w:hAnsi="Times New Roman"/>
                <w:sz w:val="12"/>
                <w:szCs w:val="12"/>
                <w:color w:val="auto"/>
              </w:rPr>
              <w:t>Securities registered pursuant to Section 12(b) of the Act: None</w:t>
            </w:r>
          </w:p>
        </w:tc>
      </w:tr>
      <w:tr>
        <w:trPr>
          <w:trHeight w:val="295"/>
        </w:trPr>
        <w:tc>
          <w:tcPr>
            <w:tcW w:w="92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2"/>
                <w:szCs w:val="12"/>
                <w:color w:val="auto"/>
              </w:rPr>
              <w:t>Title of each class</w:t>
            </w:r>
          </w:p>
        </w:tc>
        <w:tc>
          <w:tcPr>
            <w:tcW w:w="700" w:type="dxa"/>
            <w:vAlign w:val="bottom"/>
          </w:tcPr>
          <w:p>
            <w:pPr>
              <w:spacing w:after="0"/>
              <w:rPr>
                <w:sz w:val="24"/>
                <w:szCs w:val="24"/>
                <w:color w:val="auto"/>
              </w:rPr>
            </w:pPr>
          </w:p>
        </w:tc>
        <w:tc>
          <w:tcPr>
            <w:tcW w:w="3380" w:type="dxa"/>
            <w:vAlign w:val="bottom"/>
            <w:gridSpan w:val="3"/>
          </w:tcPr>
          <w:p>
            <w:pPr>
              <w:jc w:val="center"/>
              <w:ind w:left="255"/>
              <w:spacing w:after="0"/>
              <w:rPr>
                <w:sz w:val="20"/>
                <w:szCs w:val="20"/>
                <w:color w:val="auto"/>
              </w:rPr>
            </w:pPr>
            <w:r>
              <w:rPr>
                <w:rFonts w:ascii="Times New Roman" w:cs="Times New Roman" w:eastAsia="Times New Roman" w:hAnsi="Times New Roman"/>
                <w:sz w:val="12"/>
                <w:szCs w:val="12"/>
                <w:color w:val="auto"/>
              </w:rPr>
              <w:t>Trading symbol(s)</w:t>
            </w:r>
          </w:p>
        </w:tc>
        <w:tc>
          <w:tcPr>
            <w:tcW w:w="400" w:type="dxa"/>
            <w:vAlign w:val="bottom"/>
          </w:tcPr>
          <w:p>
            <w:pPr>
              <w:spacing w:after="0"/>
              <w:rPr>
                <w:sz w:val="24"/>
                <w:szCs w:val="24"/>
                <w:color w:val="auto"/>
              </w:rPr>
            </w:pPr>
          </w:p>
        </w:tc>
        <w:tc>
          <w:tcPr>
            <w:tcW w:w="2180" w:type="dxa"/>
            <w:vAlign w:val="bottom"/>
          </w:tcPr>
          <w:p>
            <w:pPr>
              <w:spacing w:after="0"/>
              <w:rPr>
                <w:sz w:val="20"/>
                <w:szCs w:val="20"/>
                <w:color w:val="auto"/>
              </w:rPr>
            </w:pPr>
            <w:r>
              <w:rPr>
                <w:rFonts w:ascii="Times New Roman" w:cs="Times New Roman" w:eastAsia="Times New Roman" w:hAnsi="Times New Roman"/>
                <w:sz w:val="12"/>
                <w:szCs w:val="12"/>
                <w:color w:val="auto"/>
              </w:rPr>
              <w:t>Name of each exchange on which registered</w:t>
            </w:r>
          </w:p>
        </w:tc>
      </w:tr>
      <w:tr>
        <w:trPr>
          <w:trHeight w:val="20"/>
        </w:trPr>
        <w:tc>
          <w:tcPr>
            <w:tcW w:w="9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r>
    </w:tbl>
    <w:p>
      <w:pPr>
        <w:spacing w:after="0" w:line="200" w:lineRule="exact"/>
        <w:rPr>
          <w:sz w:val="24"/>
          <w:szCs w:val="24"/>
          <w:color w:val="auto"/>
        </w:rPr>
      </w:pPr>
    </w:p>
    <w:p>
      <w:pPr>
        <w:spacing w:after="0" w:line="272" w:lineRule="exact"/>
        <w:rPr>
          <w:sz w:val="24"/>
          <w:szCs w:val="24"/>
          <w:color w:val="auto"/>
        </w:rPr>
      </w:pPr>
    </w:p>
    <w:p>
      <w:pPr>
        <w:ind w:right="380"/>
        <w:spacing w:after="0" w:line="163" w:lineRule="exact"/>
        <w:rPr>
          <w:sz w:val="20"/>
          <w:szCs w:val="20"/>
          <w:color w:val="auto"/>
        </w:rPr>
      </w:pPr>
      <w:r>
        <w:rPr>
          <w:rFonts w:ascii="Times New Roman" w:cs="Times New Roman" w:eastAsia="Times New Roman" w:hAnsi="Times New Roman"/>
          <w:sz w:val="12"/>
          <w:szCs w:val="12"/>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p>
    <w:p>
      <w:pPr>
        <w:spacing w:after="0" w:line="125" w:lineRule="exact"/>
        <w:rPr>
          <w:sz w:val="24"/>
          <w:szCs w:val="24"/>
          <w:color w:val="auto"/>
        </w:rPr>
      </w:pPr>
    </w:p>
    <w:p>
      <w:pPr>
        <w:spacing w:after="0" w:line="163" w:lineRule="exact"/>
        <w:rPr>
          <w:sz w:val="20"/>
          <w:szCs w:val="20"/>
          <w:color w:val="auto"/>
        </w:rPr>
      </w:pPr>
      <w:r>
        <w:rPr>
          <w:rFonts w:ascii="Times New Roman" w:cs="Times New Roman" w:eastAsia="Times New Roman" w:hAnsi="Times New Roman"/>
          <w:sz w:val="12"/>
          <w:szCs w:val="12"/>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p>
    <w:p>
      <w:pPr>
        <w:spacing w:after="0" w:line="138" w:lineRule="exact"/>
        <w:rPr>
          <w:sz w:val="24"/>
          <w:szCs w:val="24"/>
          <w:color w:val="auto"/>
        </w:rPr>
      </w:pPr>
    </w:p>
    <w:p>
      <w:pPr>
        <w:ind w:right="20"/>
        <w:spacing w:after="0" w:line="292" w:lineRule="auto"/>
        <w:rPr>
          <w:sz w:val="20"/>
          <w:szCs w:val="20"/>
          <w:color w:val="auto"/>
        </w:rPr>
      </w:pPr>
      <w:r>
        <w:rPr>
          <w:rFonts w:ascii="Times New Roman" w:cs="Times New Roman" w:eastAsia="Times New Roman" w:hAnsi="Times New Roman"/>
          <w:sz w:val="12"/>
          <w:szCs w:val="12"/>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59" w:lineRule="exact"/>
        <w:rPr>
          <w:sz w:val="24"/>
          <w:szCs w:val="24"/>
          <w:color w:val="auto"/>
        </w:rPr>
      </w:pPr>
    </w:p>
    <w:tbl>
      <w:tblPr>
        <w:tblLayout w:type="fixed"/>
        <w:tblInd w:w="1160" w:type="dxa"/>
        <w:tblCellMar>
          <w:top w:w="0" w:type="dxa"/>
          <w:left w:w="0" w:type="dxa"/>
          <w:bottom w:w="0" w:type="dxa"/>
          <w:right w:w="0" w:type="dxa"/>
        </w:tblCellMar>
      </w:tblPr>
      <w:tr>
        <w:trPr>
          <w:trHeight w:val="212"/>
        </w:trPr>
        <w:tc>
          <w:tcPr>
            <w:tcW w:w="1180" w:type="dxa"/>
            <w:vAlign w:val="bottom"/>
          </w:tcPr>
          <w:p>
            <w:pPr>
              <w:spacing w:after="0"/>
              <w:rPr>
                <w:sz w:val="20"/>
                <w:szCs w:val="20"/>
                <w:color w:val="auto"/>
              </w:rPr>
            </w:pPr>
            <w:r>
              <w:rPr>
                <w:rFonts w:ascii="Times New Roman" w:cs="Times New Roman" w:eastAsia="Times New Roman" w:hAnsi="Times New Roman"/>
                <w:sz w:val="12"/>
                <w:szCs w:val="12"/>
                <w:color w:val="auto"/>
              </w:rPr>
              <w:t>Large accelerated filer</w:t>
            </w:r>
          </w:p>
        </w:tc>
        <w:tc>
          <w:tcPr>
            <w:tcW w:w="2900" w:type="dxa"/>
            <w:vAlign w:val="bottom"/>
          </w:tcPr>
          <w:p>
            <w:pPr>
              <w:ind w:left="60"/>
              <w:spacing w:after="0" w:line="121" w:lineRule="exact"/>
              <w:rPr>
                <w:sz w:val="20"/>
                <w:szCs w:val="20"/>
                <w:color w:val="auto"/>
              </w:rPr>
            </w:pPr>
            <w:r>
              <w:rPr>
                <w:rFonts w:ascii="MS PGothic" w:cs="MS PGothic" w:eastAsia="MS PGothic" w:hAnsi="MS PGothic"/>
                <w:sz w:val="12"/>
                <w:szCs w:val="12"/>
                <w:color w:val="auto"/>
              </w:rPr>
              <w:t>☐</w:t>
            </w:r>
          </w:p>
        </w:tc>
        <w:tc>
          <w:tcPr>
            <w:tcW w:w="4180" w:type="dxa"/>
            <w:vAlign w:val="bottom"/>
          </w:tcPr>
          <w:p>
            <w:pPr>
              <w:ind w:left="2720"/>
              <w:spacing w:after="0"/>
              <w:rPr>
                <w:sz w:val="20"/>
                <w:szCs w:val="20"/>
                <w:color w:val="auto"/>
              </w:rPr>
            </w:pPr>
            <w:r>
              <w:rPr>
                <w:rFonts w:ascii="Times New Roman" w:cs="Times New Roman" w:eastAsia="Times New Roman" w:hAnsi="Times New Roman"/>
                <w:sz w:val="12"/>
                <w:szCs w:val="12"/>
                <w:color w:val="auto"/>
              </w:rPr>
              <w:t>Accelerated filer</w:t>
            </w:r>
          </w:p>
        </w:tc>
        <w:tc>
          <w:tcPr>
            <w:tcW w:w="240" w:type="dxa"/>
            <w:vAlign w:val="bottom"/>
          </w:tcPr>
          <w:p>
            <w:pPr>
              <w:ind w:left="1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99"/>
        </w:trPr>
        <w:tc>
          <w:tcPr>
            <w:tcW w:w="1180" w:type="dxa"/>
            <w:vAlign w:val="bottom"/>
          </w:tcPr>
          <w:p>
            <w:pPr>
              <w:spacing w:after="0"/>
              <w:rPr>
                <w:sz w:val="20"/>
                <w:szCs w:val="20"/>
                <w:color w:val="auto"/>
              </w:rPr>
            </w:pPr>
            <w:r>
              <w:rPr>
                <w:rFonts w:ascii="Times New Roman" w:cs="Times New Roman" w:eastAsia="Times New Roman" w:hAnsi="Times New Roman"/>
                <w:sz w:val="12"/>
                <w:szCs w:val="12"/>
                <w:color w:val="auto"/>
              </w:rPr>
              <w:t>Non-accelerated filer</w:t>
            </w:r>
          </w:p>
        </w:tc>
        <w:tc>
          <w:tcPr>
            <w:tcW w:w="2900" w:type="dxa"/>
            <w:vAlign w:val="bottom"/>
          </w:tcPr>
          <w:p>
            <w:pPr>
              <w:ind w:left="60"/>
              <w:spacing w:after="0" w:line="121" w:lineRule="exact"/>
              <w:rPr>
                <w:sz w:val="20"/>
                <w:szCs w:val="20"/>
                <w:color w:val="auto"/>
              </w:rPr>
            </w:pPr>
            <w:r>
              <w:rPr>
                <w:rFonts w:ascii="MS PGothic" w:cs="MS PGothic" w:eastAsia="MS PGothic" w:hAnsi="MS PGothic"/>
                <w:sz w:val="12"/>
                <w:szCs w:val="12"/>
                <w:color w:val="auto"/>
              </w:rPr>
              <w:t>☑</w:t>
            </w:r>
          </w:p>
        </w:tc>
        <w:tc>
          <w:tcPr>
            <w:tcW w:w="4180" w:type="dxa"/>
            <w:vAlign w:val="bottom"/>
          </w:tcPr>
          <w:p>
            <w:pPr>
              <w:ind w:left="2720"/>
              <w:spacing w:after="0"/>
              <w:rPr>
                <w:sz w:val="20"/>
                <w:szCs w:val="20"/>
                <w:color w:val="auto"/>
              </w:rPr>
            </w:pPr>
            <w:r>
              <w:rPr>
                <w:rFonts w:ascii="Times New Roman" w:cs="Times New Roman" w:eastAsia="Times New Roman" w:hAnsi="Times New Roman"/>
                <w:sz w:val="12"/>
                <w:szCs w:val="12"/>
                <w:color w:val="auto"/>
              </w:rPr>
              <w:t>Smaller reporting company</w:t>
            </w:r>
          </w:p>
        </w:tc>
        <w:tc>
          <w:tcPr>
            <w:tcW w:w="240" w:type="dxa"/>
            <w:vAlign w:val="bottom"/>
          </w:tcPr>
          <w:p>
            <w:pPr>
              <w:ind w:left="1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37"/>
        </w:trPr>
        <w:tc>
          <w:tcPr>
            <w:tcW w:w="118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4180" w:type="dxa"/>
            <w:vAlign w:val="bottom"/>
          </w:tcPr>
          <w:p>
            <w:pPr>
              <w:ind w:left="2720"/>
              <w:spacing w:after="0"/>
              <w:rPr>
                <w:sz w:val="20"/>
                <w:szCs w:val="20"/>
                <w:color w:val="auto"/>
              </w:rPr>
            </w:pPr>
            <w:r>
              <w:rPr>
                <w:rFonts w:ascii="Times New Roman" w:cs="Times New Roman" w:eastAsia="Times New Roman" w:hAnsi="Times New Roman"/>
                <w:sz w:val="12"/>
                <w:szCs w:val="12"/>
                <w:color w:val="auto"/>
              </w:rPr>
              <w:t>Emerging growth company</w:t>
            </w:r>
          </w:p>
        </w:tc>
        <w:tc>
          <w:tcPr>
            <w:tcW w:w="240" w:type="dxa"/>
            <w:vAlign w:val="bottom"/>
          </w:tcPr>
          <w:p>
            <w:pPr>
              <w:ind w:left="12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223" w:lineRule="exact"/>
        <w:rPr>
          <w:sz w:val="24"/>
          <w:szCs w:val="24"/>
          <w:color w:val="auto"/>
        </w:rPr>
      </w:pPr>
    </w:p>
    <w:p>
      <w:pPr>
        <w:ind w:right="100"/>
        <w:spacing w:after="0" w:line="163"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112" w:lineRule="exact"/>
        <w:rPr>
          <w:sz w:val="24"/>
          <w:szCs w:val="24"/>
          <w:color w:val="auto"/>
        </w:rPr>
      </w:pPr>
    </w:p>
    <w:p>
      <w:pPr>
        <w:spacing w:after="0" w:line="138" w:lineRule="exact"/>
        <w:tabs>
          <w:tab w:leader="none" w:pos="5720" w:val="left"/>
        </w:tabs>
        <w:rPr>
          <w:sz w:val="20"/>
          <w:szCs w:val="20"/>
          <w:color w:val="auto"/>
        </w:rPr>
      </w:pPr>
      <w:r>
        <w:rPr>
          <w:rFonts w:ascii="Times New Roman" w:cs="Times New Roman" w:eastAsia="Times New Roman" w:hAnsi="Times New Roman"/>
          <w:sz w:val="12"/>
          <w:szCs w:val="12"/>
          <w:color w:val="auto"/>
        </w:rPr>
        <w:t>Indicate by check mark whether the registrant is a shell company (as defined in Rule 12b-2 of the Exchange Act).</w:t>
      </w:r>
      <w:r>
        <w:rPr>
          <w:sz w:val="20"/>
          <w:szCs w:val="20"/>
          <w:color w:val="auto"/>
        </w:rPr>
        <w:tab/>
      </w:r>
      <w:r>
        <w:rPr>
          <w:rFonts w:ascii="Times New Roman" w:cs="Times New Roman" w:eastAsia="Times New Roman" w:hAnsi="Times New Roman"/>
          <w:sz w:val="11"/>
          <w:szCs w:val="11"/>
          <w:color w:val="auto"/>
        </w:rPr>
        <w:t xml:space="preserve">Yes </w:t>
      </w:r>
      <w:r>
        <w:rPr>
          <w:rFonts w:ascii="MS PGothic" w:cs="MS PGothic" w:eastAsia="MS PGothic" w:hAnsi="MS PGothic"/>
          <w:sz w:val="11"/>
          <w:szCs w:val="11"/>
          <w:color w:val="auto"/>
          <w:highlight w:val="black"/>
        </w:rPr>
        <w:t>☐</w:t>
      </w:r>
      <w:r>
        <w:rPr>
          <w:rFonts w:ascii="Times New Roman" w:cs="Times New Roman" w:eastAsia="Times New Roman" w:hAnsi="Times New Roman"/>
          <w:sz w:val="11"/>
          <w:szCs w:val="11"/>
          <w:color w:val="auto"/>
        </w:rPr>
        <w:t xml:space="preserve"> No </w:t>
      </w:r>
      <w:r>
        <w:rPr>
          <w:rFonts w:ascii="MS PGothic" w:cs="MS PGothic" w:eastAsia="MS PGothic" w:hAnsi="MS PGothic"/>
          <w:sz w:val="11"/>
          <w:szCs w:val="11"/>
          <w:color w:val="auto"/>
        </w:rPr>
        <w:t>☑</w:t>
      </w:r>
    </w:p>
    <w:p>
      <w:pPr>
        <w:spacing w:after="0" w:line="193"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As of May 11, 2026, 3,000 shares of the registrant’s common stock were outstanding, all of which were owned indirectly by Brighthouse Financial, Inc.</w:t>
      </w:r>
    </w:p>
    <w:p>
      <w:pPr>
        <w:spacing w:after="0" w:line="16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2"/>
          <w:szCs w:val="12"/>
          <w:b w:val="1"/>
          <w:bCs w:val="1"/>
          <w:color w:val="auto"/>
        </w:rPr>
        <w:t>REDUCED DISCLOSURE FORMAT</w:t>
      </w:r>
    </w:p>
    <w:p>
      <w:pPr>
        <w:spacing w:after="0" w:line="167"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The registrant meets the conditions set forth in General Instruction H(1)(a) and (b) of Form 10-Q and is, therefore, filing this Form 10-Q with the reduced disclosure format.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248920</wp:posOffset>
            </wp:positionV>
            <wp:extent cx="716026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0260" cy="42545"/>
                    </a:xfrm>
                    <a:prstGeom prst="rect">
                      <a:avLst/>
                    </a:prstGeom>
                    <a:noFill/>
                  </pic:spPr>
                </pic:pic>
              </a:graphicData>
            </a:graphic>
          </wp:anchor>
        </w:drawing>
        <w:drawing>
          <wp:anchor simplePos="0" relativeHeight="251657728" behindDoc="1" locked="0" layoutInCell="0" allowOverlap="1">
            <wp:simplePos x="0" y="0"/>
            <wp:positionH relativeFrom="column">
              <wp:posOffset>205740</wp:posOffset>
            </wp:positionH>
            <wp:positionV relativeFrom="paragraph">
              <wp:posOffset>118745</wp:posOffset>
            </wp:positionV>
            <wp:extent cx="699516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205740</wp:posOffset>
            </wp:positionH>
            <wp:positionV relativeFrom="paragraph">
              <wp:posOffset>93345</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220"/>
          </w:cols>
          <w:pgMar w:left="320" w:top="1272" w:right="359" w:bottom="1440" w:gutter="0" w:footer="0" w:header="0"/>
        </w:sectPr>
      </w:pPr>
    </w:p>
    <w:bookmarkStart w:id="1" w:name="page2"/>
    <w:bookmarkEnd w:id="1"/>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38" w:lineRule="exact"/>
        <w:rPr>
          <w:sz w:val="20"/>
          <w:szCs w:val="20"/>
          <w:color w:val="auto"/>
        </w:rPr>
      </w:pPr>
    </w:p>
    <w:p>
      <w:pPr>
        <w:ind w:left="10720"/>
        <w:spacing w:after="0"/>
        <w:rPr>
          <w:sz w:val="20"/>
          <w:szCs w:val="20"/>
          <w:color w:val="auto"/>
        </w:rPr>
      </w:pPr>
      <w:r>
        <w:rPr>
          <w:rFonts w:ascii="Times New Roman" w:cs="Times New Roman" w:eastAsia="Times New Roman" w:hAnsi="Times New Roman"/>
          <w:sz w:val="18"/>
          <w:szCs w:val="18"/>
          <w:b w:val="1"/>
          <w:bCs w:val="1"/>
          <w:u w:val="single" w:color="auto"/>
          <w:color w:val="auto"/>
        </w:rPr>
        <w:t>Page</w:t>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u w:val="single" w:color="auto"/>
          <w:color w:val="0000FF"/>
        </w:rPr>
        <w:t>Part I — Financial Information</w:t>
      </w: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1120" w:type="dxa"/>
            <w:vAlign w:val="bottom"/>
            <w:gridSpan w:val="2"/>
          </w:tcPr>
          <w:p>
            <w:pPr>
              <w:ind w:left="100"/>
              <w:spacing w:after="0" w:line="189" w:lineRule="exact"/>
              <w:rPr>
                <w:sz w:val="20"/>
                <w:szCs w:val="20"/>
                <w:color w:val="auto"/>
              </w:rPr>
            </w:pPr>
            <w:r>
              <w:rPr>
                <w:rFonts w:ascii="Times New Roman" w:cs="Times New Roman" w:eastAsia="Times New Roman" w:hAnsi="Times New Roman"/>
                <w:sz w:val="18"/>
                <w:szCs w:val="18"/>
                <w:b w:val="1"/>
                <w:bCs w:val="1"/>
                <w:color w:val="auto"/>
              </w:rPr>
              <w:t>Item 1.</w:t>
            </w:r>
          </w:p>
        </w:tc>
        <w:tc>
          <w:tcPr>
            <w:tcW w:w="9720" w:type="dxa"/>
            <w:vAlign w:val="bottom"/>
            <w:gridSpan w:val="23"/>
          </w:tcPr>
          <w:p>
            <w:pPr>
              <w:spacing w:after="0" w:line="189" w:lineRule="exact"/>
              <w:rPr>
                <w:sz w:val="20"/>
                <w:szCs w:val="20"/>
                <w:color w:val="auto"/>
              </w:rPr>
            </w:pPr>
            <w:r>
              <w:rPr>
                <w:rFonts w:ascii="Times New Roman" w:cs="Times New Roman" w:eastAsia="Times New Roman" w:hAnsi="Times New Roman"/>
                <w:sz w:val="18"/>
                <w:szCs w:val="18"/>
                <w:color w:val="auto"/>
              </w:rPr>
              <w:t>Consolidated Financial Statements (at March 31, 2026 (Unaudited) and December 31, 2025 and for the Three Months Ended</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r>
      <w:tr>
        <w:trPr>
          <w:trHeight w:val="231"/>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56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March 31, 2026 and 2025 (Unaudited)):</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r>
      <w:tr>
        <w:trPr>
          <w:trHeight w:val="193"/>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60" w:type="dxa"/>
            <w:vAlign w:val="bottom"/>
            <w:gridSpan w:val="14"/>
          </w:tcPr>
          <w:p>
            <w:pPr>
              <w:spacing w:after="0" w:line="193" w:lineRule="exact"/>
              <w:rPr>
                <w:sz w:val="20"/>
                <w:szCs w:val="20"/>
                <w:color w:val="auto"/>
              </w:rPr>
            </w:pPr>
            <w:r>
              <w:rPr>
                <w:rFonts w:ascii="Times New Roman" w:cs="Times New Roman" w:eastAsia="Times New Roman" w:hAnsi="Times New Roman"/>
                <w:sz w:val="18"/>
                <w:szCs w:val="18"/>
                <w:color w:val="0000FF"/>
                <w:w w:val="98"/>
              </w:rPr>
              <w:t>Interim Condensed Consolidated Balance Sheets</w:t>
            </w:r>
          </w:p>
        </w:tc>
        <w:tc>
          <w:tcPr>
            <w:tcW w:w="6100" w:type="dxa"/>
            <w:vAlign w:val="bottom"/>
            <w:gridSpan w:val="8"/>
          </w:tcPr>
          <w:p>
            <w:pPr>
              <w:spacing w:after="0"/>
              <w:rPr>
                <w:sz w:val="16"/>
                <w:szCs w:val="16"/>
                <w:color w:val="auto"/>
              </w:rPr>
            </w:pPr>
          </w:p>
        </w:tc>
        <w:tc>
          <w:tcPr>
            <w:tcW w:w="80" w:type="dxa"/>
            <w:vAlign w:val="bottom"/>
          </w:tcPr>
          <w:p>
            <w:pPr>
              <w:jc w:val="center"/>
              <w:spacing w:after="0" w:line="193" w:lineRule="exact"/>
              <w:rPr>
                <w:sz w:val="20"/>
                <w:szCs w:val="20"/>
                <w:color w:val="auto"/>
              </w:rPr>
            </w:pPr>
            <w:r>
              <w:rPr>
                <w:rFonts w:ascii="Times New Roman" w:cs="Times New Roman" w:eastAsia="Times New Roman" w:hAnsi="Times New Roman"/>
                <w:sz w:val="18"/>
                <w:szCs w:val="18"/>
                <w:color w:val="0000FF"/>
                <w:w w:val="88"/>
              </w:rPr>
              <w:t>2</w:t>
            </w:r>
          </w:p>
        </w:tc>
        <w:tc>
          <w:tcPr>
            <w:tcW w:w="30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560" w:type="dxa"/>
            <w:vAlign w:val="bottom"/>
            <w:gridSpan w:val="22"/>
          </w:tcPr>
          <w:p>
            <w:pPr>
              <w:spacing w:after="0" w:line="205" w:lineRule="exact"/>
              <w:rPr>
                <w:sz w:val="20"/>
                <w:szCs w:val="20"/>
                <w:color w:val="auto"/>
              </w:rPr>
            </w:pPr>
            <w:r>
              <w:rPr>
                <w:rFonts w:ascii="Times New Roman" w:cs="Times New Roman" w:eastAsia="Times New Roman" w:hAnsi="Times New Roman"/>
                <w:sz w:val="18"/>
                <w:szCs w:val="18"/>
                <w:color w:val="0000FF"/>
              </w:rPr>
              <w:t>Interim Condensed Consolidated Statements of Operations and Comprehensive Income (Loss)</w:t>
            </w:r>
          </w:p>
        </w:tc>
        <w:tc>
          <w:tcPr>
            <w:tcW w:w="80" w:type="dxa"/>
            <w:vAlign w:val="bottom"/>
          </w:tcPr>
          <w:p>
            <w:pPr>
              <w:jc w:val="center"/>
              <w:spacing w:after="0" w:line="205" w:lineRule="exact"/>
              <w:rPr>
                <w:sz w:val="20"/>
                <w:szCs w:val="20"/>
                <w:color w:val="auto"/>
              </w:rPr>
            </w:pPr>
            <w:r>
              <w:rPr>
                <w:rFonts w:ascii="Times New Roman" w:cs="Times New Roman" w:eastAsia="Times New Roman" w:hAnsi="Times New Roman"/>
                <w:sz w:val="18"/>
                <w:szCs w:val="18"/>
                <w:color w:val="0000FF"/>
                <w:w w:val="88"/>
              </w:rPr>
              <w:t>3</w:t>
            </w:r>
          </w:p>
        </w:tc>
        <w:tc>
          <w:tcPr>
            <w:tcW w:w="30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60" w:type="dxa"/>
            <w:vAlign w:val="bottom"/>
            <w:gridSpan w:val="16"/>
          </w:tcPr>
          <w:p>
            <w:pPr>
              <w:spacing w:after="0" w:line="205" w:lineRule="exact"/>
              <w:rPr>
                <w:sz w:val="20"/>
                <w:szCs w:val="20"/>
                <w:color w:val="auto"/>
              </w:rPr>
            </w:pPr>
            <w:r>
              <w:rPr>
                <w:rFonts w:ascii="Times New Roman" w:cs="Times New Roman" w:eastAsia="Times New Roman" w:hAnsi="Times New Roman"/>
                <w:sz w:val="18"/>
                <w:szCs w:val="18"/>
                <w:color w:val="0000FF"/>
                <w:w w:val="97"/>
              </w:rPr>
              <w:t>Interim Condensed Consolidated Statements of Equity</w:t>
            </w:r>
          </w:p>
        </w:tc>
        <w:tc>
          <w:tcPr>
            <w:tcW w:w="2760" w:type="dxa"/>
            <w:vAlign w:val="bottom"/>
            <w:gridSpan w:val="4"/>
          </w:tcPr>
          <w:p>
            <w:pPr>
              <w:spacing w:after="0"/>
              <w:rPr>
                <w:sz w:val="17"/>
                <w:szCs w:val="17"/>
                <w:color w:val="auto"/>
              </w:rPr>
            </w:pPr>
          </w:p>
        </w:tc>
        <w:tc>
          <w:tcPr>
            <w:tcW w:w="2940" w:type="dxa"/>
            <w:vAlign w:val="bottom"/>
            <w:gridSpan w:val="2"/>
          </w:tcPr>
          <w:p>
            <w:pPr>
              <w:spacing w:after="0"/>
              <w:rPr>
                <w:sz w:val="17"/>
                <w:szCs w:val="17"/>
                <w:color w:val="auto"/>
              </w:rPr>
            </w:pPr>
          </w:p>
        </w:tc>
        <w:tc>
          <w:tcPr>
            <w:tcW w:w="80" w:type="dxa"/>
            <w:vAlign w:val="bottom"/>
          </w:tcPr>
          <w:p>
            <w:pPr>
              <w:jc w:val="center"/>
              <w:spacing w:after="0" w:line="205" w:lineRule="exact"/>
              <w:rPr>
                <w:sz w:val="20"/>
                <w:szCs w:val="20"/>
                <w:color w:val="auto"/>
              </w:rPr>
            </w:pPr>
            <w:r>
              <w:rPr>
                <w:rFonts w:ascii="Times New Roman" w:cs="Times New Roman" w:eastAsia="Times New Roman" w:hAnsi="Times New Roman"/>
                <w:sz w:val="18"/>
                <w:szCs w:val="18"/>
                <w:color w:val="0000FF"/>
                <w:w w:val="88"/>
              </w:rPr>
              <w:t>4</w:t>
            </w:r>
          </w:p>
        </w:tc>
        <w:tc>
          <w:tcPr>
            <w:tcW w:w="30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20" w:type="dxa"/>
            <w:vAlign w:val="bottom"/>
            <w:gridSpan w:val="17"/>
          </w:tcPr>
          <w:p>
            <w:pPr>
              <w:spacing w:after="0" w:line="205" w:lineRule="exact"/>
              <w:rPr>
                <w:sz w:val="20"/>
                <w:szCs w:val="20"/>
                <w:color w:val="auto"/>
              </w:rPr>
            </w:pPr>
            <w:r>
              <w:rPr>
                <w:rFonts w:ascii="Times New Roman" w:cs="Times New Roman" w:eastAsia="Times New Roman" w:hAnsi="Times New Roman"/>
                <w:sz w:val="18"/>
                <w:szCs w:val="18"/>
                <w:color w:val="0000FF"/>
                <w:w w:val="97"/>
              </w:rPr>
              <w:t>Interim Condensed Consolidated Statements of Cash Flows</w:t>
            </w:r>
          </w:p>
        </w:tc>
        <w:tc>
          <w:tcPr>
            <w:tcW w:w="5340" w:type="dxa"/>
            <w:vAlign w:val="bottom"/>
            <w:gridSpan w:val="5"/>
          </w:tcPr>
          <w:p>
            <w:pPr>
              <w:spacing w:after="0"/>
              <w:rPr>
                <w:sz w:val="17"/>
                <w:szCs w:val="17"/>
                <w:color w:val="auto"/>
              </w:rPr>
            </w:pPr>
          </w:p>
        </w:tc>
        <w:tc>
          <w:tcPr>
            <w:tcW w:w="80" w:type="dxa"/>
            <w:vAlign w:val="bottom"/>
          </w:tcPr>
          <w:p>
            <w:pPr>
              <w:jc w:val="center"/>
              <w:spacing w:after="0" w:line="205" w:lineRule="exact"/>
              <w:rPr>
                <w:sz w:val="20"/>
                <w:szCs w:val="20"/>
                <w:color w:val="auto"/>
              </w:rPr>
            </w:pPr>
            <w:r>
              <w:rPr>
                <w:rFonts w:ascii="Times New Roman" w:cs="Times New Roman" w:eastAsia="Times New Roman" w:hAnsi="Times New Roman"/>
                <w:sz w:val="18"/>
                <w:szCs w:val="18"/>
                <w:color w:val="0000FF"/>
                <w:w w:val="88"/>
              </w:rPr>
              <w:t>5</w:t>
            </w:r>
          </w:p>
        </w:tc>
        <w:tc>
          <w:tcPr>
            <w:tcW w:w="30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700" w:type="dxa"/>
            <w:vAlign w:val="bottom"/>
            <w:tcBorders>
              <w:bottom w:val="single" w:sz="8" w:color="0000FF"/>
            </w:tcBorders>
            <w:gridSpan w:val="19"/>
          </w:tcPr>
          <w:p>
            <w:pPr>
              <w:spacing w:after="0" w:line="205" w:lineRule="exact"/>
              <w:rPr>
                <w:sz w:val="20"/>
                <w:szCs w:val="20"/>
                <w:color w:val="auto"/>
              </w:rPr>
            </w:pPr>
            <w:r>
              <w:rPr>
                <w:rFonts w:ascii="Times New Roman" w:cs="Times New Roman" w:eastAsia="Times New Roman" w:hAnsi="Times New Roman"/>
                <w:sz w:val="18"/>
                <w:szCs w:val="18"/>
                <w:color w:val="0000FF"/>
                <w:w w:val="97"/>
              </w:rPr>
              <w:t>Notes to the Interim Condensed Consolidated Financial Statements (Unaudited):</w:t>
            </w:r>
          </w:p>
        </w:tc>
        <w:tc>
          <w:tcPr>
            <w:tcW w:w="3860" w:type="dxa"/>
            <w:vAlign w:val="bottom"/>
            <w:gridSpan w:val="3"/>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0" w:type="dxa"/>
            <w:vAlign w:val="bottom"/>
            <w:gridSpan w:val="21"/>
          </w:tcPr>
          <w:p>
            <w:pPr>
              <w:spacing w:after="0" w:line="205" w:lineRule="exact"/>
              <w:rPr>
                <w:sz w:val="20"/>
                <w:szCs w:val="20"/>
                <w:color w:val="auto"/>
              </w:rPr>
            </w:pPr>
            <w:r>
              <w:rPr>
                <w:rFonts w:ascii="Times New Roman" w:cs="Times New Roman" w:eastAsia="Times New Roman" w:hAnsi="Times New Roman"/>
                <w:sz w:val="18"/>
                <w:szCs w:val="18"/>
                <w:color w:val="0000FF"/>
              </w:rPr>
              <w:t>Note 1 — Business, Basis of Presentation and Summary of Significant Accounting Policies</w:t>
            </w:r>
          </w:p>
        </w:tc>
        <w:tc>
          <w:tcPr>
            <w:tcW w:w="80" w:type="dxa"/>
            <w:vAlign w:val="bottom"/>
          </w:tcPr>
          <w:p>
            <w:pPr>
              <w:jc w:val="center"/>
              <w:spacing w:after="0" w:line="205" w:lineRule="exact"/>
              <w:rPr>
                <w:sz w:val="20"/>
                <w:szCs w:val="20"/>
                <w:color w:val="auto"/>
              </w:rPr>
            </w:pPr>
            <w:r>
              <w:rPr>
                <w:rFonts w:ascii="Times New Roman" w:cs="Times New Roman" w:eastAsia="Times New Roman" w:hAnsi="Times New Roman"/>
                <w:sz w:val="18"/>
                <w:szCs w:val="18"/>
                <w:color w:val="0000FF"/>
                <w:w w:val="88"/>
              </w:rPr>
              <w:t>6</w:t>
            </w:r>
          </w:p>
        </w:tc>
        <w:tc>
          <w:tcPr>
            <w:tcW w:w="30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2380" w:type="dxa"/>
            <w:vAlign w:val="bottom"/>
            <w:tcBorders>
              <w:right w:val="single" w:sz="8" w:color="0000FF"/>
            </w:tcBorders>
            <w:gridSpan w:val="2"/>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60" w:type="dxa"/>
            <w:vAlign w:val="bottom"/>
            <w:gridSpan w:val="11"/>
          </w:tcPr>
          <w:p>
            <w:pPr>
              <w:spacing w:after="0" w:line="205" w:lineRule="exact"/>
              <w:rPr>
                <w:sz w:val="20"/>
                <w:szCs w:val="20"/>
                <w:color w:val="auto"/>
              </w:rPr>
            </w:pPr>
            <w:r>
              <w:rPr>
                <w:rFonts w:ascii="Times New Roman" w:cs="Times New Roman" w:eastAsia="Times New Roman" w:hAnsi="Times New Roman"/>
                <w:sz w:val="18"/>
                <w:szCs w:val="18"/>
                <w:color w:val="0000FF"/>
                <w:w w:val="96"/>
              </w:rPr>
              <w:t>Note 2 — Segment Information</w:t>
            </w:r>
          </w:p>
        </w:tc>
        <w:tc>
          <w:tcPr>
            <w:tcW w:w="4200" w:type="dxa"/>
            <w:vAlign w:val="bottom"/>
            <w:gridSpan w:val="8"/>
          </w:tcPr>
          <w:p>
            <w:pPr>
              <w:spacing w:after="0"/>
              <w:rPr>
                <w:sz w:val="17"/>
                <w:szCs w:val="17"/>
                <w:color w:val="auto"/>
              </w:rPr>
            </w:pPr>
          </w:p>
        </w:tc>
        <w:tc>
          <w:tcPr>
            <w:tcW w:w="2940" w:type="dxa"/>
            <w:vAlign w:val="bottom"/>
            <w:gridSpan w:val="2"/>
          </w:tcPr>
          <w:p>
            <w:pPr>
              <w:spacing w:after="0"/>
              <w:rPr>
                <w:sz w:val="17"/>
                <w:szCs w:val="17"/>
                <w:color w:val="auto"/>
              </w:rPr>
            </w:pPr>
          </w:p>
        </w:tc>
        <w:tc>
          <w:tcPr>
            <w:tcW w:w="80" w:type="dxa"/>
            <w:vAlign w:val="bottom"/>
          </w:tcPr>
          <w:p>
            <w:pPr>
              <w:jc w:val="center"/>
              <w:spacing w:after="0" w:line="205" w:lineRule="exact"/>
              <w:rPr>
                <w:sz w:val="20"/>
                <w:szCs w:val="20"/>
                <w:color w:val="auto"/>
              </w:rPr>
            </w:pPr>
            <w:r>
              <w:rPr>
                <w:rFonts w:ascii="Times New Roman" w:cs="Times New Roman" w:eastAsia="Times New Roman" w:hAnsi="Times New Roman"/>
                <w:sz w:val="18"/>
                <w:szCs w:val="18"/>
                <w:color w:val="0000FF"/>
                <w:w w:val="88"/>
              </w:rPr>
              <w:t>7</w:t>
            </w:r>
          </w:p>
        </w:tc>
        <w:tc>
          <w:tcPr>
            <w:tcW w:w="30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60" w:type="dxa"/>
            <w:vAlign w:val="bottom"/>
            <w:tcBorders>
              <w:bottom w:val="single" w:sz="8" w:color="0000FF"/>
            </w:tcBorders>
            <w:gridSpan w:val="11"/>
          </w:tcPr>
          <w:p>
            <w:pPr>
              <w:spacing w:after="0" w:line="205" w:lineRule="exact"/>
              <w:rPr>
                <w:sz w:val="20"/>
                <w:szCs w:val="20"/>
                <w:color w:val="auto"/>
              </w:rPr>
            </w:pPr>
            <w:r>
              <w:rPr>
                <w:rFonts w:ascii="Times New Roman" w:cs="Times New Roman" w:eastAsia="Times New Roman" w:hAnsi="Times New Roman"/>
                <w:sz w:val="18"/>
                <w:szCs w:val="18"/>
                <w:color w:val="0000FF"/>
                <w:w w:val="99"/>
              </w:rPr>
              <w:t>Note 3 — Insurance Liabilities</w:t>
            </w:r>
          </w:p>
        </w:tc>
        <w:tc>
          <w:tcPr>
            <w:tcW w:w="7140" w:type="dxa"/>
            <w:vAlign w:val="bottom"/>
            <w:gridSpan w:val="10"/>
          </w:tcPr>
          <w:p>
            <w:pPr>
              <w:spacing w:after="0"/>
              <w:rPr>
                <w:sz w:val="17"/>
                <w:szCs w:val="17"/>
                <w:color w:val="auto"/>
              </w:rPr>
            </w:pPr>
          </w:p>
        </w:tc>
        <w:tc>
          <w:tcPr>
            <w:tcW w:w="80" w:type="dxa"/>
            <w:vAlign w:val="bottom"/>
            <w:tcBorders>
              <w:bottom w:val="single" w:sz="8" w:color="0000FF"/>
            </w:tcBorders>
          </w:tcPr>
          <w:p>
            <w:pPr>
              <w:jc w:val="center"/>
              <w:spacing w:after="0" w:line="205" w:lineRule="exact"/>
              <w:rPr>
                <w:sz w:val="20"/>
                <w:szCs w:val="20"/>
                <w:color w:val="auto"/>
              </w:rPr>
            </w:pPr>
            <w:r>
              <w:rPr>
                <w:rFonts w:ascii="Times New Roman" w:cs="Times New Roman" w:eastAsia="Times New Roman" w:hAnsi="Times New Roman"/>
                <w:sz w:val="18"/>
                <w:szCs w:val="18"/>
                <w:color w:val="0000FF"/>
                <w:w w:val="77"/>
              </w:rPr>
              <w:t>12</w:t>
            </w:r>
          </w:p>
        </w:tc>
        <w:tc>
          <w:tcPr>
            <w:tcW w:w="30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60" w:type="dxa"/>
            <w:vAlign w:val="bottom"/>
            <w:tcBorders>
              <w:bottom w:val="single" w:sz="8" w:color="0000FF"/>
            </w:tcBorders>
            <w:gridSpan w:val="11"/>
          </w:tcPr>
          <w:p>
            <w:pPr>
              <w:spacing w:after="0" w:line="205" w:lineRule="exact"/>
              <w:rPr>
                <w:sz w:val="20"/>
                <w:szCs w:val="20"/>
                <w:color w:val="auto"/>
              </w:rPr>
            </w:pPr>
            <w:r>
              <w:rPr>
                <w:rFonts w:ascii="Times New Roman" w:cs="Times New Roman" w:eastAsia="Times New Roman" w:hAnsi="Times New Roman"/>
                <w:sz w:val="18"/>
                <w:szCs w:val="18"/>
                <w:color w:val="0000FF"/>
                <w:w w:val="96"/>
              </w:rPr>
              <w:t>Note 4 — Market Risk Benefits</w:t>
            </w:r>
          </w:p>
        </w:tc>
        <w:tc>
          <w:tcPr>
            <w:tcW w:w="7140" w:type="dxa"/>
            <w:vAlign w:val="bottom"/>
            <w:gridSpan w:val="10"/>
          </w:tcPr>
          <w:p>
            <w:pPr>
              <w:spacing w:after="0"/>
              <w:rPr>
                <w:sz w:val="17"/>
                <w:szCs w:val="17"/>
                <w:color w:val="auto"/>
              </w:rPr>
            </w:pPr>
          </w:p>
        </w:tc>
        <w:tc>
          <w:tcPr>
            <w:tcW w:w="80" w:type="dxa"/>
            <w:vAlign w:val="bottom"/>
            <w:tcBorders>
              <w:bottom w:val="single" w:sz="8" w:color="0000FF"/>
            </w:tcBorders>
          </w:tcPr>
          <w:p>
            <w:pPr>
              <w:jc w:val="center"/>
              <w:spacing w:after="0" w:line="205" w:lineRule="exact"/>
              <w:rPr>
                <w:sz w:val="20"/>
                <w:szCs w:val="20"/>
                <w:color w:val="auto"/>
              </w:rPr>
            </w:pPr>
            <w:r>
              <w:rPr>
                <w:rFonts w:ascii="Times New Roman" w:cs="Times New Roman" w:eastAsia="Times New Roman" w:hAnsi="Times New Roman"/>
                <w:sz w:val="18"/>
                <w:szCs w:val="18"/>
                <w:color w:val="0000FF"/>
                <w:w w:val="77"/>
              </w:rPr>
              <w:t>16</w:t>
            </w:r>
          </w:p>
        </w:tc>
        <w:tc>
          <w:tcPr>
            <w:tcW w:w="30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0" w:type="dxa"/>
            <w:vAlign w:val="bottom"/>
            <w:gridSpan w:val="21"/>
          </w:tcPr>
          <w:p>
            <w:pPr>
              <w:spacing w:after="0" w:line="205" w:lineRule="exact"/>
              <w:rPr>
                <w:sz w:val="20"/>
                <w:szCs w:val="20"/>
                <w:color w:val="auto"/>
              </w:rPr>
            </w:pPr>
            <w:r>
              <w:rPr>
                <w:rFonts w:ascii="Times New Roman" w:cs="Times New Roman" w:eastAsia="Times New Roman" w:hAnsi="Times New Roman"/>
                <w:sz w:val="18"/>
                <w:szCs w:val="18"/>
                <w:color w:val="0000FF"/>
              </w:rPr>
              <w:t>Note 5 — Separate Accounts</w:t>
            </w:r>
          </w:p>
        </w:tc>
        <w:tc>
          <w:tcPr>
            <w:tcW w:w="380" w:type="dxa"/>
            <w:vAlign w:val="bottom"/>
            <w:gridSpan w:val="2"/>
          </w:tcPr>
          <w:p>
            <w:pPr>
              <w:jc w:val="center"/>
              <w:ind w:right="240"/>
              <w:spacing w:after="0" w:line="205" w:lineRule="exact"/>
              <w:rPr>
                <w:sz w:val="20"/>
                <w:szCs w:val="20"/>
                <w:color w:val="auto"/>
              </w:rPr>
            </w:pPr>
            <w:r>
              <w:rPr>
                <w:rFonts w:ascii="Times New Roman" w:cs="Times New Roman" w:eastAsia="Times New Roman" w:hAnsi="Times New Roman"/>
                <w:sz w:val="18"/>
                <w:szCs w:val="18"/>
                <w:color w:val="0000FF"/>
                <w:w w:val="77"/>
              </w:rPr>
              <w:t>16</w:t>
            </w: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0" w:type="dxa"/>
            <w:vAlign w:val="bottom"/>
            <w:gridSpan w:val="21"/>
          </w:tcPr>
          <w:p>
            <w:pPr>
              <w:spacing w:after="0" w:line="205" w:lineRule="exact"/>
              <w:rPr>
                <w:sz w:val="20"/>
                <w:szCs w:val="20"/>
                <w:color w:val="auto"/>
              </w:rPr>
            </w:pPr>
            <w:r>
              <w:rPr>
                <w:rFonts w:ascii="Times New Roman" w:cs="Times New Roman" w:eastAsia="Times New Roman" w:hAnsi="Times New Roman"/>
                <w:sz w:val="18"/>
                <w:szCs w:val="18"/>
                <w:color w:val="0000FF"/>
              </w:rPr>
              <w:t>Note 6 — Deferred Policy Acquisition Costs, Value of Business Acquired and Other Intangibles</w:t>
            </w:r>
          </w:p>
        </w:tc>
        <w:tc>
          <w:tcPr>
            <w:tcW w:w="380" w:type="dxa"/>
            <w:vAlign w:val="bottom"/>
            <w:gridSpan w:val="2"/>
          </w:tcPr>
          <w:p>
            <w:pPr>
              <w:jc w:val="center"/>
              <w:ind w:right="240"/>
              <w:spacing w:after="0" w:line="205" w:lineRule="exact"/>
              <w:rPr>
                <w:sz w:val="20"/>
                <w:szCs w:val="20"/>
                <w:color w:val="auto"/>
              </w:rPr>
            </w:pPr>
            <w:r>
              <w:rPr>
                <w:rFonts w:ascii="Times New Roman" w:cs="Times New Roman" w:eastAsia="Times New Roman" w:hAnsi="Times New Roman"/>
                <w:sz w:val="18"/>
                <w:szCs w:val="18"/>
                <w:color w:val="0000FF"/>
                <w:w w:val="77"/>
              </w:rPr>
              <w:t>18</w:t>
            </w:r>
          </w:p>
        </w:tc>
      </w:tr>
      <w:tr>
        <w:trPr>
          <w:trHeight w:val="205"/>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0" w:type="dxa"/>
            <w:vAlign w:val="bottom"/>
            <w:tcBorders>
              <w:top w:val="single" w:sz="8" w:color="0000FF"/>
            </w:tcBorders>
            <w:gridSpan w:val="20"/>
          </w:tcPr>
          <w:p>
            <w:pPr>
              <w:spacing w:after="0" w:line="205" w:lineRule="exact"/>
              <w:rPr>
                <w:sz w:val="20"/>
                <w:szCs w:val="20"/>
                <w:color w:val="auto"/>
              </w:rPr>
            </w:pPr>
            <w:r>
              <w:rPr>
                <w:rFonts w:ascii="Times New Roman" w:cs="Times New Roman" w:eastAsia="Times New Roman" w:hAnsi="Times New Roman"/>
                <w:sz w:val="18"/>
                <w:szCs w:val="18"/>
                <w:color w:val="0000FF"/>
              </w:rPr>
              <w:t>Note 7 — Investments</w:t>
            </w:r>
          </w:p>
        </w:tc>
        <w:tc>
          <w:tcPr>
            <w:tcW w:w="2600" w:type="dxa"/>
            <w:vAlign w:val="bottom"/>
          </w:tcPr>
          <w:p>
            <w:pPr>
              <w:spacing w:after="0"/>
              <w:rPr>
                <w:sz w:val="17"/>
                <w:szCs w:val="17"/>
                <w:color w:val="auto"/>
              </w:rPr>
            </w:pPr>
          </w:p>
        </w:tc>
        <w:tc>
          <w:tcPr>
            <w:tcW w:w="80" w:type="dxa"/>
            <w:vAlign w:val="bottom"/>
            <w:tcBorders>
              <w:top w:val="single" w:sz="8" w:color="0000FF"/>
            </w:tcBorders>
          </w:tcPr>
          <w:p>
            <w:pPr>
              <w:jc w:val="center"/>
              <w:spacing w:after="0" w:line="205" w:lineRule="exact"/>
              <w:rPr>
                <w:sz w:val="20"/>
                <w:szCs w:val="20"/>
                <w:color w:val="auto"/>
              </w:rPr>
            </w:pPr>
            <w:r>
              <w:rPr>
                <w:rFonts w:ascii="Times New Roman" w:cs="Times New Roman" w:eastAsia="Times New Roman" w:hAnsi="Times New Roman"/>
                <w:sz w:val="18"/>
                <w:szCs w:val="18"/>
                <w:color w:val="0000FF"/>
                <w:w w:val="77"/>
              </w:rPr>
              <w:t>19</w:t>
            </w:r>
          </w:p>
        </w:tc>
        <w:tc>
          <w:tcPr>
            <w:tcW w:w="30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Borders>
              <w:top w:val="single" w:sz="8" w:color="0000FF"/>
            </w:tcBorders>
            <w:gridSpan w:val="9"/>
          </w:tcPr>
          <w:p>
            <w:pPr>
              <w:spacing w:after="0" w:line="205" w:lineRule="exact"/>
              <w:rPr>
                <w:sz w:val="20"/>
                <w:szCs w:val="20"/>
                <w:color w:val="auto"/>
              </w:rPr>
            </w:pPr>
            <w:r>
              <w:rPr>
                <w:rFonts w:ascii="Times New Roman" w:cs="Times New Roman" w:eastAsia="Times New Roman" w:hAnsi="Times New Roman"/>
                <w:sz w:val="18"/>
                <w:szCs w:val="18"/>
                <w:color w:val="0000FF"/>
                <w:w w:val="99"/>
              </w:rPr>
              <w:t>Note 8 — Derivatives</w:t>
            </w:r>
          </w:p>
        </w:tc>
        <w:tc>
          <w:tcPr>
            <w:tcW w:w="7800" w:type="dxa"/>
            <w:vAlign w:val="bottom"/>
            <w:gridSpan w:val="12"/>
          </w:tcPr>
          <w:p>
            <w:pPr>
              <w:spacing w:after="0"/>
              <w:rPr>
                <w:sz w:val="17"/>
                <w:szCs w:val="17"/>
                <w:color w:val="auto"/>
              </w:rPr>
            </w:pPr>
          </w:p>
        </w:tc>
        <w:tc>
          <w:tcPr>
            <w:tcW w:w="80" w:type="dxa"/>
            <w:vAlign w:val="bottom"/>
            <w:tcBorders>
              <w:top w:val="single" w:sz="8" w:color="0000FF"/>
            </w:tcBorders>
          </w:tcPr>
          <w:p>
            <w:pPr>
              <w:jc w:val="center"/>
              <w:spacing w:after="0" w:line="205" w:lineRule="exact"/>
              <w:rPr>
                <w:sz w:val="20"/>
                <w:szCs w:val="20"/>
                <w:color w:val="auto"/>
              </w:rPr>
            </w:pPr>
            <w:r>
              <w:rPr>
                <w:rFonts w:ascii="Times New Roman" w:cs="Times New Roman" w:eastAsia="Times New Roman" w:hAnsi="Times New Roman"/>
                <w:sz w:val="18"/>
                <w:szCs w:val="18"/>
                <w:color w:val="0000FF"/>
                <w:w w:val="77"/>
              </w:rPr>
              <w:t>31</w:t>
            </w:r>
          </w:p>
        </w:tc>
        <w:tc>
          <w:tcPr>
            <w:tcW w:w="30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Borders>
              <w:top w:val="single" w:sz="8" w:color="0000FF"/>
              <w:bottom w:val="single" w:sz="8" w:color="0000FF"/>
            </w:tcBorders>
            <w:gridSpan w:val="7"/>
          </w:tcPr>
          <w:p>
            <w:pPr>
              <w:spacing w:after="0" w:line="205" w:lineRule="exact"/>
              <w:rPr>
                <w:sz w:val="20"/>
                <w:szCs w:val="20"/>
                <w:color w:val="auto"/>
              </w:rPr>
            </w:pPr>
            <w:r>
              <w:rPr>
                <w:rFonts w:ascii="Times New Roman" w:cs="Times New Roman" w:eastAsia="Times New Roman" w:hAnsi="Times New Roman"/>
                <w:sz w:val="18"/>
                <w:szCs w:val="18"/>
                <w:color w:val="0000FF"/>
                <w:w w:val="96"/>
              </w:rPr>
              <w:t>Note 9 — Fair Value</w:t>
            </w:r>
          </w:p>
        </w:tc>
        <w:tc>
          <w:tcPr>
            <w:tcW w:w="80" w:type="dxa"/>
            <w:vAlign w:val="bottom"/>
            <w:tcBorders>
              <w:top w:val="single" w:sz="8" w:color="0000FF"/>
            </w:tcBorders>
          </w:tcPr>
          <w:p>
            <w:pPr>
              <w:spacing w:after="0"/>
              <w:rPr>
                <w:sz w:val="17"/>
                <w:szCs w:val="17"/>
                <w:color w:val="auto"/>
              </w:rPr>
            </w:pPr>
          </w:p>
        </w:tc>
        <w:tc>
          <w:tcPr>
            <w:tcW w:w="7840" w:type="dxa"/>
            <w:vAlign w:val="bottom"/>
            <w:gridSpan w:val="13"/>
          </w:tcPr>
          <w:p>
            <w:pPr>
              <w:spacing w:after="0"/>
              <w:rPr>
                <w:sz w:val="17"/>
                <w:szCs w:val="17"/>
                <w:color w:val="auto"/>
              </w:rPr>
            </w:pPr>
          </w:p>
        </w:tc>
        <w:tc>
          <w:tcPr>
            <w:tcW w:w="80" w:type="dxa"/>
            <w:vAlign w:val="bottom"/>
            <w:tcBorders>
              <w:top w:val="single" w:sz="8" w:color="0000FF"/>
              <w:bottom w:val="single" w:sz="8" w:color="0000FF"/>
            </w:tcBorders>
          </w:tcPr>
          <w:p>
            <w:pPr>
              <w:jc w:val="center"/>
              <w:spacing w:after="0" w:line="205" w:lineRule="exact"/>
              <w:rPr>
                <w:sz w:val="20"/>
                <w:szCs w:val="20"/>
                <w:color w:val="auto"/>
              </w:rPr>
            </w:pPr>
            <w:r>
              <w:rPr>
                <w:rFonts w:ascii="Times New Roman" w:cs="Times New Roman" w:eastAsia="Times New Roman" w:hAnsi="Times New Roman"/>
                <w:sz w:val="18"/>
                <w:szCs w:val="18"/>
                <w:color w:val="0000FF"/>
                <w:w w:val="77"/>
              </w:rPr>
              <w:t>36</w:t>
            </w:r>
          </w:p>
        </w:tc>
        <w:tc>
          <w:tcPr>
            <w:tcW w:w="30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0" w:type="dxa"/>
            <w:vAlign w:val="bottom"/>
            <w:gridSpan w:val="21"/>
          </w:tcPr>
          <w:p>
            <w:pPr>
              <w:spacing w:after="0" w:line="205" w:lineRule="exact"/>
              <w:rPr>
                <w:sz w:val="20"/>
                <w:szCs w:val="20"/>
                <w:color w:val="auto"/>
              </w:rPr>
            </w:pPr>
            <w:r>
              <w:rPr>
                <w:rFonts w:ascii="Times New Roman" w:cs="Times New Roman" w:eastAsia="Times New Roman" w:hAnsi="Times New Roman"/>
                <w:sz w:val="18"/>
                <w:szCs w:val="18"/>
                <w:color w:val="0000FF"/>
              </w:rPr>
              <w:t>Note 10 — Equity</w:t>
            </w:r>
          </w:p>
        </w:tc>
        <w:tc>
          <w:tcPr>
            <w:tcW w:w="380" w:type="dxa"/>
            <w:vAlign w:val="bottom"/>
            <w:gridSpan w:val="2"/>
          </w:tcPr>
          <w:p>
            <w:pPr>
              <w:jc w:val="center"/>
              <w:ind w:right="240"/>
              <w:spacing w:after="0" w:line="205" w:lineRule="exact"/>
              <w:rPr>
                <w:sz w:val="20"/>
                <w:szCs w:val="20"/>
                <w:color w:val="auto"/>
              </w:rPr>
            </w:pPr>
            <w:r>
              <w:rPr>
                <w:rFonts w:ascii="Times New Roman" w:cs="Times New Roman" w:eastAsia="Times New Roman" w:hAnsi="Times New Roman"/>
                <w:sz w:val="18"/>
                <w:szCs w:val="18"/>
                <w:color w:val="0000FF"/>
                <w:w w:val="77"/>
              </w:rPr>
              <w:t>45</w:t>
            </w: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180" w:type="dxa"/>
            <w:vAlign w:val="bottom"/>
            <w:gridSpan w:val="4"/>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2940" w:type="dxa"/>
            <w:vAlign w:val="bottom"/>
            <w:tcBorders>
              <w:right w:val="single" w:sz="8" w:color="0000FF"/>
            </w:tcBorders>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20" w:type="dxa"/>
            <w:vAlign w:val="bottom"/>
            <w:tcBorders>
              <w:bottom w:val="single" w:sz="8" w:color="0000FF"/>
            </w:tcBorders>
            <w:gridSpan w:val="14"/>
          </w:tcPr>
          <w:p>
            <w:pPr>
              <w:spacing w:after="0" w:line="205" w:lineRule="exact"/>
              <w:rPr>
                <w:sz w:val="20"/>
                <w:szCs w:val="20"/>
                <w:color w:val="auto"/>
              </w:rPr>
            </w:pPr>
            <w:r>
              <w:rPr>
                <w:rFonts w:ascii="Times New Roman" w:cs="Times New Roman" w:eastAsia="Times New Roman" w:hAnsi="Times New Roman"/>
                <w:sz w:val="18"/>
                <w:szCs w:val="18"/>
                <w:color w:val="0000FF"/>
                <w:w w:val="97"/>
              </w:rPr>
              <w:t>Note 11 — Other Revenues and Other Expenses</w:t>
            </w:r>
          </w:p>
        </w:tc>
        <w:tc>
          <w:tcPr>
            <w:tcW w:w="5980" w:type="dxa"/>
            <w:vAlign w:val="bottom"/>
            <w:gridSpan w:val="7"/>
          </w:tcPr>
          <w:p>
            <w:pPr>
              <w:spacing w:after="0"/>
              <w:rPr>
                <w:sz w:val="17"/>
                <w:szCs w:val="17"/>
                <w:color w:val="auto"/>
              </w:rPr>
            </w:pPr>
          </w:p>
        </w:tc>
        <w:tc>
          <w:tcPr>
            <w:tcW w:w="80" w:type="dxa"/>
            <w:vAlign w:val="bottom"/>
            <w:tcBorders>
              <w:bottom w:val="single" w:sz="8" w:color="0000FF"/>
            </w:tcBorders>
          </w:tcPr>
          <w:p>
            <w:pPr>
              <w:jc w:val="center"/>
              <w:spacing w:after="0" w:line="205" w:lineRule="exact"/>
              <w:rPr>
                <w:sz w:val="20"/>
                <w:szCs w:val="20"/>
                <w:color w:val="auto"/>
              </w:rPr>
            </w:pPr>
            <w:r>
              <w:rPr>
                <w:rFonts w:ascii="Times New Roman" w:cs="Times New Roman" w:eastAsia="Times New Roman" w:hAnsi="Times New Roman"/>
                <w:sz w:val="18"/>
                <w:szCs w:val="18"/>
                <w:color w:val="0000FF"/>
                <w:w w:val="77"/>
              </w:rPr>
              <w:t>47</w:t>
            </w:r>
          </w:p>
        </w:tc>
        <w:tc>
          <w:tcPr>
            <w:tcW w:w="30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80" w:type="dxa"/>
            <w:vAlign w:val="bottom"/>
            <w:tcBorders>
              <w:bottom w:val="single" w:sz="8" w:color="0000FF"/>
            </w:tcBorders>
            <w:gridSpan w:val="17"/>
          </w:tcPr>
          <w:p>
            <w:pPr>
              <w:spacing w:after="0" w:line="205" w:lineRule="exact"/>
              <w:rPr>
                <w:sz w:val="20"/>
                <w:szCs w:val="20"/>
                <w:color w:val="auto"/>
              </w:rPr>
            </w:pPr>
            <w:r>
              <w:rPr>
                <w:rFonts w:ascii="Times New Roman" w:cs="Times New Roman" w:eastAsia="Times New Roman" w:hAnsi="Times New Roman"/>
                <w:sz w:val="18"/>
                <w:szCs w:val="18"/>
                <w:color w:val="0000FF"/>
                <w:w w:val="97"/>
              </w:rPr>
              <w:t>Note 12 — Contingencies, Commitments and Guarantees</w:t>
            </w:r>
          </w:p>
        </w:tc>
        <w:tc>
          <w:tcPr>
            <w:tcW w:w="5320" w:type="dxa"/>
            <w:vAlign w:val="bottom"/>
            <w:gridSpan w:val="4"/>
          </w:tcPr>
          <w:p>
            <w:pPr>
              <w:spacing w:after="0"/>
              <w:rPr>
                <w:sz w:val="17"/>
                <w:szCs w:val="17"/>
                <w:color w:val="auto"/>
              </w:rPr>
            </w:pPr>
          </w:p>
        </w:tc>
        <w:tc>
          <w:tcPr>
            <w:tcW w:w="80" w:type="dxa"/>
            <w:vAlign w:val="bottom"/>
            <w:tcBorders>
              <w:bottom w:val="single" w:sz="8" w:color="0000FF"/>
            </w:tcBorders>
          </w:tcPr>
          <w:p>
            <w:pPr>
              <w:jc w:val="center"/>
              <w:spacing w:after="0" w:line="205" w:lineRule="exact"/>
              <w:rPr>
                <w:sz w:val="20"/>
                <w:szCs w:val="20"/>
                <w:color w:val="auto"/>
              </w:rPr>
            </w:pPr>
            <w:r>
              <w:rPr>
                <w:rFonts w:ascii="Times New Roman" w:cs="Times New Roman" w:eastAsia="Times New Roman" w:hAnsi="Times New Roman"/>
                <w:sz w:val="18"/>
                <w:szCs w:val="18"/>
                <w:color w:val="0000FF"/>
                <w:w w:val="77"/>
              </w:rPr>
              <w:t>48</w:t>
            </w:r>
          </w:p>
        </w:tc>
        <w:tc>
          <w:tcPr>
            <w:tcW w:w="30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740" w:type="dxa"/>
            <w:vAlign w:val="bottom"/>
            <w:tcBorders>
              <w:bottom w:val="single" w:sz="8" w:color="0000FF"/>
            </w:tcBorders>
            <w:gridSpan w:val="12"/>
          </w:tcPr>
          <w:p>
            <w:pPr>
              <w:spacing w:after="0" w:line="205" w:lineRule="exact"/>
              <w:rPr>
                <w:sz w:val="20"/>
                <w:szCs w:val="20"/>
                <w:color w:val="auto"/>
              </w:rPr>
            </w:pPr>
            <w:r>
              <w:rPr>
                <w:rFonts w:ascii="Times New Roman" w:cs="Times New Roman" w:eastAsia="Times New Roman" w:hAnsi="Times New Roman"/>
                <w:sz w:val="18"/>
                <w:szCs w:val="18"/>
                <w:color w:val="0000FF"/>
                <w:w w:val="97"/>
              </w:rPr>
              <w:t>Note 13 — Related Party Transactions</w:t>
            </w:r>
          </w:p>
        </w:tc>
        <w:tc>
          <w:tcPr>
            <w:tcW w:w="6660" w:type="dxa"/>
            <w:vAlign w:val="bottom"/>
            <w:gridSpan w:val="9"/>
          </w:tcPr>
          <w:p>
            <w:pPr>
              <w:spacing w:after="0"/>
              <w:rPr>
                <w:sz w:val="17"/>
                <w:szCs w:val="17"/>
                <w:color w:val="auto"/>
              </w:rPr>
            </w:pPr>
          </w:p>
        </w:tc>
        <w:tc>
          <w:tcPr>
            <w:tcW w:w="80" w:type="dxa"/>
            <w:vAlign w:val="bottom"/>
            <w:tcBorders>
              <w:bottom w:val="single" w:sz="8" w:color="0000FF"/>
            </w:tcBorders>
          </w:tcPr>
          <w:p>
            <w:pPr>
              <w:jc w:val="center"/>
              <w:spacing w:after="0" w:line="205" w:lineRule="exact"/>
              <w:rPr>
                <w:sz w:val="20"/>
                <w:szCs w:val="20"/>
                <w:color w:val="auto"/>
              </w:rPr>
            </w:pPr>
            <w:r>
              <w:rPr>
                <w:rFonts w:ascii="Times New Roman" w:cs="Times New Roman" w:eastAsia="Times New Roman" w:hAnsi="Times New Roman"/>
                <w:sz w:val="18"/>
                <w:szCs w:val="18"/>
                <w:color w:val="0000FF"/>
                <w:w w:val="77"/>
              </w:rPr>
              <w:t>51</w:t>
            </w:r>
          </w:p>
        </w:tc>
        <w:tc>
          <w:tcPr>
            <w:tcW w:w="300" w:type="dxa"/>
            <w:vAlign w:val="bottom"/>
          </w:tcPr>
          <w:p>
            <w:pPr>
              <w:spacing w:after="0"/>
              <w:rPr>
                <w:sz w:val="17"/>
                <w:szCs w:val="17"/>
                <w:color w:val="auto"/>
              </w:rPr>
            </w:pPr>
          </w:p>
        </w:tc>
      </w:tr>
      <w:tr>
        <w:trPr>
          <w:trHeight w:val="225"/>
        </w:trPr>
        <w:tc>
          <w:tcPr>
            <w:tcW w:w="20" w:type="dxa"/>
            <w:vAlign w:val="bottom"/>
          </w:tcPr>
          <w:p>
            <w:pPr>
              <w:spacing w:after="0"/>
              <w:rPr>
                <w:sz w:val="19"/>
                <w:szCs w:val="19"/>
                <w:color w:val="auto"/>
              </w:rPr>
            </w:pPr>
          </w:p>
        </w:tc>
        <w:tc>
          <w:tcPr>
            <w:tcW w:w="1120" w:type="dxa"/>
            <w:vAlign w:val="bottom"/>
            <w:gridSpan w:val="2"/>
          </w:tcPr>
          <w:p>
            <w:pPr>
              <w:ind w:left="100"/>
              <w:spacing w:after="0" w:line="205" w:lineRule="exact"/>
              <w:rPr>
                <w:sz w:val="20"/>
                <w:szCs w:val="20"/>
                <w:color w:val="auto"/>
              </w:rPr>
            </w:pPr>
            <w:r>
              <w:rPr>
                <w:rFonts w:ascii="Times New Roman" w:cs="Times New Roman" w:eastAsia="Times New Roman" w:hAnsi="Times New Roman"/>
                <w:sz w:val="18"/>
                <w:szCs w:val="18"/>
                <w:b w:val="1"/>
                <w:bCs w:val="1"/>
                <w:color w:val="auto"/>
              </w:rPr>
              <w:t>Item 2.</w:t>
            </w:r>
          </w:p>
        </w:tc>
        <w:tc>
          <w:tcPr>
            <w:tcW w:w="6780" w:type="dxa"/>
            <w:vAlign w:val="bottom"/>
            <w:tcBorders>
              <w:bottom w:val="single" w:sz="8" w:color="0000FF"/>
            </w:tcBorders>
            <w:gridSpan w:val="21"/>
          </w:tcPr>
          <w:p>
            <w:pPr>
              <w:spacing w:after="0" w:line="205" w:lineRule="exact"/>
              <w:rPr>
                <w:sz w:val="20"/>
                <w:szCs w:val="20"/>
                <w:color w:val="auto"/>
              </w:rPr>
            </w:pPr>
            <w:r>
              <w:rPr>
                <w:rFonts w:ascii="Times New Roman" w:cs="Times New Roman" w:eastAsia="Times New Roman" w:hAnsi="Times New Roman"/>
                <w:sz w:val="18"/>
                <w:szCs w:val="18"/>
                <w:b w:val="1"/>
                <w:bCs w:val="1"/>
                <w:color w:val="0000FF"/>
                <w:w w:val="98"/>
              </w:rPr>
              <w:t>Management’s Discussion and Analysis of Financial Condition and Results of Operations</w:t>
            </w:r>
          </w:p>
        </w:tc>
        <w:tc>
          <w:tcPr>
            <w:tcW w:w="2940" w:type="dxa"/>
            <w:vAlign w:val="bottom"/>
            <w:gridSpan w:val="2"/>
          </w:tcPr>
          <w:p>
            <w:pPr>
              <w:spacing w:after="0"/>
              <w:rPr>
                <w:sz w:val="19"/>
                <w:szCs w:val="19"/>
                <w:color w:val="auto"/>
              </w:rPr>
            </w:pPr>
          </w:p>
        </w:tc>
        <w:tc>
          <w:tcPr>
            <w:tcW w:w="80" w:type="dxa"/>
            <w:vAlign w:val="bottom"/>
            <w:tcBorders>
              <w:bottom w:val="single" w:sz="8" w:color="0000FF"/>
            </w:tcBorders>
          </w:tcPr>
          <w:p>
            <w:pPr>
              <w:jc w:val="center"/>
              <w:spacing w:after="0" w:line="205" w:lineRule="exact"/>
              <w:rPr>
                <w:sz w:val="20"/>
                <w:szCs w:val="20"/>
                <w:color w:val="auto"/>
              </w:rPr>
            </w:pPr>
            <w:r>
              <w:rPr>
                <w:rFonts w:ascii="Times New Roman" w:cs="Times New Roman" w:eastAsia="Times New Roman" w:hAnsi="Times New Roman"/>
                <w:sz w:val="18"/>
                <w:szCs w:val="18"/>
                <w:color w:val="0000FF"/>
                <w:w w:val="77"/>
              </w:rPr>
              <w:t>53</w:t>
            </w:r>
          </w:p>
        </w:tc>
        <w:tc>
          <w:tcPr>
            <w:tcW w:w="300" w:type="dxa"/>
            <w:vAlign w:val="bottom"/>
          </w:tcPr>
          <w:p>
            <w:pPr>
              <w:spacing w:after="0"/>
              <w:rPr>
                <w:sz w:val="19"/>
                <w:szCs w:val="19"/>
                <w:color w:val="auto"/>
              </w:rPr>
            </w:pPr>
          </w:p>
        </w:tc>
      </w:tr>
      <w:tr>
        <w:trPr>
          <w:trHeight w:val="185"/>
        </w:trPr>
        <w:tc>
          <w:tcPr>
            <w:tcW w:w="20" w:type="dxa"/>
            <w:vAlign w:val="bottom"/>
          </w:tcPr>
          <w:p>
            <w:pPr>
              <w:spacing w:after="0"/>
              <w:rPr>
                <w:sz w:val="16"/>
                <w:szCs w:val="16"/>
                <w:color w:val="auto"/>
              </w:rPr>
            </w:pPr>
          </w:p>
        </w:tc>
        <w:tc>
          <w:tcPr>
            <w:tcW w:w="1120" w:type="dxa"/>
            <w:vAlign w:val="bottom"/>
            <w:gridSpan w:val="2"/>
          </w:tcPr>
          <w:p>
            <w:pPr>
              <w:ind w:left="100"/>
              <w:spacing w:after="0" w:line="185" w:lineRule="exact"/>
              <w:rPr>
                <w:sz w:val="20"/>
                <w:szCs w:val="20"/>
                <w:color w:val="auto"/>
              </w:rPr>
            </w:pPr>
            <w:r>
              <w:rPr>
                <w:rFonts w:ascii="Times New Roman" w:cs="Times New Roman" w:eastAsia="Times New Roman" w:hAnsi="Times New Roman"/>
                <w:sz w:val="18"/>
                <w:szCs w:val="18"/>
                <w:b w:val="1"/>
                <w:bCs w:val="1"/>
                <w:color w:val="auto"/>
              </w:rPr>
              <w:t>Item 4.</w:t>
            </w:r>
          </w:p>
        </w:tc>
        <w:tc>
          <w:tcPr>
            <w:tcW w:w="9720" w:type="dxa"/>
            <w:vAlign w:val="bottom"/>
            <w:gridSpan w:val="23"/>
          </w:tcPr>
          <w:p>
            <w:pPr>
              <w:spacing w:after="0" w:line="185" w:lineRule="exact"/>
              <w:rPr>
                <w:sz w:val="20"/>
                <w:szCs w:val="20"/>
                <w:color w:val="auto"/>
              </w:rPr>
            </w:pPr>
            <w:r>
              <w:rPr>
                <w:rFonts w:ascii="Times New Roman" w:cs="Times New Roman" w:eastAsia="Times New Roman" w:hAnsi="Times New Roman"/>
                <w:sz w:val="18"/>
                <w:szCs w:val="18"/>
                <w:b w:val="1"/>
                <w:bCs w:val="1"/>
                <w:color w:val="0000FF"/>
              </w:rPr>
              <w:t>Controls and Procedures</w:t>
            </w:r>
          </w:p>
        </w:tc>
        <w:tc>
          <w:tcPr>
            <w:tcW w:w="380" w:type="dxa"/>
            <w:vAlign w:val="bottom"/>
            <w:gridSpan w:val="2"/>
          </w:tcPr>
          <w:p>
            <w:pPr>
              <w:jc w:val="center"/>
              <w:ind w:right="240"/>
              <w:spacing w:after="0" w:line="185" w:lineRule="exact"/>
              <w:rPr>
                <w:sz w:val="20"/>
                <w:szCs w:val="20"/>
                <w:color w:val="auto"/>
              </w:rPr>
            </w:pPr>
            <w:r>
              <w:rPr>
                <w:rFonts w:ascii="Times New Roman" w:cs="Times New Roman" w:eastAsia="Times New Roman" w:hAnsi="Times New Roman"/>
                <w:sz w:val="18"/>
                <w:szCs w:val="18"/>
                <w:color w:val="0000FF"/>
                <w:w w:val="77"/>
              </w:rPr>
              <w:t>64</w:t>
            </w: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7840" w:type="dxa"/>
            <w:vAlign w:val="bottom"/>
            <w:tcBorders>
              <w:right w:val="single" w:sz="8" w:color="0000FF"/>
            </w:tcBorders>
            <w:gridSpan w:val="13"/>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r>
      <w:tr>
        <w:trPr>
          <w:trHeight w:val="258"/>
        </w:trPr>
        <w:tc>
          <w:tcPr>
            <w:tcW w:w="20" w:type="dxa"/>
            <w:vAlign w:val="bottom"/>
          </w:tcPr>
          <w:p>
            <w:pPr>
              <w:spacing w:after="0"/>
              <w:rPr>
                <w:sz w:val="22"/>
                <w:szCs w:val="22"/>
                <w:color w:val="auto"/>
              </w:rPr>
            </w:pPr>
          </w:p>
        </w:tc>
        <w:tc>
          <w:tcPr>
            <w:tcW w:w="10840" w:type="dxa"/>
            <w:vAlign w:val="bottom"/>
            <w:gridSpan w:val="25"/>
          </w:tcPr>
          <w:p>
            <w:pPr>
              <w:spacing w:after="0"/>
              <w:rPr>
                <w:sz w:val="20"/>
                <w:szCs w:val="20"/>
                <w:color w:val="auto"/>
              </w:rPr>
            </w:pPr>
            <w:r>
              <w:rPr>
                <w:rFonts w:ascii="Times New Roman" w:cs="Times New Roman" w:eastAsia="Times New Roman" w:hAnsi="Times New Roman"/>
                <w:sz w:val="18"/>
                <w:szCs w:val="18"/>
                <w:b w:val="1"/>
                <w:bCs w:val="1"/>
                <w:color w:val="0000FF"/>
              </w:rPr>
              <w:t>Part II — Other Information</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300" w:type="dxa"/>
            <w:vAlign w:val="bottom"/>
            <w:gridSpan w:val="16"/>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r>
      <w:tr>
        <w:trPr>
          <w:trHeight w:val="225"/>
        </w:trPr>
        <w:tc>
          <w:tcPr>
            <w:tcW w:w="20" w:type="dxa"/>
            <w:vAlign w:val="bottom"/>
          </w:tcPr>
          <w:p>
            <w:pPr>
              <w:spacing w:after="0"/>
              <w:rPr>
                <w:sz w:val="19"/>
                <w:szCs w:val="19"/>
                <w:color w:val="auto"/>
              </w:rPr>
            </w:pPr>
          </w:p>
        </w:tc>
        <w:tc>
          <w:tcPr>
            <w:tcW w:w="1120" w:type="dxa"/>
            <w:vAlign w:val="bottom"/>
            <w:gridSpan w:val="2"/>
          </w:tcPr>
          <w:p>
            <w:pPr>
              <w:ind w:left="100"/>
              <w:spacing w:after="0" w:line="205" w:lineRule="exact"/>
              <w:rPr>
                <w:sz w:val="20"/>
                <w:szCs w:val="20"/>
                <w:color w:val="auto"/>
              </w:rPr>
            </w:pPr>
            <w:r>
              <w:rPr>
                <w:rFonts w:ascii="Times New Roman" w:cs="Times New Roman" w:eastAsia="Times New Roman" w:hAnsi="Times New Roman"/>
                <w:sz w:val="18"/>
                <w:szCs w:val="18"/>
                <w:b w:val="1"/>
                <w:bCs w:val="1"/>
                <w:color w:val="auto"/>
              </w:rPr>
              <w:t>Item 1.</w:t>
            </w:r>
          </w:p>
        </w:tc>
        <w:tc>
          <w:tcPr>
            <w:tcW w:w="9720" w:type="dxa"/>
            <w:vAlign w:val="bottom"/>
            <w:gridSpan w:val="23"/>
          </w:tcPr>
          <w:p>
            <w:pPr>
              <w:spacing w:after="0" w:line="205" w:lineRule="exact"/>
              <w:rPr>
                <w:sz w:val="20"/>
                <w:szCs w:val="20"/>
                <w:color w:val="auto"/>
              </w:rPr>
            </w:pPr>
            <w:r>
              <w:rPr>
                <w:rFonts w:ascii="Times New Roman" w:cs="Times New Roman" w:eastAsia="Times New Roman" w:hAnsi="Times New Roman"/>
                <w:sz w:val="18"/>
                <w:szCs w:val="18"/>
                <w:b w:val="1"/>
                <w:bCs w:val="1"/>
                <w:color w:val="0000FF"/>
              </w:rPr>
              <w:t>Legal Proceedings</w:t>
            </w:r>
          </w:p>
        </w:tc>
        <w:tc>
          <w:tcPr>
            <w:tcW w:w="380" w:type="dxa"/>
            <w:vAlign w:val="bottom"/>
            <w:gridSpan w:val="2"/>
          </w:tcPr>
          <w:p>
            <w:pPr>
              <w:jc w:val="center"/>
              <w:ind w:right="240"/>
              <w:spacing w:after="0" w:line="205" w:lineRule="exact"/>
              <w:rPr>
                <w:sz w:val="20"/>
                <w:szCs w:val="20"/>
                <w:color w:val="auto"/>
              </w:rPr>
            </w:pPr>
            <w:r>
              <w:rPr>
                <w:rFonts w:ascii="Times New Roman" w:cs="Times New Roman" w:eastAsia="Times New Roman" w:hAnsi="Times New Roman"/>
                <w:sz w:val="18"/>
                <w:szCs w:val="18"/>
                <w:color w:val="0000FF"/>
                <w:w w:val="77"/>
              </w:rPr>
              <w:t>64</w:t>
            </w:r>
          </w:p>
        </w:tc>
      </w:tr>
      <w:tr>
        <w:trPr>
          <w:trHeight w:val="185"/>
        </w:trPr>
        <w:tc>
          <w:tcPr>
            <w:tcW w:w="20" w:type="dxa"/>
            <w:vAlign w:val="bottom"/>
          </w:tcPr>
          <w:p>
            <w:pPr>
              <w:spacing w:after="0"/>
              <w:rPr>
                <w:sz w:val="16"/>
                <w:szCs w:val="16"/>
                <w:color w:val="auto"/>
              </w:rPr>
            </w:pPr>
          </w:p>
        </w:tc>
        <w:tc>
          <w:tcPr>
            <w:tcW w:w="1120" w:type="dxa"/>
            <w:vAlign w:val="bottom"/>
            <w:gridSpan w:val="2"/>
          </w:tcPr>
          <w:p>
            <w:pPr>
              <w:ind w:left="100"/>
              <w:spacing w:after="0" w:line="185" w:lineRule="exact"/>
              <w:rPr>
                <w:sz w:val="20"/>
                <w:szCs w:val="20"/>
                <w:color w:val="auto"/>
              </w:rPr>
            </w:pPr>
            <w:r>
              <w:rPr>
                <w:rFonts w:ascii="Times New Roman" w:cs="Times New Roman" w:eastAsia="Times New Roman" w:hAnsi="Times New Roman"/>
                <w:sz w:val="18"/>
                <w:szCs w:val="18"/>
                <w:b w:val="1"/>
                <w:bCs w:val="1"/>
                <w:color w:val="auto"/>
              </w:rPr>
              <w:t>Item 1A.</w:t>
            </w:r>
          </w:p>
        </w:tc>
        <w:tc>
          <w:tcPr>
            <w:tcW w:w="1380" w:type="dxa"/>
            <w:vAlign w:val="bottom"/>
            <w:tcBorders>
              <w:top w:val="single" w:sz="8" w:color="0000FF"/>
            </w:tcBorders>
            <w:gridSpan w:val="6"/>
          </w:tcPr>
          <w:p>
            <w:pPr>
              <w:spacing w:after="0" w:line="185" w:lineRule="exact"/>
              <w:rPr>
                <w:sz w:val="20"/>
                <w:szCs w:val="20"/>
                <w:color w:val="auto"/>
              </w:rPr>
            </w:pPr>
            <w:r>
              <w:rPr>
                <w:rFonts w:ascii="Times New Roman" w:cs="Times New Roman" w:eastAsia="Times New Roman" w:hAnsi="Times New Roman"/>
                <w:sz w:val="18"/>
                <w:szCs w:val="18"/>
                <w:b w:val="1"/>
                <w:bCs w:val="1"/>
                <w:color w:val="0000FF"/>
              </w:rPr>
              <w:t>Risk Factors</w:t>
            </w:r>
          </w:p>
        </w:tc>
        <w:tc>
          <w:tcPr>
            <w:tcW w:w="8340" w:type="dxa"/>
            <w:vAlign w:val="bottom"/>
            <w:gridSpan w:val="17"/>
          </w:tcPr>
          <w:p>
            <w:pPr>
              <w:spacing w:after="0"/>
              <w:rPr>
                <w:sz w:val="16"/>
                <w:szCs w:val="16"/>
                <w:color w:val="auto"/>
              </w:rPr>
            </w:pPr>
          </w:p>
        </w:tc>
        <w:tc>
          <w:tcPr>
            <w:tcW w:w="80" w:type="dxa"/>
            <w:vAlign w:val="bottom"/>
            <w:tcBorders>
              <w:top w:val="single" w:sz="8" w:color="0000FF"/>
            </w:tcBorders>
          </w:tcPr>
          <w:p>
            <w:pPr>
              <w:jc w:val="center"/>
              <w:spacing w:after="0" w:line="185" w:lineRule="exact"/>
              <w:rPr>
                <w:sz w:val="20"/>
                <w:szCs w:val="20"/>
                <w:color w:val="auto"/>
              </w:rPr>
            </w:pPr>
            <w:r>
              <w:rPr>
                <w:rFonts w:ascii="Times New Roman" w:cs="Times New Roman" w:eastAsia="Times New Roman" w:hAnsi="Times New Roman"/>
                <w:sz w:val="18"/>
                <w:szCs w:val="18"/>
                <w:color w:val="0000FF"/>
                <w:w w:val="77"/>
              </w:rPr>
              <w:t>64</w:t>
            </w:r>
          </w:p>
        </w:tc>
        <w:tc>
          <w:tcPr>
            <w:tcW w:w="30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8300" w:type="dxa"/>
            <w:vAlign w:val="bottom"/>
            <w:tcBorders>
              <w:right w:val="single" w:sz="8" w:color="0000FF"/>
            </w:tcBorders>
            <w:gridSpan w:val="16"/>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1120" w:type="dxa"/>
            <w:vAlign w:val="bottom"/>
            <w:gridSpan w:val="2"/>
          </w:tcPr>
          <w:p>
            <w:pPr>
              <w:ind w:left="100"/>
              <w:spacing w:after="0" w:line="205" w:lineRule="exact"/>
              <w:rPr>
                <w:sz w:val="20"/>
                <w:szCs w:val="20"/>
                <w:color w:val="auto"/>
              </w:rPr>
            </w:pPr>
            <w:r>
              <w:rPr>
                <w:rFonts w:ascii="Times New Roman" w:cs="Times New Roman" w:eastAsia="Times New Roman" w:hAnsi="Times New Roman"/>
                <w:sz w:val="18"/>
                <w:szCs w:val="18"/>
                <w:b w:val="1"/>
                <w:bCs w:val="1"/>
                <w:color w:val="auto"/>
              </w:rPr>
              <w:t>Item 5.</w:t>
            </w:r>
          </w:p>
        </w:tc>
        <w:tc>
          <w:tcPr>
            <w:tcW w:w="9720" w:type="dxa"/>
            <w:vAlign w:val="bottom"/>
            <w:gridSpan w:val="23"/>
          </w:tcPr>
          <w:p>
            <w:pPr>
              <w:spacing w:after="0" w:line="205" w:lineRule="exact"/>
              <w:rPr>
                <w:sz w:val="20"/>
                <w:szCs w:val="20"/>
                <w:color w:val="auto"/>
              </w:rPr>
            </w:pPr>
            <w:r>
              <w:rPr>
                <w:rFonts w:ascii="Times New Roman" w:cs="Times New Roman" w:eastAsia="Times New Roman" w:hAnsi="Times New Roman"/>
                <w:sz w:val="18"/>
                <w:szCs w:val="18"/>
                <w:b w:val="1"/>
                <w:bCs w:val="1"/>
                <w:color w:val="0000FF"/>
              </w:rPr>
              <w:t>Other Information</w:t>
            </w:r>
          </w:p>
        </w:tc>
        <w:tc>
          <w:tcPr>
            <w:tcW w:w="380" w:type="dxa"/>
            <w:vAlign w:val="bottom"/>
            <w:gridSpan w:val="2"/>
          </w:tcPr>
          <w:p>
            <w:pPr>
              <w:jc w:val="center"/>
              <w:ind w:right="240"/>
              <w:spacing w:after="0" w:line="205" w:lineRule="exact"/>
              <w:rPr>
                <w:sz w:val="20"/>
                <w:szCs w:val="20"/>
                <w:color w:val="auto"/>
              </w:rPr>
            </w:pPr>
            <w:r>
              <w:rPr>
                <w:rFonts w:ascii="Times New Roman" w:cs="Times New Roman" w:eastAsia="Times New Roman" w:hAnsi="Times New Roman"/>
                <w:sz w:val="18"/>
                <w:szCs w:val="18"/>
                <w:color w:val="0000FF"/>
                <w:w w:val="77"/>
              </w:rPr>
              <w:t>64</w:t>
            </w:r>
          </w:p>
        </w:tc>
      </w:tr>
      <w:tr>
        <w:trPr>
          <w:trHeight w:val="205"/>
        </w:trPr>
        <w:tc>
          <w:tcPr>
            <w:tcW w:w="20" w:type="dxa"/>
            <w:vAlign w:val="bottom"/>
          </w:tcPr>
          <w:p>
            <w:pPr>
              <w:spacing w:after="0"/>
              <w:rPr>
                <w:sz w:val="17"/>
                <w:szCs w:val="17"/>
                <w:color w:val="auto"/>
              </w:rPr>
            </w:pPr>
          </w:p>
        </w:tc>
        <w:tc>
          <w:tcPr>
            <w:tcW w:w="1120" w:type="dxa"/>
            <w:vAlign w:val="bottom"/>
            <w:gridSpan w:val="2"/>
          </w:tcPr>
          <w:p>
            <w:pPr>
              <w:ind w:left="100"/>
              <w:spacing w:after="0" w:line="205" w:lineRule="exact"/>
              <w:rPr>
                <w:sz w:val="20"/>
                <w:szCs w:val="20"/>
                <w:color w:val="auto"/>
              </w:rPr>
            </w:pPr>
            <w:r>
              <w:rPr>
                <w:rFonts w:ascii="Times New Roman" w:cs="Times New Roman" w:eastAsia="Times New Roman" w:hAnsi="Times New Roman"/>
                <w:sz w:val="18"/>
                <w:szCs w:val="18"/>
                <w:b w:val="1"/>
                <w:bCs w:val="1"/>
                <w:color w:val="auto"/>
              </w:rPr>
              <w:t>Item 6.</w:t>
            </w:r>
          </w:p>
        </w:tc>
        <w:tc>
          <w:tcPr>
            <w:tcW w:w="640" w:type="dxa"/>
            <w:vAlign w:val="bottom"/>
            <w:tcBorders>
              <w:top w:val="single" w:sz="8" w:color="0000FF"/>
              <w:bottom w:val="single" w:sz="8" w:color="0000FF"/>
            </w:tcBorders>
            <w:gridSpan w:val="3"/>
          </w:tcPr>
          <w:p>
            <w:pPr>
              <w:spacing w:after="0" w:line="205" w:lineRule="exact"/>
              <w:rPr>
                <w:sz w:val="20"/>
                <w:szCs w:val="20"/>
                <w:color w:val="auto"/>
              </w:rPr>
            </w:pPr>
            <w:r>
              <w:rPr>
                <w:rFonts w:ascii="Times New Roman" w:cs="Times New Roman" w:eastAsia="Times New Roman" w:hAnsi="Times New Roman"/>
                <w:sz w:val="18"/>
                <w:szCs w:val="18"/>
                <w:b w:val="1"/>
                <w:bCs w:val="1"/>
                <w:color w:val="0000FF"/>
                <w:w w:val="96"/>
              </w:rPr>
              <w:t>Exhibits</w:t>
            </w:r>
          </w:p>
        </w:tc>
        <w:tc>
          <w:tcPr>
            <w:tcW w:w="780" w:type="dxa"/>
            <w:vAlign w:val="bottom"/>
            <w:tcBorders>
              <w:top w:val="single" w:sz="8" w:color="0000FF"/>
            </w:tcBorders>
            <w:gridSpan w:val="4"/>
          </w:tcPr>
          <w:p>
            <w:pPr>
              <w:spacing w:after="0"/>
              <w:rPr>
                <w:sz w:val="17"/>
                <w:szCs w:val="17"/>
                <w:color w:val="auto"/>
              </w:rPr>
            </w:pPr>
          </w:p>
        </w:tc>
        <w:tc>
          <w:tcPr>
            <w:tcW w:w="8300" w:type="dxa"/>
            <w:vAlign w:val="bottom"/>
            <w:gridSpan w:val="16"/>
          </w:tcPr>
          <w:p>
            <w:pPr>
              <w:spacing w:after="0"/>
              <w:rPr>
                <w:sz w:val="17"/>
                <w:szCs w:val="17"/>
                <w:color w:val="auto"/>
              </w:rPr>
            </w:pPr>
          </w:p>
        </w:tc>
        <w:tc>
          <w:tcPr>
            <w:tcW w:w="80" w:type="dxa"/>
            <w:vAlign w:val="bottom"/>
            <w:tcBorders>
              <w:top w:val="single" w:sz="8" w:color="0000FF"/>
              <w:bottom w:val="single" w:sz="8" w:color="0000FF"/>
            </w:tcBorders>
          </w:tcPr>
          <w:p>
            <w:pPr>
              <w:jc w:val="center"/>
              <w:spacing w:after="0" w:line="205" w:lineRule="exact"/>
              <w:rPr>
                <w:sz w:val="20"/>
                <w:szCs w:val="20"/>
                <w:color w:val="auto"/>
              </w:rPr>
            </w:pPr>
            <w:r>
              <w:rPr>
                <w:rFonts w:ascii="Times New Roman" w:cs="Times New Roman" w:eastAsia="Times New Roman" w:hAnsi="Times New Roman"/>
                <w:sz w:val="18"/>
                <w:szCs w:val="18"/>
                <w:color w:val="0000FF"/>
                <w:w w:val="77"/>
              </w:rPr>
              <w:t>65</w:t>
            </w:r>
          </w:p>
        </w:tc>
        <w:tc>
          <w:tcPr>
            <w:tcW w:w="300" w:type="dxa"/>
            <w:vAlign w:val="bottom"/>
          </w:tcPr>
          <w:p>
            <w:pPr>
              <w:spacing w:after="0"/>
              <w:rPr>
                <w:sz w:val="17"/>
                <w:szCs w:val="17"/>
                <w:color w:val="auto"/>
              </w:rPr>
            </w:pPr>
          </w:p>
        </w:tc>
      </w:tr>
      <w:tr>
        <w:trPr>
          <w:trHeight w:val="258"/>
        </w:trPr>
        <w:tc>
          <w:tcPr>
            <w:tcW w:w="20" w:type="dxa"/>
            <w:vAlign w:val="bottom"/>
          </w:tcPr>
          <w:p>
            <w:pPr>
              <w:spacing w:after="0"/>
              <w:rPr>
                <w:sz w:val="22"/>
                <w:szCs w:val="22"/>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FF"/>
              </w:rPr>
              <w:t>Signature</w:t>
            </w: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600" w:type="dxa"/>
            <w:vAlign w:val="bottom"/>
          </w:tcPr>
          <w:p>
            <w:pPr>
              <w:spacing w:after="0"/>
              <w:rPr>
                <w:sz w:val="22"/>
                <w:szCs w:val="22"/>
                <w:color w:val="auto"/>
              </w:rPr>
            </w:pPr>
          </w:p>
        </w:tc>
        <w:tc>
          <w:tcPr>
            <w:tcW w:w="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0000FF"/>
                <w:w w:val="77"/>
              </w:rPr>
              <w:t>66</w:t>
            </w:r>
          </w:p>
        </w:tc>
      </w:tr>
      <w:tr>
        <w:trPr>
          <w:trHeight w:val="1166"/>
        </w:trPr>
        <w:tc>
          <w:tcPr>
            <w:tcW w:w="20" w:type="dxa"/>
            <w:vAlign w:val="bottom"/>
            <w:tcBorders>
              <w:bottom w:val="single" w:sz="8" w:color="9A9A9A"/>
            </w:tcBorders>
          </w:tcPr>
          <w:p>
            <w:pPr>
              <w:spacing w:after="0"/>
              <w:rPr>
                <w:sz w:val="24"/>
                <w:szCs w:val="24"/>
                <w:color w:val="auto"/>
              </w:rPr>
            </w:pPr>
          </w:p>
        </w:tc>
        <w:tc>
          <w:tcPr>
            <w:tcW w:w="740" w:type="dxa"/>
            <w:vAlign w:val="bottom"/>
            <w:tcBorders>
              <w:top w:val="single" w:sz="8" w:color="0000FF"/>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600" w:type="dxa"/>
            <w:vAlign w:val="bottom"/>
            <w:tcBorders>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39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Brighthouse Life Insurance Company</w:t>
      </w:r>
    </w:p>
    <w:p>
      <w:pPr>
        <w:spacing w:after="0" w:line="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(An Indirect Wholly-Owned Subsidiary of Brighthouse Financial, Inc.)</w:t>
      </w:r>
    </w:p>
    <w:p>
      <w:pPr>
        <w:spacing w:after="0" w:line="9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Interim Condensed Consolidated Balance Sheets</w:t>
      </w:r>
    </w:p>
    <w:p>
      <w:pPr>
        <w:spacing w:after="0" w:line="2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March 31, 2026 (Unaudited) and December 31, 2025</w:t>
      </w:r>
    </w:p>
    <w:p>
      <w:pPr>
        <w:spacing w:after="0" w:line="9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(In millions, except share and per share data)</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00" w:type="dxa"/>
            <w:vAlign w:val="bottom"/>
            <w:gridSpan w:val="2"/>
          </w:tcPr>
          <w:p>
            <w:pPr>
              <w:ind w:left="160"/>
              <w:spacing w:after="0"/>
              <w:rPr>
                <w:sz w:val="20"/>
                <w:szCs w:val="20"/>
                <w:color w:val="auto"/>
              </w:rPr>
            </w:pPr>
            <w:r>
              <w:rPr>
                <w:rFonts w:ascii="Times New Roman" w:cs="Times New Roman" w:eastAsia="Times New Roman" w:hAnsi="Times New Roman"/>
                <w:sz w:val="12"/>
                <w:szCs w:val="12"/>
                <w:b w:val="1"/>
                <w:bCs w:val="1"/>
                <w:color w:val="auto"/>
              </w:rPr>
              <w:t>March 31, 2026</w:t>
            </w:r>
          </w:p>
        </w:tc>
        <w:tc>
          <w:tcPr>
            <w:tcW w:w="220" w:type="dxa"/>
            <w:vAlign w:val="bottom"/>
          </w:tcPr>
          <w:p>
            <w:pPr>
              <w:spacing w:after="0"/>
              <w:rPr>
                <w:sz w:val="14"/>
                <w:szCs w:val="14"/>
                <w:color w:val="auto"/>
              </w:rPr>
            </w:pPr>
          </w:p>
        </w:tc>
        <w:tc>
          <w:tcPr>
            <w:tcW w:w="1440" w:type="dxa"/>
            <w:vAlign w:val="bottom"/>
          </w:tcPr>
          <w:p>
            <w:pPr>
              <w:jc w:val="right"/>
              <w:ind w:right="250"/>
              <w:spacing w:after="0"/>
              <w:rPr>
                <w:sz w:val="20"/>
                <w:szCs w:val="20"/>
                <w:color w:val="auto"/>
              </w:rPr>
            </w:pPr>
            <w:r>
              <w:rPr>
                <w:rFonts w:ascii="Times New Roman" w:cs="Times New Roman" w:eastAsia="Times New Roman" w:hAnsi="Times New Roman"/>
                <w:sz w:val="12"/>
                <w:szCs w:val="12"/>
                <w:b w:val="1"/>
                <w:bCs w:val="1"/>
                <w:color w:val="auto"/>
              </w:rPr>
              <w:t>December 31, 2025</w:t>
            </w:r>
          </w:p>
        </w:tc>
        <w:tc>
          <w:tcPr>
            <w:tcW w:w="0" w:type="dxa"/>
            <w:vAlign w:val="bottom"/>
          </w:tcPr>
          <w:p>
            <w:pPr>
              <w:spacing w:after="0"/>
              <w:rPr>
                <w:sz w:val="1"/>
                <w:szCs w:val="1"/>
                <w:color w:val="auto"/>
              </w:rPr>
            </w:pPr>
          </w:p>
        </w:tc>
      </w:tr>
      <w:tr>
        <w:trPr>
          <w:trHeight w:val="30"/>
        </w:trPr>
        <w:tc>
          <w:tcPr>
            <w:tcW w:w="78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6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Investments:</w:t>
            </w:r>
          </w:p>
        </w:tc>
        <w:tc>
          <w:tcPr>
            <w:tcW w:w="2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7820" w:type="dxa"/>
            <w:vAlign w:val="bottom"/>
            <w:shd w:val="clear" w:color="auto" w:fill="CCEEFF"/>
          </w:tcPr>
          <w:p>
            <w:pPr>
              <w:ind w:left="20"/>
              <w:spacing w:after="0" w:line="144" w:lineRule="exact"/>
              <w:rPr>
                <w:sz w:val="20"/>
                <w:szCs w:val="20"/>
                <w:color w:val="auto"/>
              </w:rPr>
            </w:pPr>
            <w:r>
              <w:rPr>
                <w:rFonts w:ascii="Times New Roman" w:cs="Times New Roman" w:eastAsia="Times New Roman" w:hAnsi="Times New Roman"/>
                <w:sz w:val="14"/>
                <w:szCs w:val="14"/>
                <w:color w:val="auto"/>
              </w:rPr>
              <w:t>Fixed maturity securities available-for-sale, at estimated fair value (amortized cost: $86,021 and $85,907, respectively; allowance for</w:t>
            </w:r>
          </w:p>
        </w:tc>
        <w:tc>
          <w:tcPr>
            <w:tcW w:w="260" w:type="dxa"/>
            <w:vAlign w:val="bottom"/>
            <w:vMerge w:val="restart"/>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80,143</w:t>
            </w:r>
          </w:p>
        </w:tc>
        <w:tc>
          <w:tcPr>
            <w:tcW w:w="100" w:type="dxa"/>
            <w:vAlign w:val="bottom"/>
            <w:shd w:val="clear" w:color="auto" w:fill="CCEEFF"/>
          </w:tcPr>
          <w:p>
            <w:pPr>
              <w:spacing w:after="0"/>
              <w:rPr>
                <w:sz w:val="12"/>
                <w:szCs w:val="12"/>
                <w:color w:val="auto"/>
              </w:rPr>
            </w:pPr>
          </w:p>
        </w:tc>
        <w:tc>
          <w:tcPr>
            <w:tcW w:w="220" w:type="dxa"/>
            <w:vAlign w:val="bottom"/>
            <w:vMerge w:val="restart"/>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80,960</w:t>
            </w:r>
          </w:p>
        </w:tc>
        <w:tc>
          <w:tcPr>
            <w:tcW w:w="0" w:type="dxa"/>
            <w:vAlign w:val="bottom"/>
          </w:tcPr>
          <w:p>
            <w:pPr>
              <w:spacing w:after="0"/>
              <w:rPr>
                <w:sz w:val="1"/>
                <w:szCs w:val="1"/>
                <w:color w:val="auto"/>
              </w:rPr>
            </w:pPr>
          </w:p>
        </w:tc>
      </w:tr>
      <w:tr>
        <w:trPr>
          <w:trHeight w:val="195"/>
        </w:trPr>
        <w:tc>
          <w:tcPr>
            <w:tcW w:w="7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credit losses of $64 and $62, respectively)</w:t>
            </w:r>
          </w:p>
        </w:tc>
        <w:tc>
          <w:tcPr>
            <w:tcW w:w="260" w:type="dxa"/>
            <w:vAlign w:val="bottom"/>
            <w:vMerge w:val="continue"/>
            <w:shd w:val="clear" w:color="auto" w:fill="CCEEFF"/>
          </w:tcPr>
          <w:p>
            <w:pPr>
              <w:spacing w:after="0"/>
              <w:rPr>
                <w:sz w:val="16"/>
                <w:szCs w:val="16"/>
                <w:color w:val="auto"/>
              </w:rPr>
            </w:pPr>
          </w:p>
        </w:tc>
        <w:tc>
          <w:tcPr>
            <w:tcW w:w="14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vMerge w:val="continue"/>
            <w:shd w:val="clear" w:color="auto" w:fill="CCEEFF"/>
          </w:tcPr>
          <w:p>
            <w:pPr>
              <w:spacing w:after="0"/>
              <w:rPr>
                <w:sz w:val="16"/>
                <w:szCs w:val="16"/>
                <w:color w:val="auto"/>
              </w:rPr>
            </w:pPr>
          </w:p>
        </w:tc>
        <w:tc>
          <w:tcPr>
            <w:tcW w:w="14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Trading securities, at estimated fair value</w:t>
            </w:r>
          </w:p>
        </w:tc>
        <w:tc>
          <w:tcPr>
            <w:tcW w:w="2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506</w:t>
            </w:r>
          </w:p>
        </w:tc>
        <w:tc>
          <w:tcPr>
            <w:tcW w:w="0" w:type="dxa"/>
            <w:vAlign w:val="bottom"/>
          </w:tcPr>
          <w:p>
            <w:pPr>
              <w:spacing w:after="0"/>
              <w:rPr>
                <w:sz w:val="1"/>
                <w:szCs w:val="1"/>
                <w:color w:val="auto"/>
              </w:rPr>
            </w:pPr>
          </w:p>
        </w:tc>
      </w:tr>
      <w:tr>
        <w:trPr>
          <w:trHeight w:val="206"/>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securities, at estimated fair value</w:t>
            </w:r>
          </w:p>
        </w:tc>
        <w:tc>
          <w:tcPr>
            <w:tcW w:w="26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0" w:type="dxa"/>
            <w:vAlign w:val="bottom"/>
          </w:tcPr>
          <w:p>
            <w:pPr>
              <w:spacing w:after="0"/>
              <w:rPr>
                <w:sz w:val="1"/>
                <w:szCs w:val="1"/>
                <w:color w:val="auto"/>
              </w:rPr>
            </w:pPr>
          </w:p>
        </w:tc>
      </w:tr>
      <w:tr>
        <w:trPr>
          <w:trHeight w:val="191"/>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Mortgage loans (net of allowance for credit losses of $210 and $200, respectively)</w:t>
            </w:r>
          </w:p>
        </w:tc>
        <w:tc>
          <w:tcPr>
            <w:tcW w:w="2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22,595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22,726</w:t>
            </w:r>
          </w:p>
        </w:tc>
        <w:tc>
          <w:tcPr>
            <w:tcW w:w="0" w:type="dxa"/>
            <w:vAlign w:val="bottom"/>
          </w:tcPr>
          <w:p>
            <w:pPr>
              <w:spacing w:after="0"/>
              <w:rPr>
                <w:sz w:val="1"/>
                <w:szCs w:val="1"/>
                <w:color w:val="auto"/>
              </w:rPr>
            </w:pPr>
          </w:p>
        </w:tc>
      </w:tr>
      <w:tr>
        <w:trPr>
          <w:trHeight w:val="206"/>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Policy loans</w:t>
            </w:r>
          </w:p>
        </w:tc>
        <w:tc>
          <w:tcPr>
            <w:tcW w:w="26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1,059</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1,047</w:t>
            </w:r>
          </w:p>
        </w:tc>
        <w:tc>
          <w:tcPr>
            <w:tcW w:w="0" w:type="dxa"/>
            <w:vAlign w:val="bottom"/>
          </w:tcPr>
          <w:p>
            <w:pPr>
              <w:spacing w:after="0"/>
              <w:rPr>
                <w:sz w:val="1"/>
                <w:szCs w:val="1"/>
                <w:color w:val="auto"/>
              </w:rPr>
            </w:pPr>
          </w:p>
        </w:tc>
      </w:tr>
      <w:tr>
        <w:trPr>
          <w:trHeight w:val="191"/>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Limited partnerships and limited liability companies</w:t>
            </w:r>
          </w:p>
        </w:tc>
        <w:tc>
          <w:tcPr>
            <w:tcW w:w="2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4,673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4,696</w:t>
            </w:r>
          </w:p>
        </w:tc>
        <w:tc>
          <w:tcPr>
            <w:tcW w:w="0" w:type="dxa"/>
            <w:vAlign w:val="bottom"/>
          </w:tcPr>
          <w:p>
            <w:pPr>
              <w:spacing w:after="0"/>
              <w:rPr>
                <w:sz w:val="1"/>
                <w:szCs w:val="1"/>
                <w:color w:val="auto"/>
              </w:rPr>
            </w:pPr>
          </w:p>
        </w:tc>
      </w:tr>
      <w:tr>
        <w:trPr>
          <w:trHeight w:val="206"/>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Short-term investments, principally at estimated fair value</w:t>
            </w:r>
          </w:p>
        </w:tc>
        <w:tc>
          <w:tcPr>
            <w:tcW w:w="26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781</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668</w:t>
            </w:r>
          </w:p>
        </w:tc>
        <w:tc>
          <w:tcPr>
            <w:tcW w:w="0" w:type="dxa"/>
            <w:vAlign w:val="bottom"/>
          </w:tcPr>
          <w:p>
            <w:pPr>
              <w:spacing w:after="0"/>
              <w:rPr>
                <w:sz w:val="1"/>
                <w:szCs w:val="1"/>
                <w:color w:val="auto"/>
              </w:rPr>
            </w:pPr>
          </w:p>
        </w:tc>
      </w:tr>
      <w:tr>
        <w:trPr>
          <w:trHeight w:val="192"/>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invested assets, principally at estimated fair value (net of allowance for credit losses of $0 and $0, respectively)</w:t>
            </w: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9,613</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7,932</w:t>
            </w:r>
          </w:p>
        </w:tc>
        <w:tc>
          <w:tcPr>
            <w:tcW w:w="0" w:type="dxa"/>
            <w:vAlign w:val="bottom"/>
          </w:tcPr>
          <w:p>
            <w:pPr>
              <w:spacing w:after="0"/>
              <w:rPr>
                <w:sz w:val="1"/>
                <w:szCs w:val="1"/>
                <w:color w:val="auto"/>
              </w:rPr>
            </w:pPr>
          </w:p>
        </w:tc>
      </w:tr>
      <w:tr>
        <w:trPr>
          <w:trHeight w:val="199"/>
        </w:trPr>
        <w:tc>
          <w:tcPr>
            <w:tcW w:w="7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investments</w:t>
            </w:r>
          </w:p>
        </w:tc>
        <w:tc>
          <w:tcPr>
            <w:tcW w:w="26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119,430</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118,558</w:t>
            </w:r>
          </w:p>
        </w:tc>
        <w:tc>
          <w:tcPr>
            <w:tcW w:w="0" w:type="dxa"/>
            <w:vAlign w:val="bottom"/>
          </w:tcPr>
          <w:p>
            <w:pPr>
              <w:spacing w:after="0"/>
              <w:rPr>
                <w:sz w:val="1"/>
                <w:szCs w:val="1"/>
                <w:color w:val="auto"/>
              </w:rPr>
            </w:pPr>
          </w:p>
        </w:tc>
      </w:tr>
      <w:tr>
        <w:trPr>
          <w:trHeight w:val="191"/>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4,593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5,057</w:t>
            </w:r>
          </w:p>
        </w:tc>
        <w:tc>
          <w:tcPr>
            <w:tcW w:w="0" w:type="dxa"/>
            <w:vAlign w:val="bottom"/>
          </w:tcPr>
          <w:p>
            <w:pPr>
              <w:spacing w:after="0"/>
              <w:rPr>
                <w:sz w:val="1"/>
                <w:szCs w:val="1"/>
                <w:color w:val="auto"/>
              </w:rPr>
            </w:pPr>
          </w:p>
        </w:tc>
      </w:tr>
      <w:tr>
        <w:trPr>
          <w:trHeight w:val="206"/>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investment income</w:t>
            </w:r>
          </w:p>
        </w:tc>
        <w:tc>
          <w:tcPr>
            <w:tcW w:w="26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1,282</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1,242</w:t>
            </w:r>
          </w:p>
        </w:tc>
        <w:tc>
          <w:tcPr>
            <w:tcW w:w="0" w:type="dxa"/>
            <w:vAlign w:val="bottom"/>
          </w:tcPr>
          <w:p>
            <w:pPr>
              <w:spacing w:after="0"/>
              <w:rPr>
                <w:sz w:val="1"/>
                <w:szCs w:val="1"/>
                <w:color w:val="auto"/>
              </w:rPr>
            </w:pPr>
          </w:p>
        </w:tc>
      </w:tr>
      <w:tr>
        <w:trPr>
          <w:trHeight w:val="191"/>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Premiums, reinsurance and other receivables (net of allowance for credit losses of $3 and $3, respectively)</w:t>
            </w:r>
          </w:p>
        </w:tc>
        <w:tc>
          <w:tcPr>
            <w:tcW w:w="2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20,555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21,238</w:t>
            </w:r>
          </w:p>
        </w:tc>
        <w:tc>
          <w:tcPr>
            <w:tcW w:w="0" w:type="dxa"/>
            <w:vAlign w:val="bottom"/>
          </w:tcPr>
          <w:p>
            <w:pPr>
              <w:spacing w:after="0"/>
              <w:rPr>
                <w:sz w:val="1"/>
                <w:szCs w:val="1"/>
                <w:color w:val="auto"/>
              </w:rPr>
            </w:pPr>
          </w:p>
        </w:tc>
      </w:tr>
      <w:tr>
        <w:trPr>
          <w:trHeight w:val="206"/>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policy acquisition costs and value of business acquired</w:t>
            </w:r>
          </w:p>
        </w:tc>
        <w:tc>
          <w:tcPr>
            <w:tcW w:w="26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4,240</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4,276</w:t>
            </w:r>
          </w:p>
        </w:tc>
        <w:tc>
          <w:tcPr>
            <w:tcW w:w="0" w:type="dxa"/>
            <w:vAlign w:val="bottom"/>
          </w:tcPr>
          <w:p>
            <w:pPr>
              <w:spacing w:after="0"/>
              <w:rPr>
                <w:sz w:val="1"/>
                <w:szCs w:val="1"/>
                <w:color w:val="auto"/>
              </w:rPr>
            </w:pPr>
          </w:p>
        </w:tc>
      </w:tr>
      <w:tr>
        <w:trPr>
          <w:trHeight w:val="191"/>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income tax recoverable</w:t>
            </w:r>
          </w:p>
        </w:tc>
        <w:tc>
          <w:tcPr>
            <w:tcW w:w="2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0" w:type="dxa"/>
            <w:vAlign w:val="bottom"/>
          </w:tcPr>
          <w:p>
            <w:pPr>
              <w:spacing w:after="0"/>
              <w:rPr>
                <w:sz w:val="1"/>
                <w:szCs w:val="1"/>
                <w:color w:val="auto"/>
              </w:rPr>
            </w:pPr>
          </w:p>
        </w:tc>
      </w:tr>
      <w:tr>
        <w:trPr>
          <w:trHeight w:val="206"/>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income tax asset</w:t>
            </w:r>
          </w:p>
        </w:tc>
        <w:tc>
          <w:tcPr>
            <w:tcW w:w="26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1,727</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1,389</w:t>
            </w:r>
          </w:p>
        </w:tc>
        <w:tc>
          <w:tcPr>
            <w:tcW w:w="0" w:type="dxa"/>
            <w:vAlign w:val="bottom"/>
          </w:tcPr>
          <w:p>
            <w:pPr>
              <w:spacing w:after="0"/>
              <w:rPr>
                <w:sz w:val="1"/>
                <w:szCs w:val="1"/>
                <w:color w:val="auto"/>
              </w:rPr>
            </w:pPr>
          </w:p>
        </w:tc>
      </w:tr>
      <w:tr>
        <w:trPr>
          <w:trHeight w:val="191"/>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Market risk benefit assets</w:t>
            </w:r>
          </w:p>
        </w:tc>
        <w:tc>
          <w:tcPr>
            <w:tcW w:w="2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1,060</w:t>
            </w:r>
          </w:p>
        </w:tc>
        <w:tc>
          <w:tcPr>
            <w:tcW w:w="0" w:type="dxa"/>
            <w:vAlign w:val="bottom"/>
          </w:tcPr>
          <w:p>
            <w:pPr>
              <w:spacing w:after="0"/>
              <w:rPr>
                <w:sz w:val="1"/>
                <w:szCs w:val="1"/>
                <w:color w:val="auto"/>
              </w:rPr>
            </w:pPr>
          </w:p>
        </w:tc>
      </w:tr>
      <w:tr>
        <w:trPr>
          <w:trHeight w:val="206"/>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26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w:t>
            </w:r>
          </w:p>
        </w:tc>
        <w:tc>
          <w:tcPr>
            <w:tcW w:w="0" w:type="dxa"/>
            <w:vAlign w:val="bottom"/>
          </w:tcPr>
          <w:p>
            <w:pPr>
              <w:spacing w:after="0"/>
              <w:rPr>
                <w:sz w:val="1"/>
                <w:szCs w:val="1"/>
                <w:color w:val="auto"/>
              </w:rPr>
            </w:pPr>
          </w:p>
        </w:tc>
      </w:tr>
      <w:tr>
        <w:trPr>
          <w:trHeight w:val="192"/>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Separate account assets</w:t>
            </w: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74,551</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78,825</w:t>
            </w:r>
          </w:p>
        </w:tc>
        <w:tc>
          <w:tcPr>
            <w:tcW w:w="0" w:type="dxa"/>
            <w:vAlign w:val="bottom"/>
          </w:tcPr>
          <w:p>
            <w:pPr>
              <w:spacing w:after="0"/>
              <w:rPr>
                <w:sz w:val="1"/>
                <w:szCs w:val="1"/>
                <w:color w:val="auto"/>
              </w:rPr>
            </w:pPr>
          </w:p>
        </w:tc>
      </w:tr>
      <w:tr>
        <w:trPr>
          <w:trHeight w:val="224"/>
        </w:trPr>
        <w:tc>
          <w:tcPr>
            <w:tcW w:w="78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assets</w:t>
            </w:r>
          </w:p>
        </w:tc>
        <w:tc>
          <w:tcPr>
            <w:tcW w:w="26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227,571</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231,986</w:t>
            </w:r>
          </w:p>
        </w:tc>
        <w:tc>
          <w:tcPr>
            <w:tcW w:w="0" w:type="dxa"/>
            <w:vAlign w:val="bottom"/>
          </w:tcPr>
          <w:p>
            <w:pPr>
              <w:spacing w:after="0"/>
              <w:rPr>
                <w:sz w:val="1"/>
                <w:szCs w:val="1"/>
                <w:color w:val="auto"/>
              </w:rPr>
            </w:pPr>
          </w:p>
        </w:tc>
      </w:tr>
      <w:tr>
        <w:trPr>
          <w:trHeight w:val="20"/>
        </w:trPr>
        <w:tc>
          <w:tcPr>
            <w:tcW w:w="78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 and Equity</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78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2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Future policy benefits</w:t>
            </w:r>
          </w:p>
        </w:tc>
        <w:tc>
          <w:tcPr>
            <w:tcW w:w="2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31,424</w:t>
            </w:r>
          </w:p>
        </w:tc>
        <w:tc>
          <w:tcPr>
            <w:tcW w:w="100" w:type="dxa"/>
            <w:vAlign w:val="bottom"/>
          </w:tcPr>
          <w:p>
            <w:pPr>
              <w:spacing w:after="0"/>
              <w:rPr>
                <w:sz w:val="16"/>
                <w:szCs w:val="16"/>
                <w:color w:val="auto"/>
              </w:rPr>
            </w:pPr>
          </w:p>
        </w:tc>
        <w:tc>
          <w:tcPr>
            <w:tcW w:w="2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31,682</w:t>
            </w:r>
          </w:p>
        </w:tc>
        <w:tc>
          <w:tcPr>
            <w:tcW w:w="0" w:type="dxa"/>
            <w:vAlign w:val="bottom"/>
          </w:tcPr>
          <w:p>
            <w:pPr>
              <w:spacing w:after="0"/>
              <w:rPr>
                <w:sz w:val="1"/>
                <w:szCs w:val="1"/>
                <w:color w:val="auto"/>
              </w:rPr>
            </w:pPr>
          </w:p>
        </w:tc>
      </w:tr>
      <w:tr>
        <w:trPr>
          <w:trHeight w:val="206"/>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Policyholder account balances</w:t>
            </w:r>
          </w:p>
        </w:tc>
        <w:tc>
          <w:tcPr>
            <w:tcW w:w="26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85,620</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87,174</w:t>
            </w:r>
          </w:p>
        </w:tc>
        <w:tc>
          <w:tcPr>
            <w:tcW w:w="0" w:type="dxa"/>
            <w:vAlign w:val="bottom"/>
          </w:tcPr>
          <w:p>
            <w:pPr>
              <w:spacing w:after="0"/>
              <w:rPr>
                <w:sz w:val="1"/>
                <w:szCs w:val="1"/>
                <w:color w:val="auto"/>
              </w:rPr>
            </w:pPr>
          </w:p>
        </w:tc>
      </w:tr>
      <w:tr>
        <w:trPr>
          <w:trHeight w:val="191"/>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Market risk benefit liabilities</w:t>
            </w:r>
          </w:p>
        </w:tc>
        <w:tc>
          <w:tcPr>
            <w:tcW w:w="2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8,579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8,079</w:t>
            </w:r>
          </w:p>
        </w:tc>
        <w:tc>
          <w:tcPr>
            <w:tcW w:w="0" w:type="dxa"/>
            <w:vAlign w:val="bottom"/>
          </w:tcPr>
          <w:p>
            <w:pPr>
              <w:spacing w:after="0"/>
              <w:rPr>
                <w:sz w:val="1"/>
                <w:szCs w:val="1"/>
                <w:color w:val="auto"/>
              </w:rPr>
            </w:pPr>
          </w:p>
        </w:tc>
      </w:tr>
      <w:tr>
        <w:trPr>
          <w:trHeight w:val="206"/>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policy-related balances</w:t>
            </w:r>
          </w:p>
        </w:tc>
        <w:tc>
          <w:tcPr>
            <w:tcW w:w="26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3,816</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3,715</w:t>
            </w:r>
          </w:p>
        </w:tc>
        <w:tc>
          <w:tcPr>
            <w:tcW w:w="0" w:type="dxa"/>
            <w:vAlign w:val="bottom"/>
          </w:tcPr>
          <w:p>
            <w:pPr>
              <w:spacing w:after="0"/>
              <w:rPr>
                <w:sz w:val="1"/>
                <w:szCs w:val="1"/>
                <w:color w:val="auto"/>
              </w:rPr>
            </w:pPr>
          </w:p>
        </w:tc>
      </w:tr>
      <w:tr>
        <w:trPr>
          <w:trHeight w:val="191"/>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Payables for collateral under securities loaned and other transactions</w:t>
            </w:r>
          </w:p>
        </w:tc>
        <w:tc>
          <w:tcPr>
            <w:tcW w:w="2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4,652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4,696</w:t>
            </w:r>
          </w:p>
        </w:tc>
        <w:tc>
          <w:tcPr>
            <w:tcW w:w="0" w:type="dxa"/>
            <w:vAlign w:val="bottom"/>
          </w:tcPr>
          <w:p>
            <w:pPr>
              <w:spacing w:after="0"/>
              <w:rPr>
                <w:sz w:val="1"/>
                <w:szCs w:val="1"/>
                <w:color w:val="auto"/>
              </w:rPr>
            </w:pPr>
          </w:p>
        </w:tc>
      </w:tr>
      <w:tr>
        <w:trPr>
          <w:trHeight w:val="206"/>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Long-term debt</w:t>
            </w:r>
          </w:p>
        </w:tc>
        <w:tc>
          <w:tcPr>
            <w:tcW w:w="26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831</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832</w:t>
            </w:r>
          </w:p>
        </w:tc>
        <w:tc>
          <w:tcPr>
            <w:tcW w:w="0" w:type="dxa"/>
            <w:vAlign w:val="bottom"/>
          </w:tcPr>
          <w:p>
            <w:pPr>
              <w:spacing w:after="0"/>
              <w:rPr>
                <w:sz w:val="1"/>
                <w:szCs w:val="1"/>
                <w:color w:val="auto"/>
              </w:rPr>
            </w:pPr>
          </w:p>
        </w:tc>
      </w:tr>
      <w:tr>
        <w:trPr>
          <w:trHeight w:val="191"/>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liabilities</w:t>
            </w:r>
          </w:p>
        </w:tc>
        <w:tc>
          <w:tcPr>
            <w:tcW w:w="2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11,203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8,885</w:t>
            </w:r>
          </w:p>
        </w:tc>
        <w:tc>
          <w:tcPr>
            <w:tcW w:w="0" w:type="dxa"/>
            <w:vAlign w:val="bottom"/>
          </w:tcPr>
          <w:p>
            <w:pPr>
              <w:spacing w:after="0"/>
              <w:rPr>
                <w:sz w:val="1"/>
                <w:szCs w:val="1"/>
                <w:color w:val="auto"/>
              </w:rPr>
            </w:pPr>
          </w:p>
        </w:tc>
      </w:tr>
      <w:tr>
        <w:trPr>
          <w:trHeight w:val="206"/>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Separate account liabilities</w:t>
            </w:r>
          </w:p>
        </w:tc>
        <w:tc>
          <w:tcPr>
            <w:tcW w:w="26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74,551</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78,825</w:t>
            </w:r>
          </w:p>
        </w:tc>
        <w:tc>
          <w:tcPr>
            <w:tcW w:w="0" w:type="dxa"/>
            <w:vAlign w:val="bottom"/>
          </w:tcPr>
          <w:p>
            <w:pPr>
              <w:spacing w:after="0"/>
              <w:rPr>
                <w:sz w:val="1"/>
                <w:szCs w:val="1"/>
                <w:color w:val="auto"/>
              </w:rPr>
            </w:pPr>
          </w:p>
        </w:tc>
      </w:tr>
      <w:tr>
        <w:trPr>
          <w:trHeight w:val="185"/>
        </w:trPr>
        <w:tc>
          <w:tcPr>
            <w:tcW w:w="78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Total liabilities</w:t>
            </w: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220,676</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223,888</w:t>
            </w:r>
          </w:p>
        </w:tc>
        <w:tc>
          <w:tcPr>
            <w:tcW w:w="0" w:type="dxa"/>
            <w:vAlign w:val="bottom"/>
          </w:tcPr>
          <w:p>
            <w:pPr>
              <w:spacing w:after="0"/>
              <w:rPr>
                <w:sz w:val="1"/>
                <w:szCs w:val="1"/>
                <w:color w:val="auto"/>
              </w:rPr>
            </w:pPr>
          </w:p>
        </w:tc>
      </w:tr>
      <w:tr>
        <w:trPr>
          <w:trHeight w:val="186"/>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Contingencies, Commitments and Guarantees (Note 12)</w:t>
            </w:r>
          </w:p>
        </w:tc>
        <w:tc>
          <w:tcPr>
            <w:tcW w:w="26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2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Brighthouse Life Insurance Company’s stockholder’s equity:</w:t>
            </w:r>
          </w:p>
        </w:tc>
        <w:tc>
          <w:tcPr>
            <w:tcW w:w="2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Common stock, par value $25,000 per share; 4,000 shares authorized; 3,000 shares issued and outstanding</w:t>
            </w:r>
          </w:p>
        </w:tc>
        <w:tc>
          <w:tcPr>
            <w:tcW w:w="260" w:type="dxa"/>
            <w:vAlign w:val="bottom"/>
          </w:tcPr>
          <w:p>
            <w:pPr>
              <w:spacing w:after="0"/>
              <w:rPr>
                <w:sz w:val="16"/>
                <w:szCs w:val="16"/>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75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0" w:type="dxa"/>
            <w:vAlign w:val="bottom"/>
          </w:tcPr>
          <w:p>
            <w:pPr>
              <w:spacing w:after="0"/>
              <w:rPr>
                <w:sz w:val="1"/>
                <w:szCs w:val="1"/>
                <w:color w:val="auto"/>
              </w:rPr>
            </w:pPr>
          </w:p>
        </w:tc>
      </w:tr>
      <w:tr>
        <w:trPr>
          <w:trHeight w:val="206"/>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26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17,607</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17,607</w:t>
            </w:r>
          </w:p>
        </w:tc>
        <w:tc>
          <w:tcPr>
            <w:tcW w:w="0" w:type="dxa"/>
            <w:vAlign w:val="bottom"/>
          </w:tcPr>
          <w:p>
            <w:pPr>
              <w:spacing w:after="0"/>
              <w:rPr>
                <w:sz w:val="1"/>
                <w:szCs w:val="1"/>
                <w:color w:val="auto"/>
              </w:rPr>
            </w:pPr>
          </w:p>
        </w:tc>
      </w:tr>
      <w:tr>
        <w:trPr>
          <w:trHeight w:val="191"/>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Retained earnings (deficit)</w:t>
            </w:r>
          </w:p>
        </w:tc>
        <w:tc>
          <w:tcPr>
            <w:tcW w:w="2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(6,788)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(5,997)</w:t>
            </w:r>
          </w:p>
        </w:tc>
        <w:tc>
          <w:tcPr>
            <w:tcW w:w="0" w:type="dxa"/>
            <w:vAlign w:val="bottom"/>
          </w:tcPr>
          <w:p>
            <w:pPr>
              <w:spacing w:after="0"/>
              <w:rPr>
                <w:sz w:val="1"/>
                <w:szCs w:val="1"/>
                <w:color w:val="auto"/>
              </w:rPr>
            </w:pPr>
          </w:p>
        </w:tc>
      </w:tr>
      <w:tr>
        <w:trPr>
          <w:trHeight w:val="206"/>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Accumulated other comprehensive income (loss)</w:t>
            </w:r>
          </w:p>
        </w:tc>
        <w:tc>
          <w:tcPr>
            <w:tcW w:w="26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(4,014)</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(3,602)</w:t>
            </w:r>
          </w:p>
        </w:tc>
        <w:tc>
          <w:tcPr>
            <w:tcW w:w="0" w:type="dxa"/>
            <w:vAlign w:val="bottom"/>
          </w:tcPr>
          <w:p>
            <w:pPr>
              <w:spacing w:after="0"/>
              <w:rPr>
                <w:sz w:val="1"/>
                <w:szCs w:val="1"/>
                <w:color w:val="auto"/>
              </w:rPr>
            </w:pPr>
          </w:p>
        </w:tc>
      </w:tr>
      <w:tr>
        <w:trPr>
          <w:trHeight w:val="185"/>
        </w:trPr>
        <w:tc>
          <w:tcPr>
            <w:tcW w:w="78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 Brighthouse Life Insurance Company’s stockholder’s equity</w:t>
            </w:r>
          </w:p>
        </w:tc>
        <w:tc>
          <w:tcPr>
            <w:tcW w:w="2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6,880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8,083</w:t>
            </w:r>
          </w:p>
        </w:tc>
        <w:tc>
          <w:tcPr>
            <w:tcW w:w="0" w:type="dxa"/>
            <w:vAlign w:val="bottom"/>
          </w:tcPr>
          <w:p>
            <w:pPr>
              <w:spacing w:after="0"/>
              <w:rPr>
                <w:sz w:val="1"/>
                <w:szCs w:val="1"/>
                <w:color w:val="auto"/>
              </w:rPr>
            </w:pPr>
          </w:p>
        </w:tc>
      </w:tr>
      <w:tr>
        <w:trPr>
          <w:trHeight w:val="206"/>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Noncontrolling interests</w:t>
            </w:r>
          </w:p>
        </w:tc>
        <w:tc>
          <w:tcPr>
            <w:tcW w:w="26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185"/>
        </w:trPr>
        <w:tc>
          <w:tcPr>
            <w:tcW w:w="78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Total equity</w:t>
            </w: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6,895</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8,098</w:t>
            </w:r>
          </w:p>
        </w:tc>
        <w:tc>
          <w:tcPr>
            <w:tcW w:w="0" w:type="dxa"/>
            <w:vAlign w:val="bottom"/>
          </w:tcPr>
          <w:p>
            <w:pPr>
              <w:spacing w:after="0"/>
              <w:rPr>
                <w:sz w:val="1"/>
                <w:szCs w:val="1"/>
                <w:color w:val="auto"/>
              </w:rPr>
            </w:pPr>
          </w:p>
        </w:tc>
      </w:tr>
      <w:tr>
        <w:trPr>
          <w:trHeight w:val="224"/>
        </w:trPr>
        <w:tc>
          <w:tcPr>
            <w:tcW w:w="78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liabilities and equity</w:t>
            </w:r>
          </w:p>
        </w:tc>
        <w:tc>
          <w:tcPr>
            <w:tcW w:w="26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227,571</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231,986</w:t>
            </w:r>
          </w:p>
        </w:tc>
        <w:tc>
          <w:tcPr>
            <w:tcW w:w="0" w:type="dxa"/>
            <w:vAlign w:val="bottom"/>
          </w:tcPr>
          <w:p>
            <w:pPr>
              <w:spacing w:after="0"/>
              <w:rPr>
                <w:sz w:val="1"/>
                <w:szCs w:val="1"/>
                <w:color w:val="auto"/>
              </w:rPr>
            </w:pP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2"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b w:val="1"/>
          <w:bCs w:val="1"/>
          <w:color w:val="auto"/>
        </w:rPr>
        <w:t>See accompanying notes to the interim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4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Brighthouse Life Insurance Company</w:t>
      </w:r>
    </w:p>
    <w:p>
      <w:pPr>
        <w:spacing w:after="0" w:line="2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(An Indirect Wholly-Owned Subsidiary of Brighthouse Financial, Inc.)</w:t>
      </w:r>
    </w:p>
    <w:p>
      <w:pPr>
        <w:spacing w:after="0" w:line="9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Interim Condensed Consolidated Statements of Operations and Comprehensive Income (Loss)</w:t>
      </w:r>
    </w:p>
    <w:p>
      <w:pPr>
        <w:spacing w:after="0" w:line="2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2026 and 2025 (Unaudited)</w:t>
      </w:r>
    </w:p>
    <w:p>
      <w:pPr>
        <w:spacing w:after="0" w:line="14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40" w:type="dxa"/>
            <w:vAlign w:val="bottom"/>
            <w:gridSpan w:val="4"/>
          </w:tcPr>
          <w:p>
            <w:pPr>
              <w:jc w:val="right"/>
              <w:ind w:right="8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4"/>
        </w:trPr>
        <w:tc>
          <w:tcPr>
            <w:tcW w:w="89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186"/>
        </w:trPr>
        <w:tc>
          <w:tcPr>
            <w:tcW w:w="89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98"/>
        </w:trPr>
        <w:tc>
          <w:tcPr>
            <w:tcW w:w="8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10"/>
        </w:trPr>
        <w:tc>
          <w:tcPr>
            <w:tcW w:w="8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Premiums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w:t>
            </w:r>
          </w:p>
        </w:tc>
        <w:tc>
          <w:tcPr>
            <w:tcW w:w="100" w:type="dxa"/>
            <w:vAlign w:val="bottom"/>
          </w:tcPr>
          <w:p>
            <w:pPr>
              <w:spacing w:after="0"/>
              <w:rPr>
                <w:sz w:val="18"/>
                <w:szCs w:val="18"/>
                <w:color w:val="auto"/>
              </w:rPr>
            </w:pPr>
          </w:p>
        </w:tc>
        <w:tc>
          <w:tcPr>
            <w:tcW w:w="2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w:t>
            </w:r>
          </w:p>
        </w:tc>
      </w:tr>
      <w:tr>
        <w:trPr>
          <w:trHeight w:val="214"/>
        </w:trPr>
        <w:tc>
          <w:tcPr>
            <w:tcW w:w="8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Universal life and investment-type product policy fees</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422</w:t>
            </w:r>
          </w:p>
        </w:tc>
      </w:tr>
      <w:tr>
        <w:trPr>
          <w:trHeight w:val="210"/>
        </w:trPr>
        <w:tc>
          <w:tcPr>
            <w:tcW w:w="8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investment income</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1,269</w:t>
            </w:r>
          </w:p>
        </w:tc>
      </w:tr>
      <w:tr>
        <w:trPr>
          <w:trHeight w:val="214"/>
        </w:trPr>
        <w:tc>
          <w:tcPr>
            <w:tcW w:w="8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revenues</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w:t>
            </w:r>
          </w:p>
        </w:tc>
      </w:tr>
      <w:tr>
        <w:trPr>
          <w:trHeight w:val="210"/>
        </w:trPr>
        <w:tc>
          <w:tcPr>
            <w:tcW w:w="8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investment gains (losses)</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w:t>
            </w:r>
          </w:p>
        </w:tc>
      </w:tr>
      <w:tr>
        <w:trPr>
          <w:trHeight w:val="214"/>
        </w:trPr>
        <w:tc>
          <w:tcPr>
            <w:tcW w:w="8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derivative gains (losses)</w:t>
            </w: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(508)</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w:t>
            </w:r>
          </w:p>
        </w:tc>
      </w:tr>
      <w:tr>
        <w:trPr>
          <w:trHeight w:val="203"/>
        </w:trPr>
        <w:tc>
          <w:tcPr>
            <w:tcW w:w="89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Total revenues</w:t>
            </w: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1,366</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2,232</w:t>
            </w:r>
          </w:p>
        </w:tc>
      </w:tr>
      <w:tr>
        <w:trPr>
          <w:trHeight w:val="194"/>
        </w:trPr>
        <w:tc>
          <w:tcPr>
            <w:tcW w:w="8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Expenses</w:t>
            </w: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r>
      <w:tr>
        <w:trPr>
          <w:trHeight w:val="210"/>
        </w:trPr>
        <w:tc>
          <w:tcPr>
            <w:tcW w:w="8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Policyholder benefits and claims (including liability remeasurement gains (losses) of $0 and $0, respectively)</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619</w:t>
            </w:r>
          </w:p>
        </w:tc>
      </w:tr>
      <w:tr>
        <w:trPr>
          <w:trHeight w:val="214"/>
        </w:trPr>
        <w:tc>
          <w:tcPr>
            <w:tcW w:w="8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credited to policyholder account balances</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554</w:t>
            </w:r>
          </w:p>
        </w:tc>
      </w:tr>
      <w:tr>
        <w:trPr>
          <w:trHeight w:val="210"/>
        </w:trPr>
        <w:tc>
          <w:tcPr>
            <w:tcW w:w="8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 of deferred policy acquisition costs and value of business acquired</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w:t>
            </w:r>
          </w:p>
        </w:tc>
      </w:tr>
      <w:tr>
        <w:trPr>
          <w:trHeight w:val="214"/>
        </w:trPr>
        <w:tc>
          <w:tcPr>
            <w:tcW w:w="8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 in market risk benefits</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896</w:t>
            </w:r>
          </w:p>
        </w:tc>
      </w:tr>
      <w:tr>
        <w:trPr>
          <w:trHeight w:val="210"/>
        </w:trPr>
        <w:tc>
          <w:tcPr>
            <w:tcW w:w="8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expenses</w:t>
            </w: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392</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410</w:t>
            </w:r>
          </w:p>
        </w:tc>
      </w:tr>
      <w:tr>
        <w:trPr>
          <w:trHeight w:val="207"/>
        </w:trPr>
        <w:tc>
          <w:tcPr>
            <w:tcW w:w="8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expenses</w:t>
            </w: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2,388</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2,615</w:t>
            </w:r>
          </w:p>
        </w:tc>
      </w:tr>
      <w:tr>
        <w:trPr>
          <w:trHeight w:val="203"/>
        </w:trPr>
        <w:tc>
          <w:tcPr>
            <w:tcW w:w="8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(loss) before provision for income tax</w:t>
            </w: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(383)</w:t>
            </w:r>
          </w:p>
        </w:tc>
      </w:tr>
      <w:tr>
        <w:trPr>
          <w:trHeight w:val="214"/>
        </w:trPr>
        <w:tc>
          <w:tcPr>
            <w:tcW w:w="8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Provision for income tax expense (benefit)</w:t>
            </w: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w:t>
            </w:r>
          </w:p>
        </w:tc>
      </w:tr>
      <w:tr>
        <w:trPr>
          <w:trHeight w:val="203"/>
        </w:trPr>
        <w:tc>
          <w:tcPr>
            <w:tcW w:w="89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income (loss)</w:t>
            </w: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w:t>
            </w:r>
          </w:p>
        </w:tc>
      </w:tr>
      <w:tr>
        <w:trPr>
          <w:trHeight w:val="212"/>
        </w:trPr>
        <w:tc>
          <w:tcPr>
            <w:tcW w:w="8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Net income (loss) attributable to noncontrolling interests</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89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income (loss) attributable to Brighthouse Life Insurance Company</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(791)</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(287)</w:t>
            </w:r>
          </w:p>
        </w:tc>
      </w:tr>
      <w:tr>
        <w:trPr>
          <w:trHeight w:val="20"/>
        </w:trPr>
        <w:tc>
          <w:tcPr>
            <w:tcW w:w="89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05"/>
        </w:trPr>
        <w:tc>
          <w:tcPr>
            <w:tcW w:w="8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Comprehensive income (loss)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(1,203)</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w:t>
            </w:r>
          </w:p>
        </w:tc>
      </w:tr>
      <w:tr>
        <w:trPr>
          <w:trHeight w:val="210"/>
        </w:trPr>
        <w:tc>
          <w:tcPr>
            <w:tcW w:w="8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 Comprehensive income (loss) attributable to noncontrolling interests</w:t>
            </w:r>
          </w:p>
        </w:tc>
        <w:tc>
          <w:tcPr>
            <w:tcW w:w="1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2"/>
        </w:trPr>
        <w:tc>
          <w:tcPr>
            <w:tcW w:w="89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Comprehensive income (loss) attributable to Brighthouse Life Insurance Company</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w:t>
            </w:r>
          </w:p>
        </w:tc>
      </w:tr>
      <w:tr>
        <w:trPr>
          <w:trHeight w:val="20"/>
        </w:trPr>
        <w:tc>
          <w:tcPr>
            <w:tcW w:w="8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192"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b w:val="1"/>
          <w:bCs w:val="1"/>
          <w:color w:val="auto"/>
        </w:rPr>
        <w:t>See accompanying notes to the interim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40"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Brighthouse Life Insurance Company</w:t>
      </w:r>
    </w:p>
    <w:p>
      <w:pPr>
        <w:spacing w:after="0" w:line="26"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b w:val="1"/>
          <w:bCs w:val="1"/>
          <w:color w:val="auto"/>
        </w:rPr>
        <w:t>(An Indirect Wholly-Owned Subsidiary of Brighthouse Financial, Inc.)</w:t>
      </w:r>
    </w:p>
    <w:p>
      <w:pPr>
        <w:spacing w:after="0" w:line="9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Interim Condensed Consolidated Statements of Equity</w:t>
      </w:r>
    </w:p>
    <w:p>
      <w:pPr>
        <w:spacing w:after="0" w:line="2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2026 and 2025 (Unaudited)</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3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tcPr>
          <w:p>
            <w:pPr>
              <w:jc w:val="center"/>
              <w:ind w:right="300"/>
              <w:spacing w:after="0"/>
              <w:rPr>
                <w:sz w:val="20"/>
                <w:szCs w:val="20"/>
                <w:color w:val="auto"/>
              </w:rPr>
            </w:pPr>
            <w:r>
              <w:rPr>
                <w:rFonts w:ascii="Times New Roman" w:cs="Times New Roman" w:eastAsia="Times New Roman" w:hAnsi="Times New Roman"/>
                <w:sz w:val="12"/>
                <w:szCs w:val="12"/>
                <w:b w:val="1"/>
                <w:bCs w:val="1"/>
                <w:color w:val="auto"/>
              </w:rPr>
              <w:t>Accumulated</w:t>
            </w:r>
          </w:p>
        </w:tc>
        <w:tc>
          <w:tcPr>
            <w:tcW w:w="120" w:type="dxa"/>
            <w:vAlign w:val="bottom"/>
          </w:tcPr>
          <w:p>
            <w:pPr>
              <w:spacing w:after="0"/>
              <w:rPr>
                <w:sz w:val="12"/>
                <w:szCs w:val="12"/>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Brighthouse Life</w:t>
            </w: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46"/>
        </w:trPr>
        <w:tc>
          <w:tcPr>
            <w:tcW w:w="3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Additional</w:t>
            </w:r>
          </w:p>
        </w:tc>
        <w:tc>
          <w:tcPr>
            <w:tcW w:w="120" w:type="dxa"/>
            <w:vAlign w:val="bottom"/>
          </w:tcPr>
          <w:p>
            <w:pPr>
              <w:spacing w:after="0"/>
              <w:rPr>
                <w:sz w:val="12"/>
                <w:szCs w:val="12"/>
                <w:color w:val="auto"/>
              </w:rPr>
            </w:pPr>
          </w:p>
        </w:tc>
        <w:tc>
          <w:tcPr>
            <w:tcW w:w="80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Retained</w:t>
            </w:r>
          </w:p>
        </w:tc>
        <w:tc>
          <w:tcPr>
            <w:tcW w:w="160" w:type="dxa"/>
            <w:vAlign w:val="bottom"/>
          </w:tcPr>
          <w:p>
            <w:pPr>
              <w:spacing w:after="0"/>
              <w:rPr>
                <w:sz w:val="12"/>
                <w:szCs w:val="12"/>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rPr>
              <w:t>Other</w:t>
            </w:r>
          </w:p>
        </w:tc>
        <w:tc>
          <w:tcPr>
            <w:tcW w:w="120" w:type="dxa"/>
            <w:vAlign w:val="bottom"/>
          </w:tcPr>
          <w:p>
            <w:pPr>
              <w:spacing w:after="0"/>
              <w:rPr>
                <w:sz w:val="12"/>
                <w:szCs w:val="12"/>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Insurance</w:t>
            </w: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46"/>
        </w:trPr>
        <w:tc>
          <w:tcPr>
            <w:tcW w:w="3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Common</w:t>
            </w:r>
          </w:p>
        </w:tc>
        <w:tc>
          <w:tcPr>
            <w:tcW w:w="140" w:type="dxa"/>
            <w:vAlign w:val="bottom"/>
          </w:tcPr>
          <w:p>
            <w:pPr>
              <w:spacing w:after="0"/>
              <w:rPr>
                <w:sz w:val="12"/>
                <w:szCs w:val="12"/>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Paid-in</w:t>
            </w:r>
          </w:p>
        </w:tc>
        <w:tc>
          <w:tcPr>
            <w:tcW w:w="120" w:type="dxa"/>
            <w:vAlign w:val="bottom"/>
          </w:tcPr>
          <w:p>
            <w:pPr>
              <w:spacing w:after="0"/>
              <w:rPr>
                <w:sz w:val="12"/>
                <w:szCs w:val="12"/>
                <w:color w:val="auto"/>
              </w:rPr>
            </w:pPr>
          </w:p>
        </w:tc>
        <w:tc>
          <w:tcPr>
            <w:tcW w:w="80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rPr>
              <w:t>Earnings</w:t>
            </w:r>
          </w:p>
        </w:tc>
        <w:tc>
          <w:tcPr>
            <w:tcW w:w="160" w:type="dxa"/>
            <w:vAlign w:val="bottom"/>
          </w:tcPr>
          <w:p>
            <w:pPr>
              <w:spacing w:after="0"/>
              <w:rPr>
                <w:sz w:val="12"/>
                <w:szCs w:val="12"/>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Comprehensive</w:t>
            </w:r>
          </w:p>
        </w:tc>
        <w:tc>
          <w:tcPr>
            <w:tcW w:w="120" w:type="dxa"/>
            <w:vAlign w:val="bottom"/>
          </w:tcPr>
          <w:p>
            <w:pPr>
              <w:spacing w:after="0"/>
              <w:rPr>
                <w:sz w:val="12"/>
                <w:szCs w:val="12"/>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Company’s</w:t>
            </w:r>
          </w:p>
        </w:tc>
        <w:tc>
          <w:tcPr>
            <w:tcW w:w="160" w:type="dxa"/>
            <w:vAlign w:val="bottom"/>
          </w:tcPr>
          <w:p>
            <w:pPr>
              <w:spacing w:after="0"/>
              <w:rPr>
                <w:sz w:val="12"/>
                <w:szCs w:val="12"/>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Noncontrolling</w:t>
            </w:r>
          </w:p>
        </w:tc>
        <w:tc>
          <w:tcPr>
            <w:tcW w:w="140" w:type="dxa"/>
            <w:vAlign w:val="bottom"/>
          </w:tcPr>
          <w:p>
            <w:pPr>
              <w:spacing w:after="0"/>
              <w:rPr>
                <w:sz w:val="12"/>
                <w:szCs w:val="12"/>
                <w:color w:val="auto"/>
              </w:rPr>
            </w:pPr>
          </w:p>
        </w:tc>
        <w:tc>
          <w:tcPr>
            <w:tcW w:w="620" w:type="dxa"/>
            <w:vAlign w:val="bottom"/>
          </w:tcPr>
          <w:p>
            <w:pPr>
              <w:jc w:val="center"/>
              <w:ind w:right="72"/>
              <w:spacing w:after="0"/>
              <w:rPr>
                <w:sz w:val="20"/>
                <w:szCs w:val="20"/>
                <w:color w:val="auto"/>
              </w:rPr>
            </w:pPr>
            <w:r>
              <w:rPr>
                <w:rFonts w:ascii="Times New Roman" w:cs="Times New Roman" w:eastAsia="Times New Roman" w:hAnsi="Times New Roman"/>
                <w:sz w:val="12"/>
                <w:szCs w:val="12"/>
                <w:b w:val="1"/>
                <w:bCs w:val="1"/>
                <w:color w:val="auto"/>
              </w:rPr>
              <w:t>Total</w:t>
            </w:r>
          </w:p>
        </w:tc>
      </w:tr>
      <w:tr>
        <w:trPr>
          <w:trHeight w:val="175"/>
        </w:trPr>
        <w:tc>
          <w:tcPr>
            <w:tcW w:w="3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Stock</w:t>
            </w:r>
          </w:p>
        </w:tc>
        <w:tc>
          <w:tcPr>
            <w:tcW w:w="140" w:type="dxa"/>
            <w:vAlign w:val="bottom"/>
          </w:tcPr>
          <w:p>
            <w:pPr>
              <w:spacing w:after="0"/>
              <w:rPr>
                <w:sz w:val="15"/>
                <w:szCs w:val="15"/>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Capital</w:t>
            </w:r>
          </w:p>
        </w:tc>
        <w:tc>
          <w:tcPr>
            <w:tcW w:w="120" w:type="dxa"/>
            <w:vAlign w:val="bottom"/>
          </w:tcPr>
          <w:p>
            <w:pPr>
              <w:spacing w:after="0"/>
              <w:rPr>
                <w:sz w:val="15"/>
                <w:szCs w:val="15"/>
                <w:color w:val="auto"/>
              </w:rPr>
            </w:pPr>
          </w:p>
        </w:tc>
        <w:tc>
          <w:tcPr>
            <w:tcW w:w="80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(Deficit)</w:t>
            </w:r>
          </w:p>
        </w:tc>
        <w:tc>
          <w:tcPr>
            <w:tcW w:w="160" w:type="dxa"/>
            <w:vAlign w:val="bottom"/>
          </w:tcPr>
          <w:p>
            <w:pPr>
              <w:spacing w:after="0"/>
              <w:rPr>
                <w:sz w:val="15"/>
                <w:szCs w:val="15"/>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rPr>
              <w:t>Income (Loss)</w:t>
            </w:r>
          </w:p>
        </w:tc>
        <w:tc>
          <w:tcPr>
            <w:tcW w:w="1280" w:type="dxa"/>
            <w:vAlign w:val="bottom"/>
            <w:gridSpan w:val="3"/>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rPr>
              <w:t>Stockholder’s Equity</w:t>
            </w:r>
          </w:p>
        </w:tc>
        <w:tc>
          <w:tcPr>
            <w:tcW w:w="160" w:type="dxa"/>
            <w:vAlign w:val="bottom"/>
          </w:tcPr>
          <w:p>
            <w:pPr>
              <w:spacing w:after="0"/>
              <w:rPr>
                <w:sz w:val="15"/>
                <w:szCs w:val="15"/>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rPr>
              <w:t>Interests</w:t>
            </w:r>
          </w:p>
        </w:tc>
        <w:tc>
          <w:tcPr>
            <w:tcW w:w="140" w:type="dxa"/>
            <w:vAlign w:val="bottom"/>
          </w:tcPr>
          <w:p>
            <w:pPr>
              <w:spacing w:after="0"/>
              <w:rPr>
                <w:sz w:val="15"/>
                <w:szCs w:val="15"/>
                <w:color w:val="auto"/>
              </w:rPr>
            </w:pPr>
          </w:p>
        </w:tc>
        <w:tc>
          <w:tcPr>
            <w:tcW w:w="620" w:type="dxa"/>
            <w:vAlign w:val="bottom"/>
          </w:tcPr>
          <w:p>
            <w:pPr>
              <w:jc w:val="center"/>
              <w:ind w:right="72"/>
              <w:spacing w:after="0"/>
              <w:rPr>
                <w:sz w:val="20"/>
                <w:szCs w:val="20"/>
                <w:color w:val="auto"/>
              </w:rPr>
            </w:pPr>
            <w:r>
              <w:rPr>
                <w:rFonts w:ascii="Times New Roman" w:cs="Times New Roman" w:eastAsia="Times New Roman" w:hAnsi="Times New Roman"/>
                <w:sz w:val="12"/>
                <w:szCs w:val="12"/>
                <w:b w:val="1"/>
                <w:bCs w:val="1"/>
                <w:color w:val="auto"/>
              </w:rPr>
              <w:t>Equity</w:t>
            </w:r>
          </w:p>
        </w:tc>
      </w:tr>
      <w:tr>
        <w:trPr>
          <w:trHeight w:val="30"/>
        </w:trPr>
        <w:tc>
          <w:tcPr>
            <w:tcW w:w="34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192"/>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December 31, 2025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17,607</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(5,997)</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(3,602)</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8,083</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8,098</w:t>
            </w:r>
          </w:p>
        </w:tc>
      </w:tr>
      <w:tr>
        <w:trPr>
          <w:trHeight w:val="191"/>
        </w:trPr>
        <w:tc>
          <w:tcPr>
            <w:tcW w:w="3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(791)</w:t>
            </w:r>
          </w:p>
        </w:tc>
      </w:tr>
      <w:tr>
        <w:trPr>
          <w:trHeight w:val="199"/>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 net of income tax</w:t>
            </w:r>
          </w:p>
        </w:tc>
        <w:tc>
          <w:tcPr>
            <w:tcW w:w="1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(412)</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(412)</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(412)</w:t>
            </w:r>
          </w:p>
        </w:tc>
      </w:tr>
      <w:tr>
        <w:trPr>
          <w:trHeight w:val="199"/>
        </w:trPr>
        <w:tc>
          <w:tcPr>
            <w:tcW w:w="3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March 31, 2026</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17,607</w:t>
            </w:r>
          </w:p>
        </w:tc>
        <w:tc>
          <w:tcPr>
            <w:tcW w:w="1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(6,788)</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(4,014)</w:t>
            </w:r>
          </w:p>
        </w:tc>
        <w:tc>
          <w:tcPr>
            <w:tcW w:w="1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6,880</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2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6,895</w:t>
            </w:r>
          </w:p>
        </w:tc>
      </w:tr>
      <w:tr>
        <w:trPr>
          <w:trHeight w:val="20"/>
        </w:trPr>
        <w:tc>
          <w:tcPr>
            <w:tcW w:w="3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715"/>
        </w:trPr>
        <w:tc>
          <w:tcPr>
            <w:tcW w:w="3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gridSpan w:val="2"/>
          </w:tcPr>
          <w:p>
            <w:pPr>
              <w:jc w:val="center"/>
              <w:ind w:right="300"/>
              <w:spacing w:after="0"/>
              <w:rPr>
                <w:sz w:val="20"/>
                <w:szCs w:val="20"/>
                <w:color w:val="auto"/>
              </w:rPr>
            </w:pPr>
            <w:r>
              <w:rPr>
                <w:rFonts w:ascii="Times New Roman" w:cs="Times New Roman" w:eastAsia="Times New Roman" w:hAnsi="Times New Roman"/>
                <w:sz w:val="12"/>
                <w:szCs w:val="12"/>
                <w:b w:val="1"/>
                <w:bCs w:val="1"/>
                <w:color w:val="auto"/>
              </w:rPr>
              <w:t>Accumulated</w:t>
            </w:r>
          </w:p>
        </w:tc>
        <w:tc>
          <w:tcPr>
            <w:tcW w:w="120" w:type="dxa"/>
            <w:vAlign w:val="bottom"/>
          </w:tcPr>
          <w:p>
            <w:pPr>
              <w:spacing w:after="0"/>
              <w:rPr>
                <w:sz w:val="24"/>
                <w:szCs w:val="24"/>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Brighthouse Life</w:t>
            </w: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46"/>
        </w:trPr>
        <w:tc>
          <w:tcPr>
            <w:tcW w:w="3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Additional</w:t>
            </w:r>
          </w:p>
        </w:tc>
        <w:tc>
          <w:tcPr>
            <w:tcW w:w="120" w:type="dxa"/>
            <w:vAlign w:val="bottom"/>
          </w:tcPr>
          <w:p>
            <w:pPr>
              <w:spacing w:after="0"/>
              <w:rPr>
                <w:sz w:val="12"/>
                <w:szCs w:val="12"/>
                <w:color w:val="auto"/>
              </w:rPr>
            </w:pPr>
          </w:p>
        </w:tc>
        <w:tc>
          <w:tcPr>
            <w:tcW w:w="80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Retained</w:t>
            </w:r>
          </w:p>
        </w:tc>
        <w:tc>
          <w:tcPr>
            <w:tcW w:w="160" w:type="dxa"/>
            <w:vAlign w:val="bottom"/>
          </w:tcPr>
          <w:p>
            <w:pPr>
              <w:spacing w:after="0"/>
              <w:rPr>
                <w:sz w:val="12"/>
                <w:szCs w:val="12"/>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rPr>
              <w:t>Other</w:t>
            </w:r>
          </w:p>
        </w:tc>
        <w:tc>
          <w:tcPr>
            <w:tcW w:w="120" w:type="dxa"/>
            <w:vAlign w:val="bottom"/>
          </w:tcPr>
          <w:p>
            <w:pPr>
              <w:spacing w:after="0"/>
              <w:rPr>
                <w:sz w:val="12"/>
                <w:szCs w:val="12"/>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Insurance</w:t>
            </w: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59"/>
        </w:trPr>
        <w:tc>
          <w:tcPr>
            <w:tcW w:w="3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Common</w:t>
            </w:r>
          </w:p>
        </w:tc>
        <w:tc>
          <w:tcPr>
            <w:tcW w:w="140" w:type="dxa"/>
            <w:vAlign w:val="bottom"/>
          </w:tcPr>
          <w:p>
            <w:pPr>
              <w:spacing w:after="0"/>
              <w:rPr>
                <w:sz w:val="13"/>
                <w:szCs w:val="13"/>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Paid-in</w:t>
            </w:r>
          </w:p>
        </w:tc>
        <w:tc>
          <w:tcPr>
            <w:tcW w:w="120" w:type="dxa"/>
            <w:vAlign w:val="bottom"/>
          </w:tcPr>
          <w:p>
            <w:pPr>
              <w:spacing w:after="0"/>
              <w:rPr>
                <w:sz w:val="13"/>
                <w:szCs w:val="13"/>
                <w:color w:val="auto"/>
              </w:rPr>
            </w:pPr>
          </w:p>
        </w:tc>
        <w:tc>
          <w:tcPr>
            <w:tcW w:w="80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rPr>
              <w:t>Earnings</w:t>
            </w:r>
          </w:p>
        </w:tc>
        <w:tc>
          <w:tcPr>
            <w:tcW w:w="160" w:type="dxa"/>
            <w:vAlign w:val="bottom"/>
          </w:tcPr>
          <w:p>
            <w:pPr>
              <w:spacing w:after="0"/>
              <w:rPr>
                <w:sz w:val="13"/>
                <w:szCs w:val="13"/>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Comprehensive</w:t>
            </w:r>
          </w:p>
        </w:tc>
        <w:tc>
          <w:tcPr>
            <w:tcW w:w="120" w:type="dxa"/>
            <w:vAlign w:val="bottom"/>
          </w:tcPr>
          <w:p>
            <w:pPr>
              <w:spacing w:after="0"/>
              <w:rPr>
                <w:sz w:val="13"/>
                <w:szCs w:val="13"/>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Company’s</w:t>
            </w:r>
          </w:p>
        </w:tc>
        <w:tc>
          <w:tcPr>
            <w:tcW w:w="160" w:type="dxa"/>
            <w:vAlign w:val="bottom"/>
          </w:tcPr>
          <w:p>
            <w:pPr>
              <w:spacing w:after="0"/>
              <w:rPr>
                <w:sz w:val="13"/>
                <w:szCs w:val="13"/>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Noncontrolling</w:t>
            </w:r>
          </w:p>
        </w:tc>
        <w:tc>
          <w:tcPr>
            <w:tcW w:w="140" w:type="dxa"/>
            <w:vAlign w:val="bottom"/>
          </w:tcPr>
          <w:p>
            <w:pPr>
              <w:spacing w:after="0"/>
              <w:rPr>
                <w:sz w:val="13"/>
                <w:szCs w:val="13"/>
                <w:color w:val="auto"/>
              </w:rPr>
            </w:pPr>
          </w:p>
        </w:tc>
        <w:tc>
          <w:tcPr>
            <w:tcW w:w="620" w:type="dxa"/>
            <w:vAlign w:val="bottom"/>
          </w:tcPr>
          <w:p>
            <w:pPr>
              <w:jc w:val="center"/>
              <w:ind w:right="72"/>
              <w:spacing w:after="0"/>
              <w:rPr>
                <w:sz w:val="20"/>
                <w:szCs w:val="20"/>
                <w:color w:val="auto"/>
              </w:rPr>
            </w:pPr>
            <w:r>
              <w:rPr>
                <w:rFonts w:ascii="Times New Roman" w:cs="Times New Roman" w:eastAsia="Times New Roman" w:hAnsi="Times New Roman"/>
                <w:sz w:val="12"/>
                <w:szCs w:val="12"/>
                <w:b w:val="1"/>
                <w:bCs w:val="1"/>
                <w:color w:val="auto"/>
              </w:rPr>
              <w:t>Total</w:t>
            </w:r>
          </w:p>
        </w:tc>
      </w:tr>
      <w:tr>
        <w:trPr>
          <w:trHeight w:val="162"/>
        </w:trPr>
        <w:tc>
          <w:tcPr>
            <w:tcW w:w="3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Stock</w:t>
            </w:r>
          </w:p>
        </w:tc>
        <w:tc>
          <w:tcPr>
            <w:tcW w:w="140" w:type="dxa"/>
            <w:vAlign w:val="bottom"/>
          </w:tcPr>
          <w:p>
            <w:pPr>
              <w:spacing w:after="0"/>
              <w:rPr>
                <w:sz w:val="14"/>
                <w:szCs w:val="14"/>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Capital</w:t>
            </w:r>
          </w:p>
        </w:tc>
        <w:tc>
          <w:tcPr>
            <w:tcW w:w="120" w:type="dxa"/>
            <w:vAlign w:val="bottom"/>
          </w:tcPr>
          <w:p>
            <w:pPr>
              <w:spacing w:after="0"/>
              <w:rPr>
                <w:sz w:val="14"/>
                <w:szCs w:val="14"/>
                <w:color w:val="auto"/>
              </w:rPr>
            </w:pPr>
          </w:p>
        </w:tc>
        <w:tc>
          <w:tcPr>
            <w:tcW w:w="80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(Deficit)</w:t>
            </w:r>
          </w:p>
        </w:tc>
        <w:tc>
          <w:tcPr>
            <w:tcW w:w="160" w:type="dxa"/>
            <w:vAlign w:val="bottom"/>
          </w:tcPr>
          <w:p>
            <w:pPr>
              <w:spacing w:after="0"/>
              <w:rPr>
                <w:sz w:val="14"/>
                <w:szCs w:val="14"/>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rPr>
              <w:t>Income (Loss)</w:t>
            </w:r>
          </w:p>
        </w:tc>
        <w:tc>
          <w:tcPr>
            <w:tcW w:w="1280" w:type="dxa"/>
            <w:vAlign w:val="bottom"/>
            <w:gridSpan w:val="3"/>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rPr>
              <w:t>Stockholder’s Equity</w:t>
            </w:r>
          </w:p>
        </w:tc>
        <w:tc>
          <w:tcPr>
            <w:tcW w:w="160" w:type="dxa"/>
            <w:vAlign w:val="bottom"/>
          </w:tcPr>
          <w:p>
            <w:pPr>
              <w:spacing w:after="0"/>
              <w:rPr>
                <w:sz w:val="14"/>
                <w:szCs w:val="14"/>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rPr>
              <w:t>Interests</w:t>
            </w:r>
          </w:p>
        </w:tc>
        <w:tc>
          <w:tcPr>
            <w:tcW w:w="140" w:type="dxa"/>
            <w:vAlign w:val="bottom"/>
          </w:tcPr>
          <w:p>
            <w:pPr>
              <w:spacing w:after="0"/>
              <w:rPr>
                <w:sz w:val="14"/>
                <w:szCs w:val="14"/>
                <w:color w:val="auto"/>
              </w:rPr>
            </w:pPr>
          </w:p>
        </w:tc>
        <w:tc>
          <w:tcPr>
            <w:tcW w:w="620" w:type="dxa"/>
            <w:vAlign w:val="bottom"/>
          </w:tcPr>
          <w:p>
            <w:pPr>
              <w:jc w:val="center"/>
              <w:ind w:right="72"/>
              <w:spacing w:after="0"/>
              <w:rPr>
                <w:sz w:val="20"/>
                <w:szCs w:val="20"/>
                <w:color w:val="auto"/>
              </w:rPr>
            </w:pPr>
            <w:r>
              <w:rPr>
                <w:rFonts w:ascii="Times New Roman" w:cs="Times New Roman" w:eastAsia="Times New Roman" w:hAnsi="Times New Roman"/>
                <w:sz w:val="12"/>
                <w:szCs w:val="12"/>
                <w:b w:val="1"/>
                <w:bCs w:val="1"/>
                <w:color w:val="auto"/>
              </w:rPr>
              <w:t>Equity</w:t>
            </w:r>
          </w:p>
        </w:tc>
      </w:tr>
      <w:tr>
        <w:trPr>
          <w:trHeight w:val="30"/>
        </w:trPr>
        <w:tc>
          <w:tcPr>
            <w:tcW w:w="34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192"/>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December 31, 2024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17,507</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(6,286)</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(5,163)</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6,133</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6,148</w:t>
            </w:r>
          </w:p>
        </w:tc>
      </w:tr>
      <w:tr>
        <w:trPr>
          <w:trHeight w:val="191"/>
        </w:trPr>
        <w:tc>
          <w:tcPr>
            <w:tcW w:w="3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Capital contribution</w:t>
            </w: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r>
      <w:tr>
        <w:trPr>
          <w:trHeight w:val="206"/>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w:t>
            </w:r>
          </w:p>
        </w:tc>
      </w:tr>
      <w:tr>
        <w:trPr>
          <w:trHeight w:val="192"/>
        </w:trPr>
        <w:tc>
          <w:tcPr>
            <w:tcW w:w="3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 net of income tax</w:t>
            </w: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594</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594</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594</w:t>
            </w:r>
          </w:p>
        </w:tc>
      </w:tr>
      <w:tr>
        <w:trPr>
          <w:trHeight w:val="224"/>
        </w:trPr>
        <w:tc>
          <w:tcPr>
            <w:tcW w:w="3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March 31, 2025</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17,607</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(6,573)</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(4,569)</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6,540</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6,555</w:t>
            </w:r>
          </w:p>
        </w:tc>
      </w:tr>
      <w:tr>
        <w:trPr>
          <w:trHeight w:val="20"/>
        </w:trPr>
        <w:tc>
          <w:tcPr>
            <w:tcW w:w="3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r>
    </w:tbl>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 accompanying notes to the interim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34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Brighthouse Life Insurance Company</w:t>
      </w:r>
    </w:p>
    <w:p>
      <w:pPr>
        <w:spacing w:after="0" w:line="2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(An Indirect Wholly-Owned Subsidiary of Brighthouse Financial, Inc.)</w:t>
      </w:r>
    </w:p>
    <w:p>
      <w:pPr>
        <w:spacing w:after="0" w:line="9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Interim Condensed Consolidated Statements of Cash Flows</w:t>
      </w:r>
    </w:p>
    <w:p>
      <w:pPr>
        <w:spacing w:after="0" w:line="2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2026 and 2025 (Unaudited)</w:t>
      </w:r>
    </w:p>
    <w:p>
      <w:pPr>
        <w:spacing w:after="0" w:line="9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253" w:lineRule="exact"/>
        <w:rPr>
          <w:sz w:val="20"/>
          <w:szCs w:val="20"/>
          <w:color w:val="auto"/>
        </w:rPr>
      </w:pPr>
    </w:p>
    <w:p>
      <w:pPr>
        <w:jc w:val="center"/>
        <w:ind w:left="77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5" w:lineRule="exact"/>
        <w:rPr>
          <w:sz w:val="20"/>
          <w:szCs w:val="20"/>
          <w:color w:val="auto"/>
        </w:rPr>
      </w:pPr>
    </w:p>
    <w:p>
      <w:pPr>
        <w:jc w:val="center"/>
        <w:ind w:left="770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9" w:lineRule="exact"/>
        <w:rPr>
          <w:sz w:val="20"/>
          <w:szCs w:val="20"/>
          <w:color w:val="auto"/>
        </w:rPr>
      </w:pPr>
    </w:p>
    <w:tbl>
      <w:tblPr>
        <w:tblLayout w:type="fixed"/>
        <w:tblInd w:w="20" w:type="dxa"/>
        <w:tblCellMar>
          <w:top w:w="0" w:type="dxa"/>
          <w:left w:w="0" w:type="dxa"/>
          <w:bottom w:w="0" w:type="dxa"/>
          <w:right w:w="0" w:type="dxa"/>
        </w:tblCellMar>
      </w:tblPr>
      <w:tr>
        <w:trPr>
          <w:trHeight w:val="201"/>
        </w:trPr>
        <w:tc>
          <w:tcPr>
            <w:tcW w:w="7720" w:type="dxa"/>
            <w:vAlign w:val="bottom"/>
          </w:tcPr>
          <w:p>
            <w:pPr>
              <w:spacing w:after="0"/>
              <w:rPr>
                <w:sz w:val="17"/>
                <w:szCs w:val="17"/>
                <w:color w:val="auto"/>
              </w:rPr>
            </w:pPr>
          </w:p>
        </w:tc>
        <w:tc>
          <w:tcPr>
            <w:tcW w:w="1100" w:type="dxa"/>
            <w:vAlign w:val="bottom"/>
            <w:tcBorders>
              <w:top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2026</w:t>
            </w:r>
          </w:p>
        </w:tc>
        <w:tc>
          <w:tcPr>
            <w:tcW w:w="5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jc w:val="right"/>
              <w:ind w:right="649"/>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8"/>
        </w:trPr>
        <w:tc>
          <w:tcPr>
            <w:tcW w:w="7720" w:type="dxa"/>
            <w:vAlign w:val="bottom"/>
            <w:tcBorders>
              <w:bottom w:val="single" w:sz="8" w:color="CCEEFF"/>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r>
      <w:tr>
        <w:trPr>
          <w:trHeight w:val="192"/>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cash provided by (used in) operating activities</w:t>
            </w:r>
          </w:p>
        </w:tc>
        <w:tc>
          <w:tcPr>
            <w:tcW w:w="1100" w:type="dxa"/>
            <w:vAlign w:val="bottom"/>
            <w:tcBorders>
              <w:bottom w:val="single" w:sz="8" w:color="auto"/>
            </w:tcBorders>
            <w:shd w:val="clear" w:color="auto" w:fill="CCEEFF"/>
          </w:tcPr>
          <w:p>
            <w:pPr>
              <w:jc w:val="right"/>
              <w:ind w:right="94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w:t>
            </w:r>
          </w:p>
        </w:tc>
        <w:tc>
          <w:tcPr>
            <w:tcW w:w="100" w:type="dxa"/>
            <w:vAlign w:val="bottom"/>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w:t>
            </w:r>
          </w:p>
        </w:tc>
      </w:tr>
      <w:tr>
        <w:trPr>
          <w:trHeight w:val="172"/>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1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205"/>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Sales, maturities and repayments of:</w:t>
            </w:r>
          </w:p>
        </w:tc>
        <w:tc>
          <w:tcPr>
            <w:tcW w:w="1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191"/>
        </w:trPr>
        <w:tc>
          <w:tcPr>
            <w:tcW w:w="77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Fixed maturity securities</w:t>
            </w:r>
          </w:p>
        </w:tc>
        <w:tc>
          <w:tcPr>
            <w:tcW w:w="1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3,297</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3,037</w:t>
            </w:r>
          </w:p>
        </w:tc>
      </w:tr>
      <w:tr>
        <w:trPr>
          <w:trHeight w:val="206"/>
        </w:trPr>
        <w:tc>
          <w:tcPr>
            <w:tcW w:w="7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Trading securities</w:t>
            </w:r>
          </w:p>
        </w:tc>
        <w:tc>
          <w:tcPr>
            <w:tcW w:w="1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191"/>
        </w:trPr>
        <w:tc>
          <w:tcPr>
            <w:tcW w:w="77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Equity securities</w:t>
            </w:r>
          </w:p>
        </w:tc>
        <w:tc>
          <w:tcPr>
            <w:tcW w:w="1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206"/>
        </w:trPr>
        <w:tc>
          <w:tcPr>
            <w:tcW w:w="7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Mortgage loans</w:t>
            </w:r>
          </w:p>
        </w:tc>
        <w:tc>
          <w:tcPr>
            <w:tcW w:w="1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821</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447</w:t>
            </w:r>
          </w:p>
        </w:tc>
      </w:tr>
      <w:tr>
        <w:trPr>
          <w:trHeight w:val="191"/>
        </w:trPr>
        <w:tc>
          <w:tcPr>
            <w:tcW w:w="77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Limited partnerships and limited liability companies</w:t>
            </w:r>
          </w:p>
        </w:tc>
        <w:tc>
          <w:tcPr>
            <w:tcW w:w="1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w:t>
            </w:r>
          </w:p>
        </w:tc>
      </w:tr>
      <w:tr>
        <w:trPr>
          <w:trHeight w:val="206"/>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Purchases of:</w:t>
            </w:r>
          </w:p>
        </w:tc>
        <w:tc>
          <w:tcPr>
            <w:tcW w:w="1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191"/>
        </w:trPr>
        <w:tc>
          <w:tcPr>
            <w:tcW w:w="77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Fixed maturity securities</w:t>
            </w:r>
          </w:p>
        </w:tc>
        <w:tc>
          <w:tcPr>
            <w:tcW w:w="1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(3,278)</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(2,756)</w:t>
            </w:r>
          </w:p>
        </w:tc>
      </w:tr>
      <w:tr>
        <w:trPr>
          <w:trHeight w:val="206"/>
        </w:trPr>
        <w:tc>
          <w:tcPr>
            <w:tcW w:w="7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Trading securities</w:t>
            </w:r>
          </w:p>
        </w:tc>
        <w:tc>
          <w:tcPr>
            <w:tcW w:w="1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r>
      <w:tr>
        <w:trPr>
          <w:trHeight w:val="191"/>
        </w:trPr>
        <w:tc>
          <w:tcPr>
            <w:tcW w:w="77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Equity securities</w:t>
            </w:r>
          </w:p>
        </w:tc>
        <w:tc>
          <w:tcPr>
            <w:tcW w:w="1100" w:type="dxa"/>
            <w:vAlign w:val="bottom"/>
          </w:tcPr>
          <w:p>
            <w:pPr>
              <w:spacing w:after="0"/>
              <w:rPr>
                <w:sz w:val="16"/>
                <w:szCs w:val="16"/>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206"/>
        </w:trPr>
        <w:tc>
          <w:tcPr>
            <w:tcW w:w="7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Mortgage loans</w:t>
            </w:r>
          </w:p>
        </w:tc>
        <w:tc>
          <w:tcPr>
            <w:tcW w:w="1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(664)</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w:t>
            </w:r>
          </w:p>
        </w:tc>
      </w:tr>
      <w:tr>
        <w:trPr>
          <w:trHeight w:val="191"/>
        </w:trPr>
        <w:tc>
          <w:tcPr>
            <w:tcW w:w="77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Limited partnerships and limited liability companies</w:t>
            </w:r>
          </w:p>
        </w:tc>
        <w:tc>
          <w:tcPr>
            <w:tcW w:w="1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w:t>
            </w:r>
          </w:p>
        </w:tc>
      </w:tr>
      <w:tr>
        <w:trPr>
          <w:trHeight w:val="206"/>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received in connection with freestanding derivatives</w:t>
            </w:r>
          </w:p>
        </w:tc>
        <w:tc>
          <w:tcPr>
            <w:tcW w:w="1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4,752</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3,343</w:t>
            </w:r>
          </w:p>
        </w:tc>
      </w:tr>
      <w:tr>
        <w:trPr>
          <w:trHeight w:val="191"/>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paid in connection with freestanding derivatives</w:t>
            </w:r>
          </w:p>
        </w:tc>
        <w:tc>
          <w:tcPr>
            <w:tcW w:w="1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(5,312)</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(4,109)</w:t>
            </w:r>
          </w:p>
        </w:tc>
      </w:tr>
      <w:tr>
        <w:trPr>
          <w:trHeight w:val="206"/>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change in policy loans</w:t>
            </w:r>
          </w:p>
        </w:tc>
        <w:tc>
          <w:tcPr>
            <w:tcW w:w="1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588</w:t>
            </w:r>
          </w:p>
        </w:tc>
      </w:tr>
      <w:tr>
        <w:trPr>
          <w:trHeight w:val="191"/>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change in short-term investments</w:t>
            </w:r>
          </w:p>
        </w:tc>
        <w:tc>
          <w:tcPr>
            <w:tcW w:w="1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w:t>
            </w:r>
          </w:p>
        </w:tc>
      </w:tr>
      <w:tr>
        <w:trPr>
          <w:trHeight w:val="206"/>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change in other invested assets</w:t>
            </w:r>
          </w:p>
        </w:tc>
        <w:tc>
          <w:tcPr>
            <w:tcW w:w="110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85"/>
        </w:trPr>
        <w:tc>
          <w:tcPr>
            <w:tcW w:w="7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Net cash provided by (used in) investing activities</w:t>
            </w:r>
          </w:p>
        </w:tc>
        <w:tc>
          <w:tcPr>
            <w:tcW w:w="1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(521)</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477</w:t>
            </w:r>
          </w:p>
        </w:tc>
      </w:tr>
      <w:tr>
        <w:trPr>
          <w:trHeight w:val="186"/>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1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r>
      <w:tr>
        <w:trPr>
          <w:trHeight w:val="191"/>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Policyholder account balances:</w:t>
            </w:r>
          </w:p>
        </w:tc>
        <w:tc>
          <w:tcPr>
            <w:tcW w:w="1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06"/>
        </w:trPr>
        <w:tc>
          <w:tcPr>
            <w:tcW w:w="7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Deposits</w:t>
            </w:r>
          </w:p>
        </w:tc>
        <w:tc>
          <w:tcPr>
            <w:tcW w:w="1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6,878</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5,018</w:t>
            </w:r>
          </w:p>
        </w:tc>
      </w:tr>
      <w:tr>
        <w:trPr>
          <w:trHeight w:val="191"/>
        </w:trPr>
        <w:tc>
          <w:tcPr>
            <w:tcW w:w="77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Withdrawals</w:t>
            </w:r>
          </w:p>
        </w:tc>
        <w:tc>
          <w:tcPr>
            <w:tcW w:w="1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(6,668)</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(5,940)</w:t>
            </w:r>
          </w:p>
        </w:tc>
      </w:tr>
      <w:tr>
        <w:trPr>
          <w:trHeight w:val="206"/>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change in payables for collateral under securities loaned and other transactions</w:t>
            </w:r>
          </w:p>
        </w:tc>
        <w:tc>
          <w:tcPr>
            <w:tcW w:w="1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r>
      <w:tr>
        <w:trPr>
          <w:trHeight w:val="191"/>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Long-term debt repaid</w:t>
            </w:r>
          </w:p>
        </w:tc>
        <w:tc>
          <w:tcPr>
            <w:tcW w:w="1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6"/>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Capital contribution</w:t>
            </w:r>
          </w:p>
        </w:tc>
        <w:tc>
          <w:tcPr>
            <w:tcW w:w="1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r>
      <w:tr>
        <w:trPr>
          <w:trHeight w:val="192"/>
        </w:trPr>
        <w:tc>
          <w:tcPr>
            <w:tcW w:w="7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Financing element on certain derivative instruments and other derivative related transactions, net</w:t>
            </w:r>
          </w:p>
        </w:tc>
        <w:tc>
          <w:tcPr>
            <w:tcW w:w="1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(166)</w:t>
            </w:r>
          </w:p>
        </w:tc>
      </w:tr>
      <w:tr>
        <w:trPr>
          <w:trHeight w:val="199"/>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provided by (used in) financing activities</w:t>
            </w:r>
          </w:p>
        </w:tc>
        <w:tc>
          <w:tcPr>
            <w:tcW w:w="110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w:t>
            </w:r>
          </w:p>
        </w:tc>
        <w:tc>
          <w:tcPr>
            <w:tcW w:w="10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(969)</w:t>
            </w:r>
          </w:p>
        </w:tc>
      </w:tr>
      <w:tr>
        <w:trPr>
          <w:trHeight w:val="185"/>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Change in cash, cash equivalents and restricted cash</w:t>
            </w:r>
          </w:p>
        </w:tc>
        <w:tc>
          <w:tcPr>
            <w:tcW w:w="1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(464)</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(349)</w:t>
            </w:r>
          </w:p>
        </w:tc>
      </w:tr>
      <w:tr>
        <w:trPr>
          <w:trHeight w:val="199"/>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beginning of period</w:t>
            </w:r>
          </w:p>
        </w:tc>
        <w:tc>
          <w:tcPr>
            <w:tcW w:w="110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5,057</w:t>
            </w:r>
          </w:p>
        </w:tc>
        <w:tc>
          <w:tcPr>
            <w:tcW w:w="10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4,592</w:t>
            </w:r>
          </w:p>
        </w:tc>
      </w:tr>
      <w:tr>
        <w:trPr>
          <w:trHeight w:val="199"/>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cash equivalents and restricted cash, end of period</w:t>
            </w:r>
          </w:p>
        </w:tc>
        <w:tc>
          <w:tcPr>
            <w:tcW w:w="1100" w:type="dxa"/>
            <w:vAlign w:val="bottom"/>
            <w:tcBorders>
              <w:bottom w:val="single" w:sz="8" w:color="auto"/>
            </w:tcBorders>
          </w:tcPr>
          <w:p>
            <w:pPr>
              <w:jc w:val="right"/>
              <w:ind w:right="94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4,593</w:t>
            </w:r>
          </w:p>
        </w:tc>
        <w:tc>
          <w:tcPr>
            <w:tcW w:w="100" w:type="dxa"/>
            <w:vAlign w:val="bottom"/>
          </w:tcPr>
          <w:p>
            <w:pPr>
              <w:spacing w:after="0"/>
              <w:rPr>
                <w:sz w:val="17"/>
                <w:szCs w:val="17"/>
                <w:color w:val="auto"/>
              </w:rPr>
            </w:pPr>
          </w:p>
        </w:tc>
        <w:tc>
          <w:tcPr>
            <w:tcW w:w="42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4,243</w:t>
            </w:r>
          </w:p>
        </w:tc>
      </w:tr>
      <w:tr>
        <w:trPr>
          <w:trHeight w:val="20"/>
        </w:trPr>
        <w:tc>
          <w:tcPr>
            <w:tcW w:w="77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165"/>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disclosures of cash flow information</w:t>
            </w:r>
          </w:p>
        </w:tc>
        <w:tc>
          <w:tcPr>
            <w:tcW w:w="1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191"/>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cash paid (received) for:</w:t>
            </w:r>
          </w:p>
        </w:tc>
        <w:tc>
          <w:tcPr>
            <w:tcW w:w="1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31"/>
        </w:trPr>
        <w:tc>
          <w:tcPr>
            <w:tcW w:w="77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Interest</w:t>
            </w:r>
          </w:p>
        </w:tc>
        <w:tc>
          <w:tcPr>
            <w:tcW w:w="1100" w:type="dxa"/>
            <w:vAlign w:val="bottom"/>
            <w:tcBorders>
              <w:bottom w:val="single" w:sz="8" w:color="auto"/>
            </w:tcBorders>
            <w:shd w:val="clear" w:color="auto" w:fill="CCEEFF"/>
          </w:tcPr>
          <w:p>
            <w:pPr>
              <w:jc w:val="right"/>
              <w:ind w:right="94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r>
        <w:trPr>
          <w:trHeight w:val="172"/>
        </w:trPr>
        <w:tc>
          <w:tcPr>
            <w:tcW w:w="77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Income tax</w:t>
            </w:r>
          </w:p>
        </w:tc>
        <w:tc>
          <w:tcPr>
            <w:tcW w:w="1100" w:type="dxa"/>
            <w:vAlign w:val="bottom"/>
            <w:tcBorders>
              <w:bottom w:val="single" w:sz="8" w:color="auto"/>
            </w:tcBorders>
          </w:tcPr>
          <w:p>
            <w:pPr>
              <w:jc w:val="right"/>
              <w:ind w:right="94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4"/>
                <w:szCs w:val="14"/>
                <w:color w:val="auto"/>
              </w:rPr>
            </w:pPr>
          </w:p>
        </w:tc>
        <w:tc>
          <w:tcPr>
            <w:tcW w:w="42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77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65"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b w:val="1"/>
          <w:bCs w:val="1"/>
          <w:color w:val="auto"/>
        </w:rPr>
        <w:t>See accompanying notes to the interim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Life Insurance Company</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 Indirect Wholly-Owned Subsidiary of Brighthouse Financial, Inc.)</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right="5060"/>
        <w:spacing w:after="0" w:line="369" w:lineRule="auto"/>
        <w:rPr>
          <w:sz w:val="20"/>
          <w:szCs w:val="20"/>
          <w:color w:val="auto"/>
        </w:rPr>
      </w:pPr>
      <w:r>
        <w:rPr>
          <w:rFonts w:ascii="Times New Roman" w:cs="Times New Roman" w:eastAsia="Times New Roman" w:hAnsi="Times New Roman"/>
          <w:sz w:val="18"/>
          <w:szCs w:val="18"/>
          <w:b w:val="1"/>
          <w:bCs w:val="1"/>
          <w:color w:val="auto"/>
        </w:rPr>
        <w:t xml:space="preserve">1. Business, Basis of Presentation and Summary of Significant Accounting Policies </w:t>
      </w:r>
      <w:r>
        <w:rPr>
          <w:rFonts w:ascii="Times New Roman" w:cs="Times New Roman" w:eastAsia="Times New Roman" w:hAnsi="Times New Roman"/>
          <w:sz w:val="18"/>
          <w:szCs w:val="18"/>
          <w:b w:val="1"/>
          <w:bCs w:val="1"/>
          <w:i w:val="1"/>
          <w:iCs w:val="1"/>
          <w:color w:val="auto"/>
        </w:rPr>
        <w:t>Business</w:t>
      </w:r>
    </w:p>
    <w:p>
      <w:pPr>
        <w:spacing w:after="0" w:line="2"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“BLIC” and the “Company” refer to Brighthouse Life Insurance Company, a Delaware corporation originally incorporated in Connecticut in 1863, and its subsidiaries. Brighthouse Life Insurance Company is a wholly-owned subsidiary of Brighthouse Holdings, LLC and an indirect wholly-owned subsidiary of Brighthouse Financial, Inc. (“BHF” and, together with its subsidiaries, “Brighthouse Financial”). BLIC offers a range of annuity and life insurance products to individuals. The Company is organized into the following reportable segments: Annuities; Life; Run-off; and Corporate &amp; Other.</w:t>
      </w:r>
    </w:p>
    <w:p>
      <w:pPr>
        <w:spacing w:after="0" w:line="74"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On November 6, 2025, BHF entered into an Agreement and Plan of Merger (the “Merger Agreement”) with Aquarian Holdings VI L.P., a Delaware limited partnership (“Aquarian Parent”), Aquarian Beacon Merger Sub Inc., a Delaware corporation and an indirect wholly-owned subsidiary of Aquarian Parent (“Merger Sub”), and Aquarian Holdings LLC, a Delaware limited liability company, solely for the purpose of certain provisions, pursuant to which, at the closing of the transactions contemplated by the Merger Agreement, Merger Sub will merge with and into BHF, with BHF surviving as a wholly-owned subsidiary of Aquarian Parent (the “Merger”). Brighthouse Life Insurance Company will remain an indirect wholly-owned subsidiary of BHF after the effective time of the Merger.</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15"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accounting principles generally accepted in the United States of America (“GAAP”) requires management to adopt accounting policies and make estimates and assumptions that affect amounts reported on the interim condensed consolidated financial statements. In applying these policies and estimates, management makes subjective and complex judgments that frequently require assumptions about matters that are inherently uncertain. Many of these policies, estimates and related judgments are common in the insurance and financial services industries; others are specific to the Company’s business and operations. Actual results could differ from these estimates.</w:t>
      </w:r>
    </w:p>
    <w:p>
      <w:pPr>
        <w:spacing w:after="0" w:line="7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Consolidation</w:t>
      </w:r>
    </w:p>
    <w:p>
      <w:pPr>
        <w:spacing w:after="0" w:line="115" w:lineRule="exact"/>
        <w:rPr>
          <w:sz w:val="20"/>
          <w:szCs w:val="20"/>
          <w:color w:val="auto"/>
        </w:rPr>
      </w:pPr>
    </w:p>
    <w:p>
      <w:pPr>
        <w:jc w:val="both"/>
        <w:ind w:left="160" w:firstLine="318"/>
        <w:spacing w:after="0" w:line="259" w:lineRule="auto"/>
        <w:rPr>
          <w:sz w:val="20"/>
          <w:szCs w:val="20"/>
          <w:color w:val="auto"/>
        </w:rPr>
      </w:pPr>
      <w:r>
        <w:rPr>
          <w:rFonts w:ascii="Times New Roman" w:cs="Times New Roman" w:eastAsia="Times New Roman" w:hAnsi="Times New Roman"/>
          <w:sz w:val="18"/>
          <w:szCs w:val="18"/>
          <w:color w:val="auto"/>
        </w:rPr>
        <w:t>The accompanying interim condensed consolidated financial statements include the accounts of Brighthouse Life Insurance Company and its subsidiaries, as well as partnerships and limited liability companies (“LLC”) that the Company controls. Intercompany accounts and transactions have been eliminated.</w:t>
      </w:r>
    </w:p>
    <w:p>
      <w:pPr>
        <w:spacing w:after="0" w:line="72" w:lineRule="exact"/>
        <w:rPr>
          <w:sz w:val="20"/>
          <w:szCs w:val="20"/>
          <w:color w:val="auto"/>
        </w:rPr>
      </w:pPr>
    </w:p>
    <w:p>
      <w:pPr>
        <w:jc w:val="both"/>
        <w:ind w:left="160" w:firstLine="318"/>
        <w:spacing w:after="0" w:line="255" w:lineRule="auto"/>
        <w:rPr>
          <w:sz w:val="20"/>
          <w:szCs w:val="20"/>
          <w:color w:val="auto"/>
        </w:rPr>
      </w:pPr>
      <w:r>
        <w:rPr>
          <w:rFonts w:ascii="Times New Roman" w:cs="Times New Roman" w:eastAsia="Times New Roman" w:hAnsi="Times New Roman"/>
          <w:sz w:val="18"/>
          <w:szCs w:val="18"/>
          <w:color w:val="auto"/>
        </w:rPr>
        <w:t>The Company uses the equity method of accounting for investments in limited partnerships and LLCs when it has more than a minor ownership interest or more than a minor influence over the investee’s operations. The Company generally recognizes its share of the investee’s earnings on a three-month lag in instances where the investee’s financial information is not sufficiently timely or when the investee’s reporting period differs from the Company’s reporting period. When the Company has virtually no influence over the investee’s operations, the investment is carried at fair value.</w:t>
      </w:r>
    </w:p>
    <w:p>
      <w:pPr>
        <w:spacing w:after="0" w:line="7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Since the Company is a member of a controlled group of affiliated companies, its results may not be indicative of those of a standalone entity.</w:t>
      </w:r>
    </w:p>
    <w:p>
      <w:pPr>
        <w:spacing w:after="0" w:line="111" w:lineRule="exact"/>
        <w:rPr>
          <w:sz w:val="20"/>
          <w:szCs w:val="20"/>
          <w:color w:val="auto"/>
        </w:rPr>
      </w:pPr>
    </w:p>
    <w:p>
      <w:pPr>
        <w:jc w:val="both"/>
        <w:ind w:left="160" w:firstLine="318"/>
        <w:spacing w:after="0" w:line="251" w:lineRule="auto"/>
        <w:rPr>
          <w:sz w:val="20"/>
          <w:szCs w:val="20"/>
          <w:color w:val="auto"/>
        </w:rPr>
      </w:pPr>
      <w:r>
        <w:rPr>
          <w:rFonts w:ascii="Times New Roman" w:cs="Times New Roman" w:eastAsia="Times New Roman" w:hAnsi="Times New Roman"/>
          <w:sz w:val="18"/>
          <w:szCs w:val="18"/>
          <w:color w:val="auto"/>
        </w:rPr>
        <w:t>The accompanying interim condensed consolidated financial statements are unaudited and reflect all adjustments (including normal recurring adjustments) necessary to present fairly the financial position, results of operations and cash flows for the interim periods presented in conformity with GAAP. Interim results are not necessarily indicative of full year performance. The December 31, 2025 consolidated balance sheet data was derived from audited consolidated financial statements included in Brighthouse Life Insurance Company’s Annual Report on Form 10-K for the year ended December 31, 2025 (the “2025 Annual Report”), which include all disclosures required by GAAP. Therefore, these interim condensed consolidated financial statements should be read in conjunction with the consolidated financial statements of the Company included in the 2025 Annual Report.</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Adoption of New Accounting Pronouncements</w:t>
      </w:r>
    </w:p>
    <w:p>
      <w:pPr>
        <w:spacing w:after="0" w:line="11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Changes to GAAP are established by the Financial Accounting Standards Board (“FASB”) in the form of accounting standards updates (“ASU”) to the FASB Accounting Standards Codification. The Company considers the applicability and impact of all ASUs. There were no significant ASUs adopted during the period ended March 31, 2026.</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Life Insurance Company</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 Indirect Wholly-Owned Subsidiary of Brighthouse Financial, Inc.)</w:t>
      </w:r>
    </w:p>
    <w:p>
      <w:pPr>
        <w:spacing w:after="0" w:line="90"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Business, Basis of Presentation and Summary of Significant Accounting Policies (continued)</w:t>
      </w:r>
    </w:p>
    <w:p>
      <w:pPr>
        <w:spacing w:after="0" w:line="200" w:lineRule="exact"/>
        <w:rPr>
          <w:sz w:val="20"/>
          <w:szCs w:val="20"/>
          <w:color w:val="auto"/>
        </w:rPr>
      </w:pPr>
    </w:p>
    <w:p>
      <w:pPr>
        <w:spacing w:after="0" w:line="30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Future Adoption of New Accounting Pronouncements</w:t>
      </w:r>
    </w:p>
    <w:p>
      <w:pPr>
        <w:spacing w:after="0" w:line="113" w:lineRule="exact"/>
        <w:rPr>
          <w:sz w:val="20"/>
          <w:szCs w:val="20"/>
          <w:color w:val="auto"/>
        </w:rPr>
      </w:pPr>
    </w:p>
    <w:p>
      <w:pPr>
        <w:jc w:val="both"/>
        <w:ind w:left="160" w:firstLine="318"/>
        <w:spacing w:after="0" w:line="269" w:lineRule="auto"/>
        <w:rPr>
          <w:sz w:val="20"/>
          <w:szCs w:val="20"/>
          <w:color w:val="auto"/>
        </w:rPr>
      </w:pPr>
      <w:r>
        <w:rPr>
          <w:rFonts w:ascii="Times New Roman" w:cs="Times New Roman" w:eastAsia="Times New Roman" w:hAnsi="Times New Roman"/>
          <w:sz w:val="17"/>
          <w:szCs w:val="17"/>
          <w:color w:val="auto"/>
        </w:rPr>
        <w:t xml:space="preserve">In November 2025, the FASB issued new guidance on financial instrument credit losses (ASU 2025-08, </w:t>
      </w:r>
      <w:r>
        <w:rPr>
          <w:rFonts w:ascii="Times New Roman" w:cs="Times New Roman" w:eastAsia="Times New Roman" w:hAnsi="Times New Roman"/>
          <w:sz w:val="17"/>
          <w:szCs w:val="17"/>
          <w:i w:val="1"/>
          <w:iCs w:val="1"/>
          <w:color w:val="auto"/>
        </w:rPr>
        <w:t>Financial Instruments – Credit Losses (Topic</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326): Purchased Loans</w:t>
      </w:r>
      <w:r>
        <w:rPr>
          <w:rFonts w:ascii="Times New Roman" w:cs="Times New Roman" w:eastAsia="Times New Roman" w:hAnsi="Times New Roman"/>
          <w:sz w:val="17"/>
          <w:szCs w:val="17"/>
          <w:color w:val="auto"/>
        </w:rPr>
        <w:t>). Under current GAAP, an allowance for credit losses for assets purchased with credit deterioration is established by grossing up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amortized cost basis of the asset, while the allowance for all other loans is recognized separately as an expense. The ASU expands the population of purchased financial instruments subject to the gross-up approach for determining the allowance for credit losses to include all purchased loans that meet certain criteria. The ASU is effective for annual and interim periods starting with fiscal year 2027. This ASU is required to be adopted prospectively for all loans acquired on or after the effective date. The Company is currently evaluating the impact of this guidance on its financial statements.</w:t>
      </w:r>
    </w:p>
    <w:p>
      <w:pPr>
        <w:spacing w:after="0" w:line="63" w:lineRule="exact"/>
        <w:rPr>
          <w:sz w:val="20"/>
          <w:szCs w:val="20"/>
          <w:color w:val="auto"/>
        </w:rPr>
      </w:pPr>
    </w:p>
    <w:p>
      <w:pPr>
        <w:jc w:val="both"/>
        <w:ind w:left="160" w:firstLine="318"/>
        <w:spacing w:after="0" w:line="271" w:lineRule="auto"/>
        <w:rPr>
          <w:sz w:val="20"/>
          <w:szCs w:val="20"/>
          <w:color w:val="auto"/>
        </w:rPr>
      </w:pPr>
      <w:r>
        <w:rPr>
          <w:rFonts w:ascii="Times New Roman" w:cs="Times New Roman" w:eastAsia="Times New Roman" w:hAnsi="Times New Roman"/>
          <w:sz w:val="17"/>
          <w:szCs w:val="17"/>
          <w:color w:val="auto"/>
        </w:rPr>
        <w:t xml:space="preserve">In November 2024, the FASB issued new guidance on income statement expense disclosures (ASU 2024-03, </w:t>
      </w:r>
      <w:r>
        <w:rPr>
          <w:rFonts w:ascii="Times New Roman" w:cs="Times New Roman" w:eastAsia="Times New Roman" w:hAnsi="Times New Roman"/>
          <w:sz w:val="17"/>
          <w:szCs w:val="17"/>
          <w:i w:val="1"/>
          <w:iCs w:val="1"/>
          <w:color w:val="auto"/>
        </w:rPr>
        <w:t>Income Statement—Reporting</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Comprehensive Income—Expense Disaggregation Disclosures (Subtopic 220-40)</w:t>
      </w:r>
      <w:r>
        <w:rPr>
          <w:rFonts w:ascii="Times New Roman" w:cs="Times New Roman" w:eastAsia="Times New Roman" w:hAnsi="Times New Roman"/>
          <w:sz w:val="17"/>
          <w:szCs w:val="17"/>
          <w:color w:val="auto"/>
        </w:rPr>
        <w:t>: Disaggregation of Income Statement Expenses). This ASU requires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public companies to disclose additional disaggregated information about expenses in the notes to financial statements at each interim and annual reporting period. This ASU is effective for fiscal years starting January 1, 2027, and for interim periods starting January 1, 2028. This ASU is required to be adopted prospectively with the option of retrospective application. The Company is currently evaluating the impact of this guidance on its financial statements.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Segment Information</w:t>
      </w:r>
    </w:p>
    <w:p>
      <w:pPr>
        <w:spacing w:after="0" w:line="113"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The Company is organized into and provides its products and services through the following reportable segments: Annuities; Life; Run-off; and Corporate &amp; Other. The Company’s chief operating decision maker (“CODM”) views and manages the business through these segments.</w:t>
      </w:r>
    </w:p>
    <w:p>
      <w:pPr>
        <w:spacing w:after="0" w:line="5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Annuities</w:t>
      </w:r>
    </w:p>
    <w:p>
      <w:pPr>
        <w:spacing w:after="0" w:line="115" w:lineRule="exact"/>
        <w:rPr>
          <w:sz w:val="20"/>
          <w:szCs w:val="20"/>
          <w:color w:val="auto"/>
        </w:rPr>
      </w:pPr>
    </w:p>
    <w:p>
      <w:pPr>
        <w:jc w:val="both"/>
        <w:ind w:left="160" w:right="20" w:firstLine="318"/>
        <w:spacing w:after="0" w:line="274" w:lineRule="auto"/>
        <w:rPr>
          <w:sz w:val="20"/>
          <w:szCs w:val="20"/>
          <w:color w:val="auto"/>
        </w:rPr>
      </w:pPr>
      <w:r>
        <w:rPr>
          <w:rFonts w:ascii="Times New Roman" w:cs="Times New Roman" w:eastAsia="Times New Roman" w:hAnsi="Times New Roman"/>
          <w:sz w:val="18"/>
          <w:szCs w:val="18"/>
          <w:color w:val="auto"/>
        </w:rPr>
        <w:t>The Annuities segment consists of a variety of variable, fixed, index-linked and income annuities designed to address contract holders’ needs for protected wealth accumulation on a tax-deferred basis, wealth transfer and income security.</w:t>
      </w:r>
    </w:p>
    <w:p>
      <w:pPr>
        <w:spacing w:after="0" w:line="5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Life</w:t>
      </w:r>
    </w:p>
    <w:p>
      <w:pPr>
        <w:spacing w:after="0" w:line="115" w:lineRule="exact"/>
        <w:rPr>
          <w:sz w:val="20"/>
          <w:szCs w:val="20"/>
          <w:color w:val="auto"/>
        </w:rPr>
      </w:pPr>
    </w:p>
    <w:p>
      <w:pPr>
        <w:jc w:val="both"/>
        <w:ind w:left="160" w:firstLine="318"/>
        <w:spacing w:after="0" w:line="274" w:lineRule="auto"/>
        <w:rPr>
          <w:sz w:val="20"/>
          <w:szCs w:val="20"/>
          <w:color w:val="auto"/>
        </w:rPr>
      </w:pPr>
      <w:r>
        <w:rPr>
          <w:rFonts w:ascii="Times New Roman" w:cs="Times New Roman" w:eastAsia="Times New Roman" w:hAnsi="Times New Roman"/>
          <w:sz w:val="18"/>
          <w:szCs w:val="18"/>
          <w:color w:val="auto"/>
        </w:rPr>
        <w:t>The Life segment consists of insurance products, including term, universal, whole and variable life products designed to address policyholders’ needs for financial security and protected wealth transfer, which may be on a tax-advantaged basis.</w:t>
      </w:r>
    </w:p>
    <w:p>
      <w:pPr>
        <w:spacing w:after="0" w:line="5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Run-off</w:t>
      </w:r>
    </w:p>
    <w:p>
      <w:pPr>
        <w:spacing w:after="0" w:line="115" w:lineRule="exact"/>
        <w:rPr>
          <w:sz w:val="20"/>
          <w:szCs w:val="20"/>
          <w:color w:val="auto"/>
        </w:rPr>
      </w:pPr>
    </w:p>
    <w:p>
      <w:pPr>
        <w:jc w:val="both"/>
        <w:ind w:left="160" w:firstLine="318"/>
        <w:spacing w:after="0" w:line="304" w:lineRule="auto"/>
        <w:rPr>
          <w:sz w:val="20"/>
          <w:szCs w:val="20"/>
          <w:color w:val="auto"/>
        </w:rPr>
      </w:pPr>
      <w:r>
        <w:rPr>
          <w:rFonts w:ascii="Times New Roman" w:cs="Times New Roman" w:eastAsia="Times New Roman" w:hAnsi="Times New Roman"/>
          <w:sz w:val="17"/>
          <w:szCs w:val="17"/>
          <w:color w:val="auto"/>
        </w:rPr>
        <w:t>The Run-off segment consists primarily of products that are no longer actively sold and are separately managed, including universal life with secondary guarantees (“ULSG”), structured settlements, pension risk transfer contracts, certain company-owned life insurance policies and certain funding agreements.</w:t>
      </w:r>
    </w:p>
    <w:p>
      <w:pPr>
        <w:spacing w:after="0" w:line="3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Corporate &amp; Other</w:t>
      </w:r>
    </w:p>
    <w:p>
      <w:pPr>
        <w:spacing w:after="0" w:line="115" w:lineRule="exact"/>
        <w:rPr>
          <w:sz w:val="20"/>
          <w:szCs w:val="20"/>
          <w:color w:val="auto"/>
        </w:rPr>
      </w:pPr>
    </w:p>
    <w:p>
      <w:pPr>
        <w:jc w:val="both"/>
        <w:ind w:left="160" w:firstLine="318"/>
        <w:spacing w:after="0" w:line="255" w:lineRule="auto"/>
        <w:rPr>
          <w:sz w:val="20"/>
          <w:szCs w:val="20"/>
          <w:color w:val="auto"/>
        </w:rPr>
      </w:pPr>
      <w:r>
        <w:rPr>
          <w:rFonts w:ascii="Times New Roman" w:cs="Times New Roman" w:eastAsia="Times New Roman" w:hAnsi="Times New Roman"/>
          <w:sz w:val="18"/>
          <w:szCs w:val="18"/>
          <w:color w:val="auto"/>
        </w:rPr>
        <w:t>The Corporate &amp; Other segment consists of activities related to funding agreements associated with the Company’s institutional spread margin business, excess capital not allocated to the other segments and interest expense related to the Company’s outstanding debt, as well as expenses associated with certain legal proceedings and income tax audit issues. The Corporate &amp; Other segment also includes long-term care business reinsured through 100% quota share reinsurance agreements.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Measure and Segment Accounting Policies</w:t>
      </w:r>
    </w:p>
    <w:p>
      <w:pPr>
        <w:spacing w:after="0" w:line="115"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Company’s CODM is its Chief Executive Officer (“CEO”). The CEO uses adjusted earnings to evaluate segment performance and facilitate comparisons to industry results. The Company believes the presentation of adjusted earnings, as the Company measures it for management purposes, enhances the understanding of its performance by the investor community by highlighting the results of operations and the underlying profitability drivers of the business.</w:t>
      </w:r>
    </w:p>
    <w:p>
      <w:pPr>
        <w:spacing w:after="0" w:line="7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Adjusted earnings, which may be positive or negative, focuses on the Company’s primary businesses by excluding the impact of market volatility, which could distort trends.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Life Insurance Company</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 Indirect Wholly-Owned Subsidiary of Brighthouse Financial, Inc.)</w:t>
      </w:r>
    </w:p>
    <w:p>
      <w:pPr>
        <w:spacing w:after="0" w:line="90"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Segment Information (continued)</w:t>
      </w:r>
    </w:p>
    <w:p>
      <w:pPr>
        <w:spacing w:after="0" w:line="200" w:lineRule="exact"/>
        <w:rPr>
          <w:sz w:val="20"/>
          <w:szCs w:val="20"/>
          <w:color w:val="auto"/>
        </w:rPr>
      </w:pPr>
    </w:p>
    <w:p>
      <w:pPr>
        <w:spacing w:after="0" w:line="31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items are excluded from total revenues in calculating adjusted earnings:</w:t>
      </w:r>
    </w:p>
    <w:p>
      <w:pPr>
        <w:spacing w:after="0" w:line="111" w:lineRule="exact"/>
        <w:rPr>
          <w:sz w:val="20"/>
          <w:szCs w:val="20"/>
          <w:color w:val="auto"/>
        </w:rPr>
      </w:pPr>
    </w:p>
    <w:p>
      <w:pPr>
        <w:ind w:left="640" w:hanging="316"/>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investment gains (losses);</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gains (losses) on trading securities measured at estimated fair value through net investment income; and</w:t>
      </w:r>
    </w:p>
    <w:p>
      <w:pPr>
        <w:spacing w:after="0" w:line="111"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derivative gains (losses), excluding earned income and amortization of premium on derivatives that are hedges of investments or that are used to replicate certain investments, but do not qualify for hedge accounting treatment (“Investment Hedge Adjustments”).</w:t>
      </w:r>
    </w:p>
    <w:p>
      <w:pPr>
        <w:spacing w:after="0" w:line="5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items are excluded from total expenses in calculating adjusted earnings:</w:t>
      </w:r>
    </w:p>
    <w:p>
      <w:pPr>
        <w:spacing w:after="0" w:line="111" w:lineRule="exact"/>
        <w:rPr>
          <w:sz w:val="20"/>
          <w:szCs w:val="20"/>
          <w:color w:val="auto"/>
        </w:rPr>
      </w:pPr>
    </w:p>
    <w:p>
      <w:pPr>
        <w:ind w:left="640" w:hanging="316"/>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in market risk benefits (“MRB”); and</w:t>
      </w:r>
    </w:p>
    <w:p>
      <w:pPr>
        <w:spacing w:after="0" w:line="111"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in fair value of the crediting rate on experience-rated contracts and market value adjustments on institutional group annuities that are economically offset by gains (losses) on the related trading securities (“Market Value Adjustments”).</w:t>
      </w:r>
    </w:p>
    <w:p>
      <w:pPr>
        <w:spacing w:after="0" w:line="57"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provision for income tax related to adjusted earnings is calculated using the statutory tax rate of 21%, net of impacts related to the dividends received deduction, tax credits and current period non-recurring items.</w:t>
      </w:r>
    </w:p>
    <w:p>
      <w:pPr>
        <w:spacing w:after="0" w:line="5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segment accounting policies are the same as those used to prepare the Company’s interim condensed consolidated financial statements, except for the adjustments to calculate adjusted earnings described above. In addition, segment accounting policies include the methods of capital allocation described below.</w:t>
      </w:r>
    </w:p>
    <w:p>
      <w:pPr>
        <w:spacing w:after="0" w:line="72"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Segment investment and capitalization targets are based on statutory oriented risk principles and metrics. Segment invested assets backing liabilities are based on net statutory liabilities plus excess capital, with excess capital determined based on statutory risk-based capital metrics. Assets in excess of those allocated to the Annuities, Life and Run-off segments, if any, are held in the Corporate &amp; Other segment. Segment net investment income reflects the performance of each segment’s respective invested assets.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Life Insurance Company</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 Indirect Wholly-Owned Subsidiary of Brighthouse Financial, Inc.)</w:t>
      </w:r>
    </w:p>
    <w:p>
      <w:pPr>
        <w:spacing w:after="0" w:line="90"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Segment Information (continued)</w:t>
      </w:r>
    </w:p>
    <w:p>
      <w:pPr>
        <w:spacing w:after="0" w:line="200" w:lineRule="exact"/>
        <w:rPr>
          <w:sz w:val="20"/>
          <w:szCs w:val="20"/>
          <w:color w:val="auto"/>
        </w:rPr>
      </w:pPr>
    </w:p>
    <w:p>
      <w:pPr>
        <w:spacing w:after="0" w:line="311"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The tables below provide information about the Company’s segments, including significant segment expenses, and reconciliations to Net income (loss) attributable to Brighthouse Life Insurance Company.</w:t>
      </w:r>
    </w:p>
    <w:p>
      <w:pPr>
        <w:spacing w:after="0" w:line="200" w:lineRule="exact"/>
        <w:rPr>
          <w:sz w:val="20"/>
          <w:szCs w:val="20"/>
          <w:color w:val="auto"/>
        </w:rPr>
      </w:pPr>
    </w:p>
    <w:p>
      <w:pPr>
        <w:spacing w:after="0" w:line="222" w:lineRule="exact"/>
        <w:rPr>
          <w:sz w:val="20"/>
          <w:szCs w:val="20"/>
          <w:color w:val="auto"/>
        </w:rPr>
      </w:pPr>
    </w:p>
    <w:p>
      <w:pPr>
        <w:ind w:left="7660"/>
        <w:spacing w:after="0"/>
        <w:rPr>
          <w:sz w:val="20"/>
          <w:szCs w:val="20"/>
          <w:color w:val="auto"/>
        </w:rPr>
      </w:pPr>
      <w:r>
        <w:rPr>
          <w:rFonts w:ascii="Times New Roman" w:cs="Times New Roman" w:eastAsia="Times New Roman" w:hAnsi="Times New Roman"/>
          <w:sz w:val="14"/>
          <w:szCs w:val="14"/>
          <w:b w:val="1"/>
          <w:bCs w:val="1"/>
          <w:color w:val="auto"/>
        </w:rPr>
        <w:t>Three Months Ended March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4008755</wp:posOffset>
            </wp:positionH>
            <wp:positionV relativeFrom="paragraph">
              <wp:posOffset>39370</wp:posOffset>
            </wp:positionV>
            <wp:extent cx="312991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129915" cy="8255"/>
                    </a:xfrm>
                    <a:prstGeom prst="rect">
                      <a:avLst/>
                    </a:prstGeom>
                    <a:noFill/>
                  </pic:spPr>
                </pic:pic>
              </a:graphicData>
            </a:graphic>
          </wp:anchor>
        </w:drawing>
      </w:r>
    </w:p>
    <w:p>
      <w:pPr>
        <w:spacing w:after="0" w:line="270" w:lineRule="exact"/>
        <w:rPr>
          <w:sz w:val="20"/>
          <w:szCs w:val="20"/>
          <w:color w:val="auto"/>
        </w:rPr>
      </w:pPr>
    </w:p>
    <w:tbl>
      <w:tblPr>
        <w:tblLayout w:type="fixed"/>
        <w:tblInd w:w="6320" w:type="dxa"/>
        <w:tblCellMar>
          <w:top w:w="0" w:type="dxa"/>
          <w:left w:w="0" w:type="dxa"/>
          <w:bottom w:w="0" w:type="dxa"/>
          <w:right w:w="0" w:type="dxa"/>
        </w:tblCellMar>
      </w:tblPr>
      <w:tr>
        <w:trPr>
          <w:trHeight w:val="172"/>
        </w:trPr>
        <w:tc>
          <w:tcPr>
            <w:tcW w:w="10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60" w:type="dxa"/>
            <w:vAlign w:val="bottom"/>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w w:val="99"/>
              </w:rPr>
              <w:t>Corporate</w:t>
            </w:r>
          </w:p>
        </w:tc>
        <w:tc>
          <w:tcPr>
            <w:tcW w:w="880" w:type="dxa"/>
            <w:vAlign w:val="bottom"/>
          </w:tcPr>
          <w:p>
            <w:pPr>
              <w:spacing w:after="0"/>
              <w:rPr>
                <w:sz w:val="14"/>
                <w:szCs w:val="14"/>
                <w:color w:val="auto"/>
              </w:rPr>
            </w:pPr>
          </w:p>
        </w:tc>
      </w:tr>
      <w:tr>
        <w:trPr>
          <w:trHeight w:val="186"/>
        </w:trPr>
        <w:tc>
          <w:tcPr>
            <w:tcW w:w="102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Annuities</w:t>
            </w:r>
          </w:p>
        </w:tc>
        <w:tc>
          <w:tcPr>
            <w:tcW w:w="80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Life</w:t>
            </w:r>
          </w:p>
        </w:tc>
        <w:tc>
          <w:tcPr>
            <w:tcW w:w="116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auto"/>
              </w:rPr>
              <w:t>Run-off</w:t>
            </w:r>
          </w:p>
        </w:tc>
        <w:tc>
          <w:tcPr>
            <w:tcW w:w="1060" w:type="dxa"/>
            <w:vAlign w:val="bottom"/>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w w:val="98"/>
              </w:rPr>
              <w:t>&amp; Other</w:t>
            </w:r>
          </w:p>
        </w:tc>
        <w:tc>
          <w:tcPr>
            <w:tcW w:w="88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8"/>
        </w:trPr>
        <w:tc>
          <w:tcPr>
            <w:tcW w:w="10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r>
      <w:tr>
        <w:trPr>
          <w:trHeight w:val="393"/>
        </w:trPr>
        <w:tc>
          <w:tcPr>
            <w:tcW w:w="10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6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6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24130</wp:posOffset>
            </wp:positionV>
            <wp:extent cx="7134860" cy="2863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4860" cy="286385"/>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p>
      <w:pPr>
        <w:spacing w:after="0" w:line="262" w:lineRule="exact"/>
        <w:rPr>
          <w:sz w:val="20"/>
          <w:szCs w:val="20"/>
          <w:color w:val="auto"/>
        </w:rPr>
      </w:pPr>
    </w:p>
    <w:tbl>
      <w:tblPr>
        <w:tblLayout w:type="fixed"/>
        <w:tblInd w:w="20" w:type="dxa"/>
        <w:tblCellMar>
          <w:top w:w="0" w:type="dxa"/>
          <w:left w:w="0" w:type="dxa"/>
          <w:bottom w:w="0" w:type="dxa"/>
          <w:right w:w="0" w:type="dxa"/>
        </w:tblCellMar>
      </w:tblPr>
      <w:tr>
        <w:trPr>
          <w:trHeight w:val="208"/>
        </w:trPr>
        <w:tc>
          <w:tcPr>
            <w:tcW w:w="6300" w:type="dxa"/>
            <w:vAlign w:val="bottom"/>
          </w:tcPr>
          <w:p>
            <w:pPr>
              <w:spacing w:after="0"/>
              <w:rPr>
                <w:sz w:val="20"/>
                <w:szCs w:val="20"/>
                <w:color w:val="auto"/>
              </w:rPr>
            </w:pPr>
            <w:r>
              <w:rPr>
                <w:rFonts w:ascii="Times New Roman" w:cs="Times New Roman" w:eastAsia="Times New Roman" w:hAnsi="Times New Roman"/>
                <w:sz w:val="16"/>
                <w:szCs w:val="16"/>
                <w:color w:val="auto"/>
              </w:rPr>
              <w:t>Total revenues</w:t>
            </w: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703</w:t>
            </w:r>
          </w:p>
        </w:tc>
        <w:tc>
          <w:tcPr>
            <w:tcW w:w="100" w:type="dxa"/>
            <w:vAlign w:val="bottom"/>
          </w:tcPr>
          <w:p>
            <w:pPr>
              <w:spacing w:after="0"/>
              <w:rPr>
                <w:sz w:val="18"/>
                <w:szCs w:val="18"/>
                <w:color w:val="auto"/>
              </w:rPr>
            </w:pPr>
          </w:p>
        </w:tc>
        <w:tc>
          <w:tcPr>
            <w:tcW w:w="36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186</w:t>
            </w:r>
          </w:p>
        </w:tc>
        <w:tc>
          <w:tcPr>
            <w:tcW w:w="100" w:type="dxa"/>
            <w:vAlign w:val="bottom"/>
          </w:tcPr>
          <w:p>
            <w:pPr>
              <w:spacing w:after="0"/>
              <w:rPr>
                <w:sz w:val="18"/>
                <w:szCs w:val="18"/>
                <w:color w:val="auto"/>
              </w:rPr>
            </w:pP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353</w:t>
            </w:r>
          </w:p>
        </w:tc>
        <w:tc>
          <w:tcPr>
            <w:tcW w:w="120" w:type="dxa"/>
            <w:vAlign w:val="bottom"/>
          </w:tcPr>
          <w:p>
            <w:pPr>
              <w:spacing w:after="0"/>
              <w:rPr>
                <w:sz w:val="18"/>
                <w:szCs w:val="18"/>
                <w:color w:val="auto"/>
              </w:rPr>
            </w:pPr>
          </w:p>
        </w:tc>
        <w:tc>
          <w:tcPr>
            <w:tcW w:w="38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64"/>
        </w:trPr>
        <w:tc>
          <w:tcPr>
            <w:tcW w:w="6300" w:type="dxa"/>
            <w:vAlign w:val="bottom"/>
          </w:tcPr>
          <w:p>
            <w:pPr>
              <w:spacing w:after="0"/>
              <w:rPr>
                <w:sz w:val="20"/>
                <w:szCs w:val="20"/>
                <w:color w:val="auto"/>
              </w:rPr>
            </w:pPr>
            <w:r>
              <w:rPr>
                <w:rFonts w:ascii="Times New Roman" w:cs="Times New Roman" w:eastAsia="Times New Roman" w:hAnsi="Times New Roman"/>
                <w:sz w:val="16"/>
                <w:szCs w:val="16"/>
                <w:color w:val="auto"/>
              </w:rPr>
              <w:t>Less: Revenues excluded from adjusted earnings (1)</w:t>
            </w:r>
          </w:p>
        </w:tc>
        <w:tc>
          <w:tcPr>
            <w:tcW w:w="3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(555)</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7"/>
        </w:trPr>
        <w:tc>
          <w:tcPr>
            <w:tcW w:w="6300" w:type="dxa"/>
            <w:vAlign w:val="bottom"/>
          </w:tcPr>
          <w:p>
            <w:pPr>
              <w:spacing w:after="0"/>
              <w:rPr>
                <w:sz w:val="20"/>
                <w:szCs w:val="20"/>
                <w:color w:val="auto"/>
              </w:rPr>
            </w:pPr>
            <w:r>
              <w:rPr>
                <w:rFonts w:ascii="Times New Roman" w:cs="Times New Roman" w:eastAsia="Times New Roman" w:hAnsi="Times New Roman"/>
                <w:sz w:val="16"/>
                <w:szCs w:val="16"/>
                <w:color w:val="auto"/>
              </w:rPr>
              <w:t>Less: Segment expenses:</w:t>
            </w: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4"/>
        </w:trPr>
        <w:tc>
          <w:tcPr>
            <w:tcW w:w="63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Policyholder benefits and claims</w:t>
            </w:r>
          </w:p>
        </w:tc>
        <w:tc>
          <w:tcPr>
            <w:tcW w:w="3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145</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343</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1"/>
        </w:trPr>
        <w:tc>
          <w:tcPr>
            <w:tcW w:w="63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Interest credited to policyholder account balances, excluding market value adjustments</w:t>
            </w:r>
          </w:p>
        </w:tc>
        <w:tc>
          <w:tcPr>
            <w:tcW w:w="3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0"/>
        </w:trPr>
        <w:tc>
          <w:tcPr>
            <w:tcW w:w="63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Amortization of DAC and VOBA</w:t>
            </w:r>
          </w:p>
        </w:tc>
        <w:tc>
          <w:tcPr>
            <w:tcW w:w="3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0"/>
        </w:trPr>
        <w:tc>
          <w:tcPr>
            <w:tcW w:w="63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Interest expense on debt</w:t>
            </w:r>
          </w:p>
        </w:tc>
        <w:tc>
          <w:tcPr>
            <w:tcW w:w="300" w:type="dxa"/>
            <w:vAlign w:val="bottom"/>
          </w:tcPr>
          <w:p>
            <w:pPr>
              <w:spacing w:after="0"/>
              <w:rPr>
                <w:sz w:val="24"/>
                <w:szCs w:val="24"/>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24"/>
                <w:szCs w:val="24"/>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4"/>
                <w:szCs w:val="24"/>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0"/>
        </w:trPr>
        <w:tc>
          <w:tcPr>
            <w:tcW w:w="63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Other expenses (2)</w:t>
            </w:r>
          </w:p>
        </w:tc>
        <w:tc>
          <w:tcPr>
            <w:tcW w:w="3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7"/>
        </w:trPr>
        <w:tc>
          <w:tcPr>
            <w:tcW w:w="6300" w:type="dxa"/>
            <w:vAlign w:val="bottom"/>
          </w:tcPr>
          <w:p>
            <w:pPr>
              <w:spacing w:after="0"/>
              <w:rPr>
                <w:sz w:val="20"/>
                <w:szCs w:val="20"/>
                <w:color w:val="auto"/>
              </w:rPr>
            </w:pPr>
            <w:r>
              <w:rPr>
                <w:rFonts w:ascii="Times New Roman" w:cs="Times New Roman" w:eastAsia="Times New Roman" w:hAnsi="Times New Roman"/>
                <w:sz w:val="16"/>
                <w:szCs w:val="16"/>
                <w:color w:val="auto"/>
              </w:rPr>
              <w:t>Less: Provision for income tax expense (benefit)</w:t>
            </w:r>
          </w:p>
        </w:tc>
        <w:tc>
          <w:tcPr>
            <w:tcW w:w="3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63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Less: Net income (loss) attributable to noncontrolling interests</w:t>
            </w:r>
          </w:p>
        </w:tc>
        <w:tc>
          <w:tcPr>
            <w:tcW w:w="300" w:type="dxa"/>
            <w:vAlign w:val="bottom"/>
          </w:tcPr>
          <w:p>
            <w:pPr>
              <w:spacing w:after="0"/>
              <w:rPr>
                <w:sz w:val="24"/>
                <w:szCs w:val="24"/>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24"/>
                <w:szCs w:val="24"/>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4"/>
                <w:szCs w:val="24"/>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0"/>
        </w:trPr>
        <w:tc>
          <w:tcPr>
            <w:tcW w:w="63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Adjusted earnings (loss)</w:t>
            </w:r>
          </w:p>
        </w:tc>
        <w:tc>
          <w:tcPr>
            <w:tcW w:w="300" w:type="dxa"/>
            <w:vAlign w:val="bottom"/>
            <w:tcBorders>
              <w:top w:val="single" w:sz="8" w:color="auto"/>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317</w:t>
            </w:r>
          </w:p>
        </w:tc>
        <w:tc>
          <w:tcPr>
            <w:tcW w:w="100" w:type="dxa"/>
            <w:vAlign w:val="bottom"/>
          </w:tcPr>
          <w:p>
            <w:pPr>
              <w:spacing w:after="0"/>
              <w:rPr>
                <w:sz w:val="24"/>
                <w:szCs w:val="24"/>
                <w:color w:val="auto"/>
              </w:rPr>
            </w:pPr>
          </w:p>
        </w:tc>
        <w:tc>
          <w:tcPr>
            <w:tcW w:w="360" w:type="dxa"/>
            <w:vAlign w:val="bottom"/>
            <w:tcBorders>
              <w:top w:val="single" w:sz="8" w:color="auto"/>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24"/>
                <w:szCs w:val="24"/>
                <w:color w:val="auto"/>
              </w:rPr>
            </w:pPr>
          </w:p>
        </w:tc>
        <w:tc>
          <w:tcPr>
            <w:tcW w:w="340" w:type="dxa"/>
            <w:vAlign w:val="bottom"/>
            <w:tcBorders>
              <w:top w:val="single" w:sz="8" w:color="auto"/>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20" w:type="dxa"/>
            <w:vAlign w:val="bottom"/>
          </w:tcPr>
          <w:p>
            <w:pPr>
              <w:spacing w:after="0"/>
              <w:rPr>
                <w:sz w:val="24"/>
                <w:szCs w:val="24"/>
                <w:color w:val="auto"/>
              </w:rPr>
            </w:pPr>
          </w:p>
        </w:tc>
        <w:tc>
          <w:tcPr>
            <w:tcW w:w="380" w:type="dxa"/>
            <w:vAlign w:val="bottom"/>
            <w:tcBorders>
              <w:top w:val="single" w:sz="8" w:color="auto"/>
              <w:bottom w:val="single" w:sz="8" w:color="auto"/>
            </w:tcBorders>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ind w:left="160"/>
              <w:spacing w:after="0"/>
              <w:rPr>
                <w:sz w:val="20"/>
                <w:szCs w:val="20"/>
                <w:color w:val="auto"/>
              </w:rPr>
            </w:pPr>
            <w:r>
              <w:rPr>
                <w:rFonts w:ascii="Times New Roman" w:cs="Times New Roman" w:eastAsia="Times New Roman" w:hAnsi="Times New Roman"/>
                <w:sz w:val="16"/>
                <w:szCs w:val="16"/>
                <w:color w:val="auto"/>
              </w:rPr>
              <w:t>Adjustments for:</w:t>
            </w:r>
          </w:p>
        </w:tc>
        <w:tc>
          <w:tcPr>
            <w:tcW w:w="3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1"/>
        </w:trPr>
        <w:tc>
          <w:tcPr>
            <w:tcW w:w="630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0"/>
        </w:trPr>
        <w:tc>
          <w:tcPr>
            <w:tcW w:w="63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Net investment gains (losses)</w:t>
            </w: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1"/>
        </w:trPr>
        <w:tc>
          <w:tcPr>
            <w:tcW w:w="6300" w:type="dxa"/>
            <w:vAlign w:val="bottom"/>
          </w:tcPr>
          <w:p>
            <w:pPr>
              <w:spacing w:after="0"/>
              <w:rPr>
                <w:sz w:val="20"/>
                <w:szCs w:val="20"/>
                <w:color w:val="auto"/>
              </w:rPr>
            </w:pPr>
            <w:r>
              <w:rPr>
                <w:rFonts w:ascii="Times New Roman" w:cs="Times New Roman" w:eastAsia="Times New Roman" w:hAnsi="Times New Roman"/>
                <w:sz w:val="16"/>
                <w:szCs w:val="16"/>
                <w:color w:val="auto"/>
              </w:rPr>
              <w:t>Investment gains (losses) on trading securities</w:t>
            </w: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0"/>
        </w:trPr>
        <w:tc>
          <w:tcPr>
            <w:tcW w:w="6300" w:type="dxa"/>
            <w:vAlign w:val="bottom"/>
          </w:tcPr>
          <w:p>
            <w:pPr>
              <w:spacing w:after="0"/>
              <w:rPr>
                <w:sz w:val="20"/>
                <w:szCs w:val="20"/>
                <w:color w:val="auto"/>
              </w:rPr>
            </w:pPr>
            <w:r>
              <w:rPr>
                <w:rFonts w:ascii="Times New Roman" w:cs="Times New Roman" w:eastAsia="Times New Roman" w:hAnsi="Times New Roman"/>
                <w:sz w:val="16"/>
                <w:szCs w:val="16"/>
                <w:color w:val="auto"/>
              </w:rPr>
              <w:t>Net derivative gains (losses), excluding investment hedge adjustments of $0</w:t>
            </w: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0"/>
        </w:trPr>
        <w:tc>
          <w:tcPr>
            <w:tcW w:w="63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Change in market risk benefits</w:t>
            </w: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0"/>
        </w:trPr>
        <w:tc>
          <w:tcPr>
            <w:tcW w:w="63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Market value adjustments</w:t>
            </w: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0"/>
        </w:trPr>
        <w:tc>
          <w:tcPr>
            <w:tcW w:w="63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Provision for income tax (expense) benefit</w:t>
            </w: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4"/>
        </w:trPr>
        <w:tc>
          <w:tcPr>
            <w:tcW w:w="63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Net income (loss) attributable to Brighthouse Life Insurance Company</w:t>
            </w: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-5044440</wp:posOffset>
            </wp:positionV>
            <wp:extent cx="7134860" cy="2863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4860" cy="28638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-4472305</wp:posOffset>
            </wp:positionV>
            <wp:extent cx="7134860" cy="2857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4860" cy="28575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-3900170</wp:posOffset>
            </wp:positionV>
            <wp:extent cx="7134860" cy="2863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4860" cy="28638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-3328035</wp:posOffset>
            </wp:positionV>
            <wp:extent cx="7134860" cy="2857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4860" cy="28575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-2755900</wp:posOffset>
            </wp:positionV>
            <wp:extent cx="7134860" cy="3111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4860" cy="31115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-2310130</wp:posOffset>
            </wp:positionV>
            <wp:extent cx="7134860" cy="2857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4860" cy="28575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-1737995</wp:posOffset>
            </wp:positionV>
            <wp:extent cx="7134860" cy="2863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4860" cy="28638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-1165860</wp:posOffset>
            </wp:positionV>
            <wp:extent cx="7134860" cy="2857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4860" cy="28575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-593725</wp:posOffset>
            </wp:positionV>
            <wp:extent cx="7134860" cy="2857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4860" cy="28575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3175</wp:posOffset>
            </wp:positionV>
            <wp:extent cx="7134860" cy="1682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4860" cy="1682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1,366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240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color w:val="auto"/>
        </w:rPr>
        <w:t>(52)</w:t>
      </w:r>
    </w:p>
    <w:p>
      <w:pPr>
        <w:spacing w:after="0" w:line="26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color w:val="auto"/>
        </w:rPr>
        <w:t>(10)</w:t>
      </w:r>
    </w:p>
    <w:p>
      <w:pPr>
        <w:spacing w:after="0" w:line="26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color w:val="auto"/>
        </w:rPr>
        <w:t>(508)</w:t>
      </w:r>
    </w:p>
    <w:p>
      <w:pPr>
        <w:spacing w:after="0" w:line="26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color w:val="auto"/>
        </w:rPr>
        <w:t>(748)</w:t>
      </w:r>
    </w:p>
    <w:p>
      <w:pPr>
        <w:spacing w:after="0" w:line="26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13</w:t>
      </w:r>
    </w:p>
    <w:p>
      <w:pPr>
        <w:spacing w:after="0" w:line="26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274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-295275</wp:posOffset>
            </wp:positionH>
            <wp:positionV relativeFrom="paragraph">
              <wp:posOffset>26670</wp:posOffset>
            </wp:positionV>
            <wp:extent cx="5638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3880" cy="8255"/>
                    </a:xfrm>
                    <a:prstGeom prst="rect">
                      <a:avLst/>
                    </a:prstGeom>
                    <a:noFill/>
                  </pic:spPr>
                </pic:pic>
              </a:graphicData>
            </a:graphic>
          </wp:anchor>
        </w:drawing>
      </w:r>
    </w:p>
    <w:p>
      <w:pPr>
        <w:spacing w:after="0" w:line="260"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color w:val="auto"/>
        </w:rPr>
        <w:t>(791)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-295275</wp:posOffset>
            </wp:positionH>
            <wp:positionV relativeFrom="paragraph">
              <wp:posOffset>26670</wp:posOffset>
            </wp:positionV>
            <wp:extent cx="5638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3880" cy="8255"/>
                    </a:xfrm>
                    <a:prstGeom prst="rect">
                      <a:avLst/>
                    </a:prstGeom>
                    <a:noFill/>
                  </pic:spPr>
                </pic:pic>
              </a:graphicData>
            </a:graphic>
          </wp:anchor>
        </w:drawing>
      </w:r>
    </w:p>
    <w:p>
      <w:pPr>
        <w:spacing w:after="0" w:line="263" w:lineRule="exact"/>
        <w:rPr>
          <w:sz w:val="20"/>
          <w:szCs w:val="20"/>
          <w:color w:val="auto"/>
        </w:rPr>
      </w:pPr>
    </w:p>
    <w:p>
      <w:pPr>
        <w:sectPr>
          <w:pgSz w:w="11900" w:h="16838" w:orient="portrait"/>
          <w:cols w:equalWidth="0" w:num="2">
            <w:col w:w="10460" w:space="360"/>
            <w:col w:w="420"/>
          </w:cols>
          <w:pgMar w:left="320" w:top="230" w:right="339" w:bottom="1440" w:gutter="0" w:footer="0" w:header="0"/>
          <w:type w:val="continuous"/>
        </w:sectPr>
      </w:pPr>
    </w:p>
    <w:p>
      <w:pPr>
        <w:spacing w:after="0" w:line="295" w:lineRule="exact"/>
        <w:rPr>
          <w:sz w:val="20"/>
          <w:szCs w:val="20"/>
          <w:color w:val="auto"/>
        </w:rPr>
      </w:pPr>
    </w:p>
    <w:p>
      <w:pPr>
        <w:ind w:left="180"/>
        <w:spacing w:after="0"/>
        <w:tabs>
          <w:tab w:leader="none" w:pos="6320" w:val="left"/>
          <w:tab w:leader="none" w:pos="6880" w:val="left"/>
          <w:tab w:leader="none" w:pos="7320" w:val="left"/>
          <w:tab w:leader="none" w:pos="7940" w:val="left"/>
          <w:tab w:leader="none" w:pos="8300" w:val="left"/>
          <w:tab w:leader="none" w:pos="8860" w:val="left"/>
          <w:tab w:leader="none" w:pos="9300" w:val="left"/>
          <w:tab w:leader="none" w:pos="9920" w:val="left"/>
        </w:tabs>
        <w:rPr>
          <w:sz w:val="20"/>
          <w:szCs w:val="20"/>
          <w:color w:val="auto"/>
        </w:rPr>
      </w:pPr>
      <w:r>
        <w:rPr>
          <w:rFonts w:ascii="Times New Roman" w:cs="Times New Roman" w:eastAsia="Times New Roman" w:hAnsi="Times New Roman"/>
          <w:sz w:val="16"/>
          <w:szCs w:val="16"/>
          <w:color w:val="auto"/>
        </w:rPr>
        <w:t>Interest revenue</w:t>
      </w:r>
      <w:r>
        <w:rPr>
          <w:sz w:val="20"/>
          <w:szCs w:val="20"/>
          <w:color w:val="auto"/>
        </w:rPr>
        <w:tab/>
      </w: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769</w:t>
        <w:tab/>
        <w:t>$</w:t>
      </w:r>
      <w:r>
        <w:rPr>
          <w:sz w:val="20"/>
          <w:szCs w:val="20"/>
          <w:color w:val="auto"/>
        </w:rPr>
        <w:tab/>
      </w:r>
      <w:r>
        <w:rPr>
          <w:rFonts w:ascii="Times New Roman" w:cs="Times New Roman" w:eastAsia="Times New Roman" w:hAnsi="Times New Roman"/>
          <w:sz w:val="16"/>
          <w:szCs w:val="16"/>
          <w:color w:val="auto"/>
        </w:rPr>
        <w:t>87</w:t>
        <w:tab/>
        <w:t>$</w:t>
      </w:r>
      <w:r>
        <w:rPr>
          <w:sz w:val="20"/>
          <w:szCs w:val="20"/>
          <w:color w:val="auto"/>
        </w:rPr>
        <w:tab/>
      </w:r>
      <w:r>
        <w:rPr>
          <w:rFonts w:ascii="Times New Roman" w:cs="Times New Roman" w:eastAsia="Times New Roman" w:hAnsi="Times New Roman"/>
          <w:sz w:val="16"/>
          <w:szCs w:val="16"/>
          <w:color w:val="auto"/>
        </w:rPr>
        <w:t>268</w:t>
        <w:tab/>
        <w:t>$</w:t>
      </w:r>
      <w:r>
        <w:rPr>
          <w:sz w:val="20"/>
          <w:szCs w:val="20"/>
          <w:color w:val="auto"/>
        </w:rPr>
        <w:tab/>
      </w:r>
      <w:r>
        <w:rPr>
          <w:rFonts w:ascii="Times New Roman" w:cs="Times New Roman" w:eastAsia="Times New Roman" w:hAnsi="Times New Roman"/>
          <w:sz w:val="16"/>
          <w:szCs w:val="16"/>
          <w:color w:val="auto"/>
        </w:rPr>
        <w:t>122</w:t>
      </w:r>
    </w:p>
    <w:p>
      <w:pPr>
        <w:sectPr>
          <w:pgSz w:w="11900" w:h="16838" w:orient="portrait"/>
          <w:cols w:equalWidth="0" w:num="1">
            <w:col w:w="11240"/>
          </w:cols>
          <w:pgMar w:left="320" w:top="23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91440</wp:posOffset>
            </wp:positionV>
            <wp:extent cx="716026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Life Insurance Company</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 Indirect Wholly-Owned Subsidiary of Brighthouse Financial, Inc.)</w:t>
      </w:r>
    </w:p>
    <w:p>
      <w:pPr>
        <w:spacing w:after="0" w:line="90"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Segment Information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right"/>
        <w:ind w:right="1340"/>
        <w:spacing w:after="0"/>
        <w:rPr>
          <w:sz w:val="20"/>
          <w:szCs w:val="20"/>
          <w:color w:val="auto"/>
        </w:rPr>
      </w:pPr>
      <w:r>
        <w:rPr>
          <w:rFonts w:ascii="Times New Roman" w:cs="Times New Roman" w:eastAsia="Times New Roman" w:hAnsi="Times New Roman"/>
          <w:sz w:val="14"/>
          <w:szCs w:val="14"/>
          <w:b w:val="1"/>
          <w:bCs w:val="1"/>
          <w:color w:val="auto"/>
        </w:rPr>
        <w:t>Three Months Ended March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4008755</wp:posOffset>
            </wp:positionH>
            <wp:positionV relativeFrom="paragraph">
              <wp:posOffset>39370</wp:posOffset>
            </wp:positionV>
            <wp:extent cx="312991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129915" cy="8255"/>
                    </a:xfrm>
                    <a:prstGeom prst="rect">
                      <a:avLst/>
                    </a:prstGeom>
                    <a:noFill/>
                  </pic:spPr>
                </pic:pic>
              </a:graphicData>
            </a:graphic>
          </wp:anchor>
        </w:drawing>
      </w:r>
    </w:p>
    <w:p>
      <w:pPr>
        <w:spacing w:after="0" w:line="270" w:lineRule="exact"/>
        <w:rPr>
          <w:sz w:val="20"/>
          <w:szCs w:val="20"/>
          <w:color w:val="auto"/>
        </w:rPr>
      </w:pPr>
    </w:p>
    <w:tbl>
      <w:tblPr>
        <w:tblLayout w:type="fixed"/>
        <w:tblInd w:w="6320" w:type="dxa"/>
        <w:tblCellMar>
          <w:top w:w="0" w:type="dxa"/>
          <w:left w:w="0" w:type="dxa"/>
          <w:bottom w:w="0" w:type="dxa"/>
          <w:right w:w="0" w:type="dxa"/>
        </w:tblCellMar>
      </w:tblPr>
      <w:tr>
        <w:trPr>
          <w:trHeight w:val="172"/>
        </w:trPr>
        <w:tc>
          <w:tcPr>
            <w:tcW w:w="10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60" w:type="dxa"/>
            <w:vAlign w:val="bottom"/>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w w:val="99"/>
              </w:rPr>
              <w:t>Corporate</w:t>
            </w:r>
          </w:p>
        </w:tc>
        <w:tc>
          <w:tcPr>
            <w:tcW w:w="880" w:type="dxa"/>
            <w:vAlign w:val="bottom"/>
          </w:tcPr>
          <w:p>
            <w:pPr>
              <w:spacing w:after="0"/>
              <w:rPr>
                <w:sz w:val="14"/>
                <w:szCs w:val="14"/>
                <w:color w:val="auto"/>
              </w:rPr>
            </w:pPr>
          </w:p>
        </w:tc>
      </w:tr>
      <w:tr>
        <w:trPr>
          <w:trHeight w:val="186"/>
        </w:trPr>
        <w:tc>
          <w:tcPr>
            <w:tcW w:w="102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Annuities</w:t>
            </w:r>
          </w:p>
        </w:tc>
        <w:tc>
          <w:tcPr>
            <w:tcW w:w="80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Life</w:t>
            </w:r>
          </w:p>
        </w:tc>
        <w:tc>
          <w:tcPr>
            <w:tcW w:w="116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auto"/>
              </w:rPr>
              <w:t>Run-off</w:t>
            </w:r>
          </w:p>
        </w:tc>
        <w:tc>
          <w:tcPr>
            <w:tcW w:w="1060" w:type="dxa"/>
            <w:vAlign w:val="bottom"/>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w w:val="98"/>
              </w:rPr>
              <w:t>&amp; Other</w:t>
            </w:r>
          </w:p>
        </w:tc>
        <w:tc>
          <w:tcPr>
            <w:tcW w:w="88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8"/>
        </w:trPr>
        <w:tc>
          <w:tcPr>
            <w:tcW w:w="10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r>
      <w:tr>
        <w:trPr>
          <w:trHeight w:val="393"/>
        </w:trPr>
        <w:tc>
          <w:tcPr>
            <w:tcW w:w="10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6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6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24130</wp:posOffset>
            </wp:positionV>
            <wp:extent cx="7134860" cy="2863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4860" cy="286385"/>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6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revenues</w:t>
            </w: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1,489</w:t>
            </w:r>
          </w:p>
        </w:tc>
        <w:tc>
          <w:tcPr>
            <w:tcW w:w="100" w:type="dxa"/>
            <w:vAlign w:val="bottom"/>
          </w:tcPr>
          <w:p>
            <w:pPr>
              <w:spacing w:after="0"/>
              <w:rPr>
                <w:sz w:val="19"/>
                <w:szCs w:val="19"/>
                <w:color w:val="auto"/>
              </w:rPr>
            </w:pPr>
          </w:p>
        </w:tc>
        <w:tc>
          <w:tcPr>
            <w:tcW w:w="36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225</w:t>
            </w:r>
          </w:p>
        </w:tc>
        <w:tc>
          <w:tcPr>
            <w:tcW w:w="100" w:type="dxa"/>
            <w:vAlign w:val="bottom"/>
          </w:tcPr>
          <w:p>
            <w:pPr>
              <w:spacing w:after="0"/>
              <w:rPr>
                <w:sz w:val="19"/>
                <w:szCs w:val="19"/>
                <w:color w:val="auto"/>
              </w:rPr>
            </w:pP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368</w:t>
            </w:r>
          </w:p>
        </w:tc>
        <w:tc>
          <w:tcPr>
            <w:tcW w:w="120" w:type="dxa"/>
            <w:vAlign w:val="bottom"/>
          </w:tcPr>
          <w:p>
            <w:pPr>
              <w:spacing w:after="0"/>
              <w:rPr>
                <w:sz w:val="19"/>
                <w:szCs w:val="19"/>
                <w:color w:val="auto"/>
              </w:rPr>
            </w:pPr>
          </w:p>
        </w:tc>
        <w:tc>
          <w:tcPr>
            <w:tcW w:w="38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51"/>
        </w:trPr>
        <w:tc>
          <w:tcPr>
            <w:tcW w:w="6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 Revenues excluded from adjusted earnings (1)</w:t>
            </w:r>
          </w:p>
        </w:tc>
        <w:tc>
          <w:tcPr>
            <w:tcW w:w="2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6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 Segment expenses:</w:t>
            </w: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1"/>
        </w:trPr>
        <w:tc>
          <w:tcPr>
            <w:tcW w:w="63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Policyholder benefits and claims</w:t>
            </w:r>
          </w:p>
        </w:tc>
        <w:tc>
          <w:tcPr>
            <w:tcW w:w="2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156</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352</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0"/>
        </w:trPr>
        <w:tc>
          <w:tcPr>
            <w:tcW w:w="63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Interest credited to policyholder account balances, excluding market value adjustments</w:t>
            </w:r>
          </w:p>
        </w:tc>
        <w:tc>
          <w:tcPr>
            <w:tcW w:w="2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357</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1"/>
        </w:trPr>
        <w:tc>
          <w:tcPr>
            <w:tcW w:w="63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Amortization of DAC and VOBA</w:t>
            </w:r>
          </w:p>
        </w:tc>
        <w:tc>
          <w:tcPr>
            <w:tcW w:w="2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0"/>
        </w:trPr>
        <w:tc>
          <w:tcPr>
            <w:tcW w:w="63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Interest expense on debt</w:t>
            </w:r>
          </w:p>
        </w:tc>
        <w:tc>
          <w:tcPr>
            <w:tcW w:w="280" w:type="dxa"/>
            <w:vAlign w:val="bottom"/>
          </w:tcPr>
          <w:p>
            <w:pPr>
              <w:spacing w:after="0"/>
              <w:rPr>
                <w:sz w:val="24"/>
                <w:szCs w:val="24"/>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24"/>
                <w:szCs w:val="24"/>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4"/>
                <w:szCs w:val="24"/>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0"/>
        </w:trPr>
        <w:tc>
          <w:tcPr>
            <w:tcW w:w="63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 expenses (2)</w:t>
            </w:r>
          </w:p>
        </w:tc>
        <w:tc>
          <w:tcPr>
            <w:tcW w:w="2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0"/>
        </w:trPr>
        <w:tc>
          <w:tcPr>
            <w:tcW w:w="6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 Provision for income tax expense (benefit)</w:t>
            </w:r>
          </w:p>
        </w:tc>
        <w:tc>
          <w:tcPr>
            <w:tcW w:w="2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9"/>
        </w:trPr>
        <w:tc>
          <w:tcPr>
            <w:tcW w:w="63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Less: Net income (loss) attributable to noncontrolling interests</w:t>
            </w:r>
          </w:p>
        </w:tc>
        <w:tc>
          <w:tcPr>
            <w:tcW w:w="280" w:type="dxa"/>
            <w:vAlign w:val="bottom"/>
          </w:tcPr>
          <w:p>
            <w:pPr>
              <w:spacing w:after="0"/>
              <w:rPr>
                <w:sz w:val="24"/>
                <w:szCs w:val="24"/>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24"/>
                <w:szCs w:val="24"/>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4"/>
                <w:szCs w:val="24"/>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1"/>
        </w:trPr>
        <w:tc>
          <w:tcPr>
            <w:tcW w:w="63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Adjusted earnings (loss)</w:t>
            </w:r>
          </w:p>
        </w:tc>
        <w:tc>
          <w:tcPr>
            <w:tcW w:w="280" w:type="dxa"/>
            <w:vAlign w:val="bottom"/>
            <w:tcBorders>
              <w:top w:val="single" w:sz="8" w:color="auto"/>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307</w:t>
            </w:r>
          </w:p>
        </w:tc>
        <w:tc>
          <w:tcPr>
            <w:tcW w:w="100" w:type="dxa"/>
            <w:vAlign w:val="bottom"/>
          </w:tcPr>
          <w:p>
            <w:pPr>
              <w:spacing w:after="0"/>
              <w:rPr>
                <w:sz w:val="24"/>
                <w:szCs w:val="24"/>
                <w:color w:val="auto"/>
              </w:rPr>
            </w:pPr>
          </w:p>
        </w:tc>
        <w:tc>
          <w:tcPr>
            <w:tcW w:w="360" w:type="dxa"/>
            <w:vAlign w:val="bottom"/>
            <w:tcBorders>
              <w:top w:val="single" w:sz="8" w:color="auto"/>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24"/>
                <w:szCs w:val="24"/>
                <w:color w:val="auto"/>
              </w:rPr>
            </w:pPr>
          </w:p>
        </w:tc>
        <w:tc>
          <w:tcPr>
            <w:tcW w:w="340" w:type="dxa"/>
            <w:vAlign w:val="bottom"/>
            <w:tcBorders>
              <w:top w:val="single" w:sz="8" w:color="auto"/>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120" w:type="dxa"/>
            <w:vAlign w:val="bottom"/>
          </w:tcPr>
          <w:p>
            <w:pPr>
              <w:spacing w:after="0"/>
              <w:rPr>
                <w:sz w:val="24"/>
                <w:szCs w:val="24"/>
                <w:color w:val="auto"/>
              </w:rPr>
            </w:pPr>
          </w:p>
        </w:tc>
        <w:tc>
          <w:tcPr>
            <w:tcW w:w="380" w:type="dxa"/>
            <w:vAlign w:val="bottom"/>
            <w:tcBorders>
              <w:top w:val="single" w:sz="8" w:color="auto"/>
              <w:bottom w:val="single" w:sz="8" w:color="auto"/>
            </w:tcBorders>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ind w:left="180"/>
              <w:spacing w:after="0"/>
              <w:rPr>
                <w:sz w:val="20"/>
                <w:szCs w:val="20"/>
                <w:color w:val="auto"/>
              </w:rPr>
            </w:pPr>
            <w:r>
              <w:rPr>
                <w:rFonts w:ascii="Times New Roman" w:cs="Times New Roman" w:eastAsia="Times New Roman" w:hAnsi="Times New Roman"/>
                <w:sz w:val="16"/>
                <w:szCs w:val="16"/>
                <w:color w:val="auto"/>
              </w:rPr>
              <w:t>Adjustments for:</w:t>
            </w:r>
          </w:p>
        </w:tc>
        <w:tc>
          <w:tcPr>
            <w:tcW w:w="2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1"/>
        </w:trPr>
        <w:tc>
          <w:tcPr>
            <w:tcW w:w="632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0"/>
        </w:trPr>
        <w:tc>
          <w:tcPr>
            <w:tcW w:w="63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investment gains (losses)</w:t>
            </w: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0"/>
        </w:trPr>
        <w:tc>
          <w:tcPr>
            <w:tcW w:w="6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Investment gains (losses) on trading securities</w:t>
            </w: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0"/>
        </w:trPr>
        <w:tc>
          <w:tcPr>
            <w:tcW w:w="6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derivative gains (losses), excluding investment hedge adjustments of $0</w:t>
            </w: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1"/>
        </w:trPr>
        <w:tc>
          <w:tcPr>
            <w:tcW w:w="63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Change in market risk benefits</w:t>
            </w: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0"/>
        </w:trPr>
        <w:tc>
          <w:tcPr>
            <w:tcW w:w="63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Market value adjustments</w:t>
            </w: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0"/>
        </w:trPr>
        <w:tc>
          <w:tcPr>
            <w:tcW w:w="63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Provision for income tax (expense) benefit</w:t>
            </w: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3"/>
        </w:trPr>
        <w:tc>
          <w:tcPr>
            <w:tcW w:w="63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income (loss) attributable to Brighthouse Life Insurance Company</w:t>
            </w: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702"/>
        </w:trPr>
        <w:tc>
          <w:tcPr>
            <w:tcW w:w="63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Interest revenue</w:t>
            </w: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751</w:t>
            </w:r>
          </w:p>
        </w:tc>
        <w:tc>
          <w:tcPr>
            <w:tcW w:w="100" w:type="dxa"/>
            <w:vAlign w:val="bottom"/>
          </w:tcPr>
          <w:p>
            <w:pPr>
              <w:spacing w:after="0"/>
              <w:rPr>
                <w:sz w:val="24"/>
                <w:szCs w:val="24"/>
                <w:color w:val="auto"/>
              </w:rPr>
            </w:pPr>
          </w:p>
        </w:tc>
        <w:tc>
          <w:tcPr>
            <w:tcW w:w="36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94</w:t>
            </w:r>
          </w:p>
        </w:tc>
        <w:tc>
          <w:tcPr>
            <w:tcW w:w="100" w:type="dxa"/>
            <w:vAlign w:val="bottom"/>
          </w:tcPr>
          <w:p>
            <w:pPr>
              <w:spacing w:after="0"/>
              <w:rPr>
                <w:sz w:val="24"/>
                <w:szCs w:val="24"/>
                <w:color w:val="auto"/>
              </w:rPr>
            </w:pP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w:t>
            </w:r>
          </w:p>
        </w:tc>
        <w:tc>
          <w:tcPr>
            <w:tcW w:w="120" w:type="dxa"/>
            <w:vAlign w:val="bottom"/>
          </w:tcPr>
          <w:p>
            <w:pPr>
              <w:spacing w:after="0"/>
              <w:rPr>
                <w:sz w:val="24"/>
                <w:szCs w:val="24"/>
                <w:color w:val="auto"/>
              </w:rPr>
            </w:pPr>
          </w:p>
        </w:tc>
        <w:tc>
          <w:tcPr>
            <w:tcW w:w="38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2"/>
        </w:trPr>
        <w:tc>
          <w:tcPr>
            <w:tcW w:w="6320" w:type="dxa"/>
            <w:vAlign w:val="bottom"/>
          </w:tcPr>
          <w:p>
            <w:pPr>
              <w:spacing w:after="0"/>
              <w:rPr>
                <w:sz w:val="20"/>
                <w:szCs w:val="20"/>
                <w:color w:val="auto"/>
              </w:rPr>
            </w:pPr>
            <w:r>
              <w:rPr>
                <w:rFonts w:ascii="Times New Roman" w:cs="Times New Roman" w:eastAsia="Times New Roman" w:hAnsi="Times New Roman"/>
                <w:sz w:val="14"/>
                <w:szCs w:val="14"/>
                <w:color w:val="auto"/>
              </w:rPr>
              <w:t>_______________</w:t>
            </w:r>
          </w:p>
        </w:tc>
        <w:tc>
          <w:tcPr>
            <w:tcW w:w="2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-5511800</wp:posOffset>
            </wp:positionV>
            <wp:extent cx="7134860" cy="1346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4860" cy="134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-5090795</wp:posOffset>
            </wp:positionV>
            <wp:extent cx="7134860" cy="2863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4860" cy="28638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-4518660</wp:posOffset>
            </wp:positionV>
            <wp:extent cx="7134860" cy="2857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4860" cy="28575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-3946525</wp:posOffset>
            </wp:positionV>
            <wp:extent cx="7134860" cy="2857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4860" cy="28575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-3374390</wp:posOffset>
            </wp:positionV>
            <wp:extent cx="7134860" cy="3111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4860" cy="31115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-2928620</wp:posOffset>
            </wp:positionV>
            <wp:extent cx="7134860" cy="2857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4860" cy="28575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-2356485</wp:posOffset>
            </wp:positionV>
            <wp:extent cx="7134860" cy="2857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4860" cy="28575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-1784350</wp:posOffset>
            </wp:positionV>
            <wp:extent cx="7134860" cy="2857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4860" cy="28575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-1212215</wp:posOffset>
            </wp:positionV>
            <wp:extent cx="7134860" cy="2857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4860" cy="28575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-614680</wp:posOffset>
            </wp:positionV>
            <wp:extent cx="7134860" cy="1682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4860" cy="1682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2,232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238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color w:val="auto"/>
        </w:rPr>
        <w:t>(81)</w:t>
      </w:r>
    </w:p>
    <w:p>
      <w:pPr>
        <w:spacing w:after="0" w:line="26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6</w:t>
      </w:r>
    </w:p>
    <w:p>
      <w:pPr>
        <w:spacing w:after="0" w:line="26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318</w:t>
      </w:r>
    </w:p>
    <w:p>
      <w:pPr>
        <w:spacing w:after="0" w:line="26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color w:val="auto"/>
        </w:rPr>
        <w:t>(896)</w:t>
      </w:r>
    </w:p>
    <w:p>
      <w:pPr>
        <w:spacing w:after="0" w:line="26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color w:val="auto"/>
        </w:rPr>
        <w:t>(10)</w:t>
      </w:r>
    </w:p>
    <w:p>
      <w:pPr>
        <w:spacing w:after="0" w:line="26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-295275</wp:posOffset>
            </wp:positionH>
            <wp:positionV relativeFrom="paragraph">
              <wp:posOffset>26670</wp:posOffset>
            </wp:positionV>
            <wp:extent cx="5638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3880" cy="8255"/>
                    </a:xfrm>
                    <a:prstGeom prst="rect">
                      <a:avLst/>
                    </a:prstGeom>
                    <a:noFill/>
                  </pic:spPr>
                </pic:pic>
              </a:graphicData>
            </a:graphic>
          </wp:anchor>
        </w:drawing>
      </w:r>
    </w:p>
    <w:p>
      <w:pPr>
        <w:spacing w:after="0" w:line="260"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color w:val="auto"/>
        </w:rPr>
        <w:t>(287)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-295275</wp:posOffset>
            </wp:positionH>
            <wp:positionV relativeFrom="paragraph">
              <wp:posOffset>26670</wp:posOffset>
            </wp:positionV>
            <wp:extent cx="5638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3880" cy="8255"/>
                    </a:xfrm>
                    <a:prstGeom prst="rect">
                      <a:avLst/>
                    </a:prstGeom>
                    <a:noFill/>
                  </pic:spPr>
                </pic:pic>
              </a:graphicData>
            </a:graphic>
          </wp:anchor>
        </w:drawing>
      </w:r>
    </w:p>
    <w:p>
      <w:pPr>
        <w:spacing w:after="0" w:line="1122" w:lineRule="exact"/>
        <w:rPr>
          <w:sz w:val="20"/>
          <w:szCs w:val="20"/>
          <w:color w:val="auto"/>
        </w:rPr>
      </w:pPr>
    </w:p>
    <w:p>
      <w:pPr>
        <w:sectPr>
          <w:pgSz w:w="11900" w:h="16838" w:orient="portrait"/>
          <w:cols w:equalWidth="0" w:num="2">
            <w:col w:w="10460" w:space="360"/>
            <w:col w:w="420"/>
          </w:cols>
          <w:pgMar w:left="320" w:top="230" w:right="339" w:bottom="1440" w:gutter="0" w:footer="0" w:header="0"/>
          <w:type w:val="continuous"/>
        </w:sectPr>
      </w:pPr>
    </w:p>
    <w:p>
      <w:pPr>
        <w:ind w:left="320" w:hanging="314"/>
        <w:spacing w:after="0" w:line="274" w:lineRule="auto"/>
        <w:tabs>
          <w:tab w:leader="none" w:pos="31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each reportable segment, certain revenues are excluded from adjusted earnings (loss), including net investment gains (losses), investment gains (losses) on trading securities and net derivative gains (losses), excluding Investment Hedge Adjustments.</w:t>
      </w:r>
    </w:p>
    <w:p>
      <w:pPr>
        <w:spacing w:after="0" w:line="57" w:lineRule="exact"/>
        <w:rPr>
          <w:rFonts w:ascii="Times New Roman" w:cs="Times New Roman" w:eastAsia="Times New Roman" w:hAnsi="Times New Roman"/>
          <w:sz w:val="18"/>
          <w:szCs w:val="18"/>
          <w:color w:val="auto"/>
        </w:rPr>
      </w:pPr>
    </w:p>
    <w:p>
      <w:pPr>
        <w:ind w:left="320" w:right="3960" w:hanging="314"/>
        <w:spacing w:after="0" w:line="458" w:lineRule="auto"/>
        <w:tabs>
          <w:tab w:leader="none" w:pos="31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expenses include corporate expense allocations directly attributable to each of the segments. Total assets by segment were as follows at:</w:t>
      </w:r>
    </w:p>
    <w:p>
      <w:pPr>
        <w:sectPr>
          <w:pgSz w:w="11900" w:h="16838" w:orient="portrait"/>
          <w:cols w:equalWidth="0" w:num="1">
            <w:col w:w="11240"/>
          </w:cols>
          <w:pgMar w:left="320" w:top="230" w:right="339" w:bottom="1440" w:gutter="0" w:footer="0" w:header="0"/>
          <w:type w:val="continuous"/>
        </w:sectPr>
      </w:pPr>
    </w:p>
    <w:bookmarkStart w:id="11" w:name="page12"/>
    <w:bookmarkEnd w:id="11"/>
    <w:tbl>
      <w:tblPr>
        <w:tblLayout w:type="fixed"/>
        <w:tblInd w:w="0" w:type="dxa"/>
        <w:tblCellMar>
          <w:top w:w="0" w:type="dxa"/>
          <w:left w:w="0" w:type="dxa"/>
          <w:bottom w:w="0" w:type="dxa"/>
          <w:right w:w="0" w:type="dxa"/>
        </w:tblCellMar>
      </w:tblPr>
      <w:tr>
        <w:trPr>
          <w:trHeight w:val="186"/>
        </w:trPr>
        <w:tc>
          <w:tcPr>
            <w:tcW w:w="7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80" w:type="dxa"/>
            <w:vAlign w:val="bottom"/>
          </w:tcPr>
          <w:p>
            <w:pPr>
              <w:spacing w:after="0"/>
              <w:rPr>
                <w:sz w:val="16"/>
                <w:szCs w:val="16"/>
                <w:color w:val="auto"/>
              </w:rPr>
            </w:pPr>
          </w:p>
        </w:tc>
        <w:tc>
          <w:tcPr>
            <w:tcW w:w="1480" w:type="dxa"/>
            <w:vAlign w:val="bottom"/>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38"/>
        </w:trPr>
        <w:tc>
          <w:tcPr>
            <w:tcW w:w="780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3200" w:type="dxa"/>
            <w:vAlign w:val="bottom"/>
            <w:tcBorders>
              <w:bottom w:val="single" w:sz="8" w:color="auto"/>
            </w:tcBorders>
            <w:gridSpan w:val="4"/>
          </w:tcPr>
          <w:p>
            <w:pPr>
              <w:spacing w:after="0"/>
              <w:rPr>
                <w:sz w:val="3"/>
                <w:szCs w:val="3"/>
                <w:color w:val="auto"/>
              </w:rPr>
            </w:pPr>
          </w:p>
        </w:tc>
      </w:tr>
      <w:tr>
        <w:trPr>
          <w:trHeight w:val="393"/>
        </w:trPr>
        <w:tc>
          <w:tcPr>
            <w:tcW w:w="7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0" w:type="dxa"/>
            <w:vAlign w:val="bottom"/>
            <w:gridSpan w:val="4"/>
          </w:tcPr>
          <w:p>
            <w:pPr>
              <w:jc w:val="right"/>
              <w:ind w:right="1262"/>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38"/>
        </w:trPr>
        <w:tc>
          <w:tcPr>
            <w:tcW w:w="78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80" w:type="dxa"/>
            <w:vAlign w:val="bottom"/>
          </w:tcPr>
          <w:p>
            <w:pPr>
              <w:spacing w:after="0"/>
              <w:rPr>
                <w:sz w:val="3"/>
                <w:szCs w:val="3"/>
                <w:color w:val="auto"/>
              </w:rPr>
            </w:pPr>
          </w:p>
        </w:tc>
      </w:tr>
      <w:tr>
        <w:trPr>
          <w:trHeight w:val="450"/>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Annuities</w:t>
            </w: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160,935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164,175</w:t>
            </w:r>
          </w:p>
        </w:tc>
      </w:tr>
      <w:tr>
        <w:trPr>
          <w:trHeight w:val="441"/>
        </w:trPr>
        <w:tc>
          <w:tcPr>
            <w:tcW w:w="7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Life</w:t>
            </w:r>
          </w:p>
        </w:tc>
        <w:tc>
          <w:tcPr>
            <w:tcW w:w="24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21,689</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21,802</w:t>
            </w:r>
          </w:p>
        </w:tc>
      </w:tr>
      <w:tr>
        <w:trPr>
          <w:trHeight w:val="460"/>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Run-off</w:t>
            </w:r>
          </w:p>
        </w:tc>
        <w:tc>
          <w:tcPr>
            <w:tcW w:w="240" w:type="dxa"/>
            <w:vAlign w:val="bottom"/>
            <w:shd w:val="clear" w:color="auto" w:fill="CCEEFF"/>
          </w:tcPr>
          <w:p>
            <w:pPr>
              <w:spacing w:after="0"/>
              <w:rPr>
                <w:sz w:val="24"/>
                <w:szCs w:val="24"/>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24,729</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25,470</w:t>
            </w:r>
          </w:p>
        </w:tc>
      </w:tr>
      <w:tr>
        <w:trPr>
          <w:trHeight w:val="444"/>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Corporate &amp; Other</w:t>
            </w:r>
          </w:p>
        </w:tc>
        <w:tc>
          <w:tcPr>
            <w:tcW w:w="24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20,218</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20,539</w:t>
            </w:r>
          </w:p>
        </w:tc>
      </w:tr>
      <w:tr>
        <w:trPr>
          <w:trHeight w:val="469"/>
        </w:trPr>
        <w:tc>
          <w:tcPr>
            <w:tcW w:w="78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w:t>
            </w: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227,571</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231,986</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80"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Life Insurance Company</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 Indirect Wholly-Owned Subsidiary of Brighthouse Financial, Inc.)</w:t>
      </w:r>
    </w:p>
    <w:p>
      <w:pPr>
        <w:spacing w:after="0" w:line="90"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Segment Information (continued)</w:t>
      </w:r>
    </w:p>
    <w:p>
      <w:pPr>
        <w:spacing w:after="0" w:line="200" w:lineRule="exact"/>
        <w:rPr>
          <w:sz w:val="20"/>
          <w:szCs w:val="20"/>
          <w:color w:val="auto"/>
        </w:rPr>
      </w:pPr>
    </w:p>
    <w:p>
      <w:pPr>
        <w:spacing w:after="0" w:line="36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Total premiums, universal life and investment-type product policy fees and other revenues by major product group were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4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160" w:type="dxa"/>
            <w:vAlign w:val="bottom"/>
          </w:tcPr>
          <w:p>
            <w:pPr>
              <w:spacing w:after="0"/>
              <w:rPr>
                <w:sz w:val="13"/>
                <w:szCs w:val="13"/>
                <w:color w:val="auto"/>
              </w:rPr>
            </w:pPr>
          </w:p>
        </w:tc>
      </w:tr>
      <w:tr>
        <w:trPr>
          <w:trHeight w:val="191"/>
        </w:trPr>
        <w:tc>
          <w:tcPr>
            <w:tcW w:w="752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March 31,</w:t>
            </w:r>
          </w:p>
        </w:tc>
        <w:tc>
          <w:tcPr>
            <w:tcW w:w="1160" w:type="dxa"/>
            <w:vAlign w:val="bottom"/>
            <w:tcBorders>
              <w:bottom w:val="single" w:sz="8" w:color="auto"/>
            </w:tcBorders>
          </w:tcPr>
          <w:p>
            <w:pPr>
              <w:spacing w:after="0"/>
              <w:rPr>
                <w:sz w:val="16"/>
                <w:szCs w:val="16"/>
                <w:color w:val="auto"/>
              </w:rPr>
            </w:pPr>
          </w:p>
        </w:tc>
      </w:tr>
      <w:tr>
        <w:trPr>
          <w:trHeight w:val="191"/>
        </w:trPr>
        <w:tc>
          <w:tcPr>
            <w:tcW w:w="7520" w:type="dxa"/>
            <w:vAlign w:val="bottom"/>
          </w:tcPr>
          <w:p>
            <w:pPr>
              <w:spacing w:after="0"/>
              <w:rPr>
                <w:sz w:val="16"/>
                <w:szCs w:val="16"/>
                <w:color w:val="auto"/>
              </w:rPr>
            </w:pPr>
          </w:p>
        </w:tc>
        <w:tc>
          <w:tcPr>
            <w:tcW w:w="110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4"/>
                <w:szCs w:val="14"/>
                <w:b w:val="1"/>
                <w:bCs w:val="1"/>
                <w:color w:val="auto"/>
              </w:rPr>
              <w:t>2026</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74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92"/>
        </w:trPr>
        <w:tc>
          <w:tcPr>
            <w:tcW w:w="75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160" w:type="dxa"/>
            <w:vAlign w:val="bottom"/>
          </w:tcPr>
          <w:p>
            <w:pPr>
              <w:spacing w:after="0"/>
              <w:rPr>
                <w:sz w:val="16"/>
                <w:szCs w:val="16"/>
                <w:color w:val="auto"/>
              </w:rPr>
            </w:pPr>
          </w:p>
        </w:tc>
      </w:tr>
      <w:tr>
        <w:trPr>
          <w:trHeight w:val="457"/>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Annuity products</w:t>
            </w:r>
          </w:p>
        </w:tc>
        <w:tc>
          <w:tcPr>
            <w:tcW w:w="1100" w:type="dxa"/>
            <w:vAlign w:val="bottom"/>
            <w:shd w:val="clear" w:color="auto" w:fill="CCEEFF"/>
          </w:tcPr>
          <w:p>
            <w:pPr>
              <w:jc w:val="right"/>
              <w:ind w:right="923"/>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489</w:t>
            </w: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jc w:val="center"/>
              <w:ind w:right="56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491</w:t>
            </w:r>
          </w:p>
        </w:tc>
      </w:tr>
      <w:tr>
        <w:trPr>
          <w:trHeight w:val="441"/>
        </w:trPr>
        <w:tc>
          <w:tcPr>
            <w:tcW w:w="7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Life insurance products</w:t>
            </w:r>
          </w:p>
        </w:tc>
        <w:tc>
          <w:tcPr>
            <w:tcW w:w="1100" w:type="dxa"/>
            <w:vAlign w:val="bottom"/>
          </w:tcPr>
          <w:p>
            <w:pPr>
              <w:spacing w:after="0"/>
              <w:rPr>
                <w:sz w:val="24"/>
                <w:szCs w:val="24"/>
                <w:color w:val="auto"/>
              </w:rPr>
            </w:pPr>
          </w:p>
        </w:tc>
        <w:tc>
          <w:tcPr>
            <w:tcW w:w="60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198</w:t>
            </w: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w:t>
            </w:r>
          </w:p>
        </w:tc>
      </w:tr>
      <w:tr>
        <w:trPr>
          <w:trHeight w:val="460"/>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products</w:t>
            </w:r>
          </w:p>
        </w:tc>
        <w:tc>
          <w:tcPr>
            <w:tcW w:w="1100" w:type="dxa"/>
            <w:vAlign w:val="bottom"/>
            <w:tcBorders>
              <w:bottom w:val="single" w:sz="8" w:color="auto"/>
            </w:tcBorders>
            <w:shd w:val="clear" w:color="auto" w:fill="CCEEFF"/>
          </w:tcPr>
          <w:p>
            <w:pPr>
              <w:spacing w:after="0"/>
              <w:rPr>
                <w:sz w:val="24"/>
                <w:szCs w:val="24"/>
                <w:color w:val="auto"/>
              </w:rPr>
            </w:pPr>
          </w:p>
        </w:tc>
        <w:tc>
          <w:tcPr>
            <w:tcW w:w="60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24"/>
                <w:szCs w:val="24"/>
                <w:color w:val="auto"/>
              </w:rPr>
            </w:pPr>
          </w:p>
        </w:tc>
        <w:tc>
          <w:tcPr>
            <w:tcW w:w="76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437"/>
        </w:trPr>
        <w:tc>
          <w:tcPr>
            <w:tcW w:w="75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w:t>
            </w:r>
          </w:p>
        </w:tc>
        <w:tc>
          <w:tcPr>
            <w:tcW w:w="1100" w:type="dxa"/>
            <w:vAlign w:val="bottom"/>
            <w:tcBorders>
              <w:bottom w:val="single" w:sz="8" w:color="auto"/>
            </w:tcBorders>
          </w:tcPr>
          <w:p>
            <w:pPr>
              <w:jc w:val="right"/>
              <w:ind w:right="923"/>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rPr>
              <w:t>690</w:t>
            </w:r>
          </w:p>
        </w:tc>
        <w:tc>
          <w:tcPr>
            <w:tcW w:w="100" w:type="dxa"/>
            <w:vAlign w:val="bottom"/>
          </w:tcPr>
          <w:p>
            <w:pPr>
              <w:spacing w:after="0"/>
              <w:rPr>
                <w:sz w:val="24"/>
                <w:szCs w:val="24"/>
                <w:color w:val="auto"/>
              </w:rPr>
            </w:pPr>
          </w:p>
        </w:tc>
        <w:tc>
          <w:tcPr>
            <w:tcW w:w="760" w:type="dxa"/>
            <w:vAlign w:val="bottom"/>
            <w:tcBorders>
              <w:bottom w:val="single" w:sz="8" w:color="auto"/>
            </w:tcBorders>
          </w:tcPr>
          <w:p>
            <w:pPr>
              <w:jc w:val="center"/>
              <w:ind w:right="56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726</w:t>
            </w:r>
          </w:p>
        </w:tc>
      </w:tr>
      <w:tr>
        <w:trPr>
          <w:trHeight w:val="27"/>
        </w:trPr>
        <w:tc>
          <w:tcPr>
            <w:tcW w:w="75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bl>
    <w:p>
      <w:pPr>
        <w:spacing w:after="0" w:line="1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Substantially all of the Company’s premiums, universal life and investment-type product policy fees and other revenues originated in the U.S.</w:t>
      </w:r>
    </w:p>
    <w:p>
      <w:pPr>
        <w:spacing w:after="0" w:line="111"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Revenues derived from any individual customer did not exceed 10% of premiums, universal life and investment-type product policy fees and other revenues for the three months ended March 31, 2026 and 2025.</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Life Insurance Company</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 Indirect Wholly-Owned Subsidiary of Brighthouse Financial, Inc.)</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Insurance Liabilities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Liability for Future Policy Benefits</w:t>
      </w:r>
    </w:p>
    <w:p>
      <w:pPr>
        <w:spacing w:after="0" w:line="1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Information regarding liability for future policy benefits (“LFPB”) for non-participating traditional and limited-payment contracts was as follows: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80" w:type="dxa"/>
            <w:vAlign w:val="bottom"/>
            <w:gridSpan w:val="5"/>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392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3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392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3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Structured</w:t>
            </w: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center"/>
              <w:ind w:right="29"/>
              <w:spacing w:after="0"/>
              <w:rPr>
                <w:sz w:val="20"/>
                <w:szCs w:val="20"/>
                <w:color w:val="auto"/>
              </w:rPr>
            </w:pPr>
            <w:r>
              <w:rPr>
                <w:rFonts w:ascii="Times New Roman" w:cs="Times New Roman" w:eastAsia="Times New Roman" w:hAnsi="Times New Roman"/>
                <w:sz w:val="14"/>
                <w:szCs w:val="14"/>
                <w:b w:val="1"/>
                <w:bCs w:val="1"/>
                <w:color w:val="auto"/>
              </w:rPr>
              <w:t>Structured</w:t>
            </w:r>
          </w:p>
        </w:tc>
        <w:tc>
          <w:tcPr>
            <w:tcW w:w="0" w:type="dxa"/>
            <w:vAlign w:val="bottom"/>
          </w:tcPr>
          <w:p>
            <w:pPr>
              <w:spacing w:after="0"/>
              <w:rPr>
                <w:sz w:val="1"/>
                <w:szCs w:val="1"/>
                <w:color w:val="auto"/>
              </w:rPr>
            </w:pPr>
          </w:p>
        </w:tc>
      </w:tr>
      <w:tr>
        <w:trPr>
          <w:trHeight w:val="172"/>
        </w:trPr>
        <w:tc>
          <w:tcPr>
            <w:tcW w:w="3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Settlement and</w:t>
            </w: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center"/>
              <w:ind w:right="29"/>
              <w:spacing w:after="0"/>
              <w:rPr>
                <w:sz w:val="20"/>
                <w:szCs w:val="20"/>
                <w:color w:val="auto"/>
              </w:rPr>
            </w:pPr>
            <w:r>
              <w:rPr>
                <w:rFonts w:ascii="Times New Roman" w:cs="Times New Roman" w:eastAsia="Times New Roman" w:hAnsi="Times New Roman"/>
                <w:sz w:val="14"/>
                <w:szCs w:val="14"/>
                <w:b w:val="1"/>
                <w:bCs w:val="1"/>
                <w:color w:val="auto"/>
              </w:rPr>
              <w:t>Settlement and</w:t>
            </w:r>
          </w:p>
        </w:tc>
        <w:tc>
          <w:tcPr>
            <w:tcW w:w="0" w:type="dxa"/>
            <w:vAlign w:val="bottom"/>
          </w:tcPr>
          <w:p>
            <w:pPr>
              <w:spacing w:after="0"/>
              <w:rPr>
                <w:sz w:val="1"/>
                <w:szCs w:val="1"/>
                <w:color w:val="auto"/>
              </w:rPr>
            </w:pPr>
          </w:p>
        </w:tc>
      </w:tr>
      <w:tr>
        <w:trPr>
          <w:trHeight w:val="159"/>
        </w:trPr>
        <w:tc>
          <w:tcPr>
            <w:tcW w:w="3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tcPr>
          <w:p>
            <w:pPr>
              <w:jc w:val="center"/>
              <w:ind w:right="200"/>
              <w:spacing w:after="0" w:line="159" w:lineRule="exact"/>
              <w:rPr>
                <w:sz w:val="20"/>
                <w:szCs w:val="20"/>
                <w:color w:val="auto"/>
              </w:rPr>
            </w:pPr>
            <w:r>
              <w:rPr>
                <w:rFonts w:ascii="Times New Roman" w:cs="Times New Roman" w:eastAsia="Times New Roman" w:hAnsi="Times New Roman"/>
                <w:sz w:val="14"/>
                <w:szCs w:val="14"/>
                <w:b w:val="1"/>
                <w:bCs w:val="1"/>
                <w:color w:val="auto"/>
              </w:rPr>
              <w:t>Pension Risk</w:t>
            </w: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jc w:val="center"/>
              <w:ind w:right="29"/>
              <w:spacing w:after="0" w:line="159" w:lineRule="exact"/>
              <w:rPr>
                <w:sz w:val="20"/>
                <w:szCs w:val="20"/>
                <w:color w:val="auto"/>
              </w:rPr>
            </w:pPr>
            <w:r>
              <w:rPr>
                <w:rFonts w:ascii="Times New Roman" w:cs="Times New Roman" w:eastAsia="Times New Roman" w:hAnsi="Times New Roman"/>
                <w:sz w:val="14"/>
                <w:szCs w:val="14"/>
                <w:b w:val="1"/>
                <w:bCs w:val="1"/>
                <w:color w:val="auto"/>
              </w:rPr>
              <w:t>Pension Risk</w:t>
            </w:r>
          </w:p>
        </w:tc>
        <w:tc>
          <w:tcPr>
            <w:tcW w:w="0" w:type="dxa"/>
            <w:vAlign w:val="bottom"/>
          </w:tcPr>
          <w:p>
            <w:pPr>
              <w:spacing w:after="0"/>
              <w:rPr>
                <w:sz w:val="1"/>
                <w:szCs w:val="1"/>
                <w:color w:val="auto"/>
              </w:rPr>
            </w:pPr>
          </w:p>
        </w:tc>
      </w:tr>
      <w:tr>
        <w:trPr>
          <w:trHeight w:val="172"/>
        </w:trPr>
        <w:tc>
          <w:tcPr>
            <w:tcW w:w="3920" w:type="dxa"/>
            <w:vAlign w:val="bottom"/>
          </w:tcPr>
          <w:p>
            <w:pPr>
              <w:spacing w:after="0"/>
              <w:rPr>
                <w:sz w:val="14"/>
                <w:szCs w:val="14"/>
                <w:color w:val="auto"/>
              </w:rPr>
            </w:pPr>
          </w:p>
        </w:tc>
        <w:tc>
          <w:tcPr>
            <w:tcW w:w="12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Term and Whole</w:t>
            </w: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Transfer</w:t>
            </w:r>
          </w:p>
        </w:tc>
        <w:tc>
          <w:tcPr>
            <w:tcW w:w="124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Term and Whole</w:t>
            </w: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center"/>
              <w:ind w:right="9"/>
              <w:spacing w:after="0"/>
              <w:rPr>
                <w:sz w:val="20"/>
                <w:szCs w:val="20"/>
                <w:color w:val="auto"/>
              </w:rPr>
            </w:pPr>
            <w:r>
              <w:rPr>
                <w:rFonts w:ascii="Times New Roman" w:cs="Times New Roman" w:eastAsia="Times New Roman" w:hAnsi="Times New Roman"/>
                <w:sz w:val="14"/>
                <w:szCs w:val="14"/>
                <w:b w:val="1"/>
                <w:bCs w:val="1"/>
                <w:color w:val="auto"/>
                <w:w w:val="98"/>
              </w:rPr>
              <w:t>Transfer</w:t>
            </w:r>
          </w:p>
        </w:tc>
        <w:tc>
          <w:tcPr>
            <w:tcW w:w="0" w:type="dxa"/>
            <w:vAlign w:val="bottom"/>
          </w:tcPr>
          <w:p>
            <w:pPr>
              <w:spacing w:after="0"/>
              <w:rPr>
                <w:sz w:val="1"/>
                <w:szCs w:val="1"/>
                <w:color w:val="auto"/>
              </w:rPr>
            </w:pPr>
          </w:p>
        </w:tc>
      </w:tr>
      <w:tr>
        <w:trPr>
          <w:trHeight w:val="186"/>
        </w:trPr>
        <w:tc>
          <w:tcPr>
            <w:tcW w:w="3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Life Insurance</w:t>
            </w:r>
          </w:p>
        </w:tc>
        <w:tc>
          <w:tcPr>
            <w:tcW w:w="12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Income Annuities</w:t>
            </w:r>
          </w:p>
        </w:tc>
        <w:tc>
          <w:tcPr>
            <w:tcW w:w="100" w:type="dxa"/>
            <w:vAlign w:val="bottom"/>
          </w:tcPr>
          <w:p>
            <w:pPr>
              <w:spacing w:after="0"/>
              <w:rPr>
                <w:sz w:val="16"/>
                <w:szCs w:val="16"/>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Annuities</w:t>
            </w:r>
          </w:p>
        </w:tc>
        <w:tc>
          <w:tcPr>
            <w:tcW w:w="100" w:type="dxa"/>
            <w:vAlign w:val="bottom"/>
          </w:tcPr>
          <w:p>
            <w:pPr>
              <w:spacing w:after="0"/>
              <w:rPr>
                <w:sz w:val="16"/>
                <w:szCs w:val="16"/>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Life Insurance</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Income Annuities</w:t>
            </w:r>
          </w:p>
        </w:tc>
        <w:tc>
          <w:tcPr>
            <w:tcW w:w="100" w:type="dxa"/>
            <w:vAlign w:val="bottom"/>
          </w:tcPr>
          <w:p>
            <w:pPr>
              <w:spacing w:after="0"/>
              <w:rPr>
                <w:sz w:val="16"/>
                <w:szCs w:val="16"/>
                <w:color w:val="auto"/>
              </w:rPr>
            </w:pPr>
          </w:p>
        </w:tc>
        <w:tc>
          <w:tcPr>
            <w:tcW w:w="1040" w:type="dxa"/>
            <w:vAlign w:val="bottom"/>
          </w:tcPr>
          <w:p>
            <w:pPr>
              <w:jc w:val="center"/>
              <w:ind w:right="29"/>
              <w:spacing w:after="0"/>
              <w:rPr>
                <w:sz w:val="20"/>
                <w:szCs w:val="20"/>
                <w:color w:val="auto"/>
              </w:rPr>
            </w:pPr>
            <w:r>
              <w:rPr>
                <w:rFonts w:ascii="Times New Roman" w:cs="Times New Roman" w:eastAsia="Times New Roman" w:hAnsi="Times New Roman"/>
                <w:sz w:val="14"/>
                <w:szCs w:val="14"/>
                <w:b w:val="1"/>
                <w:bCs w:val="1"/>
                <w:color w:val="auto"/>
              </w:rPr>
              <w:t>Annuities</w:t>
            </w:r>
          </w:p>
        </w:tc>
        <w:tc>
          <w:tcPr>
            <w:tcW w:w="0" w:type="dxa"/>
            <w:vAlign w:val="bottom"/>
          </w:tcPr>
          <w:p>
            <w:pPr>
              <w:spacing w:after="0"/>
              <w:rPr>
                <w:sz w:val="1"/>
                <w:szCs w:val="1"/>
                <w:color w:val="auto"/>
              </w:rPr>
            </w:pPr>
          </w:p>
        </w:tc>
      </w:tr>
      <w:tr>
        <w:trPr>
          <w:trHeight w:val="38"/>
        </w:trPr>
        <w:tc>
          <w:tcPr>
            <w:tcW w:w="392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380" w:type="dxa"/>
            <w:vAlign w:val="bottom"/>
            <w:tcBorders>
              <w:bottom w:val="single" w:sz="8" w:color="auto"/>
            </w:tcBorders>
            <w:gridSpan w:val="5"/>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3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8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3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9"/>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Present value of expected net premiums:</w:t>
            </w: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3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beginning of period</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2,462</w:t>
            </w:r>
          </w:p>
        </w:tc>
        <w:tc>
          <w:tcPr>
            <w:tcW w:w="100" w:type="dxa"/>
            <w:vAlign w:val="bottom"/>
          </w:tcPr>
          <w:p>
            <w:pPr>
              <w:spacing w:after="0"/>
              <w:rPr>
                <w:sz w:val="16"/>
                <w:szCs w:val="16"/>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2,758</w:t>
            </w:r>
          </w:p>
        </w:tc>
        <w:tc>
          <w:tcPr>
            <w:tcW w:w="120" w:type="dxa"/>
            <w:vAlign w:val="bottom"/>
          </w:tcPr>
          <w:p>
            <w:pPr>
              <w:spacing w:after="0"/>
              <w:rPr>
                <w:sz w:val="16"/>
                <w:szCs w:val="16"/>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6"/>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Beginning balance at original discount rate</w:t>
            </w: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2,705</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3,110</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2"/>
        </w:trPr>
        <w:tc>
          <w:tcPr>
            <w:tcW w:w="3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Effect of actual variances from expected experience</w:t>
            </w:r>
          </w:p>
        </w:tc>
        <w:tc>
          <w:tcPr>
            <w:tcW w:w="120" w:type="dxa"/>
            <w:vAlign w:val="bottom"/>
          </w:tcPr>
          <w:p>
            <w:pPr>
              <w:spacing w:after="0"/>
              <w:rPr>
                <w:sz w:val="16"/>
                <w:szCs w:val="16"/>
                <w:color w:val="auto"/>
              </w:rPr>
            </w:pPr>
          </w:p>
        </w:tc>
        <w:tc>
          <w:tcPr>
            <w:tcW w:w="102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9"/>
        </w:trPr>
        <w:tc>
          <w:tcPr>
            <w:tcW w:w="3920" w:type="dxa"/>
            <w:vAlign w:val="bottom"/>
            <w:tcBorders>
              <w:top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Adjusted beginning of period balance</w:t>
            </w:r>
          </w:p>
        </w:tc>
        <w:tc>
          <w:tcPr>
            <w:tcW w:w="1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2,678</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3,111</w:t>
            </w: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3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Issuances</w:t>
            </w:r>
          </w:p>
        </w:tc>
        <w:tc>
          <w:tcPr>
            <w:tcW w:w="120" w:type="dxa"/>
            <w:vAlign w:val="bottom"/>
          </w:tcPr>
          <w:p>
            <w:pPr>
              <w:spacing w:after="0"/>
              <w:rPr>
                <w:sz w:val="16"/>
                <w:szCs w:val="16"/>
                <w:color w:val="auto"/>
              </w:rPr>
            </w:pPr>
          </w:p>
        </w:tc>
        <w:tc>
          <w:tcPr>
            <w:tcW w:w="10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6"/>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accrual</w:t>
            </w: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28</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2"/>
        </w:trPr>
        <w:tc>
          <w:tcPr>
            <w:tcW w:w="3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premiums collected</w:t>
            </w:r>
          </w:p>
        </w:tc>
        <w:tc>
          <w:tcPr>
            <w:tcW w:w="120" w:type="dxa"/>
            <w:vAlign w:val="bottom"/>
          </w:tcPr>
          <w:p>
            <w:pPr>
              <w:spacing w:after="0"/>
              <w:rPr>
                <w:sz w:val="16"/>
                <w:szCs w:val="16"/>
                <w:color w:val="auto"/>
              </w:rPr>
            </w:pPr>
          </w:p>
        </w:tc>
        <w:tc>
          <w:tcPr>
            <w:tcW w:w="102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(82)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(82)</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9"/>
        </w:trPr>
        <w:tc>
          <w:tcPr>
            <w:tcW w:w="3920" w:type="dxa"/>
            <w:vAlign w:val="bottom"/>
            <w:tcBorders>
              <w:top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Ending balance at original discount rate</w:t>
            </w:r>
          </w:p>
        </w:tc>
        <w:tc>
          <w:tcPr>
            <w:tcW w:w="1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2,622</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3,062</w:t>
            </w: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2"/>
        </w:trPr>
        <w:tc>
          <w:tcPr>
            <w:tcW w:w="3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Effect of changes in discount rate assumptions</w:t>
            </w:r>
          </w:p>
        </w:tc>
        <w:tc>
          <w:tcPr>
            <w:tcW w:w="120" w:type="dxa"/>
            <w:vAlign w:val="bottom"/>
          </w:tcPr>
          <w:p>
            <w:pPr>
              <w:spacing w:after="0"/>
              <w:rPr>
                <w:sz w:val="16"/>
                <w:szCs w:val="16"/>
                <w:color w:val="auto"/>
              </w:rPr>
            </w:pPr>
          </w:p>
        </w:tc>
        <w:tc>
          <w:tcPr>
            <w:tcW w:w="102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(270)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(320)</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4"/>
        </w:trPr>
        <w:tc>
          <w:tcPr>
            <w:tcW w:w="392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Balance, end of period</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2,352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2,742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Present value of expected future policy benefits:</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39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beginning of period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4,984</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3,947</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6,009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5,245</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3,728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6,118</w:t>
            </w:r>
          </w:p>
        </w:tc>
        <w:tc>
          <w:tcPr>
            <w:tcW w:w="0" w:type="dxa"/>
            <w:vAlign w:val="bottom"/>
          </w:tcPr>
          <w:p>
            <w:pPr>
              <w:spacing w:after="0"/>
              <w:rPr>
                <w:sz w:val="1"/>
                <w:szCs w:val="1"/>
                <w:color w:val="auto"/>
              </w:rPr>
            </w:pPr>
          </w:p>
        </w:tc>
      </w:tr>
      <w:tr>
        <w:trPr>
          <w:trHeight w:val="191"/>
        </w:trPr>
        <w:tc>
          <w:tcPr>
            <w:tcW w:w="3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Beginning balance at original discount rate</w:t>
            </w:r>
          </w:p>
        </w:tc>
        <w:tc>
          <w:tcPr>
            <w:tcW w:w="120" w:type="dxa"/>
            <w:vAlign w:val="bottom"/>
          </w:tcPr>
          <w:p>
            <w:pPr>
              <w:spacing w:after="0"/>
              <w:rPr>
                <w:sz w:val="16"/>
                <w:szCs w:val="16"/>
                <w:color w:val="auto"/>
              </w:rPr>
            </w:pPr>
          </w:p>
        </w:tc>
        <w:tc>
          <w:tcPr>
            <w:tcW w:w="10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5,446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4,231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6,635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5,908</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4,121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6,876</w:t>
            </w:r>
          </w:p>
        </w:tc>
        <w:tc>
          <w:tcPr>
            <w:tcW w:w="0" w:type="dxa"/>
            <w:vAlign w:val="bottom"/>
          </w:tcPr>
          <w:p>
            <w:pPr>
              <w:spacing w:after="0"/>
              <w:rPr>
                <w:sz w:val="1"/>
                <w:szCs w:val="1"/>
                <w:color w:val="auto"/>
              </w:rPr>
            </w:pPr>
          </w:p>
        </w:tc>
      </w:tr>
      <w:tr>
        <w:trPr>
          <w:trHeight w:val="206"/>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Effect of model refinements</w:t>
            </w: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2"/>
        </w:trPr>
        <w:tc>
          <w:tcPr>
            <w:tcW w:w="3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Effect of actual variances from expected experience</w:t>
            </w: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(9)</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9</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199"/>
        </w:trPr>
        <w:tc>
          <w:tcPr>
            <w:tcW w:w="3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Adjusted beginning of period balance</w:t>
            </w: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5,404</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4,222</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6,634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5,918</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4,100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6,857</w:t>
            </w:r>
          </w:p>
        </w:tc>
        <w:tc>
          <w:tcPr>
            <w:tcW w:w="0" w:type="dxa"/>
            <w:vAlign w:val="bottom"/>
          </w:tcPr>
          <w:p>
            <w:pPr>
              <w:spacing w:after="0"/>
              <w:rPr>
                <w:sz w:val="1"/>
                <w:szCs w:val="1"/>
                <w:color w:val="auto"/>
              </w:rPr>
            </w:pPr>
          </w:p>
        </w:tc>
      </w:tr>
      <w:tr>
        <w:trPr>
          <w:trHeight w:val="191"/>
        </w:trPr>
        <w:tc>
          <w:tcPr>
            <w:tcW w:w="3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Issuances</w:t>
            </w:r>
          </w:p>
        </w:tc>
        <w:tc>
          <w:tcPr>
            <w:tcW w:w="120" w:type="dxa"/>
            <w:vAlign w:val="bottom"/>
          </w:tcPr>
          <w:p>
            <w:pPr>
              <w:spacing w:after="0"/>
              <w:rPr>
                <w:sz w:val="16"/>
                <w:szCs w:val="16"/>
                <w:color w:val="auto"/>
              </w:rPr>
            </w:pPr>
          </w:p>
        </w:tc>
        <w:tc>
          <w:tcPr>
            <w:tcW w:w="10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99</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6</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79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6"/>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accrual</w:t>
            </w: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49</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42</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72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53</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74</w:t>
            </w:r>
          </w:p>
        </w:tc>
        <w:tc>
          <w:tcPr>
            <w:tcW w:w="0" w:type="dxa"/>
            <w:vAlign w:val="bottom"/>
          </w:tcPr>
          <w:p>
            <w:pPr>
              <w:spacing w:after="0"/>
              <w:rPr>
                <w:sz w:val="1"/>
                <w:szCs w:val="1"/>
                <w:color w:val="auto"/>
              </w:rPr>
            </w:pPr>
          </w:p>
        </w:tc>
      </w:tr>
      <w:tr>
        <w:trPr>
          <w:trHeight w:val="192"/>
        </w:trPr>
        <w:tc>
          <w:tcPr>
            <w:tcW w:w="3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Benefit payments</w:t>
            </w: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(104)</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(105)</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(136)</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(150)</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(133)</w:t>
            </w:r>
          </w:p>
        </w:tc>
        <w:tc>
          <w:tcPr>
            <w:tcW w:w="0" w:type="dxa"/>
            <w:vAlign w:val="bottom"/>
          </w:tcPr>
          <w:p>
            <w:pPr>
              <w:spacing w:after="0"/>
              <w:rPr>
                <w:sz w:val="1"/>
                <w:szCs w:val="1"/>
                <w:color w:val="auto"/>
              </w:rPr>
            </w:pPr>
          </w:p>
        </w:tc>
      </w:tr>
      <w:tr>
        <w:trPr>
          <w:trHeight w:val="199"/>
        </w:trPr>
        <w:tc>
          <w:tcPr>
            <w:tcW w:w="3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Ending balance at original discount rate</w:t>
            </w: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5,351</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4,258</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6,570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5,827</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4,119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6,798</w:t>
            </w:r>
          </w:p>
        </w:tc>
        <w:tc>
          <w:tcPr>
            <w:tcW w:w="0" w:type="dxa"/>
            <w:vAlign w:val="bottom"/>
          </w:tcPr>
          <w:p>
            <w:pPr>
              <w:spacing w:after="0"/>
              <w:rPr>
                <w:sz w:val="1"/>
                <w:szCs w:val="1"/>
                <w:color w:val="auto"/>
              </w:rPr>
            </w:pPr>
          </w:p>
        </w:tc>
      </w:tr>
      <w:tr>
        <w:trPr>
          <w:trHeight w:val="192"/>
        </w:trPr>
        <w:tc>
          <w:tcPr>
            <w:tcW w:w="3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Effect of changes in discount rate assumptions</w:t>
            </w: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(523)</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(343)</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(734)</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(592)</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(346)</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(689)</w:t>
            </w:r>
          </w:p>
        </w:tc>
        <w:tc>
          <w:tcPr>
            <w:tcW w:w="0" w:type="dxa"/>
            <w:vAlign w:val="bottom"/>
          </w:tcPr>
          <w:p>
            <w:pPr>
              <w:spacing w:after="0"/>
              <w:rPr>
                <w:sz w:val="1"/>
                <w:szCs w:val="1"/>
                <w:color w:val="auto"/>
              </w:rPr>
            </w:pPr>
          </w:p>
        </w:tc>
      </w:tr>
      <w:tr>
        <w:trPr>
          <w:trHeight w:val="224"/>
        </w:trPr>
        <w:tc>
          <w:tcPr>
            <w:tcW w:w="39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Balance, end of period</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4,828</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3,915</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5,836</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5,235</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3,773</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6,109</w:t>
            </w: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Net liability for future policy benefits, end of period</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3920" w:type="dxa"/>
            <w:vAlign w:val="bottom"/>
            <w:vMerge w:val="continue"/>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2,476</w:t>
            </w:r>
          </w:p>
        </w:tc>
        <w:tc>
          <w:tcPr>
            <w:tcW w:w="100" w:type="dxa"/>
            <w:vAlign w:val="bottom"/>
          </w:tcPr>
          <w:p>
            <w:pPr>
              <w:spacing w:after="0"/>
              <w:rPr>
                <w:sz w:val="14"/>
                <w:szCs w:val="14"/>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3,915</w:t>
            </w: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5,836</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2,493</w:t>
            </w:r>
          </w:p>
        </w:tc>
        <w:tc>
          <w:tcPr>
            <w:tcW w:w="120" w:type="dxa"/>
            <w:vAlign w:val="bottom"/>
          </w:tcPr>
          <w:p>
            <w:pPr>
              <w:spacing w:after="0"/>
              <w:rPr>
                <w:sz w:val="14"/>
                <w:szCs w:val="14"/>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3,773</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6,109</w:t>
            </w:r>
          </w:p>
        </w:tc>
        <w:tc>
          <w:tcPr>
            <w:tcW w:w="0" w:type="dxa"/>
            <w:vAlign w:val="bottom"/>
          </w:tcPr>
          <w:p>
            <w:pPr>
              <w:spacing w:after="0"/>
              <w:rPr>
                <w:sz w:val="1"/>
                <w:szCs w:val="1"/>
                <w:color w:val="auto"/>
              </w:rPr>
            </w:pPr>
          </w:p>
        </w:tc>
      </w:tr>
      <w:tr>
        <w:trPr>
          <w:trHeight w:val="206"/>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Reinsurance recoverable, end of period</w:t>
            </w:r>
          </w:p>
        </w:tc>
        <w:tc>
          <w:tcPr>
            <w:tcW w:w="1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31</w:t>
            </w: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54</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16</w:t>
            </w:r>
          </w:p>
        </w:tc>
        <w:tc>
          <w:tcPr>
            <w:tcW w:w="1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59</w:t>
            </w:r>
          </w:p>
        </w:tc>
        <w:tc>
          <w:tcPr>
            <w:tcW w:w="0" w:type="dxa"/>
            <w:vAlign w:val="bottom"/>
          </w:tcPr>
          <w:p>
            <w:pPr>
              <w:spacing w:after="0"/>
              <w:rPr>
                <w:sz w:val="1"/>
                <w:szCs w:val="1"/>
                <w:color w:val="auto"/>
              </w:rPr>
            </w:pPr>
          </w:p>
        </w:tc>
      </w:tr>
      <w:tr>
        <w:trPr>
          <w:trHeight w:val="116"/>
        </w:trPr>
        <w:tc>
          <w:tcPr>
            <w:tcW w:w="3920" w:type="dxa"/>
            <w:vAlign w:val="bottom"/>
          </w:tcPr>
          <w:p>
            <w:pPr>
              <w:ind w:left="20"/>
              <w:spacing w:after="0" w:line="116" w:lineRule="exact"/>
              <w:rPr>
                <w:sz w:val="20"/>
                <w:szCs w:val="20"/>
                <w:color w:val="auto"/>
              </w:rPr>
            </w:pPr>
            <w:r>
              <w:rPr>
                <w:rFonts w:ascii="Times New Roman" w:cs="Times New Roman" w:eastAsia="Times New Roman" w:hAnsi="Times New Roman"/>
                <w:sz w:val="13"/>
                <w:szCs w:val="13"/>
                <w:color w:val="auto"/>
              </w:rPr>
              <w:t>Net liability for future policy benefits, after reinsurance</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vMerge w:val="restart"/>
          </w:tcPr>
          <w:p>
            <w:pPr>
              <w:jc w:val="right"/>
              <w:ind w:right="109"/>
              <w:spacing w:after="0"/>
              <w:rPr>
                <w:sz w:val="20"/>
                <w:szCs w:val="20"/>
                <w:color w:val="auto"/>
              </w:rPr>
            </w:pPr>
            <w:r>
              <w:rPr>
                <w:rFonts w:ascii="Times New Roman" w:cs="Times New Roman" w:eastAsia="Times New Roman" w:hAnsi="Times New Roman"/>
                <w:sz w:val="14"/>
                <w:szCs w:val="14"/>
                <w:color w:val="auto"/>
              </w:rPr>
              <w:t>2,461</w:t>
            </w:r>
          </w:p>
        </w:tc>
        <w:tc>
          <w:tcPr>
            <w:tcW w:w="100" w:type="dxa"/>
            <w:vAlign w:val="bottom"/>
          </w:tcPr>
          <w:p>
            <w:pPr>
              <w:spacing w:after="0"/>
              <w:rPr>
                <w:sz w:val="10"/>
                <w:szCs w:val="10"/>
                <w:color w:val="auto"/>
              </w:rPr>
            </w:pPr>
          </w:p>
        </w:tc>
        <w:tc>
          <w:tcPr>
            <w:tcW w:w="2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vMerge w:val="restart"/>
          </w:tcPr>
          <w:p>
            <w:pPr>
              <w:jc w:val="right"/>
              <w:ind w:right="109"/>
              <w:spacing w:after="0"/>
              <w:rPr>
                <w:sz w:val="20"/>
                <w:szCs w:val="20"/>
                <w:color w:val="auto"/>
              </w:rPr>
            </w:pPr>
            <w:r>
              <w:rPr>
                <w:rFonts w:ascii="Times New Roman" w:cs="Times New Roman" w:eastAsia="Times New Roman" w:hAnsi="Times New Roman"/>
                <w:sz w:val="14"/>
                <w:szCs w:val="14"/>
                <w:color w:val="auto"/>
              </w:rPr>
              <w:t>3,884</w:t>
            </w:r>
          </w:p>
        </w:tc>
        <w:tc>
          <w:tcPr>
            <w:tcW w:w="120" w:type="dxa"/>
            <w:vAlign w:val="bottom"/>
          </w:tcPr>
          <w:p>
            <w:pPr>
              <w:spacing w:after="0"/>
              <w:rPr>
                <w:sz w:val="10"/>
                <w:szCs w:val="10"/>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vMerge w:val="restart"/>
          </w:tcPr>
          <w:p>
            <w:pPr>
              <w:jc w:val="right"/>
              <w:ind w:right="109"/>
              <w:spacing w:after="0"/>
              <w:rPr>
                <w:sz w:val="20"/>
                <w:szCs w:val="20"/>
                <w:color w:val="auto"/>
              </w:rPr>
            </w:pPr>
            <w:r>
              <w:rPr>
                <w:rFonts w:ascii="Times New Roman" w:cs="Times New Roman" w:eastAsia="Times New Roman" w:hAnsi="Times New Roman"/>
                <w:sz w:val="14"/>
                <w:szCs w:val="14"/>
                <w:color w:val="auto"/>
              </w:rPr>
              <w:t>5,782</w:t>
            </w:r>
          </w:p>
        </w:tc>
        <w:tc>
          <w:tcPr>
            <w:tcW w:w="100" w:type="dxa"/>
            <w:vAlign w:val="bottom"/>
          </w:tcPr>
          <w:p>
            <w:pPr>
              <w:spacing w:after="0"/>
              <w:rPr>
                <w:sz w:val="10"/>
                <w:szCs w:val="10"/>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vMerge w:val="restart"/>
          </w:tcPr>
          <w:p>
            <w:pPr>
              <w:jc w:val="right"/>
              <w:ind w:right="109"/>
              <w:spacing w:after="0"/>
              <w:rPr>
                <w:sz w:val="20"/>
                <w:szCs w:val="20"/>
                <w:color w:val="auto"/>
              </w:rPr>
            </w:pPr>
            <w:r>
              <w:rPr>
                <w:rFonts w:ascii="Times New Roman" w:cs="Times New Roman" w:eastAsia="Times New Roman" w:hAnsi="Times New Roman"/>
                <w:sz w:val="14"/>
                <w:szCs w:val="14"/>
                <w:color w:val="auto"/>
              </w:rPr>
              <w:t>2,477</w:t>
            </w:r>
          </w:p>
        </w:tc>
        <w:tc>
          <w:tcPr>
            <w:tcW w:w="120" w:type="dxa"/>
            <w:vAlign w:val="bottom"/>
          </w:tcPr>
          <w:p>
            <w:pPr>
              <w:spacing w:after="0"/>
              <w:rPr>
                <w:sz w:val="10"/>
                <w:szCs w:val="10"/>
                <w:color w:val="auto"/>
              </w:rPr>
            </w:pPr>
          </w:p>
        </w:tc>
        <w:tc>
          <w:tcPr>
            <w:tcW w:w="2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vMerge w:val="restart"/>
          </w:tcPr>
          <w:p>
            <w:pPr>
              <w:jc w:val="right"/>
              <w:ind w:right="109"/>
              <w:spacing w:after="0"/>
              <w:rPr>
                <w:sz w:val="20"/>
                <w:szCs w:val="20"/>
                <w:color w:val="auto"/>
              </w:rPr>
            </w:pPr>
            <w:r>
              <w:rPr>
                <w:rFonts w:ascii="Times New Roman" w:cs="Times New Roman" w:eastAsia="Times New Roman" w:hAnsi="Times New Roman"/>
                <w:sz w:val="14"/>
                <w:szCs w:val="14"/>
                <w:color w:val="auto"/>
              </w:rPr>
              <w:t>3,742</w:t>
            </w:r>
          </w:p>
        </w:tc>
        <w:tc>
          <w:tcPr>
            <w:tcW w:w="100" w:type="dxa"/>
            <w:vAlign w:val="bottom"/>
          </w:tcPr>
          <w:p>
            <w:pPr>
              <w:spacing w:after="0"/>
              <w:rPr>
                <w:sz w:val="10"/>
                <w:szCs w:val="10"/>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vMerge w:val="restart"/>
          </w:tcPr>
          <w:p>
            <w:pPr>
              <w:jc w:val="right"/>
              <w:ind w:right="109"/>
              <w:spacing w:after="0"/>
              <w:rPr>
                <w:sz w:val="20"/>
                <w:szCs w:val="20"/>
                <w:color w:val="auto"/>
              </w:rPr>
            </w:pPr>
            <w:r>
              <w:rPr>
                <w:rFonts w:ascii="Times New Roman" w:cs="Times New Roman" w:eastAsia="Times New Roman" w:hAnsi="Times New Roman"/>
                <w:sz w:val="14"/>
                <w:szCs w:val="14"/>
                <w:color w:val="auto"/>
              </w:rPr>
              <w:t>6,050</w:t>
            </w:r>
          </w:p>
        </w:tc>
        <w:tc>
          <w:tcPr>
            <w:tcW w:w="0" w:type="dxa"/>
            <w:vAlign w:val="bottom"/>
          </w:tcPr>
          <w:p>
            <w:pPr>
              <w:spacing w:after="0"/>
              <w:rPr>
                <w:sz w:val="1"/>
                <w:szCs w:val="1"/>
                <w:color w:val="auto"/>
              </w:rPr>
            </w:pPr>
          </w:p>
        </w:tc>
      </w:tr>
      <w:tr>
        <w:trPr>
          <w:trHeight w:val="173"/>
        </w:trPr>
        <w:tc>
          <w:tcPr>
            <w:tcW w:w="39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recoverable</w:t>
            </w:r>
          </w:p>
        </w:tc>
        <w:tc>
          <w:tcPr>
            <w:tcW w:w="120" w:type="dxa"/>
            <w:vAlign w:val="bottom"/>
            <w:tcBorders>
              <w:bottom w:val="single" w:sz="8" w:color="auto"/>
            </w:tcBorders>
            <w:vMerge w:val="continue"/>
          </w:tcPr>
          <w:p>
            <w:pPr>
              <w:spacing w:after="0"/>
              <w:rPr>
                <w:sz w:val="14"/>
                <w:szCs w:val="14"/>
                <w:color w:val="auto"/>
              </w:rPr>
            </w:pPr>
          </w:p>
        </w:tc>
        <w:tc>
          <w:tcPr>
            <w:tcW w:w="102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bottom w:val="single" w:sz="8" w:color="auto"/>
            </w:tcBorders>
            <w:vMerge w:val="continue"/>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vMerge w:val="continue"/>
          </w:tcPr>
          <w:p>
            <w:pPr>
              <w:spacing w:after="0"/>
              <w:rPr>
                <w:sz w:val="14"/>
                <w:szCs w:val="14"/>
                <w:color w:val="auto"/>
              </w:rPr>
            </w:pPr>
          </w:p>
        </w:tc>
        <w:tc>
          <w:tcPr>
            <w:tcW w:w="104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vMerge w:val="continue"/>
          </w:tcPr>
          <w:p>
            <w:pPr>
              <w:spacing w:after="0"/>
              <w:rPr>
                <w:sz w:val="14"/>
                <w:szCs w:val="14"/>
                <w:color w:val="auto"/>
              </w:rPr>
            </w:pPr>
          </w:p>
        </w:tc>
        <w:tc>
          <w:tcPr>
            <w:tcW w:w="102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Borders>
              <w:bottom w:val="single" w:sz="8" w:color="auto"/>
            </w:tcBorders>
            <w:vMerge w:val="continue"/>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vMerge w:val="continue"/>
          </w:tcPr>
          <w:p>
            <w:pPr>
              <w:spacing w:after="0"/>
              <w:rPr>
                <w:sz w:val="14"/>
                <w:szCs w:val="14"/>
                <w:color w:val="auto"/>
              </w:rPr>
            </w:pPr>
          </w:p>
        </w:tc>
        <w:tc>
          <w:tcPr>
            <w:tcW w:w="10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9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Weighted-average duration of liability</w:t>
            </w: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 years</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 years</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 years</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 years</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 years</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 years</w:t>
            </w:r>
          </w:p>
        </w:tc>
        <w:tc>
          <w:tcPr>
            <w:tcW w:w="0" w:type="dxa"/>
            <w:vAlign w:val="bottom"/>
          </w:tcPr>
          <w:p>
            <w:pPr>
              <w:spacing w:after="0"/>
              <w:rPr>
                <w:sz w:val="1"/>
                <w:szCs w:val="1"/>
                <w:color w:val="auto"/>
              </w:rPr>
            </w:pPr>
          </w:p>
        </w:tc>
      </w:tr>
      <w:tr>
        <w:trPr>
          <w:trHeight w:val="191"/>
        </w:trPr>
        <w:tc>
          <w:tcPr>
            <w:tcW w:w="3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Weighted-average interest accretion rate</w:t>
            </w: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3.90 %</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4.14 %</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4.47 %</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3.91 %</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4.06 %</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4.46 %</w:t>
            </w:r>
          </w:p>
        </w:tc>
        <w:tc>
          <w:tcPr>
            <w:tcW w:w="0" w:type="dxa"/>
            <w:vAlign w:val="bottom"/>
          </w:tcPr>
          <w:p>
            <w:pPr>
              <w:spacing w:after="0"/>
              <w:rPr>
                <w:sz w:val="1"/>
                <w:szCs w:val="1"/>
                <w:color w:val="auto"/>
              </w:rPr>
            </w:pPr>
          </w:p>
        </w:tc>
      </w:tr>
      <w:tr>
        <w:trPr>
          <w:trHeight w:val="206"/>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discount rate</w:t>
            </w: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5.25 %</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5.37 %</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5.67 %</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5.24 %</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5.31 %</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5.54 %</w:t>
            </w:r>
          </w:p>
        </w:tc>
        <w:tc>
          <w:tcPr>
            <w:tcW w:w="0" w:type="dxa"/>
            <w:vAlign w:val="bottom"/>
          </w:tcPr>
          <w:p>
            <w:pPr>
              <w:spacing w:after="0"/>
              <w:rPr>
                <w:sz w:val="1"/>
                <w:szCs w:val="1"/>
                <w:color w:val="auto"/>
              </w:rPr>
            </w:pPr>
          </w:p>
        </w:tc>
      </w:tr>
      <w:tr>
        <w:trPr>
          <w:trHeight w:val="191"/>
        </w:trPr>
        <w:tc>
          <w:tcPr>
            <w:tcW w:w="3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Gross premiums or assessments recognized during period</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116</w:t>
            </w:r>
          </w:p>
        </w:tc>
        <w:tc>
          <w:tcPr>
            <w:tcW w:w="100" w:type="dxa"/>
            <w:vAlign w:val="bottom"/>
          </w:tcPr>
          <w:p>
            <w:pPr>
              <w:spacing w:after="0"/>
              <w:rPr>
                <w:sz w:val="16"/>
                <w:szCs w:val="16"/>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133</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137</w:t>
            </w:r>
          </w:p>
        </w:tc>
        <w:tc>
          <w:tcPr>
            <w:tcW w:w="120" w:type="dxa"/>
            <w:vAlign w:val="bottom"/>
          </w:tcPr>
          <w:p>
            <w:pPr>
              <w:spacing w:after="0"/>
              <w:rPr>
                <w:sz w:val="16"/>
                <w:szCs w:val="16"/>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104</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6"/>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Expected future gross premiums, undiscounted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4,828</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5,599</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3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Expected future gross premiums, discounted</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3,640</w:t>
            </w:r>
          </w:p>
        </w:tc>
        <w:tc>
          <w:tcPr>
            <w:tcW w:w="100" w:type="dxa"/>
            <w:vAlign w:val="bottom"/>
          </w:tcPr>
          <w:p>
            <w:pPr>
              <w:spacing w:after="0"/>
              <w:rPr>
                <w:sz w:val="16"/>
                <w:szCs w:val="16"/>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4,164</w:t>
            </w:r>
          </w:p>
        </w:tc>
        <w:tc>
          <w:tcPr>
            <w:tcW w:w="120" w:type="dxa"/>
            <w:vAlign w:val="bottom"/>
          </w:tcPr>
          <w:p>
            <w:pPr>
              <w:spacing w:after="0"/>
              <w:rPr>
                <w:sz w:val="16"/>
                <w:szCs w:val="16"/>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6"/>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Expected future benefit payments, undiscounted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7,138</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5,918</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12,684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7,898</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5,751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13,173</w:t>
            </w:r>
          </w:p>
        </w:tc>
        <w:tc>
          <w:tcPr>
            <w:tcW w:w="0" w:type="dxa"/>
            <w:vAlign w:val="bottom"/>
          </w:tcPr>
          <w:p>
            <w:pPr>
              <w:spacing w:after="0"/>
              <w:rPr>
                <w:sz w:val="1"/>
                <w:szCs w:val="1"/>
                <w:color w:val="auto"/>
              </w:rPr>
            </w:pPr>
          </w:p>
        </w:tc>
      </w:tr>
      <w:tr>
        <w:trPr>
          <w:trHeight w:val="184"/>
        </w:trPr>
        <w:tc>
          <w:tcPr>
            <w:tcW w:w="3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Expected future benefit payments, discounted</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5,351</w:t>
            </w:r>
          </w:p>
        </w:tc>
        <w:tc>
          <w:tcPr>
            <w:tcW w:w="100" w:type="dxa"/>
            <w:vAlign w:val="bottom"/>
          </w:tcPr>
          <w:p>
            <w:pPr>
              <w:spacing w:after="0"/>
              <w:rPr>
                <w:sz w:val="15"/>
                <w:szCs w:val="15"/>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4,258</w:t>
            </w:r>
          </w:p>
        </w:tc>
        <w:tc>
          <w:tcPr>
            <w:tcW w:w="1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6,570</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5,827</w:t>
            </w:r>
          </w:p>
        </w:tc>
        <w:tc>
          <w:tcPr>
            <w:tcW w:w="120" w:type="dxa"/>
            <w:vAlign w:val="bottom"/>
          </w:tcPr>
          <w:p>
            <w:pPr>
              <w:spacing w:after="0"/>
              <w:rPr>
                <w:sz w:val="15"/>
                <w:szCs w:val="15"/>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4,119</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6,798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Life Insurance Company</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 Indirect Wholly-Owned Subsidiary of Brighthouse Financial, Inc.)</w:t>
      </w:r>
    </w:p>
    <w:p>
      <w:pPr>
        <w:spacing w:after="0" w:line="90"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Insurance Liabilities (continued)</w:t>
      </w:r>
    </w:p>
    <w:p>
      <w:pPr>
        <w:spacing w:after="0" w:line="200" w:lineRule="exact"/>
        <w:rPr>
          <w:sz w:val="20"/>
          <w:szCs w:val="20"/>
          <w:color w:val="auto"/>
        </w:rPr>
      </w:pPr>
    </w:p>
    <w:p>
      <w:pPr>
        <w:spacing w:after="0" w:line="31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Information regarding the additional insurance liabilities for universal life-type contracts with secondary guarantees was as follows:</w:t>
      </w:r>
    </w:p>
    <w:p>
      <w:pPr>
        <w:spacing w:after="0" w:line="211" w:lineRule="exact"/>
        <w:rPr>
          <w:sz w:val="20"/>
          <w:szCs w:val="20"/>
          <w:color w:val="auto"/>
        </w:rPr>
      </w:pPr>
    </w:p>
    <w:p>
      <w:pPr>
        <w:jc w:val="center"/>
        <w:ind w:left="80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5" w:lineRule="exact"/>
        <w:rPr>
          <w:sz w:val="20"/>
          <w:szCs w:val="20"/>
          <w:color w:val="auto"/>
        </w:rPr>
      </w:pPr>
    </w:p>
    <w:p>
      <w:pPr>
        <w:jc w:val="center"/>
        <w:ind w:left="808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9" w:lineRule="exact"/>
        <w:rPr>
          <w:sz w:val="20"/>
          <w:szCs w:val="20"/>
          <w:color w:val="auto"/>
        </w:rPr>
      </w:pPr>
    </w:p>
    <w:tbl>
      <w:tblPr>
        <w:tblLayout w:type="fixed"/>
        <w:tblInd w:w="20" w:type="dxa"/>
        <w:tblCellMar>
          <w:top w:w="0" w:type="dxa"/>
          <w:left w:w="0" w:type="dxa"/>
          <w:bottom w:w="0" w:type="dxa"/>
          <w:right w:w="0" w:type="dxa"/>
        </w:tblCellMar>
      </w:tblPr>
      <w:tr>
        <w:trPr>
          <w:trHeight w:val="201"/>
        </w:trPr>
        <w:tc>
          <w:tcPr>
            <w:tcW w:w="808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ind w:right="54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ind w:right="52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8"/>
        </w:trPr>
        <w:tc>
          <w:tcPr>
            <w:tcW w:w="808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840" w:type="dxa"/>
            <w:vAlign w:val="bottom"/>
            <w:tcBorders>
              <w:bottom w:val="single" w:sz="8" w:color="auto"/>
            </w:tcBorders>
            <w:gridSpan w:val="3"/>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r>
      <w:tr>
        <w:trPr>
          <w:trHeight w:val="181"/>
        </w:trPr>
        <w:tc>
          <w:tcPr>
            <w:tcW w:w="80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920" w:type="dxa"/>
            <w:vAlign w:val="bottom"/>
          </w:tcPr>
          <w:p>
            <w:pPr>
              <w:spacing w:after="0"/>
              <w:rPr>
                <w:sz w:val="15"/>
                <w:szCs w:val="15"/>
                <w:color w:val="auto"/>
              </w:rPr>
            </w:pPr>
          </w:p>
        </w:tc>
      </w:tr>
      <w:tr>
        <w:trPr>
          <w:trHeight w:val="38"/>
        </w:trPr>
        <w:tc>
          <w:tcPr>
            <w:tcW w:w="80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12"/>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beginning of period</w:t>
            </w: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10,077</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4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8,986</w:t>
            </w:r>
          </w:p>
        </w:tc>
      </w:tr>
      <w:tr>
        <w:trPr>
          <w:trHeight w:val="210"/>
        </w:trPr>
        <w:tc>
          <w:tcPr>
            <w:tcW w:w="8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Beginning balance before the effect of unrealized gains and losses</w:t>
            </w:r>
          </w:p>
        </w:tc>
        <w:tc>
          <w:tcPr>
            <w:tcW w:w="360" w:type="dxa"/>
            <w:vAlign w:val="bottom"/>
          </w:tcPr>
          <w:p>
            <w:pPr>
              <w:spacing w:after="0"/>
              <w:rPr>
                <w:sz w:val="18"/>
                <w:szCs w:val="18"/>
                <w:color w:val="auto"/>
              </w:rPr>
            </w:pPr>
          </w:p>
        </w:tc>
        <w:tc>
          <w:tcPr>
            <w:tcW w:w="116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10,298</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2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rPr>
              <w:t>9,277</w:t>
            </w:r>
          </w:p>
        </w:tc>
      </w:tr>
      <w:tr>
        <w:trPr>
          <w:trHeight w:val="214"/>
        </w:trPr>
        <w:tc>
          <w:tcPr>
            <w:tcW w:w="8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Effect of actual variances from expected experience</w:t>
            </w: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45</w:t>
            </w:r>
          </w:p>
        </w:tc>
        <w:tc>
          <w:tcPr>
            <w:tcW w:w="1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63</w:t>
            </w:r>
          </w:p>
        </w:tc>
      </w:tr>
      <w:tr>
        <w:trPr>
          <w:trHeight w:val="203"/>
        </w:trPr>
        <w:tc>
          <w:tcPr>
            <w:tcW w:w="8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beginning of period balance</w:t>
            </w:r>
          </w:p>
        </w:tc>
        <w:tc>
          <w:tcPr>
            <w:tcW w:w="360" w:type="dxa"/>
            <w:vAlign w:val="bottom"/>
          </w:tcPr>
          <w:p>
            <w:pPr>
              <w:spacing w:after="0"/>
              <w:rPr>
                <w:sz w:val="17"/>
                <w:szCs w:val="17"/>
                <w:color w:val="auto"/>
              </w:rPr>
            </w:pPr>
          </w:p>
        </w:tc>
        <w:tc>
          <w:tcPr>
            <w:tcW w:w="116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10,343</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2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rPr>
              <w:t>9,340</w:t>
            </w:r>
          </w:p>
        </w:tc>
      </w:tr>
      <w:tr>
        <w:trPr>
          <w:trHeight w:val="214"/>
        </w:trPr>
        <w:tc>
          <w:tcPr>
            <w:tcW w:w="8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Interest accrual</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126</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113</w:t>
            </w:r>
          </w:p>
        </w:tc>
      </w:tr>
      <w:tr>
        <w:trPr>
          <w:trHeight w:val="210"/>
        </w:trPr>
        <w:tc>
          <w:tcPr>
            <w:tcW w:w="80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assessments collected</w:t>
            </w:r>
          </w:p>
        </w:tc>
        <w:tc>
          <w:tcPr>
            <w:tcW w:w="360" w:type="dxa"/>
            <w:vAlign w:val="bottom"/>
          </w:tcPr>
          <w:p>
            <w:pPr>
              <w:spacing w:after="0"/>
              <w:rPr>
                <w:sz w:val="18"/>
                <w:szCs w:val="18"/>
                <w:color w:val="auto"/>
              </w:rPr>
            </w:pPr>
          </w:p>
        </w:tc>
        <w:tc>
          <w:tcPr>
            <w:tcW w:w="116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122</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2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rPr>
              <w:t>116</w:t>
            </w:r>
          </w:p>
        </w:tc>
      </w:tr>
      <w:tr>
        <w:trPr>
          <w:trHeight w:val="214"/>
        </w:trPr>
        <w:tc>
          <w:tcPr>
            <w:tcW w:w="8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Benefit payments</w:t>
            </w: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(124)</w:t>
            </w:r>
          </w:p>
        </w:tc>
        <w:tc>
          <w:tcPr>
            <w:tcW w:w="1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(146)</w:t>
            </w:r>
          </w:p>
        </w:tc>
      </w:tr>
      <w:tr>
        <w:trPr>
          <w:trHeight w:val="203"/>
        </w:trPr>
        <w:tc>
          <w:tcPr>
            <w:tcW w:w="8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Ending balance before the effect of unrealized gains and losses</w:t>
            </w:r>
          </w:p>
        </w:tc>
        <w:tc>
          <w:tcPr>
            <w:tcW w:w="360" w:type="dxa"/>
            <w:vAlign w:val="bottom"/>
          </w:tcPr>
          <w:p>
            <w:pPr>
              <w:spacing w:after="0"/>
              <w:rPr>
                <w:sz w:val="17"/>
                <w:szCs w:val="17"/>
                <w:color w:val="auto"/>
              </w:rPr>
            </w:pPr>
          </w:p>
        </w:tc>
        <w:tc>
          <w:tcPr>
            <w:tcW w:w="116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10,467</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2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rPr>
              <w:t>9,423</w:t>
            </w:r>
          </w:p>
        </w:tc>
      </w:tr>
      <w:tr>
        <w:trPr>
          <w:trHeight w:val="214"/>
        </w:trPr>
        <w:tc>
          <w:tcPr>
            <w:tcW w:w="8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Effect of unrealized gains and losses</w:t>
            </w: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(251)</w:t>
            </w:r>
          </w:p>
        </w:tc>
        <w:tc>
          <w:tcPr>
            <w:tcW w:w="1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(250)</w:t>
            </w:r>
          </w:p>
        </w:tc>
      </w:tr>
      <w:tr>
        <w:trPr>
          <w:trHeight w:val="203"/>
        </w:trPr>
        <w:tc>
          <w:tcPr>
            <w:tcW w:w="8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end of period</w:t>
            </w:r>
          </w:p>
        </w:tc>
        <w:tc>
          <w:tcPr>
            <w:tcW w:w="360" w:type="dxa"/>
            <w:vAlign w:val="bottom"/>
          </w:tcPr>
          <w:p>
            <w:pPr>
              <w:spacing w:after="0"/>
              <w:rPr>
                <w:sz w:val="17"/>
                <w:szCs w:val="17"/>
                <w:color w:val="auto"/>
              </w:rPr>
            </w:pPr>
          </w:p>
        </w:tc>
        <w:tc>
          <w:tcPr>
            <w:tcW w:w="116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10,216</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2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rPr>
              <w:t>9,173</w:t>
            </w:r>
          </w:p>
        </w:tc>
      </w:tr>
      <w:tr>
        <w:trPr>
          <w:trHeight w:val="212"/>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Reinsurance recoverable, end of period</w:t>
            </w: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1,818</w:t>
            </w:r>
          </w:p>
        </w:tc>
        <w:tc>
          <w:tcPr>
            <w:tcW w:w="1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1,551</w:t>
            </w:r>
          </w:p>
        </w:tc>
      </w:tr>
      <w:tr>
        <w:trPr>
          <w:trHeight w:val="207"/>
        </w:trPr>
        <w:tc>
          <w:tcPr>
            <w:tcW w:w="8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additional liability, after reinsurance recoverable</w:t>
            </w:r>
          </w:p>
        </w:tc>
        <w:tc>
          <w:tcPr>
            <w:tcW w:w="36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8,398</w:t>
            </w:r>
          </w:p>
        </w:tc>
        <w:tc>
          <w:tcPr>
            <w:tcW w:w="100" w:type="dxa"/>
            <w:vAlign w:val="bottom"/>
          </w:tcPr>
          <w:p>
            <w:pPr>
              <w:spacing w:after="0"/>
              <w:rPr>
                <w:sz w:val="18"/>
                <w:szCs w:val="18"/>
                <w:color w:val="auto"/>
              </w:rPr>
            </w:pPr>
          </w:p>
        </w:tc>
        <w:tc>
          <w:tcPr>
            <w:tcW w:w="58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rPr>
              <w:t>7,622</w:t>
            </w:r>
          </w:p>
        </w:tc>
      </w:tr>
      <w:tr>
        <w:trPr>
          <w:trHeight w:val="20"/>
        </w:trPr>
        <w:tc>
          <w:tcPr>
            <w:tcW w:w="80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05"/>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Weighted-average duration of liability</w:t>
            </w: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 years</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 years</w:t>
            </w:r>
          </w:p>
        </w:tc>
      </w:tr>
      <w:tr>
        <w:trPr>
          <w:trHeight w:val="210"/>
        </w:trPr>
        <w:tc>
          <w:tcPr>
            <w:tcW w:w="8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Weighted-average interest accretion rate</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4.95 %</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4.95 %</w:t>
            </w:r>
          </w:p>
        </w:tc>
      </w:tr>
      <w:tr>
        <w:trPr>
          <w:trHeight w:val="214"/>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assessments recognized during period</w:t>
            </w: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257</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4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257</w:t>
            </w:r>
          </w:p>
        </w:tc>
      </w:tr>
    </w:tbl>
    <w:p>
      <w:pPr>
        <w:spacing w:after="0" w:line="233"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A reconciliation of the net LFPBs for non-participating traditional and limited-payment contracts and the additional insurance liabilities for universal life-type contracts with secondary guarantees reported in the preceding rollforward tables to LFPBs on the consolidated balance sheets was as follows at:</w:t>
      </w:r>
    </w:p>
    <w:p>
      <w:pPr>
        <w:spacing w:after="0" w:line="157"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8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100" w:type="dxa"/>
            <w:vAlign w:val="bottom"/>
            <w:gridSpan w:val="3"/>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80" w:type="dxa"/>
            <w:vAlign w:val="bottom"/>
          </w:tcPr>
          <w:p>
            <w:pPr>
              <w:spacing w:after="0"/>
              <w:rPr>
                <w:sz w:val="16"/>
                <w:szCs w:val="16"/>
                <w:color w:val="auto"/>
              </w:rPr>
            </w:pPr>
          </w:p>
        </w:tc>
      </w:tr>
      <w:tr>
        <w:trPr>
          <w:trHeight w:val="38"/>
        </w:trPr>
        <w:tc>
          <w:tcPr>
            <w:tcW w:w="824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r>
      <w:tr>
        <w:trPr>
          <w:trHeight w:val="181"/>
        </w:trPr>
        <w:tc>
          <w:tcPr>
            <w:tcW w:w="8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80" w:type="dxa"/>
            <w:vAlign w:val="bottom"/>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824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gridSpan w:val="3"/>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r>
      <w:tr>
        <w:trPr>
          <w:trHeight w:val="181"/>
        </w:trPr>
        <w:tc>
          <w:tcPr>
            <w:tcW w:w="8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100" w:type="dxa"/>
            <w:vAlign w:val="bottom"/>
            <w:gridSpan w:val="3"/>
          </w:tcPr>
          <w:p>
            <w:pPr>
              <w:jc w:val="right"/>
              <w:ind w:right="41"/>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80" w:type="dxa"/>
            <w:vAlign w:val="bottom"/>
          </w:tcPr>
          <w:p>
            <w:pPr>
              <w:spacing w:after="0"/>
              <w:rPr>
                <w:sz w:val="15"/>
                <w:szCs w:val="15"/>
                <w:color w:val="auto"/>
              </w:rPr>
            </w:pPr>
          </w:p>
        </w:tc>
      </w:tr>
      <w:tr>
        <w:trPr>
          <w:trHeight w:val="38"/>
        </w:trPr>
        <w:tc>
          <w:tcPr>
            <w:tcW w:w="8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12"/>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Liabilities reported in the preceding rollforward tables</w:t>
            </w:r>
          </w:p>
        </w:tc>
        <w:tc>
          <w:tcPr>
            <w:tcW w:w="880" w:type="dxa"/>
            <w:vAlign w:val="bottom"/>
            <w:shd w:val="clear" w:color="auto" w:fill="CCEEFF"/>
          </w:tcPr>
          <w:p>
            <w:pPr>
              <w:jc w:val="right"/>
              <w:ind w:right="703"/>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22,443</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8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21,548</w:t>
            </w:r>
          </w:p>
        </w:tc>
      </w:tr>
      <w:tr>
        <w:trPr>
          <w:trHeight w:val="210"/>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care insurance (1)</w:t>
            </w:r>
          </w:p>
        </w:tc>
        <w:tc>
          <w:tcPr>
            <w:tcW w:w="8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5,046</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5,191</w:t>
            </w:r>
          </w:p>
        </w:tc>
      </w:tr>
      <w:tr>
        <w:trPr>
          <w:trHeight w:val="214"/>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ULSG liabilities, including liability for profits followed by losses</w:t>
            </w: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965</w:t>
            </w:r>
          </w:p>
        </w:tc>
      </w:tr>
      <w:tr>
        <w:trPr>
          <w:trHeight w:val="210"/>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Participating whole life insurance (2)</w:t>
            </w:r>
          </w:p>
        </w:tc>
        <w:tc>
          <w:tcPr>
            <w:tcW w:w="8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3,071</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2,987</w:t>
            </w:r>
          </w:p>
        </w:tc>
      </w:tr>
      <w:tr>
        <w:trPr>
          <w:trHeight w:val="214"/>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profit liabilities</w:t>
            </w: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452</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448</w:t>
            </w:r>
          </w:p>
        </w:tc>
      </w:tr>
      <w:tr>
        <w:trPr>
          <w:trHeight w:val="210"/>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8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354</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303</w:t>
            </w:r>
          </w:p>
        </w:tc>
      </w:tr>
      <w:tr>
        <w:trPr>
          <w:trHeight w:val="232"/>
        </w:trPr>
        <w:tc>
          <w:tcPr>
            <w:tcW w:w="8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liability for future policy benefits</w:t>
            </w:r>
          </w:p>
        </w:tc>
        <w:tc>
          <w:tcPr>
            <w:tcW w:w="880" w:type="dxa"/>
            <w:vAlign w:val="bottom"/>
            <w:tcBorders>
              <w:bottom w:val="single" w:sz="8" w:color="auto"/>
            </w:tcBorders>
            <w:shd w:val="clear" w:color="auto" w:fill="CCEEFF"/>
          </w:tcPr>
          <w:p>
            <w:pPr>
              <w:jc w:val="right"/>
              <w:ind w:right="703"/>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31,424</w:t>
            </w:r>
          </w:p>
        </w:tc>
        <w:tc>
          <w:tcPr>
            <w:tcW w:w="1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28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31,442</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w:t>
      </w:r>
    </w:p>
    <w:p>
      <w:pPr>
        <w:spacing w:after="0" w:line="121" w:lineRule="exact"/>
        <w:rPr>
          <w:sz w:val="20"/>
          <w:szCs w:val="20"/>
          <w:color w:val="auto"/>
        </w:rPr>
      </w:pPr>
    </w:p>
    <w:p>
      <w:pPr>
        <w:ind w:left="320" w:hanging="314"/>
        <w:spacing w:after="0"/>
        <w:tabs>
          <w:tab w:leader="none" w:pos="3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liabilities related to fully reinsured individual long-term care insurance. See Note 2.</w:t>
      </w:r>
    </w:p>
    <w:p>
      <w:pPr>
        <w:spacing w:after="0" w:line="111" w:lineRule="exact"/>
        <w:rPr>
          <w:rFonts w:ascii="Times New Roman" w:cs="Times New Roman" w:eastAsia="Times New Roman" w:hAnsi="Times New Roman"/>
          <w:sz w:val="18"/>
          <w:szCs w:val="18"/>
          <w:color w:val="auto"/>
        </w:rPr>
      </w:pPr>
    </w:p>
    <w:p>
      <w:pPr>
        <w:jc w:val="both"/>
        <w:ind w:left="320" w:hanging="314"/>
        <w:spacing w:after="0" w:line="255" w:lineRule="auto"/>
        <w:tabs>
          <w:tab w:leader="none" w:pos="31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Participating whole life insurance uses an interest assumption based on the non-forfeiture interest rate, ranging from 3.5% to 4.0%, and mortality rates guaranteed in calculating the cash surrender values described in such contracts, and also includes a liability for terminal dividends. Participating whole life insurance represented 3% of the Company’s life insurance in-force at both March 31, 2026 and 2025, and 38% and 39% of gross traditional life insurance premiums for the three months ended March 31, 2026 and 2025, respectively.</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Life Insurance Company</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 Indirect Wholly-Owned Subsidiary of Brighthouse Financial, Inc.)</w:t>
      </w:r>
    </w:p>
    <w:p>
      <w:pPr>
        <w:spacing w:after="0" w:line="90"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Insurance Liabilities (continued)</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Policyholder Account Balances</w:t>
      </w:r>
    </w:p>
    <w:p>
      <w:pPr>
        <w:spacing w:after="0" w:line="1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Information regarding policyholder account balances was as follows: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Universal Life</w:t>
            </w:r>
          </w:p>
        </w:tc>
        <w:tc>
          <w:tcPr>
            <w:tcW w:w="1260" w:type="dxa"/>
            <w:vAlign w:val="bottom"/>
            <w:gridSpan w:val="3"/>
          </w:tcPr>
          <w:p>
            <w:pPr>
              <w:ind w:left="80"/>
              <w:spacing w:after="0"/>
              <w:rPr>
                <w:sz w:val="20"/>
                <w:szCs w:val="20"/>
                <w:color w:val="auto"/>
              </w:rPr>
            </w:pPr>
            <w:r>
              <w:rPr>
                <w:rFonts w:ascii="Times New Roman" w:cs="Times New Roman" w:eastAsia="Times New Roman" w:hAnsi="Times New Roman"/>
                <w:sz w:val="12"/>
                <w:szCs w:val="12"/>
                <w:b w:val="1"/>
                <w:bCs w:val="1"/>
                <w:color w:val="auto"/>
              </w:rPr>
              <w:t>Variable Annuities</w:t>
            </w:r>
          </w:p>
        </w:tc>
        <w:tc>
          <w:tcPr>
            <w:tcW w:w="180" w:type="dxa"/>
            <w:vAlign w:val="bottom"/>
          </w:tcPr>
          <w:p>
            <w:pPr>
              <w:spacing w:after="0"/>
              <w:rPr>
                <w:sz w:val="12"/>
                <w:szCs w:val="12"/>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rPr>
              <w:t>Index-linked</w:t>
            </w:r>
          </w:p>
        </w:tc>
        <w:tc>
          <w:tcPr>
            <w:tcW w:w="5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2"/>
                <w:szCs w:val="12"/>
                <w:b w:val="1"/>
                <w:bCs w:val="1"/>
                <w:color w:val="auto"/>
              </w:rPr>
              <w:t>Company-Owned</w:t>
            </w:r>
          </w:p>
        </w:tc>
        <w:tc>
          <w:tcPr>
            <w:tcW w:w="0" w:type="dxa"/>
            <w:vAlign w:val="bottom"/>
          </w:tcPr>
          <w:p>
            <w:pPr>
              <w:spacing w:after="0"/>
              <w:rPr>
                <w:sz w:val="1"/>
                <w:szCs w:val="1"/>
                <w:color w:val="auto"/>
              </w:rPr>
            </w:pPr>
          </w:p>
        </w:tc>
      </w:tr>
      <w:tr>
        <w:trPr>
          <w:trHeight w:val="179"/>
        </w:trPr>
        <w:tc>
          <w:tcPr>
            <w:tcW w:w="38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Insurance</w:t>
            </w:r>
          </w:p>
        </w:tc>
        <w:tc>
          <w:tcPr>
            <w:tcW w:w="3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2"/>
                <w:szCs w:val="12"/>
                <w:b w:val="1"/>
                <w:bCs w:val="1"/>
                <w:color w:val="auto"/>
              </w:rPr>
              <w:t>(1)</w:t>
            </w: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rPr>
              <w:t>Annuities</w:t>
            </w:r>
          </w:p>
        </w:tc>
        <w:tc>
          <w:tcPr>
            <w:tcW w:w="12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2"/>
                <w:szCs w:val="12"/>
                <w:b w:val="1"/>
                <w:bCs w:val="1"/>
                <w:color w:val="auto"/>
              </w:rPr>
              <w:t>Fixed Rate Annuities</w:t>
            </w:r>
          </w:p>
        </w:tc>
        <w:tc>
          <w:tcPr>
            <w:tcW w:w="2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2"/>
                <w:szCs w:val="12"/>
                <w:b w:val="1"/>
                <w:bCs w:val="1"/>
                <w:color w:val="auto"/>
              </w:rPr>
              <w:t>ULSG</w:t>
            </w:r>
          </w:p>
        </w:tc>
        <w:tc>
          <w:tcPr>
            <w:tcW w:w="1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2"/>
                <w:szCs w:val="12"/>
                <w:b w:val="1"/>
                <w:bCs w:val="1"/>
                <w:color w:val="auto"/>
              </w:rPr>
              <w:t>Life Insurance (1)</w:t>
            </w:r>
          </w:p>
        </w:tc>
        <w:tc>
          <w:tcPr>
            <w:tcW w:w="0" w:type="dxa"/>
            <w:vAlign w:val="bottom"/>
          </w:tcPr>
          <w:p>
            <w:pPr>
              <w:spacing w:after="0"/>
              <w:rPr>
                <w:sz w:val="1"/>
                <w:szCs w:val="1"/>
                <w:color w:val="auto"/>
              </w:rPr>
            </w:pPr>
          </w:p>
        </w:tc>
      </w:tr>
      <w:tr>
        <w:trPr>
          <w:trHeight w:val="168"/>
        </w:trPr>
        <w:tc>
          <w:tcPr>
            <w:tcW w:w="3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gridSpan w:val="3"/>
          </w:tcPr>
          <w:p>
            <w:pPr>
              <w:ind w:left="500"/>
              <w:spacing w:after="0"/>
              <w:rPr>
                <w:sz w:val="20"/>
                <w:szCs w:val="20"/>
                <w:color w:val="auto"/>
              </w:rPr>
            </w:pPr>
            <w:r>
              <w:rPr>
                <w:rFonts w:ascii="Times New Roman" w:cs="Times New Roman" w:eastAsia="Times New Roman" w:hAnsi="Times New Roman"/>
                <w:sz w:val="12"/>
                <w:szCs w:val="12"/>
                <w:b w:val="1"/>
                <w:bCs w:val="1"/>
                <w:color w:val="auto"/>
              </w:rPr>
              <w:t>(Dollars in millions)</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3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March 31, 2026</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3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beginning of period</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2,074</w:t>
            </w:r>
          </w:p>
        </w:tc>
        <w:tc>
          <w:tcPr>
            <w:tcW w:w="100" w:type="dxa"/>
            <w:vAlign w:val="bottom"/>
          </w:tcPr>
          <w:p>
            <w:pPr>
              <w:spacing w:after="0"/>
              <w:rPr>
                <w:sz w:val="16"/>
                <w:szCs w:val="16"/>
                <w:color w:val="auto"/>
              </w:rPr>
            </w:pPr>
          </w:p>
        </w:tc>
        <w:tc>
          <w:tcPr>
            <w:tcW w:w="300" w:type="dxa"/>
            <w:vAlign w:val="bottom"/>
          </w:tcPr>
          <w:p>
            <w:pPr>
              <w:jc w:val="right"/>
              <w:ind w:right="131"/>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3,265</w:t>
            </w:r>
          </w:p>
        </w:tc>
        <w:tc>
          <w:tcPr>
            <w:tcW w:w="100" w:type="dxa"/>
            <w:vAlign w:val="bottom"/>
          </w:tcPr>
          <w:p>
            <w:pPr>
              <w:spacing w:after="0"/>
              <w:rPr>
                <w:sz w:val="16"/>
                <w:szCs w:val="16"/>
                <w:color w:val="auto"/>
              </w:rPr>
            </w:pPr>
          </w:p>
        </w:tc>
        <w:tc>
          <w:tcPr>
            <w:tcW w:w="1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52,594</w:t>
            </w:r>
          </w:p>
        </w:tc>
        <w:tc>
          <w:tcPr>
            <w:tcW w:w="100" w:type="dxa"/>
            <w:vAlign w:val="bottom"/>
          </w:tcPr>
          <w:p>
            <w:pPr>
              <w:spacing w:after="0"/>
              <w:rPr>
                <w:sz w:val="16"/>
                <w:szCs w:val="16"/>
                <w:color w:val="auto"/>
              </w:rPr>
            </w:pPr>
          </w:p>
        </w:tc>
        <w:tc>
          <w:tcPr>
            <w:tcW w:w="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13,252</w:t>
            </w:r>
          </w:p>
        </w:tc>
        <w:tc>
          <w:tcPr>
            <w:tcW w:w="100" w:type="dxa"/>
            <w:vAlign w:val="bottom"/>
          </w:tcPr>
          <w:p>
            <w:pPr>
              <w:spacing w:after="0"/>
              <w:rPr>
                <w:sz w:val="16"/>
                <w:szCs w:val="16"/>
                <w:color w:val="auto"/>
              </w:rPr>
            </w:pP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4,461</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646</w:t>
            </w:r>
          </w:p>
        </w:tc>
        <w:tc>
          <w:tcPr>
            <w:tcW w:w="0" w:type="dxa"/>
            <w:vAlign w:val="bottom"/>
          </w:tcPr>
          <w:p>
            <w:pPr>
              <w:spacing w:after="0"/>
              <w:rPr>
                <w:sz w:val="1"/>
                <w:szCs w:val="1"/>
                <w:color w:val="auto"/>
              </w:rPr>
            </w:pPr>
          </w:p>
        </w:tc>
      </w:tr>
      <w:tr>
        <w:trPr>
          <w:trHeight w:val="206"/>
        </w:trPr>
        <w:tc>
          <w:tcPr>
            <w:tcW w:w="3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Premiums and deposits</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58</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1,955</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57</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151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38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Surrenders and withdrawals</w:t>
            </w:r>
          </w:p>
        </w:tc>
        <w:tc>
          <w:tcPr>
            <w:tcW w:w="160" w:type="dxa"/>
            <w:vAlign w:val="bottom"/>
          </w:tcPr>
          <w:p>
            <w:pPr>
              <w:spacing w:after="0"/>
              <w:rPr>
                <w:sz w:val="16"/>
                <w:szCs w:val="16"/>
                <w:color w:val="auto"/>
              </w:rPr>
            </w:pPr>
          </w:p>
        </w:tc>
        <w:tc>
          <w:tcPr>
            <w:tcW w:w="100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(111)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(2,197)</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(373)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6"/>
        </w:trPr>
        <w:tc>
          <w:tcPr>
            <w:tcW w:w="3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Benefit payments</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(113)</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(98)</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91"/>
        </w:trPr>
        <w:tc>
          <w:tcPr>
            <w:tcW w:w="38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transfers from (to) separate account</w:t>
            </w:r>
          </w:p>
        </w:tc>
        <w:tc>
          <w:tcPr>
            <w:tcW w:w="160" w:type="dxa"/>
            <w:vAlign w:val="bottom"/>
          </w:tcPr>
          <w:p>
            <w:pPr>
              <w:spacing w:after="0"/>
              <w:rPr>
                <w:sz w:val="16"/>
                <w:szCs w:val="16"/>
                <w:color w:val="auto"/>
              </w:rPr>
            </w:pPr>
          </w:p>
        </w:tc>
        <w:tc>
          <w:tcPr>
            <w:tcW w:w="10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spacing w:after="0"/>
              <w:rPr>
                <w:sz w:val="16"/>
                <w:szCs w:val="16"/>
                <w:color w:val="auto"/>
              </w:rPr>
            </w:pPr>
          </w:p>
        </w:tc>
        <w:tc>
          <w:tcPr>
            <w:tcW w:w="7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6"/>
        </w:trPr>
        <w:tc>
          <w:tcPr>
            <w:tcW w:w="3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Interest credited</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196</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133</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38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191"/>
        </w:trPr>
        <w:tc>
          <w:tcPr>
            <w:tcW w:w="38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Policy charges</w:t>
            </w:r>
          </w:p>
        </w:tc>
        <w:tc>
          <w:tcPr>
            <w:tcW w:w="160" w:type="dxa"/>
            <w:vAlign w:val="bottom"/>
          </w:tcPr>
          <w:p>
            <w:pPr>
              <w:spacing w:after="0"/>
              <w:rPr>
                <w:sz w:val="16"/>
                <w:szCs w:val="16"/>
                <w:color w:val="auto"/>
              </w:rPr>
            </w:pPr>
          </w:p>
        </w:tc>
        <w:tc>
          <w:tcPr>
            <w:tcW w:w="100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90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(236)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99"/>
        </w:trPr>
        <w:tc>
          <w:tcPr>
            <w:tcW w:w="3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Changes related to embedded derivatives</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(816)</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9"/>
        </w:trPr>
        <w:tc>
          <w:tcPr>
            <w:tcW w:w="3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end of period</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2,083</w:t>
            </w:r>
          </w:p>
        </w:tc>
        <w:tc>
          <w:tcPr>
            <w:tcW w:w="10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3,179</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rPr>
              <w:t>51,607</w:t>
            </w:r>
          </w:p>
        </w:tc>
        <w:tc>
          <w:tcPr>
            <w:tcW w:w="100" w:type="dxa"/>
            <w:vAlign w:val="bottom"/>
          </w:tcPr>
          <w:p>
            <w:pPr>
              <w:spacing w:after="0"/>
              <w:rPr>
                <w:sz w:val="17"/>
                <w:szCs w:val="17"/>
                <w:color w:val="auto"/>
              </w:rPr>
            </w:pPr>
          </w:p>
        </w:tc>
        <w:tc>
          <w:tcPr>
            <w:tcW w:w="5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12,971</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4,388</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647</w:t>
            </w:r>
          </w:p>
        </w:tc>
        <w:tc>
          <w:tcPr>
            <w:tcW w:w="0" w:type="dxa"/>
            <w:vAlign w:val="bottom"/>
          </w:tcPr>
          <w:p>
            <w:pPr>
              <w:spacing w:after="0"/>
              <w:rPr>
                <w:sz w:val="1"/>
                <w:szCs w:val="1"/>
                <w:color w:val="auto"/>
              </w:rPr>
            </w:pPr>
          </w:p>
        </w:tc>
      </w:tr>
      <w:tr>
        <w:trPr>
          <w:trHeight w:val="20"/>
        </w:trPr>
        <w:tc>
          <w:tcPr>
            <w:tcW w:w="38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Weighted-average crediting rate (2)</w:t>
            </w: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0.63 %</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0.71 %</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0.48 %</w:t>
            </w: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1.01 %</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0.86 %</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1.08 %</w:t>
            </w:r>
          </w:p>
        </w:tc>
        <w:tc>
          <w:tcPr>
            <w:tcW w:w="0" w:type="dxa"/>
            <w:vAlign w:val="bottom"/>
          </w:tcPr>
          <w:p>
            <w:pPr>
              <w:spacing w:after="0"/>
              <w:rPr>
                <w:sz w:val="1"/>
                <w:szCs w:val="1"/>
                <w:color w:val="auto"/>
              </w:rPr>
            </w:pPr>
          </w:p>
        </w:tc>
      </w:tr>
      <w:tr>
        <w:trPr>
          <w:trHeight w:val="192"/>
        </w:trPr>
        <w:tc>
          <w:tcPr>
            <w:tcW w:w="38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March 31, 2025</w:t>
            </w: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beginning of period</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2,028</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3,667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48,605</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14,665</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4,779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1,166</w:t>
            </w:r>
          </w:p>
        </w:tc>
        <w:tc>
          <w:tcPr>
            <w:tcW w:w="0" w:type="dxa"/>
            <w:vAlign w:val="bottom"/>
          </w:tcPr>
          <w:p>
            <w:pPr>
              <w:spacing w:after="0"/>
              <w:rPr>
                <w:sz w:val="1"/>
                <w:szCs w:val="1"/>
                <w:color w:val="auto"/>
              </w:rPr>
            </w:pPr>
          </w:p>
        </w:tc>
      </w:tr>
      <w:tr>
        <w:trPr>
          <w:trHeight w:val="191"/>
        </w:trPr>
        <w:tc>
          <w:tcPr>
            <w:tcW w:w="38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Premiums and deposits</w:t>
            </w:r>
          </w:p>
        </w:tc>
        <w:tc>
          <w:tcPr>
            <w:tcW w:w="160" w:type="dxa"/>
            <w:vAlign w:val="bottom"/>
          </w:tcPr>
          <w:p>
            <w:pPr>
              <w:spacing w:after="0"/>
              <w:rPr>
                <w:sz w:val="16"/>
                <w:szCs w:val="16"/>
                <w:color w:val="auto"/>
              </w:rPr>
            </w:pPr>
          </w:p>
        </w:tc>
        <w:tc>
          <w:tcPr>
            <w:tcW w:w="10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65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1,984</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105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157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6"/>
        </w:trPr>
        <w:tc>
          <w:tcPr>
            <w:tcW w:w="3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Surrenders and withdrawals</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(134)</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(1,614)</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(300)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38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Benefit payments</w:t>
            </w:r>
          </w:p>
        </w:tc>
        <w:tc>
          <w:tcPr>
            <w:tcW w:w="160" w:type="dxa"/>
            <w:vAlign w:val="bottom"/>
          </w:tcPr>
          <w:p>
            <w:pPr>
              <w:spacing w:after="0"/>
              <w:rPr>
                <w:sz w:val="16"/>
                <w:szCs w:val="16"/>
                <w:color w:val="auto"/>
              </w:rPr>
            </w:pPr>
          </w:p>
        </w:tc>
        <w:tc>
          <w:tcPr>
            <w:tcW w:w="100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(86)</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(95)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206"/>
        </w:trPr>
        <w:tc>
          <w:tcPr>
            <w:tcW w:w="3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Net transfers from (to) separate account</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(495)</w:t>
            </w:r>
          </w:p>
        </w:tc>
        <w:tc>
          <w:tcPr>
            <w:tcW w:w="0" w:type="dxa"/>
            <w:vAlign w:val="bottom"/>
          </w:tcPr>
          <w:p>
            <w:pPr>
              <w:spacing w:after="0"/>
              <w:rPr>
                <w:sz w:val="1"/>
                <w:szCs w:val="1"/>
                <w:color w:val="auto"/>
              </w:rPr>
            </w:pPr>
          </w:p>
        </w:tc>
      </w:tr>
      <w:tr>
        <w:trPr>
          <w:trHeight w:val="191"/>
        </w:trPr>
        <w:tc>
          <w:tcPr>
            <w:tcW w:w="38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Interest credited</w:t>
            </w:r>
          </w:p>
        </w:tc>
        <w:tc>
          <w:tcPr>
            <w:tcW w:w="160" w:type="dxa"/>
            <w:vAlign w:val="bottom"/>
          </w:tcPr>
          <w:p>
            <w:pPr>
              <w:spacing w:after="0"/>
              <w:rPr>
                <w:sz w:val="16"/>
                <w:szCs w:val="16"/>
                <w:color w:val="auto"/>
              </w:rPr>
            </w:pPr>
          </w:p>
        </w:tc>
        <w:tc>
          <w:tcPr>
            <w:tcW w:w="10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192</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141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39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206"/>
        </w:trPr>
        <w:tc>
          <w:tcPr>
            <w:tcW w:w="3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Policy charges</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(48)</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(245)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92"/>
        </w:trPr>
        <w:tc>
          <w:tcPr>
            <w:tcW w:w="38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Changes related to embedded derivatives</w:t>
            </w:r>
          </w:p>
        </w:tc>
        <w:tc>
          <w:tcPr>
            <w:tcW w:w="160" w:type="dxa"/>
            <w:vAlign w:val="bottom"/>
          </w:tcPr>
          <w:p>
            <w:pPr>
              <w:spacing w:after="0"/>
              <w:rPr>
                <w:sz w:val="16"/>
                <w:szCs w:val="16"/>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8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(1,177)</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4"/>
        </w:trPr>
        <w:tc>
          <w:tcPr>
            <w:tcW w:w="38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end of period</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2,034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3,570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47,896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14,516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4,710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673</w:t>
            </w: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Weighted-average crediting rate (2)</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380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jc w:val="right"/>
              <w:spacing w:after="0" w:line="157" w:lineRule="exact"/>
              <w:rPr>
                <w:sz w:val="20"/>
                <w:szCs w:val="20"/>
                <w:color w:val="auto"/>
              </w:rPr>
            </w:pPr>
            <w:r>
              <w:rPr>
                <w:rFonts w:ascii="Times New Roman" w:cs="Times New Roman" w:eastAsia="Times New Roman" w:hAnsi="Times New Roman"/>
                <w:sz w:val="14"/>
                <w:szCs w:val="14"/>
                <w:color w:val="auto"/>
              </w:rPr>
              <w:t>0.94 %</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60" w:type="dxa"/>
            <w:vAlign w:val="bottom"/>
          </w:tcPr>
          <w:p>
            <w:pPr>
              <w:jc w:val="right"/>
              <w:spacing w:after="0" w:line="157" w:lineRule="exact"/>
              <w:rPr>
                <w:sz w:val="20"/>
                <w:szCs w:val="20"/>
                <w:color w:val="auto"/>
              </w:rPr>
            </w:pPr>
            <w:r>
              <w:rPr>
                <w:rFonts w:ascii="Times New Roman" w:cs="Times New Roman" w:eastAsia="Times New Roman" w:hAnsi="Times New Roman"/>
                <w:sz w:val="14"/>
                <w:szCs w:val="14"/>
                <w:color w:val="auto"/>
              </w:rPr>
              <w:t>0.64 %</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jc w:val="right"/>
              <w:spacing w:after="0" w:line="157" w:lineRule="exact"/>
              <w:rPr>
                <w:sz w:val="20"/>
                <w:szCs w:val="20"/>
                <w:color w:val="auto"/>
              </w:rPr>
            </w:pPr>
            <w:r>
              <w:rPr>
                <w:rFonts w:ascii="Times New Roman" w:cs="Times New Roman" w:eastAsia="Times New Roman" w:hAnsi="Times New Roman"/>
                <w:sz w:val="14"/>
                <w:szCs w:val="14"/>
                <w:color w:val="auto"/>
              </w:rPr>
              <w:t>0.48 %</w:t>
            </w: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40" w:type="dxa"/>
            <w:vAlign w:val="bottom"/>
          </w:tcPr>
          <w:p>
            <w:pPr>
              <w:jc w:val="right"/>
              <w:spacing w:after="0" w:line="157" w:lineRule="exact"/>
              <w:rPr>
                <w:sz w:val="20"/>
                <w:szCs w:val="20"/>
                <w:color w:val="auto"/>
              </w:rPr>
            </w:pPr>
            <w:r>
              <w:rPr>
                <w:rFonts w:ascii="Times New Roman" w:cs="Times New Roman" w:eastAsia="Times New Roman" w:hAnsi="Times New Roman"/>
                <w:sz w:val="14"/>
                <w:szCs w:val="14"/>
                <w:color w:val="auto"/>
              </w:rPr>
              <w:t>0.97 %</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jc w:val="right"/>
              <w:spacing w:after="0" w:line="157" w:lineRule="exact"/>
              <w:rPr>
                <w:sz w:val="20"/>
                <w:szCs w:val="20"/>
                <w:color w:val="auto"/>
              </w:rPr>
            </w:pPr>
            <w:r>
              <w:rPr>
                <w:rFonts w:ascii="Times New Roman" w:cs="Times New Roman" w:eastAsia="Times New Roman" w:hAnsi="Times New Roman"/>
                <w:sz w:val="14"/>
                <w:szCs w:val="14"/>
                <w:color w:val="auto"/>
              </w:rPr>
              <w:t>0.82 %</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jc w:val="right"/>
              <w:spacing w:after="0" w:line="157" w:lineRule="exact"/>
              <w:rPr>
                <w:sz w:val="20"/>
                <w:szCs w:val="20"/>
                <w:color w:val="auto"/>
              </w:rPr>
            </w:pPr>
            <w:r>
              <w:rPr>
                <w:rFonts w:ascii="Times New Roman" w:cs="Times New Roman" w:eastAsia="Times New Roman" w:hAnsi="Times New Roman"/>
                <w:sz w:val="14"/>
                <w:szCs w:val="14"/>
                <w:color w:val="auto"/>
              </w:rPr>
              <w:t>0.65 %</w:t>
            </w:r>
          </w:p>
        </w:tc>
        <w:tc>
          <w:tcPr>
            <w:tcW w:w="0" w:type="dxa"/>
            <w:vAlign w:val="bottom"/>
          </w:tcPr>
          <w:p>
            <w:pPr>
              <w:spacing w:after="0"/>
              <w:rPr>
                <w:sz w:val="1"/>
                <w:szCs w:val="1"/>
                <w:color w:val="auto"/>
              </w:rPr>
            </w:pPr>
          </w:p>
        </w:tc>
      </w:tr>
      <w:tr>
        <w:trPr>
          <w:trHeight w:val="269"/>
        </w:trPr>
        <w:tc>
          <w:tcPr>
            <w:tcW w:w="3800" w:type="dxa"/>
            <w:vAlign w:val="bottom"/>
          </w:tcPr>
          <w:p>
            <w:pPr>
              <w:spacing w:after="0"/>
              <w:rPr>
                <w:sz w:val="20"/>
                <w:szCs w:val="20"/>
                <w:color w:val="auto"/>
              </w:rPr>
            </w:pPr>
            <w:r>
              <w:rPr>
                <w:rFonts w:ascii="Times New Roman" w:cs="Times New Roman" w:eastAsia="Times New Roman" w:hAnsi="Times New Roman"/>
                <w:sz w:val="14"/>
                <w:szCs w:val="14"/>
                <w:color w:val="auto"/>
              </w:rPr>
              <w:t>_______________</w:t>
            </w:r>
          </w:p>
        </w:tc>
        <w:tc>
          <w:tcPr>
            <w:tcW w:w="1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320" w:hanging="314"/>
        <w:spacing w:after="0"/>
        <w:tabs>
          <w:tab w:leader="none" w:pos="3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liabilities related to separate account products where the contract holder elected a general account investment option.</w:t>
      </w:r>
    </w:p>
    <w:p>
      <w:pPr>
        <w:spacing w:after="0" w:line="111" w:lineRule="exact"/>
        <w:rPr>
          <w:rFonts w:ascii="Times New Roman" w:cs="Times New Roman" w:eastAsia="Times New Roman" w:hAnsi="Times New Roman"/>
          <w:sz w:val="18"/>
          <w:szCs w:val="18"/>
          <w:color w:val="auto"/>
        </w:rPr>
      </w:pPr>
    </w:p>
    <w:p>
      <w:pPr>
        <w:ind w:left="320" w:hanging="314"/>
        <w:spacing w:after="0"/>
        <w:tabs>
          <w:tab w:leader="none" w:pos="3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the effects of embedded derivatives related to index-linked crediting rates.</w:t>
      </w:r>
    </w:p>
    <w:p>
      <w:pPr>
        <w:spacing w:after="0" w:line="111"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A reconciliation of policyholder account balances reported in the preceding rollforward table to the liability for policyholder account balances on the consolidated balance sheets was as follows at:</w:t>
      </w:r>
    </w:p>
    <w:p>
      <w:pPr>
        <w:spacing w:after="0" w:line="144"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77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40" w:type="dxa"/>
            <w:vAlign w:val="bottom"/>
            <w:gridSpan w:val="3"/>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160" w:type="dxa"/>
            <w:vAlign w:val="bottom"/>
          </w:tcPr>
          <w:p>
            <w:pPr>
              <w:spacing w:after="0"/>
              <w:rPr>
                <w:sz w:val="16"/>
                <w:szCs w:val="16"/>
                <w:color w:val="auto"/>
              </w:rPr>
            </w:pPr>
          </w:p>
        </w:tc>
      </w:tr>
      <w:tr>
        <w:trPr>
          <w:trHeight w:val="24"/>
        </w:trPr>
        <w:tc>
          <w:tcPr>
            <w:tcW w:w="774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86"/>
        </w:trPr>
        <w:tc>
          <w:tcPr>
            <w:tcW w:w="7740" w:type="dxa"/>
            <w:vAlign w:val="bottom"/>
          </w:tcPr>
          <w:p>
            <w:pPr>
              <w:spacing w:after="0"/>
              <w:rPr>
                <w:sz w:val="16"/>
                <w:szCs w:val="16"/>
                <w:color w:val="auto"/>
              </w:rPr>
            </w:pPr>
          </w:p>
        </w:tc>
        <w:tc>
          <w:tcPr>
            <w:tcW w:w="10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4"/>
                <w:szCs w:val="14"/>
                <w:b w:val="1"/>
                <w:bCs w:val="1"/>
                <w:color w:val="auto"/>
              </w:rPr>
              <w:t>2026</w:t>
            </w: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62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92"/>
        </w:trPr>
        <w:tc>
          <w:tcPr>
            <w:tcW w:w="77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40" w:type="dxa"/>
            <w:vAlign w:val="bottom"/>
            <w:gridSpan w:val="3"/>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160" w:type="dxa"/>
            <w:vAlign w:val="bottom"/>
          </w:tcPr>
          <w:p>
            <w:pPr>
              <w:spacing w:after="0"/>
              <w:rPr>
                <w:sz w:val="16"/>
                <w:szCs w:val="16"/>
                <w:color w:val="auto"/>
              </w:rPr>
            </w:pPr>
          </w:p>
        </w:tc>
      </w:tr>
      <w:tr>
        <w:trPr>
          <w:trHeight w:val="218"/>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Policyholder account balances reported in the preceding rollforward table</w:t>
            </w:r>
          </w:p>
        </w:tc>
        <w:tc>
          <w:tcPr>
            <w:tcW w:w="1060" w:type="dxa"/>
            <w:vAlign w:val="bottom"/>
            <w:shd w:val="clear" w:color="auto" w:fill="CCEEFF"/>
          </w:tcPr>
          <w:p>
            <w:pPr>
              <w:jc w:val="right"/>
              <w:ind w:right="883"/>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74,875</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61"/>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73,399</w:t>
            </w:r>
          </w:p>
        </w:tc>
      </w:tr>
      <w:tr>
        <w:trPr>
          <w:trHeight w:val="210"/>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Funding agreements classified as investment contracts</w:t>
            </w:r>
          </w:p>
        </w:tc>
        <w:tc>
          <w:tcPr>
            <w:tcW w:w="10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9,353</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10,116</w:t>
            </w:r>
          </w:p>
        </w:tc>
      </w:tr>
      <w:tr>
        <w:trPr>
          <w:trHeight w:val="214"/>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Institutional group annuities</w:t>
            </w:r>
          </w:p>
        </w:tc>
        <w:tc>
          <w:tcPr>
            <w:tcW w:w="10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595</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401</w:t>
            </w:r>
          </w:p>
        </w:tc>
      </w:tr>
      <w:tr>
        <w:trPr>
          <w:trHeight w:val="210"/>
        </w:trPr>
        <w:tc>
          <w:tcPr>
            <w:tcW w:w="7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investment contract liabilities</w:t>
            </w:r>
          </w:p>
        </w:tc>
        <w:tc>
          <w:tcPr>
            <w:tcW w:w="10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797</w:t>
            </w:r>
          </w:p>
        </w:tc>
        <w:tc>
          <w:tcPr>
            <w:tcW w:w="12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883</w:t>
            </w:r>
          </w:p>
        </w:tc>
      </w:tr>
      <w:tr>
        <w:trPr>
          <w:trHeight w:val="232"/>
        </w:trPr>
        <w:tc>
          <w:tcPr>
            <w:tcW w:w="77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Total policyholder account balances</w:t>
            </w:r>
          </w:p>
        </w:tc>
        <w:tc>
          <w:tcPr>
            <w:tcW w:w="1060" w:type="dxa"/>
            <w:vAlign w:val="bottom"/>
            <w:tcBorders>
              <w:bottom w:val="single" w:sz="8" w:color="auto"/>
            </w:tcBorders>
            <w:shd w:val="clear" w:color="auto" w:fill="CCEEFF"/>
          </w:tcPr>
          <w:p>
            <w:pPr>
              <w:jc w:val="right"/>
              <w:ind w:right="883"/>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85,620</w:t>
            </w:r>
          </w:p>
        </w:tc>
        <w:tc>
          <w:tcPr>
            <w:tcW w:w="12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361"/>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84,799</w:t>
            </w:r>
          </w:p>
        </w:tc>
      </w:tr>
      <w:tr>
        <w:trPr>
          <w:trHeight w:val="20"/>
        </w:trPr>
        <w:tc>
          <w:tcPr>
            <w:tcW w:w="77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Life Insurance Company</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 Indirect Wholly-Owned Subsidiary of Brighthouse Financial, Inc.)</w:t>
      </w:r>
    </w:p>
    <w:p>
      <w:pPr>
        <w:spacing w:after="0" w:line="90"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Insurance Liabilities (continued)</w:t>
      </w:r>
    </w:p>
    <w:p>
      <w:pPr>
        <w:spacing w:after="0" w:line="200" w:lineRule="exact"/>
        <w:rPr>
          <w:sz w:val="20"/>
          <w:szCs w:val="20"/>
          <w:color w:val="auto"/>
        </w:rPr>
      </w:pPr>
    </w:p>
    <w:p>
      <w:pPr>
        <w:spacing w:after="0" w:line="311"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The balance of account values by range of guaranteed minimum crediting rates and the related range of difference, in basis points, between rates being credited to policyholders and the respective guaranteed minimums was as follows at:</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At Guaranteed</w:t>
            </w:r>
          </w:p>
        </w:tc>
        <w:tc>
          <w:tcPr>
            <w:tcW w:w="14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1 to 50 Basis Points</w:t>
            </w:r>
          </w:p>
        </w:tc>
        <w:tc>
          <w:tcPr>
            <w:tcW w:w="160" w:type="dxa"/>
            <w:vAlign w:val="bottom"/>
          </w:tcPr>
          <w:p>
            <w:pPr>
              <w:spacing w:after="0"/>
              <w:rPr>
                <w:sz w:val="14"/>
                <w:szCs w:val="14"/>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51 to 150 Basis</w:t>
            </w:r>
          </w:p>
        </w:tc>
        <w:tc>
          <w:tcPr>
            <w:tcW w:w="80" w:type="dxa"/>
            <w:vAlign w:val="bottom"/>
          </w:tcPr>
          <w:p>
            <w:pPr>
              <w:spacing w:after="0"/>
              <w:rPr>
                <w:sz w:val="14"/>
                <w:szCs w:val="14"/>
                <w:color w:val="auto"/>
              </w:rPr>
            </w:pPr>
          </w:p>
        </w:tc>
        <w:tc>
          <w:tcPr>
            <w:tcW w:w="13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Greater than 150</w:t>
            </w: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Range of Guaranteed Minimum Crediting Rate</w:t>
            </w:r>
          </w:p>
        </w:tc>
        <w:tc>
          <w:tcPr>
            <w:tcW w:w="160" w:type="dxa"/>
            <w:vAlign w:val="bottom"/>
          </w:tcPr>
          <w:p>
            <w:pPr>
              <w:spacing w:after="0"/>
              <w:rPr>
                <w:sz w:val="16"/>
                <w:szCs w:val="16"/>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Minimum</w:t>
            </w:r>
          </w:p>
        </w:tc>
        <w:tc>
          <w:tcPr>
            <w:tcW w:w="280" w:type="dxa"/>
            <w:vAlign w:val="bottom"/>
          </w:tcPr>
          <w:p>
            <w:pPr>
              <w:spacing w:after="0"/>
              <w:rPr>
                <w:sz w:val="16"/>
                <w:szCs w:val="16"/>
                <w:color w:val="auto"/>
              </w:rPr>
            </w:pPr>
          </w:p>
        </w:tc>
        <w:tc>
          <w:tcPr>
            <w:tcW w:w="11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9"/>
              </w:rPr>
              <w:t>Above</w:t>
            </w:r>
          </w:p>
        </w:tc>
        <w:tc>
          <w:tcPr>
            <w:tcW w:w="160" w:type="dxa"/>
            <w:vAlign w:val="bottom"/>
          </w:tcPr>
          <w:p>
            <w:pPr>
              <w:spacing w:after="0"/>
              <w:rPr>
                <w:sz w:val="16"/>
                <w:szCs w:val="16"/>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Points Above</w:t>
            </w:r>
          </w:p>
        </w:tc>
        <w:tc>
          <w:tcPr>
            <w:tcW w:w="80" w:type="dxa"/>
            <w:vAlign w:val="bottom"/>
          </w:tcPr>
          <w:p>
            <w:pPr>
              <w:spacing w:after="0"/>
              <w:rPr>
                <w:sz w:val="16"/>
                <w:szCs w:val="16"/>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Basis Points Above</w:t>
            </w:r>
          </w:p>
        </w:tc>
        <w:tc>
          <w:tcPr>
            <w:tcW w:w="300" w:type="dxa"/>
            <w:vAlign w:val="bottom"/>
          </w:tcPr>
          <w:p>
            <w:pPr>
              <w:spacing w:after="0"/>
              <w:rPr>
                <w:sz w:val="16"/>
                <w:szCs w:val="16"/>
                <w:color w:val="auto"/>
              </w:rPr>
            </w:pPr>
          </w:p>
        </w:tc>
        <w:tc>
          <w:tcPr>
            <w:tcW w:w="1040" w:type="dxa"/>
            <w:vAlign w:val="bottom"/>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38"/>
        </w:trPr>
        <w:tc>
          <w:tcPr>
            <w:tcW w:w="40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gridSpan w:val="2"/>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4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4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9"/>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Annuities (1):</w:t>
            </w: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than 2.00%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365</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7,995</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8,688</w:t>
            </w:r>
          </w:p>
        </w:tc>
        <w:tc>
          <w:tcPr>
            <w:tcW w:w="0" w:type="dxa"/>
            <w:vAlign w:val="bottom"/>
          </w:tcPr>
          <w:p>
            <w:pPr>
              <w:spacing w:after="0"/>
              <w:rPr>
                <w:sz w:val="1"/>
                <w:szCs w:val="1"/>
                <w:color w:val="auto"/>
              </w:rPr>
            </w:pPr>
          </w:p>
        </w:tc>
      </w:tr>
      <w:tr>
        <w:trPr>
          <w:trHeight w:val="191"/>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2.00% to 3.99%</w:t>
            </w:r>
          </w:p>
        </w:tc>
        <w:tc>
          <w:tcPr>
            <w:tcW w:w="1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6,059</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429</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7,310</w:t>
            </w:r>
          </w:p>
        </w:tc>
        <w:tc>
          <w:tcPr>
            <w:tcW w:w="0" w:type="dxa"/>
            <w:vAlign w:val="bottom"/>
          </w:tcPr>
          <w:p>
            <w:pPr>
              <w:spacing w:after="0"/>
              <w:rPr>
                <w:sz w:val="1"/>
                <w:szCs w:val="1"/>
                <w:color w:val="auto"/>
              </w:rPr>
            </w:pPr>
          </w:p>
        </w:tc>
      </w:tr>
      <w:tr>
        <w:trPr>
          <w:trHeight w:val="199"/>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Greater than 3.99%</w:t>
            </w: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723</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723</w:t>
            </w:r>
          </w:p>
        </w:tc>
        <w:tc>
          <w:tcPr>
            <w:tcW w:w="0" w:type="dxa"/>
            <w:vAlign w:val="bottom"/>
          </w:tcPr>
          <w:p>
            <w:pPr>
              <w:spacing w:after="0"/>
              <w:rPr>
                <w:sz w:val="1"/>
                <w:szCs w:val="1"/>
                <w:color w:val="auto"/>
              </w:rPr>
            </w:pPr>
          </w:p>
        </w:tc>
      </w:tr>
      <w:tr>
        <w:trPr>
          <w:trHeight w:val="199"/>
        </w:trPr>
        <w:tc>
          <w:tcPr>
            <w:tcW w:w="41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7,147</w:t>
            </w:r>
          </w:p>
        </w:tc>
        <w:tc>
          <w:tcPr>
            <w:tcW w:w="12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640</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615</w:t>
            </w:r>
          </w:p>
        </w:tc>
        <w:tc>
          <w:tcPr>
            <w:tcW w:w="12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8,319</w:t>
            </w:r>
          </w:p>
        </w:tc>
        <w:tc>
          <w:tcPr>
            <w:tcW w:w="10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16,721</w:t>
            </w:r>
          </w:p>
        </w:tc>
        <w:tc>
          <w:tcPr>
            <w:tcW w:w="0" w:type="dxa"/>
            <w:vAlign w:val="bottom"/>
          </w:tcPr>
          <w:p>
            <w:pPr>
              <w:spacing w:after="0"/>
              <w:rPr>
                <w:sz w:val="1"/>
                <w:szCs w:val="1"/>
                <w:color w:val="auto"/>
              </w:rPr>
            </w:pPr>
          </w:p>
        </w:tc>
      </w:tr>
      <w:tr>
        <w:trPr>
          <w:trHeight w:val="20"/>
        </w:trPr>
        <w:tc>
          <w:tcPr>
            <w:tcW w:w="40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Life insurance (2) (3):</w:t>
            </w:r>
          </w:p>
        </w:tc>
        <w:tc>
          <w:tcPr>
            <w:tcW w:w="1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Less than 2.00%</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435</w:t>
            </w:r>
          </w:p>
        </w:tc>
        <w:tc>
          <w:tcPr>
            <w:tcW w:w="100" w:type="dxa"/>
            <w:vAlign w:val="bottom"/>
          </w:tcPr>
          <w:p>
            <w:pPr>
              <w:spacing w:after="0"/>
              <w:rPr>
                <w:sz w:val="16"/>
                <w:szCs w:val="16"/>
                <w:color w:val="auto"/>
              </w:rPr>
            </w:pPr>
          </w:p>
        </w:tc>
        <w:tc>
          <w:tcPr>
            <w:tcW w:w="30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435</w:t>
            </w:r>
          </w:p>
        </w:tc>
        <w:tc>
          <w:tcPr>
            <w:tcW w:w="0" w:type="dxa"/>
            <w:vAlign w:val="bottom"/>
          </w:tcPr>
          <w:p>
            <w:pPr>
              <w:spacing w:after="0"/>
              <w:rPr>
                <w:sz w:val="1"/>
                <w:szCs w:val="1"/>
                <w:color w:val="auto"/>
              </w:rPr>
            </w:pPr>
          </w:p>
        </w:tc>
      </w:tr>
      <w:tr>
        <w:trPr>
          <w:trHeight w:val="206"/>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2.00% to 3.99%</w:t>
            </w:r>
          </w:p>
        </w:tc>
        <w:tc>
          <w:tcPr>
            <w:tcW w:w="1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626</w:t>
            </w:r>
          </w:p>
        </w:tc>
        <w:tc>
          <w:tcPr>
            <w:tcW w:w="0" w:type="dxa"/>
            <w:vAlign w:val="bottom"/>
          </w:tcPr>
          <w:p>
            <w:pPr>
              <w:spacing w:after="0"/>
              <w:rPr>
                <w:sz w:val="1"/>
                <w:szCs w:val="1"/>
                <w:color w:val="auto"/>
              </w:rPr>
            </w:pPr>
          </w:p>
        </w:tc>
      </w:tr>
      <w:tr>
        <w:trPr>
          <w:trHeight w:val="192"/>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Greater than 3.99%</w:t>
            </w:r>
          </w:p>
        </w:tc>
        <w:tc>
          <w:tcPr>
            <w:tcW w:w="1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957</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957</w:t>
            </w:r>
          </w:p>
        </w:tc>
        <w:tc>
          <w:tcPr>
            <w:tcW w:w="0" w:type="dxa"/>
            <w:vAlign w:val="bottom"/>
          </w:tcPr>
          <w:p>
            <w:pPr>
              <w:spacing w:after="0"/>
              <w:rPr>
                <w:sz w:val="1"/>
                <w:szCs w:val="1"/>
                <w:color w:val="auto"/>
              </w:rPr>
            </w:pPr>
          </w:p>
        </w:tc>
      </w:tr>
      <w:tr>
        <w:trPr>
          <w:trHeight w:val="224"/>
        </w:trPr>
        <w:tc>
          <w:tcPr>
            <w:tcW w:w="416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2,018</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ULSG (3):</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41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than 2.00%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2.00% to 3.99%</w:t>
            </w:r>
          </w:p>
        </w:tc>
        <w:tc>
          <w:tcPr>
            <w:tcW w:w="1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946</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1,475</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3,899</w:t>
            </w:r>
          </w:p>
        </w:tc>
        <w:tc>
          <w:tcPr>
            <w:tcW w:w="0" w:type="dxa"/>
            <w:vAlign w:val="bottom"/>
          </w:tcPr>
          <w:p>
            <w:pPr>
              <w:spacing w:after="0"/>
              <w:rPr>
                <w:sz w:val="1"/>
                <w:szCs w:val="1"/>
                <w:color w:val="auto"/>
              </w:rPr>
            </w:pPr>
          </w:p>
        </w:tc>
      </w:tr>
      <w:tr>
        <w:trPr>
          <w:trHeight w:val="199"/>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Greater than 3.99%</w:t>
            </w: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474</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474</w:t>
            </w:r>
          </w:p>
        </w:tc>
        <w:tc>
          <w:tcPr>
            <w:tcW w:w="0" w:type="dxa"/>
            <w:vAlign w:val="bottom"/>
          </w:tcPr>
          <w:p>
            <w:pPr>
              <w:spacing w:after="0"/>
              <w:rPr>
                <w:sz w:val="1"/>
                <w:szCs w:val="1"/>
                <w:color w:val="auto"/>
              </w:rPr>
            </w:pPr>
          </w:p>
        </w:tc>
      </w:tr>
      <w:tr>
        <w:trPr>
          <w:trHeight w:val="199"/>
        </w:trPr>
        <w:tc>
          <w:tcPr>
            <w:tcW w:w="41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1,420</w:t>
            </w:r>
          </w:p>
        </w:tc>
        <w:tc>
          <w:tcPr>
            <w:tcW w:w="12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1,260</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1,475</w:t>
            </w:r>
          </w:p>
        </w:tc>
        <w:tc>
          <w:tcPr>
            <w:tcW w:w="12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218</w:t>
            </w:r>
          </w:p>
        </w:tc>
        <w:tc>
          <w:tcPr>
            <w:tcW w:w="10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4,373</w:t>
            </w:r>
          </w:p>
        </w:tc>
        <w:tc>
          <w:tcPr>
            <w:tcW w:w="0" w:type="dxa"/>
            <w:vAlign w:val="bottom"/>
          </w:tcPr>
          <w:p>
            <w:pPr>
              <w:spacing w:after="0"/>
              <w:rPr>
                <w:sz w:val="1"/>
                <w:szCs w:val="1"/>
                <w:color w:val="auto"/>
              </w:rPr>
            </w:pPr>
          </w:p>
        </w:tc>
      </w:tr>
      <w:tr>
        <w:trPr>
          <w:trHeight w:val="20"/>
        </w:trPr>
        <w:tc>
          <w:tcPr>
            <w:tcW w:w="40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Annuities (1):</w:t>
            </w: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than 2.00%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384</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8,133</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8,832</w:t>
            </w:r>
          </w:p>
        </w:tc>
        <w:tc>
          <w:tcPr>
            <w:tcW w:w="0" w:type="dxa"/>
            <w:vAlign w:val="bottom"/>
          </w:tcPr>
          <w:p>
            <w:pPr>
              <w:spacing w:after="0"/>
              <w:rPr>
                <w:sz w:val="1"/>
                <w:szCs w:val="1"/>
                <w:color w:val="auto"/>
              </w:rPr>
            </w:pPr>
          </w:p>
        </w:tc>
      </w:tr>
      <w:tr>
        <w:trPr>
          <w:trHeight w:val="191"/>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2.00% to 3.99%</w:t>
            </w:r>
          </w:p>
        </w:tc>
        <w:tc>
          <w:tcPr>
            <w:tcW w:w="1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6,155</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518</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7,497</w:t>
            </w:r>
          </w:p>
        </w:tc>
        <w:tc>
          <w:tcPr>
            <w:tcW w:w="0" w:type="dxa"/>
            <w:vAlign w:val="bottom"/>
          </w:tcPr>
          <w:p>
            <w:pPr>
              <w:spacing w:after="0"/>
              <w:rPr>
                <w:sz w:val="1"/>
                <w:szCs w:val="1"/>
                <w:color w:val="auto"/>
              </w:rPr>
            </w:pPr>
          </w:p>
        </w:tc>
      </w:tr>
      <w:tr>
        <w:trPr>
          <w:trHeight w:val="199"/>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Greater than 3.99%</w:t>
            </w: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740</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740</w:t>
            </w:r>
          </w:p>
        </w:tc>
        <w:tc>
          <w:tcPr>
            <w:tcW w:w="0" w:type="dxa"/>
            <w:vAlign w:val="bottom"/>
          </w:tcPr>
          <w:p>
            <w:pPr>
              <w:spacing w:after="0"/>
              <w:rPr>
                <w:sz w:val="1"/>
                <w:szCs w:val="1"/>
                <w:color w:val="auto"/>
              </w:rPr>
            </w:pPr>
          </w:p>
        </w:tc>
      </w:tr>
      <w:tr>
        <w:trPr>
          <w:trHeight w:val="199"/>
        </w:trPr>
        <w:tc>
          <w:tcPr>
            <w:tcW w:w="41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7,279</w:t>
            </w:r>
          </w:p>
        </w:tc>
        <w:tc>
          <w:tcPr>
            <w:tcW w:w="12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624</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706</w:t>
            </w:r>
          </w:p>
        </w:tc>
        <w:tc>
          <w:tcPr>
            <w:tcW w:w="12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8,460</w:t>
            </w:r>
          </w:p>
        </w:tc>
        <w:tc>
          <w:tcPr>
            <w:tcW w:w="10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17,069</w:t>
            </w:r>
          </w:p>
        </w:tc>
        <w:tc>
          <w:tcPr>
            <w:tcW w:w="0" w:type="dxa"/>
            <w:vAlign w:val="bottom"/>
          </w:tcPr>
          <w:p>
            <w:pPr>
              <w:spacing w:after="0"/>
              <w:rPr>
                <w:sz w:val="1"/>
                <w:szCs w:val="1"/>
                <w:color w:val="auto"/>
              </w:rPr>
            </w:pPr>
          </w:p>
        </w:tc>
      </w:tr>
      <w:tr>
        <w:trPr>
          <w:trHeight w:val="20"/>
        </w:trPr>
        <w:tc>
          <w:tcPr>
            <w:tcW w:w="40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Life insurance (2) (3):</w:t>
            </w:r>
          </w:p>
        </w:tc>
        <w:tc>
          <w:tcPr>
            <w:tcW w:w="1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Less than 2.00%</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413</w:t>
            </w:r>
          </w:p>
        </w:tc>
        <w:tc>
          <w:tcPr>
            <w:tcW w:w="100" w:type="dxa"/>
            <w:vAlign w:val="bottom"/>
          </w:tcPr>
          <w:p>
            <w:pPr>
              <w:spacing w:after="0"/>
              <w:rPr>
                <w:sz w:val="16"/>
                <w:szCs w:val="16"/>
                <w:color w:val="auto"/>
              </w:rPr>
            </w:pPr>
          </w:p>
        </w:tc>
        <w:tc>
          <w:tcPr>
            <w:tcW w:w="30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413</w:t>
            </w:r>
          </w:p>
        </w:tc>
        <w:tc>
          <w:tcPr>
            <w:tcW w:w="0" w:type="dxa"/>
            <w:vAlign w:val="bottom"/>
          </w:tcPr>
          <w:p>
            <w:pPr>
              <w:spacing w:after="0"/>
              <w:rPr>
                <w:sz w:val="1"/>
                <w:szCs w:val="1"/>
                <w:color w:val="auto"/>
              </w:rPr>
            </w:pPr>
          </w:p>
        </w:tc>
      </w:tr>
      <w:tr>
        <w:trPr>
          <w:trHeight w:val="206"/>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2.00% to 3.99%</w:t>
            </w:r>
          </w:p>
        </w:tc>
        <w:tc>
          <w:tcPr>
            <w:tcW w:w="1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631</w:t>
            </w:r>
          </w:p>
        </w:tc>
        <w:tc>
          <w:tcPr>
            <w:tcW w:w="0" w:type="dxa"/>
            <w:vAlign w:val="bottom"/>
          </w:tcPr>
          <w:p>
            <w:pPr>
              <w:spacing w:after="0"/>
              <w:rPr>
                <w:sz w:val="1"/>
                <w:szCs w:val="1"/>
                <w:color w:val="auto"/>
              </w:rPr>
            </w:pPr>
          </w:p>
        </w:tc>
      </w:tr>
      <w:tr>
        <w:trPr>
          <w:trHeight w:val="192"/>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Greater than 3.99%</w:t>
            </w:r>
          </w:p>
        </w:tc>
        <w:tc>
          <w:tcPr>
            <w:tcW w:w="1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969</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969</w:t>
            </w:r>
          </w:p>
        </w:tc>
        <w:tc>
          <w:tcPr>
            <w:tcW w:w="0" w:type="dxa"/>
            <w:vAlign w:val="bottom"/>
          </w:tcPr>
          <w:p>
            <w:pPr>
              <w:spacing w:after="0"/>
              <w:rPr>
                <w:sz w:val="1"/>
                <w:szCs w:val="1"/>
                <w:color w:val="auto"/>
              </w:rPr>
            </w:pPr>
          </w:p>
        </w:tc>
      </w:tr>
      <w:tr>
        <w:trPr>
          <w:trHeight w:val="224"/>
        </w:trPr>
        <w:tc>
          <w:tcPr>
            <w:tcW w:w="416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2,013</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ULSG (3):</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41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than 2.00%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2.00% to 3.99%</w:t>
            </w:r>
          </w:p>
        </w:tc>
        <w:tc>
          <w:tcPr>
            <w:tcW w:w="1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965</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1,496</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3,962</w:t>
            </w:r>
          </w:p>
        </w:tc>
        <w:tc>
          <w:tcPr>
            <w:tcW w:w="0" w:type="dxa"/>
            <w:vAlign w:val="bottom"/>
          </w:tcPr>
          <w:p>
            <w:pPr>
              <w:spacing w:after="0"/>
              <w:rPr>
                <w:sz w:val="1"/>
                <w:szCs w:val="1"/>
                <w:color w:val="auto"/>
              </w:rPr>
            </w:pPr>
          </w:p>
        </w:tc>
      </w:tr>
      <w:tr>
        <w:trPr>
          <w:trHeight w:val="199"/>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Greater than 3.99%</w:t>
            </w: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484</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484</w:t>
            </w:r>
          </w:p>
        </w:tc>
        <w:tc>
          <w:tcPr>
            <w:tcW w:w="0" w:type="dxa"/>
            <w:vAlign w:val="bottom"/>
          </w:tcPr>
          <w:p>
            <w:pPr>
              <w:spacing w:after="0"/>
              <w:rPr>
                <w:sz w:val="1"/>
                <w:szCs w:val="1"/>
                <w:color w:val="auto"/>
              </w:rPr>
            </w:pPr>
          </w:p>
        </w:tc>
      </w:tr>
      <w:tr>
        <w:trPr>
          <w:trHeight w:val="199"/>
        </w:trPr>
        <w:tc>
          <w:tcPr>
            <w:tcW w:w="41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1,449</w:t>
            </w:r>
          </w:p>
        </w:tc>
        <w:tc>
          <w:tcPr>
            <w:tcW w:w="12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1,279</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1,496</w:t>
            </w:r>
          </w:p>
        </w:tc>
        <w:tc>
          <w:tcPr>
            <w:tcW w:w="12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222</w:t>
            </w:r>
          </w:p>
        </w:tc>
        <w:tc>
          <w:tcPr>
            <w:tcW w:w="10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4,446</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w:t>
      </w:r>
    </w:p>
    <w:p>
      <w:pPr>
        <w:spacing w:after="0" w:line="108" w:lineRule="exact"/>
        <w:rPr>
          <w:sz w:val="20"/>
          <w:szCs w:val="20"/>
          <w:color w:val="auto"/>
        </w:rPr>
      </w:pPr>
    </w:p>
    <w:p>
      <w:pPr>
        <w:ind w:left="320" w:hanging="314"/>
        <w:spacing w:after="0"/>
        <w:tabs>
          <w:tab w:leader="none" w:pos="3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policyholder account balances for fixed rate annuities and the fixed account portion of variable annuities.</w:t>
      </w:r>
    </w:p>
    <w:p>
      <w:pPr>
        <w:spacing w:after="0" w:line="111" w:lineRule="exact"/>
        <w:rPr>
          <w:rFonts w:ascii="Times New Roman" w:cs="Times New Roman" w:eastAsia="Times New Roman" w:hAnsi="Times New Roman"/>
          <w:sz w:val="18"/>
          <w:szCs w:val="18"/>
          <w:color w:val="auto"/>
        </w:rPr>
      </w:pPr>
    </w:p>
    <w:p>
      <w:pPr>
        <w:ind w:left="320" w:hanging="314"/>
        <w:spacing w:after="0" w:line="274" w:lineRule="auto"/>
        <w:tabs>
          <w:tab w:leader="none" w:pos="31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policyholder account balances for retained asset accounts, universal life policies and the fixed account portion of universal variable life insurance policies.</w:t>
      </w:r>
    </w:p>
    <w:p>
      <w:pPr>
        <w:spacing w:after="0" w:line="57" w:lineRule="exact"/>
        <w:rPr>
          <w:rFonts w:ascii="Times New Roman" w:cs="Times New Roman" w:eastAsia="Times New Roman" w:hAnsi="Times New Roman"/>
          <w:sz w:val="18"/>
          <w:szCs w:val="18"/>
          <w:color w:val="auto"/>
        </w:rPr>
      </w:pPr>
    </w:p>
    <w:p>
      <w:pPr>
        <w:ind w:left="320" w:hanging="314"/>
        <w:spacing w:after="0"/>
        <w:tabs>
          <w:tab w:leader="none" w:pos="3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are gross of policy loans.</w:t>
      </w:r>
    </w:p>
    <w:p>
      <w:pPr>
        <w:spacing w:after="0" w:line="111" w:lineRule="exact"/>
        <w:rPr>
          <w:rFonts w:ascii="Times New Roman" w:cs="Times New Roman" w:eastAsia="Times New Roman" w:hAnsi="Times New Roman"/>
          <w:sz w:val="18"/>
          <w:szCs w:val="18"/>
          <w:color w:val="auto"/>
        </w:rPr>
      </w:pPr>
    </w:p>
    <w:p>
      <w:pPr>
        <w:ind w:left="3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Note 5 for information regarding net amount at risk and cash surrender values.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Life Insurance Company</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 Indirect Wholly-Owned Subsidiary of Brighthouse Financial, Inc.)</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Market Risk Benefits</w:t>
      </w:r>
    </w:p>
    <w:p>
      <w:pPr>
        <w:spacing w:after="0" w:line="1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Information regarding MRB assets and liabilities associated with variable annuities was as follows:</w:t>
      </w:r>
    </w:p>
    <w:p>
      <w:pPr>
        <w:spacing w:after="0" w:line="211" w:lineRule="exact"/>
        <w:rPr>
          <w:sz w:val="20"/>
          <w:szCs w:val="20"/>
          <w:color w:val="auto"/>
        </w:rPr>
      </w:pPr>
    </w:p>
    <w:p>
      <w:pPr>
        <w:jc w:val="center"/>
        <w:ind w:left="83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5" w:lineRule="exact"/>
        <w:rPr>
          <w:sz w:val="20"/>
          <w:szCs w:val="20"/>
          <w:color w:val="auto"/>
        </w:rPr>
      </w:pPr>
    </w:p>
    <w:p>
      <w:pPr>
        <w:jc w:val="center"/>
        <w:ind w:left="832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834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w w:val="92"/>
              </w:rPr>
              <w:t>2025</w:t>
            </w:r>
          </w:p>
        </w:tc>
        <w:tc>
          <w:tcPr>
            <w:tcW w:w="0" w:type="dxa"/>
            <w:vAlign w:val="bottom"/>
          </w:tcPr>
          <w:p>
            <w:pPr>
              <w:spacing w:after="0"/>
              <w:rPr>
                <w:sz w:val="1"/>
                <w:szCs w:val="1"/>
                <w:color w:val="auto"/>
              </w:rPr>
            </w:pPr>
          </w:p>
        </w:tc>
      </w:tr>
      <w:tr>
        <w:trPr>
          <w:trHeight w:val="38"/>
        </w:trPr>
        <w:tc>
          <w:tcPr>
            <w:tcW w:w="834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740" w:type="dxa"/>
            <w:vAlign w:val="bottom"/>
            <w:tcBorders>
              <w:bottom w:val="single" w:sz="8" w:color="auto"/>
            </w:tcBorders>
            <w:gridSpan w:val="3"/>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8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83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2"/>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beginning of period</w:t>
            </w:r>
          </w:p>
        </w:tc>
        <w:tc>
          <w:tcPr>
            <w:tcW w:w="3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7,017</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8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7,250</w:t>
            </w:r>
          </w:p>
        </w:tc>
        <w:tc>
          <w:tcPr>
            <w:tcW w:w="0" w:type="dxa"/>
            <w:vAlign w:val="bottom"/>
          </w:tcPr>
          <w:p>
            <w:pPr>
              <w:spacing w:after="0"/>
              <w:rPr>
                <w:sz w:val="1"/>
                <w:szCs w:val="1"/>
                <w:color w:val="auto"/>
              </w:rPr>
            </w:pPr>
          </w:p>
        </w:tc>
      </w:tr>
      <w:tr>
        <w:trPr>
          <w:trHeight w:val="210"/>
        </w:trPr>
        <w:tc>
          <w:tcPr>
            <w:tcW w:w="8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beginning of period, before effect of changes in nonperformance risk</w:t>
            </w:r>
          </w:p>
        </w:tc>
        <w:tc>
          <w:tcPr>
            <w:tcW w:w="320" w:type="dxa"/>
            <w:vAlign w:val="bottom"/>
          </w:tcPr>
          <w:p>
            <w:pPr>
              <w:spacing w:after="0"/>
              <w:rPr>
                <w:sz w:val="18"/>
                <w:szCs w:val="18"/>
                <w:color w:val="auto"/>
              </w:rPr>
            </w:pPr>
          </w:p>
        </w:tc>
        <w:tc>
          <w:tcPr>
            <w:tcW w:w="10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5,429</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5,236</w:t>
            </w:r>
          </w:p>
        </w:tc>
        <w:tc>
          <w:tcPr>
            <w:tcW w:w="0" w:type="dxa"/>
            <w:vAlign w:val="bottom"/>
          </w:tcPr>
          <w:p>
            <w:pPr>
              <w:spacing w:after="0"/>
              <w:rPr>
                <w:sz w:val="1"/>
                <w:szCs w:val="1"/>
                <w:color w:val="auto"/>
              </w:rPr>
            </w:pPr>
          </w:p>
        </w:tc>
      </w:tr>
      <w:tr>
        <w:trPr>
          <w:trHeight w:val="214"/>
        </w:trPr>
        <w:tc>
          <w:tcPr>
            <w:tcW w:w="8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Decrements</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0" w:type="dxa"/>
            <w:vAlign w:val="bottom"/>
          </w:tcPr>
          <w:p>
            <w:pPr>
              <w:spacing w:after="0"/>
              <w:rPr>
                <w:sz w:val="1"/>
                <w:szCs w:val="1"/>
                <w:color w:val="auto"/>
              </w:rPr>
            </w:pPr>
          </w:p>
        </w:tc>
      </w:tr>
      <w:tr>
        <w:trPr>
          <w:trHeight w:val="210"/>
        </w:trPr>
        <w:tc>
          <w:tcPr>
            <w:tcW w:w="8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Effect of actual different from expected experience</w:t>
            </w:r>
          </w:p>
        </w:tc>
        <w:tc>
          <w:tcPr>
            <w:tcW w:w="320" w:type="dxa"/>
            <w:vAlign w:val="bottom"/>
          </w:tcPr>
          <w:p>
            <w:pPr>
              <w:spacing w:after="0"/>
              <w:rPr>
                <w:sz w:val="18"/>
                <w:szCs w:val="18"/>
                <w:color w:val="auto"/>
              </w:rPr>
            </w:pPr>
          </w:p>
        </w:tc>
        <w:tc>
          <w:tcPr>
            <w:tcW w:w="10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115</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214"/>
        </w:trPr>
        <w:tc>
          <w:tcPr>
            <w:tcW w:w="8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Effect of changes in interest rates</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677</w:t>
            </w:r>
          </w:p>
        </w:tc>
        <w:tc>
          <w:tcPr>
            <w:tcW w:w="0" w:type="dxa"/>
            <w:vAlign w:val="bottom"/>
          </w:tcPr>
          <w:p>
            <w:pPr>
              <w:spacing w:after="0"/>
              <w:rPr>
                <w:sz w:val="1"/>
                <w:szCs w:val="1"/>
                <w:color w:val="auto"/>
              </w:rPr>
            </w:pPr>
          </w:p>
        </w:tc>
      </w:tr>
      <w:tr>
        <w:trPr>
          <w:trHeight w:val="210"/>
        </w:trPr>
        <w:tc>
          <w:tcPr>
            <w:tcW w:w="8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Effect of changes in fund returns</w:t>
            </w:r>
          </w:p>
        </w:tc>
        <w:tc>
          <w:tcPr>
            <w:tcW w:w="320" w:type="dxa"/>
            <w:vAlign w:val="bottom"/>
          </w:tcPr>
          <w:p>
            <w:pPr>
              <w:spacing w:after="0"/>
              <w:rPr>
                <w:sz w:val="18"/>
                <w:szCs w:val="18"/>
                <w:color w:val="auto"/>
              </w:rPr>
            </w:pPr>
          </w:p>
        </w:tc>
        <w:tc>
          <w:tcPr>
            <w:tcW w:w="10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242</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0" w:type="dxa"/>
            <w:vAlign w:val="bottom"/>
          </w:tcPr>
          <w:p>
            <w:pPr>
              <w:spacing w:after="0"/>
              <w:rPr>
                <w:sz w:val="1"/>
                <w:szCs w:val="1"/>
                <w:color w:val="auto"/>
              </w:rPr>
            </w:pPr>
          </w:p>
        </w:tc>
      </w:tr>
      <w:tr>
        <w:trPr>
          <w:trHeight w:val="214"/>
        </w:trPr>
        <w:tc>
          <w:tcPr>
            <w:tcW w:w="8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Effect of changes in equity index volatility</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122</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0" w:type="dxa"/>
            <w:vAlign w:val="bottom"/>
          </w:tcPr>
          <w:p>
            <w:pPr>
              <w:spacing w:after="0"/>
              <w:rPr>
                <w:sz w:val="1"/>
                <w:szCs w:val="1"/>
                <w:color w:val="auto"/>
              </w:rPr>
            </w:pPr>
          </w:p>
        </w:tc>
      </w:tr>
      <w:tr>
        <w:trPr>
          <w:trHeight w:val="210"/>
        </w:trPr>
        <w:tc>
          <w:tcPr>
            <w:tcW w:w="8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Issuances</w:t>
            </w:r>
          </w:p>
        </w:tc>
        <w:tc>
          <w:tcPr>
            <w:tcW w:w="320" w:type="dxa"/>
            <w:vAlign w:val="bottom"/>
          </w:tcPr>
          <w:p>
            <w:pPr>
              <w:spacing w:after="0"/>
              <w:rPr>
                <w:sz w:val="18"/>
                <w:szCs w:val="18"/>
                <w:color w:val="auto"/>
              </w:rPr>
            </w:pPr>
          </w:p>
        </w:tc>
        <w:tc>
          <w:tcPr>
            <w:tcW w:w="10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4"/>
        </w:trPr>
        <w:tc>
          <w:tcPr>
            <w:tcW w:w="8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Effect of changes in risk margin</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10"/>
        </w:trPr>
        <w:tc>
          <w:tcPr>
            <w:tcW w:w="83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Aging of the block and other</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240</w:t>
            </w:r>
          </w:p>
        </w:tc>
        <w:tc>
          <w:tcPr>
            <w:tcW w:w="10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269</w:t>
            </w:r>
          </w:p>
        </w:tc>
        <w:tc>
          <w:tcPr>
            <w:tcW w:w="0" w:type="dxa"/>
            <w:vAlign w:val="bottom"/>
          </w:tcPr>
          <w:p>
            <w:pPr>
              <w:spacing w:after="0"/>
              <w:rPr>
                <w:sz w:val="1"/>
                <w:szCs w:val="1"/>
                <w:color w:val="auto"/>
              </w:rPr>
            </w:pPr>
          </w:p>
        </w:tc>
      </w:tr>
      <w:tr>
        <w:trPr>
          <w:trHeight w:val="207"/>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end of period, before effect of changes in nonperformance risk</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6,181</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6,219</w:t>
            </w:r>
          </w:p>
        </w:tc>
        <w:tc>
          <w:tcPr>
            <w:tcW w:w="0" w:type="dxa"/>
            <w:vAlign w:val="bottom"/>
          </w:tcPr>
          <w:p>
            <w:pPr>
              <w:spacing w:after="0"/>
              <w:rPr>
                <w:sz w:val="1"/>
                <w:szCs w:val="1"/>
                <w:color w:val="auto"/>
              </w:rPr>
            </w:pPr>
          </w:p>
        </w:tc>
      </w:tr>
      <w:tr>
        <w:trPr>
          <w:trHeight w:val="210"/>
        </w:trPr>
        <w:tc>
          <w:tcPr>
            <w:tcW w:w="83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Effect of changes in nonperformance risk</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1,489</w:t>
            </w:r>
          </w:p>
        </w:tc>
        <w:tc>
          <w:tcPr>
            <w:tcW w:w="10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2,049</w:t>
            </w:r>
          </w:p>
        </w:tc>
        <w:tc>
          <w:tcPr>
            <w:tcW w:w="0" w:type="dxa"/>
            <w:vAlign w:val="bottom"/>
          </w:tcPr>
          <w:p>
            <w:pPr>
              <w:spacing w:after="0"/>
              <w:rPr>
                <w:sz w:val="1"/>
                <w:szCs w:val="1"/>
                <w:color w:val="auto"/>
              </w:rPr>
            </w:pPr>
          </w:p>
        </w:tc>
      </w:tr>
      <w:tr>
        <w:trPr>
          <w:trHeight w:val="207"/>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end of period</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7,670</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8,268</w:t>
            </w:r>
          </w:p>
        </w:tc>
        <w:tc>
          <w:tcPr>
            <w:tcW w:w="0" w:type="dxa"/>
            <w:vAlign w:val="bottom"/>
          </w:tcPr>
          <w:p>
            <w:pPr>
              <w:spacing w:after="0"/>
              <w:rPr>
                <w:sz w:val="1"/>
                <w:szCs w:val="1"/>
                <w:color w:val="auto"/>
              </w:rPr>
            </w:pPr>
          </w:p>
        </w:tc>
      </w:tr>
      <w:tr>
        <w:trPr>
          <w:trHeight w:val="210"/>
        </w:trPr>
        <w:tc>
          <w:tcPr>
            <w:tcW w:w="83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Less: Reinsurance recoverable, end of period</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0" w:type="dxa"/>
            <w:vAlign w:val="bottom"/>
          </w:tcPr>
          <w:p>
            <w:pPr>
              <w:spacing w:after="0"/>
              <w:rPr>
                <w:sz w:val="1"/>
                <w:szCs w:val="1"/>
                <w:color w:val="auto"/>
              </w:rPr>
            </w:pPr>
          </w:p>
        </w:tc>
      </w:tr>
      <w:tr>
        <w:trPr>
          <w:trHeight w:val="232"/>
        </w:trPr>
        <w:tc>
          <w:tcPr>
            <w:tcW w:w="8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end of period, net of reinsurance (1)</w:t>
            </w:r>
          </w:p>
        </w:tc>
        <w:tc>
          <w:tcPr>
            <w:tcW w:w="320" w:type="dxa"/>
            <w:vAlign w:val="bottom"/>
            <w:tcBorders>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7,649</w:t>
            </w:r>
          </w:p>
        </w:tc>
        <w:tc>
          <w:tcPr>
            <w:tcW w:w="1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ind w:right="38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8,238</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Weighted-average attained age of contract holder</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834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74.8 years</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4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74.0 years</w:t>
            </w:r>
          </w:p>
        </w:tc>
        <w:tc>
          <w:tcPr>
            <w:tcW w:w="0" w:type="dxa"/>
            <w:vAlign w:val="bottom"/>
          </w:tcPr>
          <w:p>
            <w:pPr>
              <w:spacing w:after="0"/>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w:t>
      </w:r>
    </w:p>
    <w:p>
      <w:pPr>
        <w:spacing w:after="0" w:line="108" w:lineRule="exact"/>
        <w:rPr>
          <w:sz w:val="20"/>
          <w:szCs w:val="20"/>
          <w:color w:val="auto"/>
        </w:rPr>
      </w:pPr>
    </w:p>
    <w:p>
      <w:pPr>
        <w:ind w:left="320" w:hanging="314"/>
        <w:spacing w:after="0" w:line="274" w:lineRule="auto"/>
        <w:tabs>
          <w:tab w:leader="none" w:pos="31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Amounts represent the sum of MRB assets and MRB liabilities presented on the consolidated balance sheets at </w:t>
      </w:r>
      <w:r>
        <w:rPr>
          <w:rFonts w:ascii="Times New Roman" w:cs="Times New Roman" w:eastAsia="Times New Roman" w:hAnsi="Times New Roman"/>
          <w:sz w:val="15"/>
          <w:szCs w:val="15"/>
          <w:color w:val="auto"/>
        </w:rPr>
        <w:t>March 31,</w:t>
      </w:r>
      <w:r>
        <w:rPr>
          <w:rFonts w:ascii="Times New Roman" w:cs="Times New Roman" w:eastAsia="Times New Roman" w:hAnsi="Times New Roman"/>
          <w:sz w:val="18"/>
          <w:szCs w:val="18"/>
          <w:color w:val="auto"/>
        </w:rPr>
        <w:t xml:space="preserve"> 2026 and 2025, with the exception of $80 million and $30 million, respectively, of index-linked annuity MRBs not included in this table.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Separate Accounts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Separate Accounts</w:t>
      </w:r>
    </w:p>
    <w:p>
      <w:pPr>
        <w:spacing w:after="0" w:line="1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Information regarding separate account liabilities was as follows: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0" w:type="dxa"/>
            <w:vAlign w:val="bottom"/>
            <w:gridSpan w:val="5"/>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Three Months Ended March 31,</w:t>
            </w: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37"/>
        </w:trPr>
        <w:tc>
          <w:tcPr>
            <w:tcW w:w="384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181"/>
        </w:trPr>
        <w:tc>
          <w:tcPr>
            <w:tcW w:w="3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center"/>
              <w:ind w:right="23"/>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center"/>
              <w:ind w:right="23"/>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38"/>
        </w:trPr>
        <w:tc>
          <w:tcPr>
            <w:tcW w:w="384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gridSpan w:val="2"/>
          </w:tcPr>
          <w:p>
            <w:pPr>
              <w:spacing w:after="0"/>
              <w:rPr>
                <w:sz w:val="3"/>
                <w:szCs w:val="3"/>
                <w:color w:val="auto"/>
              </w:rPr>
            </w:pPr>
          </w:p>
        </w:tc>
        <w:tc>
          <w:tcPr>
            <w:tcW w:w="1160" w:type="dxa"/>
            <w:vAlign w:val="bottom"/>
            <w:tcBorders>
              <w:bottom w:val="single" w:sz="8" w:color="auto"/>
            </w:tcBorders>
            <w:gridSpan w:val="2"/>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gridSpan w:val="2"/>
          </w:tcPr>
          <w:p>
            <w:pPr>
              <w:spacing w:after="0"/>
              <w:rPr>
                <w:sz w:val="3"/>
                <w:szCs w:val="3"/>
                <w:color w:val="auto"/>
              </w:rPr>
            </w:pPr>
          </w:p>
        </w:tc>
        <w:tc>
          <w:tcPr>
            <w:tcW w:w="1160" w:type="dxa"/>
            <w:vAlign w:val="bottom"/>
            <w:tcBorders>
              <w:bottom w:val="single" w:sz="8" w:color="auto"/>
            </w:tcBorders>
            <w:gridSpan w:val="2"/>
          </w:tcPr>
          <w:p>
            <w:pPr>
              <w:spacing w:after="0"/>
              <w:rPr>
                <w:sz w:val="3"/>
                <w:szCs w:val="3"/>
                <w:color w:val="auto"/>
              </w:rPr>
            </w:pPr>
          </w:p>
        </w:tc>
      </w:tr>
      <w:tr>
        <w:trPr>
          <w:trHeight w:val="167"/>
        </w:trPr>
        <w:tc>
          <w:tcPr>
            <w:tcW w:w="3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Variable</w:t>
            </w:r>
          </w:p>
        </w:tc>
        <w:tc>
          <w:tcPr>
            <w:tcW w:w="120" w:type="dxa"/>
            <w:vAlign w:val="bottom"/>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Universal Life</w:t>
            </w:r>
          </w:p>
        </w:tc>
        <w:tc>
          <w:tcPr>
            <w:tcW w:w="12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Company-Owned</w:t>
            </w:r>
          </w:p>
        </w:tc>
        <w:tc>
          <w:tcPr>
            <w:tcW w:w="200" w:type="dxa"/>
            <w:vAlign w:val="bottom"/>
          </w:tcPr>
          <w:p>
            <w:pPr>
              <w:spacing w:after="0"/>
              <w:rPr>
                <w:sz w:val="14"/>
                <w:szCs w:val="14"/>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Variable</w:t>
            </w:r>
          </w:p>
        </w:tc>
        <w:tc>
          <w:tcPr>
            <w:tcW w:w="120" w:type="dxa"/>
            <w:vAlign w:val="bottom"/>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Universal Life</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Company-Owned</w:t>
            </w:r>
          </w:p>
        </w:tc>
      </w:tr>
      <w:tr>
        <w:trPr>
          <w:trHeight w:val="186"/>
        </w:trPr>
        <w:tc>
          <w:tcPr>
            <w:tcW w:w="3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Annuities</w:t>
            </w:r>
          </w:p>
        </w:tc>
        <w:tc>
          <w:tcPr>
            <w:tcW w:w="120" w:type="dxa"/>
            <w:vAlign w:val="bottom"/>
          </w:tcPr>
          <w:p>
            <w:pPr>
              <w:spacing w:after="0"/>
              <w:rPr>
                <w:sz w:val="16"/>
                <w:szCs w:val="16"/>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Insurance</w:t>
            </w:r>
          </w:p>
        </w:tc>
        <w:tc>
          <w:tcPr>
            <w:tcW w:w="120" w:type="dxa"/>
            <w:vAlign w:val="bottom"/>
          </w:tcPr>
          <w:p>
            <w:pPr>
              <w:spacing w:after="0"/>
              <w:rPr>
                <w:sz w:val="16"/>
                <w:szCs w:val="16"/>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Life Insurance</w:t>
            </w:r>
          </w:p>
        </w:tc>
        <w:tc>
          <w:tcPr>
            <w:tcW w:w="200" w:type="dxa"/>
            <w:vAlign w:val="bottom"/>
          </w:tcPr>
          <w:p>
            <w:pPr>
              <w:spacing w:after="0"/>
              <w:rPr>
                <w:sz w:val="16"/>
                <w:szCs w:val="16"/>
                <w:color w:val="auto"/>
              </w:rPr>
            </w:pPr>
          </w:p>
        </w:tc>
        <w:tc>
          <w:tcPr>
            <w:tcW w:w="10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Annuities</w:t>
            </w:r>
          </w:p>
        </w:tc>
        <w:tc>
          <w:tcPr>
            <w:tcW w:w="120" w:type="dxa"/>
            <w:vAlign w:val="bottom"/>
          </w:tcPr>
          <w:p>
            <w:pPr>
              <w:spacing w:after="0"/>
              <w:rPr>
                <w:sz w:val="16"/>
                <w:szCs w:val="16"/>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Insurance</w:t>
            </w:r>
          </w:p>
        </w:tc>
        <w:tc>
          <w:tcPr>
            <w:tcW w:w="120" w:type="dxa"/>
            <w:vAlign w:val="bottom"/>
          </w:tcPr>
          <w:p>
            <w:pPr>
              <w:spacing w:after="0"/>
              <w:rPr>
                <w:sz w:val="16"/>
                <w:szCs w:val="16"/>
                <w:color w:val="auto"/>
              </w:rPr>
            </w:pPr>
          </w:p>
        </w:tc>
        <w:tc>
          <w:tcPr>
            <w:tcW w:w="1040" w:type="dxa"/>
            <w:vAlign w:val="bottom"/>
          </w:tcPr>
          <w:p>
            <w:pPr>
              <w:jc w:val="right"/>
              <w:ind w:right="61"/>
              <w:spacing w:after="0"/>
              <w:rPr>
                <w:sz w:val="20"/>
                <w:szCs w:val="20"/>
                <w:color w:val="auto"/>
              </w:rPr>
            </w:pPr>
            <w:r>
              <w:rPr>
                <w:rFonts w:ascii="Times New Roman" w:cs="Times New Roman" w:eastAsia="Times New Roman" w:hAnsi="Times New Roman"/>
                <w:sz w:val="14"/>
                <w:szCs w:val="14"/>
                <w:b w:val="1"/>
                <w:bCs w:val="1"/>
                <w:color w:val="auto"/>
              </w:rPr>
              <w:t>Life Insurance</w:t>
            </w:r>
          </w:p>
        </w:tc>
      </w:tr>
      <w:tr>
        <w:trPr>
          <w:trHeight w:val="37"/>
        </w:trPr>
        <w:tc>
          <w:tcPr>
            <w:tcW w:w="384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400" w:type="dxa"/>
            <w:vAlign w:val="bottom"/>
            <w:tcBorders>
              <w:bottom w:val="single" w:sz="8" w:color="auto"/>
            </w:tcBorders>
            <w:gridSpan w:val="5"/>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181"/>
        </w:trPr>
        <w:tc>
          <w:tcPr>
            <w:tcW w:w="3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38"/>
        </w:trPr>
        <w:tc>
          <w:tcPr>
            <w:tcW w:w="384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12"/>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beginning of period</w:t>
            </w: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73,416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74,483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1,799</w:t>
            </w:r>
          </w:p>
        </w:tc>
      </w:tr>
      <w:tr>
        <w:trPr>
          <w:trHeight w:val="210"/>
        </w:trPr>
        <w:tc>
          <w:tcPr>
            <w:tcW w:w="38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Premiums and deposits</w:t>
            </w:r>
          </w:p>
        </w:tc>
        <w:tc>
          <w:tcPr>
            <w:tcW w:w="180" w:type="dxa"/>
            <w:vAlign w:val="bottom"/>
          </w:tcPr>
          <w:p>
            <w:pPr>
              <w:spacing w:after="0"/>
              <w:rPr>
                <w:sz w:val="18"/>
                <w:szCs w:val="18"/>
                <w:color w:val="auto"/>
              </w:rPr>
            </w:pPr>
          </w:p>
        </w:tc>
        <w:tc>
          <w:tcPr>
            <w:tcW w:w="9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228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4"/>
        </w:trPr>
        <w:tc>
          <w:tcPr>
            <w:tcW w:w="3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Surrenders and withdrawals</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10"/>
        </w:trPr>
        <w:tc>
          <w:tcPr>
            <w:tcW w:w="38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Benefit payments</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14"/>
        </w:trPr>
        <w:tc>
          <w:tcPr>
            <w:tcW w:w="3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Investment performance</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r>
      <w:tr>
        <w:trPr>
          <w:trHeight w:val="210"/>
        </w:trPr>
        <w:tc>
          <w:tcPr>
            <w:tcW w:w="38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Policy charges</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r>
      <w:tr>
        <w:trPr>
          <w:trHeight w:val="214"/>
        </w:trPr>
        <w:tc>
          <w:tcPr>
            <w:tcW w:w="3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transfers from (to) general account</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495</w:t>
            </w:r>
          </w:p>
        </w:tc>
      </w:tr>
      <w:tr>
        <w:trPr>
          <w:trHeight w:val="210"/>
        </w:trPr>
        <w:tc>
          <w:tcPr>
            <w:tcW w:w="38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w:t>
            </w:r>
          </w:p>
        </w:tc>
        <w:tc>
          <w:tcPr>
            <w:tcW w:w="180" w:type="dxa"/>
            <w:vAlign w:val="bottom"/>
          </w:tcPr>
          <w:p>
            <w:pPr>
              <w:spacing w:after="0"/>
              <w:rPr>
                <w:sz w:val="18"/>
                <w:szCs w:val="18"/>
                <w:color w:val="auto"/>
              </w:rPr>
            </w:pPr>
          </w:p>
        </w:tc>
        <w:tc>
          <w:tcPr>
            <w:tcW w:w="9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32"/>
        </w:trPr>
        <w:tc>
          <w:tcPr>
            <w:tcW w:w="38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end of period</w:t>
            </w:r>
          </w:p>
        </w:tc>
        <w:tc>
          <w:tcPr>
            <w:tcW w:w="1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69,397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71,389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2,241</w:t>
            </w: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Life Insurance Company</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 Indirect Wholly-Owned Subsidiary of Brighthouse Financial, Inc.)</w:t>
      </w:r>
    </w:p>
    <w:p>
      <w:pPr>
        <w:spacing w:after="0" w:line="90"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Separate Accounts (continued)</w:t>
      </w:r>
    </w:p>
    <w:p>
      <w:pPr>
        <w:spacing w:after="0" w:line="200" w:lineRule="exact"/>
        <w:rPr>
          <w:sz w:val="20"/>
          <w:szCs w:val="20"/>
          <w:color w:val="auto"/>
        </w:rPr>
      </w:pPr>
    </w:p>
    <w:p>
      <w:pPr>
        <w:spacing w:after="0" w:line="311"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A reconciliation of separate account liabilities reported in the preceding rollforward table to the separate account liabilities balance on the consolidated balance sheets was as follows at:</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20" w:type="dxa"/>
            <w:vAlign w:val="bottom"/>
            <w:gridSpan w:val="3"/>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160" w:type="dxa"/>
            <w:vAlign w:val="bottom"/>
          </w:tcPr>
          <w:p>
            <w:pPr>
              <w:spacing w:after="0"/>
              <w:rPr>
                <w:sz w:val="16"/>
                <w:szCs w:val="16"/>
                <w:color w:val="auto"/>
              </w:rPr>
            </w:pPr>
          </w:p>
        </w:tc>
      </w:tr>
      <w:tr>
        <w:trPr>
          <w:trHeight w:val="38"/>
        </w:trPr>
        <w:tc>
          <w:tcPr>
            <w:tcW w:w="7800" w:type="dxa"/>
            <w:vAlign w:val="bottom"/>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r>
      <w:tr>
        <w:trPr>
          <w:trHeight w:val="181"/>
        </w:trPr>
        <w:tc>
          <w:tcPr>
            <w:tcW w:w="7800" w:type="dxa"/>
            <w:vAlign w:val="bottom"/>
          </w:tcPr>
          <w:p>
            <w:pPr>
              <w:spacing w:after="0"/>
              <w:rPr>
                <w:sz w:val="15"/>
                <w:szCs w:val="15"/>
                <w:color w:val="auto"/>
              </w:rPr>
            </w:pPr>
          </w:p>
        </w:tc>
        <w:tc>
          <w:tcPr>
            <w:tcW w:w="1060" w:type="dxa"/>
            <w:vAlign w:val="bottom"/>
          </w:tcPr>
          <w:p>
            <w:pPr>
              <w:jc w:val="right"/>
              <w:ind w:right="3"/>
              <w:spacing w:after="0"/>
              <w:rPr>
                <w:sz w:val="20"/>
                <w:szCs w:val="20"/>
                <w:color w:val="auto"/>
              </w:rPr>
            </w:pPr>
            <w:r>
              <w:rPr>
                <w:rFonts w:ascii="Times New Roman" w:cs="Times New Roman" w:eastAsia="Times New Roman" w:hAnsi="Times New Roman"/>
                <w:sz w:val="14"/>
                <w:szCs w:val="14"/>
                <w:b w:val="1"/>
                <w:bCs w:val="1"/>
                <w:color w:val="auto"/>
              </w:rPr>
              <w:t>2026</w:t>
            </w: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60" w:type="dxa"/>
            <w:vAlign w:val="bottom"/>
          </w:tcPr>
          <w:p>
            <w:pPr>
              <w:jc w:val="right"/>
              <w:ind w:right="62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8"/>
        </w:trPr>
        <w:tc>
          <w:tcPr>
            <w:tcW w:w="7800" w:type="dxa"/>
            <w:vAlign w:val="bottom"/>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gridSpan w:val="3"/>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r>
      <w:tr>
        <w:trPr>
          <w:trHeight w:val="181"/>
        </w:trPr>
        <w:tc>
          <w:tcPr>
            <w:tcW w:w="78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20" w:type="dxa"/>
            <w:vAlign w:val="bottom"/>
            <w:gridSpan w:val="3"/>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160" w:type="dxa"/>
            <w:vAlign w:val="bottom"/>
          </w:tcPr>
          <w:p>
            <w:pPr>
              <w:spacing w:after="0"/>
              <w:rPr>
                <w:sz w:val="15"/>
                <w:szCs w:val="15"/>
                <w:color w:val="auto"/>
              </w:rPr>
            </w:pPr>
          </w:p>
        </w:tc>
      </w:tr>
      <w:tr>
        <w:trPr>
          <w:trHeight w:val="38"/>
        </w:trPr>
        <w:tc>
          <w:tcPr>
            <w:tcW w:w="78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212"/>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Separate account liabilities reported in the preceding rollforward table</w:t>
            </w:r>
          </w:p>
        </w:tc>
        <w:tc>
          <w:tcPr>
            <w:tcW w:w="1060" w:type="dxa"/>
            <w:vAlign w:val="bottom"/>
            <w:shd w:val="clear" w:color="auto" w:fill="CCEEFF"/>
          </w:tcPr>
          <w:p>
            <w:pPr>
              <w:jc w:val="right"/>
              <w:ind w:right="883"/>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74,280</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41"/>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76,013</w:t>
            </w:r>
          </w:p>
        </w:tc>
      </w:tr>
      <w:tr>
        <w:trPr>
          <w:trHeight w:val="210"/>
        </w:trPr>
        <w:tc>
          <w:tcPr>
            <w:tcW w:w="7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Variable income annuities</w:t>
            </w:r>
          </w:p>
        </w:tc>
        <w:tc>
          <w:tcPr>
            <w:tcW w:w="10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w:t>
            </w:r>
          </w:p>
        </w:tc>
      </w:tr>
      <w:tr>
        <w:trPr>
          <w:trHeight w:val="212"/>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Pension risk transfer annuities</w:t>
            </w:r>
          </w:p>
        </w:tc>
        <w:tc>
          <w:tcPr>
            <w:tcW w:w="10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r>
      <w:tr>
        <w:trPr>
          <w:trHeight w:val="207"/>
        </w:trPr>
        <w:tc>
          <w:tcPr>
            <w:tcW w:w="78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separate account liabilities</w:t>
            </w:r>
          </w:p>
        </w:tc>
        <w:tc>
          <w:tcPr>
            <w:tcW w:w="1060" w:type="dxa"/>
            <w:vAlign w:val="bottom"/>
            <w:tcBorders>
              <w:bottom w:val="single" w:sz="8" w:color="auto"/>
            </w:tcBorders>
          </w:tcPr>
          <w:p>
            <w:pPr>
              <w:jc w:val="right"/>
              <w:ind w:right="883"/>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74,551</w:t>
            </w:r>
          </w:p>
        </w:tc>
        <w:tc>
          <w:tcPr>
            <w:tcW w:w="120" w:type="dxa"/>
            <w:vAlign w:val="bottom"/>
          </w:tcPr>
          <w:p>
            <w:pPr>
              <w:spacing w:after="0"/>
              <w:rPr>
                <w:sz w:val="18"/>
                <w:szCs w:val="18"/>
                <w:color w:val="auto"/>
              </w:rPr>
            </w:pPr>
          </w:p>
        </w:tc>
        <w:tc>
          <w:tcPr>
            <w:tcW w:w="50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76,257</w:t>
            </w:r>
          </w:p>
        </w:tc>
      </w:tr>
      <w:tr>
        <w:trPr>
          <w:trHeight w:val="20"/>
        </w:trPr>
        <w:tc>
          <w:tcPr>
            <w:tcW w:w="78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aggregate estimated fair value of assets, by major investment asset category, supporting separate accounts was as follows at:</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80" w:type="dxa"/>
            <w:vAlign w:val="bottom"/>
          </w:tcPr>
          <w:p>
            <w:pPr>
              <w:spacing w:after="0"/>
              <w:rPr>
                <w:sz w:val="16"/>
                <w:szCs w:val="16"/>
                <w:color w:val="auto"/>
              </w:rPr>
            </w:pPr>
          </w:p>
        </w:tc>
        <w:tc>
          <w:tcPr>
            <w:tcW w:w="1480" w:type="dxa"/>
            <w:vAlign w:val="bottom"/>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4"/>
        </w:trPr>
        <w:tc>
          <w:tcPr>
            <w:tcW w:w="78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220" w:type="dxa"/>
            <w:vAlign w:val="bottom"/>
            <w:tcBorders>
              <w:bottom w:val="single" w:sz="8" w:color="auto"/>
            </w:tcBorders>
            <w:gridSpan w:val="4"/>
          </w:tcPr>
          <w:p>
            <w:pPr>
              <w:spacing w:after="0"/>
              <w:rPr>
                <w:sz w:val="2"/>
                <w:szCs w:val="2"/>
                <w:color w:val="auto"/>
              </w:rPr>
            </w:pPr>
          </w:p>
        </w:tc>
      </w:tr>
      <w:tr>
        <w:trPr>
          <w:trHeight w:val="181"/>
        </w:trPr>
        <w:tc>
          <w:tcPr>
            <w:tcW w:w="7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20" w:type="dxa"/>
            <w:vAlign w:val="bottom"/>
            <w:gridSpan w:val="4"/>
          </w:tcPr>
          <w:p>
            <w:pPr>
              <w:jc w:val="right"/>
              <w:ind w:right="1262"/>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38"/>
        </w:trPr>
        <w:tc>
          <w:tcPr>
            <w:tcW w:w="78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80" w:type="dxa"/>
            <w:vAlign w:val="bottom"/>
          </w:tcPr>
          <w:p>
            <w:pPr>
              <w:spacing w:after="0"/>
              <w:rPr>
                <w:sz w:val="3"/>
                <w:szCs w:val="3"/>
                <w:color w:val="auto"/>
              </w:rPr>
            </w:pPr>
          </w:p>
        </w:tc>
      </w:tr>
      <w:tr>
        <w:trPr>
          <w:trHeight w:val="212"/>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Equity securities</w:t>
            </w: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74,344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78,611</w:t>
            </w:r>
          </w:p>
        </w:tc>
      </w:tr>
      <w:tr>
        <w:trPr>
          <w:trHeight w:val="210"/>
        </w:trPr>
        <w:tc>
          <w:tcPr>
            <w:tcW w:w="7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Fixed maturity securities</w:t>
            </w: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w:t>
            </w:r>
          </w:p>
        </w:tc>
      </w:tr>
      <w:tr>
        <w:trPr>
          <w:trHeight w:val="214"/>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32"/>
        </w:trPr>
        <w:tc>
          <w:tcPr>
            <w:tcW w:w="78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aggregate estimated fair value of assets</w:t>
            </w: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74,551</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78,825</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Amount at Risk and Cash Surrender Values</w:t>
      </w:r>
    </w:p>
    <w:p>
      <w:pPr>
        <w:spacing w:after="0" w:line="11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Information regarding the net amount at risk and cash surrender value for insurance products was as follows at:</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Universal Life</w:t>
            </w:r>
          </w:p>
        </w:tc>
        <w:tc>
          <w:tcPr>
            <w:tcW w:w="180" w:type="dxa"/>
            <w:vAlign w:val="bottom"/>
          </w:tcPr>
          <w:p>
            <w:pPr>
              <w:spacing w:after="0"/>
              <w:rPr>
                <w:sz w:val="12"/>
                <w:szCs w:val="12"/>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Variable</w:t>
            </w:r>
          </w:p>
        </w:tc>
        <w:tc>
          <w:tcPr>
            <w:tcW w:w="140" w:type="dxa"/>
            <w:vAlign w:val="bottom"/>
          </w:tcPr>
          <w:p>
            <w:pPr>
              <w:spacing w:after="0"/>
              <w:rPr>
                <w:sz w:val="12"/>
                <w:szCs w:val="12"/>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Index-linked</w:t>
            </w:r>
          </w:p>
        </w:tc>
        <w:tc>
          <w:tcPr>
            <w:tcW w:w="160" w:type="dxa"/>
            <w:vAlign w:val="bottom"/>
          </w:tcPr>
          <w:p>
            <w:pPr>
              <w:spacing w:after="0"/>
              <w:rPr>
                <w:sz w:val="12"/>
                <w:szCs w:val="12"/>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Fixed Rate</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Company-Owned</w:t>
            </w:r>
          </w:p>
        </w:tc>
        <w:tc>
          <w:tcPr>
            <w:tcW w:w="0" w:type="dxa"/>
            <w:vAlign w:val="bottom"/>
          </w:tcPr>
          <w:p>
            <w:pPr>
              <w:spacing w:after="0"/>
              <w:rPr>
                <w:sz w:val="1"/>
                <w:szCs w:val="1"/>
                <w:color w:val="auto"/>
              </w:rPr>
            </w:pPr>
          </w:p>
        </w:tc>
      </w:tr>
      <w:tr>
        <w:trPr>
          <w:trHeight w:val="172"/>
        </w:trPr>
        <w:tc>
          <w:tcPr>
            <w:tcW w:w="46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Insurance</w:t>
            </w:r>
          </w:p>
        </w:tc>
        <w:tc>
          <w:tcPr>
            <w:tcW w:w="1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Annuities</w:t>
            </w: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Annuities</w:t>
            </w: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Annuities</w:t>
            </w: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2"/>
                <w:szCs w:val="12"/>
                <w:b w:val="1"/>
                <w:bCs w:val="1"/>
                <w:color w:val="auto"/>
              </w:rPr>
              <w:t>ULSG</w:t>
            </w: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2"/>
                <w:szCs w:val="12"/>
                <w:b w:val="1"/>
                <w:bCs w:val="1"/>
                <w:color w:val="auto"/>
              </w:rPr>
              <w:t>Life Insurance</w:t>
            </w:r>
          </w:p>
        </w:tc>
        <w:tc>
          <w:tcPr>
            <w:tcW w:w="0" w:type="dxa"/>
            <w:vAlign w:val="bottom"/>
          </w:tcPr>
          <w:p>
            <w:pPr>
              <w:spacing w:after="0"/>
              <w:rPr>
                <w:sz w:val="1"/>
                <w:szCs w:val="1"/>
                <w:color w:val="auto"/>
              </w:rPr>
            </w:pPr>
          </w:p>
        </w:tc>
      </w:tr>
      <w:tr>
        <w:trPr>
          <w:trHeight w:val="167"/>
        </w:trPr>
        <w:tc>
          <w:tcPr>
            <w:tcW w:w="4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80" w:type="dxa"/>
            <w:vAlign w:val="bottom"/>
            <w:gridSpan w:val="5"/>
          </w:tcPr>
          <w:p>
            <w:pPr>
              <w:ind w:left="620"/>
              <w:spacing w:after="0"/>
              <w:rPr>
                <w:sz w:val="20"/>
                <w:szCs w:val="20"/>
                <w:color w:val="auto"/>
              </w:rPr>
            </w:pPr>
            <w:r>
              <w:rPr>
                <w:rFonts w:ascii="Times New Roman" w:cs="Times New Roman" w:eastAsia="Times New Roman" w:hAnsi="Times New Roman"/>
                <w:sz w:val="12"/>
                <w:szCs w:val="12"/>
                <w:b w:val="1"/>
                <w:bCs w:val="1"/>
                <w:color w:val="auto"/>
              </w:rPr>
              <w:t>(In millions)</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Account balances reported in the preceding rollforward tables:</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Policyholder account balances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2,083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51,607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12,971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4,388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647</w:t>
            </w:r>
          </w:p>
        </w:tc>
        <w:tc>
          <w:tcPr>
            <w:tcW w:w="0" w:type="dxa"/>
            <w:vAlign w:val="bottom"/>
          </w:tcPr>
          <w:p>
            <w:pPr>
              <w:spacing w:after="0"/>
              <w:rPr>
                <w:sz w:val="1"/>
                <w:szCs w:val="1"/>
                <w:color w:val="auto"/>
              </w:rPr>
            </w:pPr>
          </w:p>
        </w:tc>
      </w:tr>
      <w:tr>
        <w:trPr>
          <w:trHeight w:val="210"/>
        </w:trPr>
        <w:tc>
          <w:tcPr>
            <w:tcW w:w="4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Separate account liabilities</w:t>
            </w:r>
          </w:p>
        </w:tc>
        <w:tc>
          <w:tcPr>
            <w:tcW w:w="120" w:type="dxa"/>
            <w:vAlign w:val="bottom"/>
          </w:tcPr>
          <w:p>
            <w:pPr>
              <w:spacing w:after="0"/>
              <w:rPr>
                <w:sz w:val="18"/>
                <w:szCs w:val="18"/>
                <w:color w:val="auto"/>
              </w:rPr>
            </w:pPr>
          </w:p>
        </w:tc>
        <w:tc>
          <w:tcPr>
            <w:tcW w:w="90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2,556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69,397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2,327</w:t>
            </w:r>
          </w:p>
        </w:tc>
        <w:tc>
          <w:tcPr>
            <w:tcW w:w="0" w:type="dxa"/>
            <w:vAlign w:val="bottom"/>
          </w:tcPr>
          <w:p>
            <w:pPr>
              <w:spacing w:after="0"/>
              <w:rPr>
                <w:sz w:val="1"/>
                <w:szCs w:val="1"/>
                <w:color w:val="auto"/>
              </w:rPr>
            </w:pPr>
          </w:p>
        </w:tc>
      </w:tr>
      <w:tr>
        <w:trPr>
          <w:trHeight w:val="232"/>
        </w:trPr>
        <w:tc>
          <w:tcPr>
            <w:tcW w:w="468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account balances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4,639</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72,576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51,607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12,971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4,388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2,974</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Net amount at risk</w:t>
            </w: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gridSpan w:val="2"/>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680" w:type="dxa"/>
            <w:vAlign w:val="bottom"/>
            <w:tcBorders>
              <w:top w:val="single" w:sz="8" w:color="CCEEFF"/>
            </w:tcBorders>
            <w:vMerge w:val="continue"/>
          </w:tcPr>
          <w:p>
            <w:pPr>
              <w:spacing w:after="0"/>
              <w:rPr>
                <w:sz w:val="15"/>
                <w:szCs w:val="15"/>
                <w:color w:val="auto"/>
              </w:rPr>
            </w:pPr>
          </w:p>
        </w:tc>
        <w:tc>
          <w:tcPr>
            <w:tcW w:w="120" w:type="dxa"/>
            <w:vAlign w:val="bottom"/>
            <w:tcBorders>
              <w:top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tcPr>
          <w:p>
            <w:pPr>
              <w:jc w:val="right"/>
              <w:ind w:right="3"/>
              <w:spacing w:after="0" w:line="183" w:lineRule="exact"/>
              <w:rPr>
                <w:sz w:val="20"/>
                <w:szCs w:val="20"/>
                <w:color w:val="auto"/>
              </w:rPr>
            </w:pPr>
            <w:r>
              <w:rPr>
                <w:rFonts w:ascii="Times New Roman" w:cs="Times New Roman" w:eastAsia="Times New Roman" w:hAnsi="Times New Roman"/>
                <w:sz w:val="16"/>
                <w:szCs w:val="16"/>
                <w:color w:val="auto"/>
              </w:rPr>
              <w:t>19,651</w:t>
            </w:r>
          </w:p>
        </w:tc>
        <w:tc>
          <w:tcPr>
            <w:tcW w:w="80" w:type="dxa"/>
            <w:vAlign w:val="bottom"/>
          </w:tcPr>
          <w:p>
            <w:pPr>
              <w:spacing w:after="0"/>
              <w:rPr>
                <w:sz w:val="15"/>
                <w:szCs w:val="15"/>
                <w:color w:val="auto"/>
              </w:rPr>
            </w:pPr>
          </w:p>
        </w:tc>
        <w:tc>
          <w:tcPr>
            <w:tcW w:w="180" w:type="dxa"/>
            <w:vAlign w:val="bottom"/>
            <w:tcBorders>
              <w:top w:val="single" w:sz="8" w:color="auto"/>
            </w:tcBorders>
          </w:tcPr>
          <w:p>
            <w:pPr>
              <w:jc w:val="right"/>
              <w:ind w:right="1"/>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12,611</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N/A</w:t>
            </w: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N/A</w:t>
            </w:r>
          </w:p>
        </w:tc>
        <w:tc>
          <w:tcPr>
            <w:tcW w:w="80" w:type="dxa"/>
            <w:vAlign w:val="bottom"/>
          </w:tcPr>
          <w:p>
            <w:pPr>
              <w:spacing w:after="0"/>
              <w:rPr>
                <w:sz w:val="15"/>
                <w:szCs w:val="15"/>
                <w:color w:val="auto"/>
              </w:rPr>
            </w:pPr>
          </w:p>
        </w:tc>
        <w:tc>
          <w:tcPr>
            <w:tcW w:w="220" w:type="dxa"/>
            <w:vAlign w:val="bottom"/>
            <w:tcBorders>
              <w:top w:val="single" w:sz="8" w:color="auto"/>
            </w:tcBorders>
          </w:tcPr>
          <w:p>
            <w:pPr>
              <w:jc w:val="right"/>
              <w:ind w:right="41"/>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61,312</w:t>
            </w:r>
          </w:p>
        </w:tc>
        <w:tc>
          <w:tcPr>
            <w:tcW w:w="100" w:type="dxa"/>
            <w:vAlign w:val="bottom"/>
          </w:tcPr>
          <w:p>
            <w:pPr>
              <w:spacing w:after="0"/>
              <w:rPr>
                <w:sz w:val="15"/>
                <w:szCs w:val="15"/>
                <w:color w:val="auto"/>
              </w:rPr>
            </w:pPr>
          </w:p>
        </w:tc>
        <w:tc>
          <w:tcPr>
            <w:tcW w:w="120" w:type="dxa"/>
            <w:vAlign w:val="bottom"/>
            <w:tcBorders>
              <w:top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2,522</w:t>
            </w:r>
          </w:p>
        </w:tc>
        <w:tc>
          <w:tcPr>
            <w:tcW w:w="0" w:type="dxa"/>
            <w:vAlign w:val="bottom"/>
          </w:tcPr>
          <w:p>
            <w:pPr>
              <w:spacing w:after="0"/>
              <w:rPr>
                <w:sz w:val="1"/>
                <w:szCs w:val="1"/>
                <w:color w:val="auto"/>
              </w:rPr>
            </w:pPr>
          </w:p>
        </w:tc>
      </w:tr>
      <w:tr>
        <w:trPr>
          <w:trHeight w:val="214"/>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surrender value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4,452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72,248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51,576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13,006</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2,770</w:t>
            </w:r>
          </w:p>
        </w:tc>
        <w:tc>
          <w:tcPr>
            <w:tcW w:w="0" w:type="dxa"/>
            <w:vAlign w:val="bottom"/>
          </w:tcPr>
          <w:p>
            <w:pPr>
              <w:spacing w:after="0"/>
              <w:rPr>
                <w:sz w:val="1"/>
                <w:szCs w:val="1"/>
                <w:color w:val="auto"/>
              </w:rPr>
            </w:pPr>
          </w:p>
        </w:tc>
      </w:tr>
      <w:tr>
        <w:trPr>
          <w:trHeight w:val="211"/>
        </w:trPr>
        <w:tc>
          <w:tcPr>
            <w:tcW w:w="46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Account balances reported in the preceding rollforward tables:</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Policyholder account balances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2,034</w:t>
            </w:r>
          </w:p>
        </w:tc>
        <w:tc>
          <w:tcPr>
            <w:tcW w:w="80" w:type="dxa"/>
            <w:vAlign w:val="bottom"/>
          </w:tcPr>
          <w:p>
            <w:pPr>
              <w:spacing w:after="0"/>
              <w:rPr>
                <w:sz w:val="18"/>
                <w:szCs w:val="18"/>
                <w:color w:val="auto"/>
              </w:rPr>
            </w:pPr>
          </w:p>
        </w:tc>
        <w:tc>
          <w:tcPr>
            <w:tcW w:w="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3,570</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47,896</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14,516</w:t>
            </w:r>
          </w:p>
        </w:tc>
        <w:tc>
          <w:tcPr>
            <w:tcW w:w="80" w:type="dxa"/>
            <w:vAlign w:val="bottom"/>
          </w:tcPr>
          <w:p>
            <w:pPr>
              <w:spacing w:after="0"/>
              <w:rPr>
                <w:sz w:val="18"/>
                <w:szCs w:val="18"/>
                <w:color w:val="auto"/>
              </w:rPr>
            </w:pP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4,710</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673</w:t>
            </w:r>
          </w:p>
        </w:tc>
        <w:tc>
          <w:tcPr>
            <w:tcW w:w="0" w:type="dxa"/>
            <w:vAlign w:val="bottom"/>
          </w:tcPr>
          <w:p>
            <w:pPr>
              <w:spacing w:after="0"/>
              <w:rPr>
                <w:sz w:val="1"/>
                <w:szCs w:val="1"/>
                <w:color w:val="auto"/>
              </w:rPr>
            </w:pPr>
          </w:p>
        </w:tc>
      </w:tr>
      <w:tr>
        <w:trPr>
          <w:trHeight w:val="212"/>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Separate account liabilities</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2,383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71,389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2,241</w:t>
            </w:r>
          </w:p>
        </w:tc>
        <w:tc>
          <w:tcPr>
            <w:tcW w:w="0" w:type="dxa"/>
            <w:vAlign w:val="bottom"/>
          </w:tcPr>
          <w:p>
            <w:pPr>
              <w:spacing w:after="0"/>
              <w:rPr>
                <w:sz w:val="1"/>
                <w:szCs w:val="1"/>
                <w:color w:val="auto"/>
              </w:rPr>
            </w:pPr>
          </w:p>
        </w:tc>
      </w:tr>
      <w:tr>
        <w:trPr>
          <w:trHeight w:val="207"/>
        </w:trPr>
        <w:tc>
          <w:tcPr>
            <w:tcW w:w="46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account balances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4,417</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74,959</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47,896</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14,516</w:t>
            </w:r>
          </w:p>
        </w:tc>
        <w:tc>
          <w:tcPr>
            <w:tcW w:w="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4,710</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2,914</w:t>
            </w:r>
          </w:p>
        </w:tc>
        <w:tc>
          <w:tcPr>
            <w:tcW w:w="0" w:type="dxa"/>
            <w:vAlign w:val="bottom"/>
          </w:tcPr>
          <w:p>
            <w:pPr>
              <w:spacing w:after="0"/>
              <w:rPr>
                <w:sz w:val="1"/>
                <w:szCs w:val="1"/>
                <w:color w:val="auto"/>
              </w:rPr>
            </w:pPr>
          </w:p>
        </w:tc>
      </w:tr>
      <w:tr>
        <w:trPr>
          <w:trHeight w:val="20"/>
        </w:trPr>
        <w:tc>
          <w:tcPr>
            <w:tcW w:w="46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amount at risk</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20,743</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13,202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N/A</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N/A</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63,157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2,599</w:t>
            </w:r>
          </w:p>
        </w:tc>
        <w:tc>
          <w:tcPr>
            <w:tcW w:w="0" w:type="dxa"/>
            <w:vAlign w:val="bottom"/>
          </w:tcPr>
          <w:p>
            <w:pPr>
              <w:spacing w:after="0"/>
              <w:rPr>
                <w:sz w:val="1"/>
                <w:szCs w:val="1"/>
                <w:color w:val="auto"/>
              </w:rPr>
            </w:pPr>
          </w:p>
        </w:tc>
      </w:tr>
      <w:tr>
        <w:trPr>
          <w:trHeight w:val="208"/>
        </w:trPr>
        <w:tc>
          <w:tcPr>
            <w:tcW w:w="4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surrender value</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4,208</w:t>
            </w:r>
          </w:p>
        </w:tc>
        <w:tc>
          <w:tcPr>
            <w:tcW w:w="80" w:type="dxa"/>
            <w:vAlign w:val="bottom"/>
          </w:tcPr>
          <w:p>
            <w:pPr>
              <w:spacing w:after="0"/>
              <w:rPr>
                <w:sz w:val="18"/>
                <w:szCs w:val="18"/>
                <w:color w:val="auto"/>
              </w:rPr>
            </w:pPr>
          </w:p>
        </w:tc>
        <w:tc>
          <w:tcPr>
            <w:tcW w:w="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74,592</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46,235</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14,248</w:t>
            </w:r>
          </w:p>
        </w:tc>
        <w:tc>
          <w:tcPr>
            <w:tcW w:w="80" w:type="dxa"/>
            <w:vAlign w:val="bottom"/>
          </w:tcPr>
          <w:p>
            <w:pPr>
              <w:spacing w:after="0"/>
              <w:rPr>
                <w:sz w:val="18"/>
                <w:szCs w:val="18"/>
                <w:color w:val="auto"/>
              </w:rPr>
            </w:pP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4,269</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2,684</w:t>
            </w: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Products may contain both separate account and general account fund options; accordingly, net amount at risk and cash surrender value reported in the table above relate to the total account balance for each respective product grouping.</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Life Insurance Company</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 Indirect Wholly-Owned Subsidiary of Brighthouse Financial, Inc.)</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Deferred Policy Acquisition Costs, Value of Business Acquired and Other Intangibles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Policy Acquisition Costs and Value of Business Acquired</w:t>
      </w:r>
    </w:p>
    <w:p>
      <w:pPr>
        <w:spacing w:after="0" w:line="1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Information regarding deferred policy acquisition costs (“DAC”) and value of business acquired (“VOBA”) was as follows:</w:t>
      </w: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8"/>
              </w:rPr>
              <w:t>Fixed Rate</w:t>
            </w:r>
          </w:p>
        </w:tc>
        <w:tc>
          <w:tcPr>
            <w:tcW w:w="160" w:type="dxa"/>
            <w:vAlign w:val="bottom"/>
          </w:tcPr>
          <w:p>
            <w:pPr>
              <w:spacing w:after="0"/>
              <w:rPr>
                <w:sz w:val="14"/>
                <w:szCs w:val="14"/>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Index-linked</w:t>
            </w:r>
          </w:p>
        </w:tc>
        <w:tc>
          <w:tcPr>
            <w:tcW w:w="13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Term and Whole</w:t>
            </w:r>
          </w:p>
        </w:tc>
        <w:tc>
          <w:tcPr>
            <w:tcW w:w="140" w:type="dxa"/>
            <w:vAlign w:val="bottom"/>
          </w:tcPr>
          <w:p>
            <w:pPr>
              <w:spacing w:after="0"/>
              <w:rPr>
                <w:sz w:val="14"/>
                <w:szCs w:val="14"/>
                <w:color w:val="auto"/>
              </w:rPr>
            </w:pPr>
          </w:p>
        </w:tc>
        <w:tc>
          <w:tcPr>
            <w:tcW w:w="1080" w:type="dxa"/>
            <w:vAlign w:val="bottom"/>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rPr>
              <w:t>Universal Life</w:t>
            </w:r>
          </w:p>
        </w:tc>
      </w:tr>
      <w:tr>
        <w:trPr>
          <w:trHeight w:val="186"/>
        </w:trPr>
        <w:tc>
          <w:tcPr>
            <w:tcW w:w="4720" w:type="dxa"/>
            <w:vAlign w:val="bottom"/>
          </w:tcPr>
          <w:p>
            <w:pPr>
              <w:spacing w:after="0"/>
              <w:rPr>
                <w:sz w:val="16"/>
                <w:szCs w:val="16"/>
                <w:color w:val="auto"/>
              </w:rPr>
            </w:pPr>
          </w:p>
        </w:tc>
        <w:tc>
          <w:tcPr>
            <w:tcW w:w="13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Variable Annuities</w:t>
            </w:r>
          </w:p>
        </w:tc>
        <w:tc>
          <w:tcPr>
            <w:tcW w:w="200" w:type="dxa"/>
            <w:vAlign w:val="bottom"/>
          </w:tcPr>
          <w:p>
            <w:pPr>
              <w:spacing w:after="0"/>
              <w:rPr>
                <w:sz w:val="16"/>
                <w:szCs w:val="16"/>
                <w:color w:val="auto"/>
              </w:rPr>
            </w:pP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Annuities</w:t>
            </w:r>
          </w:p>
        </w:tc>
        <w:tc>
          <w:tcPr>
            <w:tcW w:w="160" w:type="dxa"/>
            <w:vAlign w:val="bottom"/>
          </w:tcPr>
          <w:p>
            <w:pPr>
              <w:spacing w:after="0"/>
              <w:rPr>
                <w:sz w:val="16"/>
                <w:szCs w:val="16"/>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Annuities</w:t>
            </w:r>
          </w:p>
        </w:tc>
        <w:tc>
          <w:tcPr>
            <w:tcW w:w="140" w:type="dxa"/>
            <w:vAlign w:val="bottom"/>
          </w:tcPr>
          <w:p>
            <w:pPr>
              <w:spacing w:after="0"/>
              <w:rPr>
                <w:sz w:val="16"/>
                <w:szCs w:val="16"/>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Life Insurance</w:t>
            </w:r>
          </w:p>
        </w:tc>
        <w:tc>
          <w:tcPr>
            <w:tcW w:w="140" w:type="dxa"/>
            <w:vAlign w:val="bottom"/>
          </w:tcPr>
          <w:p>
            <w:pPr>
              <w:spacing w:after="0"/>
              <w:rPr>
                <w:sz w:val="16"/>
                <w:szCs w:val="16"/>
                <w:color w:val="auto"/>
              </w:rPr>
            </w:pPr>
          </w:p>
        </w:tc>
        <w:tc>
          <w:tcPr>
            <w:tcW w:w="1080" w:type="dxa"/>
            <w:vAlign w:val="bottom"/>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Insurance</w:t>
            </w:r>
          </w:p>
        </w:tc>
      </w:tr>
      <w:tr>
        <w:trPr>
          <w:trHeight w:val="38"/>
        </w:trPr>
        <w:tc>
          <w:tcPr>
            <w:tcW w:w="4720" w:type="dxa"/>
            <w:vAlign w:val="bottom"/>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393"/>
        </w:trPr>
        <w:tc>
          <w:tcPr>
            <w:tcW w:w="4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8"/>
        </w:trPr>
        <w:tc>
          <w:tcPr>
            <w:tcW w:w="4720" w:type="dxa"/>
            <w:vAlign w:val="bottom"/>
          </w:tcPr>
          <w:p>
            <w:pPr>
              <w:spacing w:after="0"/>
              <w:rPr>
                <w:sz w:val="3"/>
                <w:szCs w:val="3"/>
                <w:color w:val="auto"/>
              </w:rPr>
            </w:pPr>
          </w:p>
        </w:tc>
        <w:tc>
          <w:tcPr>
            <w:tcW w:w="4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451"/>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March 31, 2026</w:t>
            </w:r>
          </w:p>
        </w:tc>
        <w:tc>
          <w:tcPr>
            <w:tcW w:w="46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r>
      <w:tr>
        <w:trPr>
          <w:trHeight w:val="441"/>
        </w:trPr>
        <w:tc>
          <w:tcPr>
            <w:tcW w:w="47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DAC:</w:t>
            </w: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460"/>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beginning of period</w:t>
            </w:r>
          </w:p>
        </w:tc>
        <w:tc>
          <w:tcPr>
            <w:tcW w:w="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1,581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w:t>
            </w:r>
          </w:p>
        </w:tc>
      </w:tr>
      <w:tr>
        <w:trPr>
          <w:trHeight w:val="441"/>
        </w:trPr>
        <w:tc>
          <w:tcPr>
            <w:tcW w:w="4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Capitalization</w:t>
            </w:r>
          </w:p>
        </w:tc>
        <w:tc>
          <w:tcPr>
            <w:tcW w:w="4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95</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453"/>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Amortization</w:t>
            </w:r>
          </w:p>
        </w:tc>
        <w:tc>
          <w:tcPr>
            <w:tcW w:w="460" w:type="dxa"/>
            <w:vAlign w:val="bottom"/>
            <w:tcBorders>
              <w:bottom w:val="single" w:sz="8" w:color="auto"/>
            </w:tcBorders>
            <w:shd w:val="clear" w:color="auto" w:fill="CCEEFF"/>
          </w:tcPr>
          <w:p>
            <w:pPr>
              <w:spacing w:after="0"/>
              <w:rPr>
                <w:sz w:val="24"/>
                <w:szCs w:val="2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10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444"/>
        </w:trPr>
        <w:tc>
          <w:tcPr>
            <w:tcW w:w="4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Balance, end of period</w:t>
            </w:r>
          </w:p>
        </w:tc>
        <w:tc>
          <w:tcPr>
            <w:tcW w:w="4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1,842</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1,599</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221</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w:t>
            </w:r>
          </w:p>
        </w:tc>
      </w:tr>
      <w:tr>
        <w:trPr>
          <w:trHeight w:val="437"/>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VOBA:</w:t>
            </w:r>
          </w:p>
        </w:tc>
        <w:tc>
          <w:tcPr>
            <w:tcW w:w="46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r>
      <w:tr>
        <w:trPr>
          <w:trHeight w:val="441"/>
        </w:trPr>
        <w:tc>
          <w:tcPr>
            <w:tcW w:w="4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beginning of period</w:t>
            </w:r>
          </w:p>
        </w:tc>
        <w:tc>
          <w:tcPr>
            <w:tcW w:w="4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r>
      <w:tr>
        <w:trPr>
          <w:trHeight w:val="453"/>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Amortization</w:t>
            </w:r>
          </w:p>
        </w:tc>
        <w:tc>
          <w:tcPr>
            <w:tcW w:w="460" w:type="dxa"/>
            <w:vAlign w:val="bottom"/>
            <w:tcBorders>
              <w:bottom w:val="single" w:sz="8" w:color="auto"/>
            </w:tcBorders>
            <w:shd w:val="clear" w:color="auto" w:fill="CCEEFF"/>
          </w:tcPr>
          <w:p>
            <w:pPr>
              <w:spacing w:after="0"/>
              <w:rPr>
                <w:sz w:val="24"/>
                <w:szCs w:val="2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444"/>
        </w:trPr>
        <w:tc>
          <w:tcPr>
            <w:tcW w:w="4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end of period</w:t>
            </w:r>
          </w:p>
        </w:tc>
        <w:tc>
          <w:tcPr>
            <w:tcW w:w="4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r>
      <w:tr>
        <w:trPr>
          <w:trHeight w:val="437"/>
        </w:trPr>
        <w:tc>
          <w:tcPr>
            <w:tcW w:w="4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DAC and VOBA:</w:t>
            </w:r>
          </w:p>
        </w:tc>
        <w:tc>
          <w:tcPr>
            <w:tcW w:w="460" w:type="dxa"/>
            <w:vAlign w:val="bottom"/>
            <w:tcBorders>
              <w:top w:val="single" w:sz="8" w:color="auto"/>
            </w:tcBorders>
            <w:shd w:val="clear" w:color="auto" w:fill="CCEEFF"/>
          </w:tcPr>
          <w:p>
            <w:pPr>
              <w:spacing w:after="0"/>
              <w:rPr>
                <w:sz w:val="24"/>
                <w:szCs w:val="24"/>
                <w:color w:val="auto"/>
              </w:rPr>
            </w:pPr>
          </w:p>
        </w:tc>
        <w:tc>
          <w:tcPr>
            <w:tcW w:w="76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200" w:type="dxa"/>
            <w:vAlign w:val="bottom"/>
            <w:tcBorders>
              <w:top w:val="single" w:sz="8" w:color="auto"/>
            </w:tcBorders>
            <w:shd w:val="clear" w:color="auto" w:fill="CCEEFF"/>
          </w:tcPr>
          <w:p>
            <w:pPr>
              <w:spacing w:after="0"/>
              <w:rPr>
                <w:sz w:val="24"/>
                <w:szCs w:val="24"/>
                <w:color w:val="auto"/>
              </w:rPr>
            </w:pPr>
          </w:p>
        </w:tc>
        <w:tc>
          <w:tcPr>
            <w:tcW w:w="102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60" w:type="dxa"/>
            <w:vAlign w:val="bottom"/>
            <w:tcBorders>
              <w:top w:val="single" w:sz="8" w:color="auto"/>
            </w:tcBorders>
            <w:shd w:val="clear" w:color="auto" w:fill="CCEEFF"/>
          </w:tcPr>
          <w:p>
            <w:pPr>
              <w:spacing w:after="0"/>
              <w:rPr>
                <w:sz w:val="24"/>
                <w:szCs w:val="24"/>
                <w:color w:val="auto"/>
              </w:rPr>
            </w:pPr>
          </w:p>
        </w:tc>
        <w:tc>
          <w:tcPr>
            <w:tcW w:w="106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40" w:type="dxa"/>
            <w:vAlign w:val="bottom"/>
            <w:tcBorders>
              <w:top w:val="single" w:sz="8" w:color="auto"/>
            </w:tcBorders>
            <w:shd w:val="clear" w:color="auto" w:fill="CCEEFF"/>
          </w:tcPr>
          <w:p>
            <w:pPr>
              <w:spacing w:after="0"/>
              <w:rPr>
                <w:sz w:val="24"/>
                <w:szCs w:val="24"/>
                <w:color w:val="auto"/>
              </w:rPr>
            </w:pPr>
          </w:p>
        </w:tc>
        <w:tc>
          <w:tcPr>
            <w:tcW w:w="108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40" w:type="dxa"/>
            <w:vAlign w:val="bottom"/>
            <w:tcBorders>
              <w:top w:val="single" w:sz="8" w:color="auto"/>
            </w:tcBorders>
            <w:shd w:val="clear" w:color="auto" w:fill="CCEEFF"/>
          </w:tcPr>
          <w:p>
            <w:pPr>
              <w:spacing w:after="0"/>
              <w:rPr>
                <w:sz w:val="24"/>
                <w:szCs w:val="24"/>
                <w:color w:val="auto"/>
              </w:rPr>
            </w:pPr>
          </w:p>
        </w:tc>
        <w:tc>
          <w:tcPr>
            <w:tcW w:w="1080" w:type="dxa"/>
            <w:vAlign w:val="bottom"/>
            <w:tcBorders>
              <w:top w:val="single" w:sz="8" w:color="auto"/>
            </w:tcBorders>
            <w:shd w:val="clear" w:color="auto" w:fill="CCEEFF"/>
          </w:tcPr>
          <w:p>
            <w:pPr>
              <w:spacing w:after="0"/>
              <w:rPr>
                <w:sz w:val="24"/>
                <w:szCs w:val="24"/>
                <w:color w:val="auto"/>
              </w:rPr>
            </w:pPr>
          </w:p>
        </w:tc>
      </w:tr>
      <w:tr>
        <w:trPr>
          <w:trHeight w:val="450"/>
        </w:trPr>
        <w:tc>
          <w:tcPr>
            <w:tcW w:w="4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end of period</w:t>
            </w:r>
          </w:p>
        </w:tc>
        <w:tc>
          <w:tcPr>
            <w:tcW w:w="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2,087</w:t>
            </w:r>
          </w:p>
        </w:tc>
        <w:tc>
          <w:tcPr>
            <w:tcW w:w="100" w:type="dxa"/>
            <w:vAlign w:val="bottom"/>
          </w:tcPr>
          <w:p>
            <w:pPr>
              <w:spacing w:after="0"/>
              <w:rPr>
                <w:sz w:val="24"/>
                <w:szCs w:val="24"/>
                <w:color w:val="auto"/>
              </w:rPr>
            </w:pPr>
          </w:p>
        </w:tc>
        <w:tc>
          <w:tcPr>
            <w:tcW w:w="2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170</w:t>
            </w:r>
          </w:p>
        </w:tc>
        <w:tc>
          <w:tcPr>
            <w:tcW w:w="120" w:type="dxa"/>
            <w:vAlign w:val="bottom"/>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1,599</w:t>
            </w:r>
          </w:p>
        </w:tc>
        <w:tc>
          <w:tcPr>
            <w:tcW w:w="10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224</w:t>
            </w:r>
          </w:p>
        </w:tc>
        <w:tc>
          <w:tcPr>
            <w:tcW w:w="10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w:t>
            </w:r>
          </w:p>
        </w:tc>
      </w:tr>
      <w:tr>
        <w:trPr>
          <w:trHeight w:val="20"/>
        </w:trPr>
        <w:tc>
          <w:tcPr>
            <w:tcW w:w="47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417"/>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March 31, 2025</w:t>
            </w:r>
          </w:p>
        </w:tc>
        <w:tc>
          <w:tcPr>
            <w:tcW w:w="46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r>
      <w:tr>
        <w:trPr>
          <w:trHeight w:val="441"/>
        </w:trPr>
        <w:tc>
          <w:tcPr>
            <w:tcW w:w="47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DAC:</w:t>
            </w: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460"/>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beginning of period</w:t>
            </w:r>
          </w:p>
        </w:tc>
        <w:tc>
          <w:tcPr>
            <w:tcW w:w="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2,040</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1,462</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w:t>
            </w:r>
          </w:p>
        </w:tc>
      </w:tr>
      <w:tr>
        <w:trPr>
          <w:trHeight w:val="441"/>
        </w:trPr>
        <w:tc>
          <w:tcPr>
            <w:tcW w:w="4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Capitalization</w:t>
            </w:r>
          </w:p>
        </w:tc>
        <w:tc>
          <w:tcPr>
            <w:tcW w:w="4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94</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453"/>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Amortization</w:t>
            </w:r>
          </w:p>
        </w:tc>
        <w:tc>
          <w:tcPr>
            <w:tcW w:w="46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444"/>
        </w:trPr>
        <w:tc>
          <w:tcPr>
            <w:tcW w:w="4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Balance, end of period</w:t>
            </w:r>
          </w:p>
        </w:tc>
        <w:tc>
          <w:tcPr>
            <w:tcW w:w="460" w:type="dxa"/>
            <w:vAlign w:val="bottom"/>
            <w:tcBorders>
              <w:top w:val="single" w:sz="8" w:color="auto"/>
              <w:bottom w:val="single" w:sz="8" w:color="auto"/>
            </w:tcBorders>
          </w:tcPr>
          <w:p>
            <w:pPr>
              <w:spacing w:after="0"/>
              <w:rPr>
                <w:sz w:val="24"/>
                <w:szCs w:val="24"/>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1,998</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106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1,492</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262</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w:t>
            </w:r>
          </w:p>
        </w:tc>
      </w:tr>
      <w:tr>
        <w:trPr>
          <w:trHeight w:val="437"/>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VOBA:</w:t>
            </w:r>
          </w:p>
        </w:tc>
        <w:tc>
          <w:tcPr>
            <w:tcW w:w="46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r>
      <w:tr>
        <w:trPr>
          <w:trHeight w:val="441"/>
        </w:trPr>
        <w:tc>
          <w:tcPr>
            <w:tcW w:w="4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beginning of period</w:t>
            </w:r>
          </w:p>
        </w:tc>
        <w:tc>
          <w:tcPr>
            <w:tcW w:w="4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r>
      <w:tr>
        <w:trPr>
          <w:trHeight w:val="453"/>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Amortization</w:t>
            </w:r>
          </w:p>
        </w:tc>
        <w:tc>
          <w:tcPr>
            <w:tcW w:w="460" w:type="dxa"/>
            <w:vAlign w:val="bottom"/>
            <w:tcBorders>
              <w:bottom w:val="single" w:sz="8" w:color="auto"/>
            </w:tcBorders>
            <w:shd w:val="clear" w:color="auto" w:fill="CCEEFF"/>
          </w:tcPr>
          <w:p>
            <w:pPr>
              <w:spacing w:after="0"/>
              <w:rPr>
                <w:sz w:val="24"/>
                <w:szCs w:val="2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444"/>
        </w:trPr>
        <w:tc>
          <w:tcPr>
            <w:tcW w:w="4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end of period</w:t>
            </w:r>
          </w:p>
        </w:tc>
        <w:tc>
          <w:tcPr>
            <w:tcW w:w="4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r>
      <w:tr>
        <w:trPr>
          <w:trHeight w:val="437"/>
        </w:trPr>
        <w:tc>
          <w:tcPr>
            <w:tcW w:w="4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DAC and VOBA:</w:t>
            </w:r>
          </w:p>
        </w:tc>
        <w:tc>
          <w:tcPr>
            <w:tcW w:w="460" w:type="dxa"/>
            <w:vAlign w:val="bottom"/>
            <w:tcBorders>
              <w:top w:val="single" w:sz="8" w:color="auto"/>
            </w:tcBorders>
            <w:shd w:val="clear" w:color="auto" w:fill="CCEEFF"/>
          </w:tcPr>
          <w:p>
            <w:pPr>
              <w:spacing w:after="0"/>
              <w:rPr>
                <w:sz w:val="24"/>
                <w:szCs w:val="24"/>
                <w:color w:val="auto"/>
              </w:rPr>
            </w:pPr>
          </w:p>
        </w:tc>
        <w:tc>
          <w:tcPr>
            <w:tcW w:w="76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200" w:type="dxa"/>
            <w:vAlign w:val="bottom"/>
            <w:tcBorders>
              <w:top w:val="single" w:sz="8" w:color="auto"/>
            </w:tcBorders>
            <w:shd w:val="clear" w:color="auto" w:fill="CCEEFF"/>
          </w:tcPr>
          <w:p>
            <w:pPr>
              <w:spacing w:after="0"/>
              <w:rPr>
                <w:sz w:val="24"/>
                <w:szCs w:val="24"/>
                <w:color w:val="auto"/>
              </w:rPr>
            </w:pPr>
          </w:p>
        </w:tc>
        <w:tc>
          <w:tcPr>
            <w:tcW w:w="102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60" w:type="dxa"/>
            <w:vAlign w:val="bottom"/>
            <w:tcBorders>
              <w:top w:val="single" w:sz="8" w:color="auto"/>
            </w:tcBorders>
            <w:shd w:val="clear" w:color="auto" w:fill="CCEEFF"/>
          </w:tcPr>
          <w:p>
            <w:pPr>
              <w:spacing w:after="0"/>
              <w:rPr>
                <w:sz w:val="24"/>
                <w:szCs w:val="24"/>
                <w:color w:val="auto"/>
              </w:rPr>
            </w:pPr>
          </w:p>
        </w:tc>
        <w:tc>
          <w:tcPr>
            <w:tcW w:w="106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40" w:type="dxa"/>
            <w:vAlign w:val="bottom"/>
            <w:tcBorders>
              <w:top w:val="single" w:sz="8" w:color="auto"/>
            </w:tcBorders>
            <w:shd w:val="clear" w:color="auto" w:fill="CCEEFF"/>
          </w:tcPr>
          <w:p>
            <w:pPr>
              <w:spacing w:after="0"/>
              <w:rPr>
                <w:sz w:val="24"/>
                <w:szCs w:val="24"/>
                <w:color w:val="auto"/>
              </w:rPr>
            </w:pPr>
          </w:p>
        </w:tc>
        <w:tc>
          <w:tcPr>
            <w:tcW w:w="108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40" w:type="dxa"/>
            <w:vAlign w:val="bottom"/>
            <w:tcBorders>
              <w:top w:val="single" w:sz="8" w:color="auto"/>
            </w:tcBorders>
            <w:shd w:val="clear" w:color="auto" w:fill="CCEEFF"/>
          </w:tcPr>
          <w:p>
            <w:pPr>
              <w:spacing w:after="0"/>
              <w:rPr>
                <w:sz w:val="24"/>
                <w:szCs w:val="24"/>
                <w:color w:val="auto"/>
              </w:rPr>
            </w:pPr>
          </w:p>
        </w:tc>
        <w:tc>
          <w:tcPr>
            <w:tcW w:w="1080" w:type="dxa"/>
            <w:vAlign w:val="bottom"/>
            <w:tcBorders>
              <w:top w:val="single" w:sz="8" w:color="auto"/>
            </w:tcBorders>
            <w:shd w:val="clear" w:color="auto" w:fill="CCEEFF"/>
          </w:tcPr>
          <w:p>
            <w:pPr>
              <w:spacing w:after="0"/>
              <w:rPr>
                <w:sz w:val="24"/>
                <w:szCs w:val="24"/>
                <w:color w:val="auto"/>
              </w:rPr>
            </w:pPr>
          </w:p>
        </w:tc>
      </w:tr>
      <w:tr>
        <w:trPr>
          <w:trHeight w:val="450"/>
        </w:trPr>
        <w:tc>
          <w:tcPr>
            <w:tcW w:w="4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end of period</w:t>
            </w:r>
          </w:p>
        </w:tc>
        <w:tc>
          <w:tcPr>
            <w:tcW w:w="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2,270</w:t>
            </w:r>
          </w:p>
        </w:tc>
        <w:tc>
          <w:tcPr>
            <w:tcW w:w="100" w:type="dxa"/>
            <w:vAlign w:val="bottom"/>
          </w:tcPr>
          <w:p>
            <w:pPr>
              <w:spacing w:after="0"/>
              <w:rPr>
                <w:sz w:val="24"/>
                <w:szCs w:val="24"/>
                <w:color w:val="auto"/>
              </w:rPr>
            </w:pPr>
          </w:p>
        </w:tc>
        <w:tc>
          <w:tcPr>
            <w:tcW w:w="2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170</w:t>
            </w:r>
          </w:p>
        </w:tc>
        <w:tc>
          <w:tcPr>
            <w:tcW w:w="120" w:type="dxa"/>
            <w:vAlign w:val="bottom"/>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1,492</w:t>
            </w:r>
          </w:p>
        </w:tc>
        <w:tc>
          <w:tcPr>
            <w:tcW w:w="10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265</w:t>
            </w:r>
          </w:p>
        </w:tc>
        <w:tc>
          <w:tcPr>
            <w:tcW w:w="10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w:t>
            </w:r>
          </w:p>
        </w:tc>
      </w:tr>
      <w:tr>
        <w:trPr>
          <w:trHeight w:val="20"/>
        </w:trPr>
        <w:tc>
          <w:tcPr>
            <w:tcW w:w="47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Sales Inducements</w:t>
      </w:r>
    </w:p>
    <w:p>
      <w:pPr>
        <w:spacing w:after="0" w:line="1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Information regarding deferred sales inducements, included in other assets, was as follows:</w:t>
      </w:r>
    </w:p>
    <w:p>
      <w:pPr>
        <w:sectPr>
          <w:pgSz w:w="11900" w:h="16838" w:orient="portrait"/>
          <w:cols w:equalWidth="0" w:num="1">
            <w:col w:w="11240"/>
          </w:cols>
          <w:pgMar w:left="320" w:top="230" w:right="339" w:bottom="377" w:gutter="0" w:footer="0" w:header="0"/>
        </w:sectPr>
      </w:pPr>
    </w:p>
    <w:bookmarkStart w:id="20" w:name="page21"/>
    <w:bookmarkEnd w:id="2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Balance, beginning of period</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Amortization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Balance, end of period</w:t>
      </w:r>
    </w:p>
    <w:p>
      <w:pPr>
        <w:spacing w:after="0" w:line="20" w:lineRule="exact"/>
        <w:rPr>
          <w:sz w:val="20"/>
          <w:szCs w:val="20"/>
          <w:color w:val="auto"/>
        </w:rPr>
      </w:pPr>
      <w:r>
        <w:rPr>
          <w:sz w:val="20"/>
          <w:szCs w:val="20"/>
          <w:color w:val="auto"/>
        </w:rPr>
        <w:br w:type="column"/>
      </w:r>
    </w:p>
    <w:p>
      <w:pPr>
        <w:ind w:left="18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p>
      <w:pPr>
        <w:spacing w:after="0" w:line="42" w:lineRule="exact"/>
        <w:rPr>
          <w:sz w:val="20"/>
          <w:szCs w:val="20"/>
          <w:color w:val="auto"/>
        </w:rPr>
      </w:pPr>
    </w:p>
    <w:tbl>
      <w:tblPr>
        <w:tblLayout w:type="fixed"/>
        <w:tblInd w:w="160" w:type="dxa"/>
        <w:tblCellMar>
          <w:top w:w="0" w:type="dxa"/>
          <w:left w:w="0" w:type="dxa"/>
          <w:bottom w:w="0" w:type="dxa"/>
          <w:right w:w="0" w:type="dxa"/>
        </w:tblCellMar>
      </w:tblPr>
      <w:tr>
        <w:trPr>
          <w:trHeight w:val="201"/>
        </w:trPr>
        <w:tc>
          <w:tcPr>
            <w:tcW w:w="5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gridSpan w:val="3"/>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gridSpan w:val="3"/>
          </w:tcPr>
          <w:p>
            <w:pPr>
              <w:jc w:val="right"/>
              <w:ind w:right="423"/>
              <w:spacing w:after="0"/>
              <w:rPr>
                <w:sz w:val="20"/>
                <w:szCs w:val="20"/>
                <w:color w:val="auto"/>
              </w:rPr>
            </w:pPr>
            <w:r>
              <w:rPr>
                <w:rFonts w:ascii="Times New Roman" w:cs="Times New Roman" w:eastAsia="Times New Roman" w:hAnsi="Times New Roman"/>
                <w:sz w:val="14"/>
                <w:szCs w:val="14"/>
                <w:b w:val="1"/>
                <w:bCs w:val="1"/>
                <w:color w:val="auto"/>
              </w:rPr>
              <w:t>2025</w:t>
            </w:r>
          </w:p>
        </w:tc>
        <w:tc>
          <w:tcPr>
            <w:tcW w:w="700" w:type="dxa"/>
            <w:vAlign w:val="bottom"/>
            <w:tcBorders>
              <w:top w:val="single" w:sz="8" w:color="auto"/>
            </w:tcBorders>
          </w:tcPr>
          <w:p>
            <w:pPr>
              <w:spacing w:after="0"/>
              <w:rPr>
                <w:sz w:val="17"/>
                <w:szCs w:val="17"/>
                <w:color w:val="auto"/>
              </w:rPr>
            </w:pPr>
          </w:p>
        </w:tc>
      </w:tr>
      <w:tr>
        <w:trPr>
          <w:trHeight w:val="38"/>
        </w:trPr>
        <w:tc>
          <w:tcPr>
            <w:tcW w:w="5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r>
      <w:tr>
        <w:trPr>
          <w:trHeight w:val="167"/>
        </w:trPr>
        <w:tc>
          <w:tcPr>
            <w:tcW w:w="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Fixed Rate</w:t>
            </w:r>
          </w:p>
        </w:tc>
        <w:tc>
          <w:tcPr>
            <w:tcW w:w="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86"/>
        </w:trPr>
        <w:tc>
          <w:tcPr>
            <w:tcW w:w="132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Variable Annuities</w:t>
            </w:r>
          </w:p>
        </w:tc>
        <w:tc>
          <w:tcPr>
            <w:tcW w:w="220" w:type="dxa"/>
            <w:vAlign w:val="bottom"/>
          </w:tcPr>
          <w:p>
            <w:pPr>
              <w:spacing w:after="0"/>
              <w:rPr>
                <w:sz w:val="16"/>
                <w:szCs w:val="16"/>
                <w:color w:val="auto"/>
              </w:rPr>
            </w:pP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Annuities</w:t>
            </w:r>
          </w:p>
        </w:tc>
        <w:tc>
          <w:tcPr>
            <w:tcW w:w="136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Variable Annuities</w:t>
            </w:r>
          </w:p>
        </w:tc>
        <w:tc>
          <w:tcPr>
            <w:tcW w:w="13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w w:val="99"/>
              </w:rPr>
              <w:t>Fixed Rate Annuities</w:t>
            </w:r>
          </w:p>
        </w:tc>
      </w:tr>
      <w:tr>
        <w:trPr>
          <w:trHeight w:val="38"/>
        </w:trPr>
        <w:tc>
          <w:tcPr>
            <w:tcW w:w="5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820" w:type="dxa"/>
            <w:vAlign w:val="bottom"/>
            <w:tcBorders>
              <w:bottom w:val="single" w:sz="8" w:color="auto"/>
            </w:tcBorders>
            <w:gridSpan w:val="3"/>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r>
      <w:tr>
        <w:trPr>
          <w:trHeight w:val="181"/>
        </w:trPr>
        <w:tc>
          <w:tcPr>
            <w:tcW w:w="5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20" w:type="dxa"/>
            <w:vAlign w:val="bottom"/>
            <w:gridSpan w:val="3"/>
          </w:tcPr>
          <w:p>
            <w:pPr>
              <w:jc w:val="right"/>
              <w:ind w:right="223"/>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245"/>
        </w:trPr>
        <w:tc>
          <w:tcPr>
            <w:tcW w:w="520" w:type="dxa"/>
            <w:vAlign w:val="bottom"/>
          </w:tcPr>
          <w:p>
            <w:pPr>
              <w:jc w:val="right"/>
              <w:ind w:right="343"/>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169</w:t>
            </w:r>
          </w:p>
        </w:tc>
        <w:tc>
          <w:tcPr>
            <w:tcW w:w="80" w:type="dxa"/>
            <w:vAlign w:val="bottom"/>
          </w:tcPr>
          <w:p>
            <w:pPr>
              <w:spacing w:after="0"/>
              <w:rPr>
                <w:sz w:val="21"/>
                <w:szCs w:val="21"/>
                <w:color w:val="auto"/>
              </w:rPr>
            </w:pP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21"/>
                <w:szCs w:val="21"/>
                <w:color w:val="auto"/>
              </w:rPr>
            </w:pPr>
          </w:p>
        </w:tc>
        <w:tc>
          <w:tcPr>
            <w:tcW w:w="680" w:type="dxa"/>
            <w:vAlign w:val="bottom"/>
          </w:tcPr>
          <w:p>
            <w:pPr>
              <w:jc w:val="right"/>
              <w:ind w:right="503"/>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189</w:t>
            </w:r>
          </w:p>
        </w:tc>
        <w:tc>
          <w:tcPr>
            <w:tcW w:w="80" w:type="dxa"/>
            <w:vAlign w:val="bottom"/>
          </w:tcPr>
          <w:p>
            <w:pPr>
              <w:spacing w:after="0"/>
              <w:rPr>
                <w:sz w:val="21"/>
                <w:szCs w:val="21"/>
                <w:color w:val="auto"/>
              </w:rPr>
            </w:pPr>
          </w:p>
        </w:tc>
        <w:tc>
          <w:tcPr>
            <w:tcW w:w="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214"/>
        </w:trPr>
        <w:tc>
          <w:tcPr>
            <w:tcW w:w="5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6"/>
        </w:trPr>
        <w:tc>
          <w:tcPr>
            <w:tcW w:w="520" w:type="dxa"/>
            <w:vAlign w:val="bottom"/>
            <w:tcBorders>
              <w:top w:val="single" w:sz="8" w:color="auto"/>
              <w:bottom w:val="single" w:sz="8" w:color="auto"/>
            </w:tcBorders>
          </w:tcPr>
          <w:p>
            <w:pPr>
              <w:jc w:val="right"/>
              <w:ind w:right="343"/>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164</w:t>
            </w:r>
          </w:p>
        </w:tc>
        <w:tc>
          <w:tcPr>
            <w:tcW w:w="8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7"/>
                <w:szCs w:val="17"/>
                <w:color w:val="auto"/>
              </w:rPr>
            </w:pPr>
          </w:p>
        </w:tc>
        <w:tc>
          <w:tcPr>
            <w:tcW w:w="680" w:type="dxa"/>
            <w:vAlign w:val="bottom"/>
            <w:tcBorders>
              <w:top w:val="single" w:sz="8" w:color="auto"/>
              <w:bottom w:val="single" w:sz="8" w:color="auto"/>
            </w:tcBorders>
          </w:tcPr>
          <w:p>
            <w:pPr>
              <w:jc w:val="right"/>
              <w:ind w:right="503"/>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184</w:t>
            </w:r>
          </w:p>
        </w:tc>
        <w:tc>
          <w:tcPr>
            <w:tcW w:w="80" w:type="dxa"/>
            <w:vAlign w:val="bottom"/>
          </w:tcPr>
          <w:p>
            <w:pPr>
              <w:spacing w:after="0"/>
              <w:rPr>
                <w:sz w:val="17"/>
                <w:szCs w:val="17"/>
                <w:color w:val="auto"/>
              </w:rPr>
            </w:pPr>
          </w:p>
        </w:tc>
        <w:tc>
          <w:tcPr>
            <w:tcW w:w="6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22"/>
        </w:trPr>
        <w:tc>
          <w:tcPr>
            <w:tcW w:w="5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-3606800</wp:posOffset>
            </wp:positionH>
            <wp:positionV relativeFrom="paragraph">
              <wp:posOffset>-445135</wp:posOffset>
            </wp:positionV>
            <wp:extent cx="7117715" cy="1346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17715" cy="134620"/>
                    </a:xfrm>
                    <a:prstGeom prst="rect">
                      <a:avLst/>
                    </a:prstGeom>
                    <a:noFill/>
                  </pic:spPr>
                </pic:pic>
              </a:graphicData>
            </a:graphic>
          </wp:anchor>
        </w:drawing>
        <w:drawing>
          <wp:anchor simplePos="0" relativeHeight="251657728" behindDoc="1" locked="0" layoutInCell="0" allowOverlap="1">
            <wp:simplePos x="0" y="0"/>
            <wp:positionH relativeFrom="column">
              <wp:posOffset>-3606800</wp:posOffset>
            </wp:positionH>
            <wp:positionV relativeFrom="paragraph">
              <wp:posOffset>-175895</wp:posOffset>
            </wp:positionV>
            <wp:extent cx="7117715" cy="1600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17715" cy="160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-3627755</wp:posOffset>
            </wp:positionH>
            <wp:positionV relativeFrom="paragraph">
              <wp:posOffset>69215</wp:posOffset>
            </wp:positionV>
            <wp:extent cx="716026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2">
            <w:col w:w="4940" w:space="720"/>
            <w:col w:w="5520"/>
          </w:cols>
          <w:pgMar w:left="360" w:top="168" w:right="3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Life Insurance Company</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 Indirect Wholly-Owned Subsidiary of Brighthouse Financial, Inc.)</w:t>
      </w:r>
    </w:p>
    <w:p>
      <w:pPr>
        <w:spacing w:after="0" w:line="90"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Deferred Policy Acquisition Costs, Value of Business Acquired and Other Intangibles (continued)</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Unearned Revenue</w:t>
      </w:r>
    </w:p>
    <w:p>
      <w:pPr>
        <w:spacing w:after="0" w:line="1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Information regarding unearned revenue, included in other policy-related balances, was as follows: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38"/>
        </w:trPr>
        <w:tc>
          <w:tcPr>
            <w:tcW w:w="354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r>
      <w:tr>
        <w:trPr>
          <w:trHeight w:val="181"/>
        </w:trPr>
        <w:tc>
          <w:tcPr>
            <w:tcW w:w="3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jc w:val="right"/>
              <w:ind w:right="25"/>
              <w:spacing w:after="0"/>
              <w:rPr>
                <w:sz w:val="20"/>
                <w:szCs w:val="20"/>
                <w:color w:val="auto"/>
              </w:rPr>
            </w:pPr>
            <w:r>
              <w:rPr>
                <w:rFonts w:ascii="Times New Roman" w:cs="Times New Roman" w:eastAsia="Times New Roman" w:hAnsi="Times New Roman"/>
                <w:sz w:val="14"/>
                <w:szCs w:val="14"/>
                <w:b w:val="1"/>
                <w:bCs w:val="1"/>
                <w:color w:val="auto"/>
              </w:rPr>
              <w:t>2026</w:t>
            </w: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jc w:val="right"/>
              <w:ind w:right="383"/>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38"/>
        </w:trPr>
        <w:tc>
          <w:tcPr>
            <w:tcW w:w="354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gridSpan w:val="2"/>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gridSpan w:val="2"/>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r>
      <w:tr>
        <w:trPr>
          <w:trHeight w:val="167"/>
        </w:trPr>
        <w:tc>
          <w:tcPr>
            <w:tcW w:w="3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Universal Life</w:t>
            </w: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Universal Life</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86"/>
        </w:trPr>
        <w:tc>
          <w:tcPr>
            <w:tcW w:w="3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Insurance</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ULSG</w:t>
            </w: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Variable Annuities</w:t>
            </w:r>
          </w:p>
        </w:tc>
        <w:tc>
          <w:tcPr>
            <w:tcW w:w="140" w:type="dxa"/>
            <w:vAlign w:val="bottom"/>
          </w:tcPr>
          <w:p>
            <w:pPr>
              <w:spacing w:after="0"/>
              <w:rPr>
                <w:sz w:val="16"/>
                <w:szCs w:val="16"/>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Insurance</w:t>
            </w:r>
          </w:p>
        </w:tc>
        <w:tc>
          <w:tcPr>
            <w:tcW w:w="260" w:type="dxa"/>
            <w:vAlign w:val="bottom"/>
          </w:tcPr>
          <w:p>
            <w:pPr>
              <w:spacing w:after="0"/>
              <w:rPr>
                <w:sz w:val="16"/>
                <w:szCs w:val="16"/>
                <w:color w:val="auto"/>
              </w:rPr>
            </w:pPr>
          </w:p>
        </w:tc>
        <w:tc>
          <w:tcPr>
            <w:tcW w:w="10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ULSG</w:t>
            </w:r>
          </w:p>
        </w:tc>
        <w:tc>
          <w:tcPr>
            <w:tcW w:w="12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Variable Annuities</w:t>
            </w:r>
          </w:p>
        </w:tc>
      </w:tr>
      <w:tr>
        <w:trPr>
          <w:trHeight w:val="38"/>
        </w:trPr>
        <w:tc>
          <w:tcPr>
            <w:tcW w:w="354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400" w:type="dxa"/>
            <w:vAlign w:val="bottom"/>
            <w:tcBorders>
              <w:bottom w:val="single" w:sz="8" w:color="auto"/>
            </w:tcBorders>
            <w:gridSpan w:val="5"/>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r>
      <w:tr>
        <w:trPr>
          <w:trHeight w:val="181"/>
        </w:trPr>
        <w:tc>
          <w:tcPr>
            <w:tcW w:w="3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0" w:type="dxa"/>
            <w:vAlign w:val="bottom"/>
            <w:gridSpan w:val="5"/>
          </w:tcPr>
          <w:p>
            <w:pPr>
              <w:ind w:left="7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38"/>
        </w:trPr>
        <w:tc>
          <w:tcPr>
            <w:tcW w:w="3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86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r>
      <w:tr>
        <w:trPr>
          <w:trHeight w:val="212"/>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beginning of period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685"/>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793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53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190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715</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63"/>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59</w:t>
            </w:r>
          </w:p>
        </w:tc>
      </w:tr>
      <w:tr>
        <w:trPr>
          <w:trHeight w:val="210"/>
        </w:trPr>
        <w:tc>
          <w:tcPr>
            <w:tcW w:w="3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Capitalization</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39</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Amortization</w:t>
            </w:r>
          </w:p>
        </w:tc>
        <w:tc>
          <w:tcPr>
            <w:tcW w:w="1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8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w w:val="96"/>
              </w:rPr>
              <w:t>(2)</w:t>
            </w:r>
          </w:p>
        </w:tc>
      </w:tr>
      <w:tr>
        <w:trPr>
          <w:trHeight w:val="207"/>
        </w:trPr>
        <w:tc>
          <w:tcPr>
            <w:tcW w:w="3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end of period</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220</w:t>
            </w:r>
          </w:p>
        </w:tc>
        <w:tc>
          <w:tcPr>
            <w:tcW w:w="80" w:type="dxa"/>
            <w:vAlign w:val="bottom"/>
          </w:tcPr>
          <w:p>
            <w:pPr>
              <w:spacing w:after="0"/>
              <w:rPr>
                <w:sz w:val="18"/>
                <w:szCs w:val="18"/>
                <w:color w:val="auto"/>
              </w:rPr>
            </w:pPr>
          </w:p>
        </w:tc>
        <w:tc>
          <w:tcPr>
            <w:tcW w:w="860" w:type="dxa"/>
            <w:vAlign w:val="bottom"/>
            <w:tcBorders>
              <w:bottom w:val="single" w:sz="8" w:color="auto"/>
            </w:tcBorders>
          </w:tcPr>
          <w:p>
            <w:pPr>
              <w:jc w:val="right"/>
              <w:ind w:right="685"/>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808</w:t>
            </w:r>
          </w:p>
        </w:tc>
        <w:tc>
          <w:tcPr>
            <w:tcW w:w="80" w:type="dxa"/>
            <w:vAlign w:val="bottom"/>
          </w:tcPr>
          <w:p>
            <w:pPr>
              <w:spacing w:after="0"/>
              <w:rPr>
                <w:sz w:val="18"/>
                <w:szCs w:val="18"/>
                <w:color w:val="auto"/>
              </w:rPr>
            </w:pPr>
          </w:p>
        </w:tc>
        <w:tc>
          <w:tcPr>
            <w:tcW w:w="20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6"/>
                <w:szCs w:val="16"/>
                <w:color w:val="auto"/>
              </w:rPr>
              <w:t>51</w:t>
            </w:r>
          </w:p>
        </w:tc>
        <w:tc>
          <w:tcPr>
            <w:tcW w:w="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197</w:t>
            </w:r>
          </w:p>
        </w:tc>
        <w:tc>
          <w:tcPr>
            <w:tcW w:w="80" w:type="dxa"/>
            <w:vAlign w:val="bottom"/>
          </w:tcPr>
          <w:p>
            <w:pPr>
              <w:spacing w:after="0"/>
              <w:rPr>
                <w:sz w:val="18"/>
                <w:szCs w:val="18"/>
                <w:color w:val="auto"/>
              </w:rPr>
            </w:pPr>
          </w:p>
        </w:tc>
        <w:tc>
          <w:tcPr>
            <w:tcW w:w="26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736</w:t>
            </w:r>
          </w:p>
        </w:tc>
        <w:tc>
          <w:tcPr>
            <w:tcW w:w="80" w:type="dxa"/>
            <w:vAlign w:val="bottom"/>
          </w:tcPr>
          <w:p>
            <w:pPr>
              <w:spacing w:after="0"/>
              <w:rPr>
                <w:sz w:val="18"/>
                <w:szCs w:val="18"/>
                <w:color w:val="auto"/>
              </w:rPr>
            </w:pPr>
          </w:p>
        </w:tc>
        <w:tc>
          <w:tcPr>
            <w:tcW w:w="540" w:type="dxa"/>
            <w:vAlign w:val="bottom"/>
            <w:tcBorders>
              <w:bottom w:val="single" w:sz="8" w:color="auto"/>
            </w:tcBorders>
          </w:tcPr>
          <w:p>
            <w:pPr>
              <w:jc w:val="right"/>
              <w:ind w:right="363"/>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6"/>
                <w:szCs w:val="16"/>
                <w:color w:val="auto"/>
              </w:rPr>
              <w:t>57</w:t>
            </w:r>
          </w:p>
        </w:tc>
      </w:tr>
      <w:tr>
        <w:trPr>
          <w:trHeight w:val="20"/>
        </w:trPr>
        <w:tc>
          <w:tcPr>
            <w:tcW w:w="3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Investments</w:t>
      </w:r>
    </w:p>
    <w:p>
      <w:pPr>
        <w:spacing w:after="0" w:line="166"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See Notes 1 and 10 of the Notes to the Consolidated Financial Statements included in the 2025 Annual Report for a description of the Company’s accounting policies for investments and the fair value hierarchy for investments and the related valuation methodologies.</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Fixed Maturity Securities Available-For-Sale</w:t>
      </w:r>
    </w:p>
    <w:p>
      <w:pPr>
        <w:spacing w:after="0" w:line="11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Fixed Maturity Securities by Sector</w:t>
      </w:r>
    </w:p>
    <w:p>
      <w:pPr>
        <w:spacing w:after="0" w:line="11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Fixed maturity securities by sector were as follows at:</w:t>
      </w: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0" w:type="dxa"/>
            <w:vAlign w:val="bottom"/>
            <w:gridSpan w:val="5"/>
          </w:tcPr>
          <w:p>
            <w:pPr>
              <w:ind w:left="380"/>
              <w:spacing w:after="0"/>
              <w:rPr>
                <w:sz w:val="20"/>
                <w:szCs w:val="20"/>
                <w:color w:val="auto"/>
              </w:rPr>
            </w:pPr>
            <w:r>
              <w:rPr>
                <w:rFonts w:ascii="Times New Roman" w:cs="Times New Roman" w:eastAsia="Times New Roman" w:hAnsi="Times New Roman"/>
                <w:sz w:val="12"/>
                <w:szCs w:val="12"/>
                <w:b w:val="1"/>
                <w:bCs w:val="1"/>
                <w:color w:val="auto"/>
              </w:rPr>
              <w:t>March 31, 2026</w:t>
            </w: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20" w:type="dxa"/>
            <w:vAlign w:val="bottom"/>
            <w:gridSpan w:val="5"/>
          </w:tcPr>
          <w:p>
            <w:pPr>
              <w:ind w:left="280"/>
              <w:spacing w:after="0"/>
              <w:rPr>
                <w:sz w:val="20"/>
                <w:szCs w:val="20"/>
                <w:color w:val="auto"/>
              </w:rPr>
            </w:pPr>
            <w:r>
              <w:rPr>
                <w:rFonts w:ascii="Times New Roman" w:cs="Times New Roman" w:eastAsia="Times New Roman" w:hAnsi="Times New Roman"/>
                <w:sz w:val="12"/>
                <w:szCs w:val="12"/>
                <w:b w:val="1"/>
                <w:bCs w:val="1"/>
                <w:color w:val="auto"/>
              </w:rPr>
              <w:t>December 31, 2025</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24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5"/>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5"/>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74"/>
        </w:trPr>
        <w:tc>
          <w:tcPr>
            <w:tcW w:w="2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gridSpan w:val="5"/>
          </w:tcPr>
          <w:p>
            <w:pPr>
              <w:ind w:left="140"/>
              <w:spacing w:after="0"/>
              <w:rPr>
                <w:sz w:val="20"/>
                <w:szCs w:val="20"/>
                <w:color w:val="auto"/>
              </w:rPr>
            </w:pPr>
            <w:r>
              <w:rPr>
                <w:rFonts w:ascii="Times New Roman" w:cs="Times New Roman" w:eastAsia="Times New Roman" w:hAnsi="Times New Roman"/>
                <w:sz w:val="12"/>
                <w:szCs w:val="12"/>
                <w:b w:val="1"/>
                <w:bCs w:val="1"/>
                <w:color w:val="auto"/>
              </w:rPr>
              <w:t>Gross Unrealized</w:t>
            </w: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gridSpan w:val="5"/>
          </w:tcPr>
          <w:p>
            <w:pPr>
              <w:ind w:left="100"/>
              <w:spacing w:after="0"/>
              <w:rPr>
                <w:sz w:val="20"/>
                <w:szCs w:val="20"/>
                <w:color w:val="auto"/>
              </w:rPr>
            </w:pPr>
            <w:r>
              <w:rPr>
                <w:rFonts w:ascii="Times New Roman" w:cs="Times New Roman" w:eastAsia="Times New Roman" w:hAnsi="Times New Roman"/>
                <w:sz w:val="12"/>
                <w:szCs w:val="12"/>
                <w:b w:val="1"/>
                <w:bCs w:val="1"/>
                <w:color w:val="auto"/>
              </w:rPr>
              <w:t>Gross Unrealized</w:t>
            </w: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b w:val="1"/>
                <w:bCs w:val="1"/>
                <w:color w:val="auto"/>
              </w:rPr>
              <w:t>Allowance for</w:t>
            </w: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2"/>
                <w:szCs w:val="12"/>
                <w:b w:val="1"/>
                <w:bCs w:val="1"/>
                <w:color w:val="auto"/>
              </w:rPr>
              <w:t>Estimated</w:t>
            </w:r>
          </w:p>
        </w:tc>
        <w:tc>
          <w:tcPr>
            <w:tcW w:w="3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gridSpan w:val="3"/>
            <w:vMerge w:val="restart"/>
          </w:tcPr>
          <w:p>
            <w:pPr>
              <w:ind w:left="80"/>
              <w:spacing w:after="0"/>
              <w:rPr>
                <w:sz w:val="20"/>
                <w:szCs w:val="20"/>
                <w:color w:val="auto"/>
              </w:rPr>
            </w:pPr>
            <w:r>
              <w:rPr>
                <w:rFonts w:ascii="Times New Roman" w:cs="Times New Roman" w:eastAsia="Times New Roman" w:hAnsi="Times New Roman"/>
                <w:sz w:val="12"/>
                <w:szCs w:val="12"/>
                <w:b w:val="1"/>
                <w:bCs w:val="1"/>
                <w:color w:val="auto"/>
              </w:rPr>
              <w:t>Allowance for</w:t>
            </w: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vMerge w:val="restart"/>
          </w:tcPr>
          <w:p>
            <w:pPr>
              <w:jc w:val="right"/>
              <w:ind w:right="71"/>
              <w:spacing w:after="0"/>
              <w:rPr>
                <w:sz w:val="20"/>
                <w:szCs w:val="20"/>
                <w:color w:val="auto"/>
              </w:rPr>
            </w:pPr>
            <w:r>
              <w:rPr>
                <w:rFonts w:ascii="Times New Roman" w:cs="Times New Roman" w:eastAsia="Times New Roman" w:hAnsi="Times New Roman"/>
                <w:sz w:val="12"/>
                <w:szCs w:val="12"/>
                <w:b w:val="1"/>
                <w:bCs w:val="1"/>
                <w:color w:val="auto"/>
                <w:w w:val="99"/>
              </w:rPr>
              <w:t>Estimated</w:t>
            </w:r>
          </w:p>
        </w:tc>
        <w:tc>
          <w:tcPr>
            <w:tcW w:w="0" w:type="dxa"/>
            <w:vAlign w:val="bottom"/>
          </w:tcPr>
          <w:p>
            <w:pPr>
              <w:spacing w:after="0"/>
              <w:rPr>
                <w:sz w:val="1"/>
                <w:szCs w:val="1"/>
                <w:color w:val="auto"/>
              </w:rPr>
            </w:pPr>
          </w:p>
        </w:tc>
      </w:tr>
      <w:tr>
        <w:trPr>
          <w:trHeight w:val="212"/>
        </w:trPr>
        <w:tc>
          <w:tcPr>
            <w:tcW w:w="2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3"/>
            <w:vMerge w:val="continue"/>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3"/>
            <w:vMerge w:val="continue"/>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440" w:type="dxa"/>
            <w:vAlign w:val="bottom"/>
          </w:tcPr>
          <w:p>
            <w:pPr>
              <w:spacing w:after="0"/>
              <w:rPr>
                <w:sz w:val="14"/>
                <w:szCs w:val="14"/>
                <w:color w:val="auto"/>
              </w:rPr>
            </w:pPr>
          </w:p>
        </w:tc>
        <w:tc>
          <w:tcPr>
            <w:tcW w:w="1020" w:type="dxa"/>
            <w:vAlign w:val="bottom"/>
            <w:gridSpan w:val="3"/>
          </w:tcPr>
          <w:p>
            <w:pPr>
              <w:ind w:left="60"/>
              <w:spacing w:after="0"/>
              <w:rPr>
                <w:sz w:val="20"/>
                <w:szCs w:val="20"/>
                <w:color w:val="auto"/>
              </w:rPr>
            </w:pPr>
            <w:r>
              <w:rPr>
                <w:rFonts w:ascii="Times New Roman" w:cs="Times New Roman" w:eastAsia="Times New Roman" w:hAnsi="Times New Roman"/>
                <w:sz w:val="12"/>
                <w:szCs w:val="12"/>
                <w:b w:val="1"/>
                <w:bCs w:val="1"/>
                <w:color w:val="auto"/>
              </w:rPr>
              <w:t>Amortized Cost</w:t>
            </w:r>
          </w:p>
        </w:tc>
        <w:tc>
          <w:tcPr>
            <w:tcW w:w="960" w:type="dxa"/>
            <w:vAlign w:val="bottom"/>
            <w:gridSpan w:val="3"/>
          </w:tcPr>
          <w:p>
            <w:pPr>
              <w:ind w:left="80"/>
              <w:spacing w:after="0"/>
              <w:rPr>
                <w:sz w:val="20"/>
                <w:szCs w:val="20"/>
                <w:color w:val="auto"/>
              </w:rPr>
            </w:pPr>
            <w:r>
              <w:rPr>
                <w:rFonts w:ascii="Times New Roman" w:cs="Times New Roman" w:eastAsia="Times New Roman" w:hAnsi="Times New Roman"/>
                <w:sz w:val="12"/>
                <w:szCs w:val="12"/>
                <w:b w:val="1"/>
                <w:bCs w:val="1"/>
                <w:color w:val="auto"/>
              </w:rPr>
              <w:t>Credit Losses</w:t>
            </w:r>
          </w:p>
        </w:tc>
        <w:tc>
          <w:tcPr>
            <w:tcW w:w="160" w:type="dxa"/>
            <w:vAlign w:val="bottom"/>
          </w:tcPr>
          <w:p>
            <w:pPr>
              <w:spacing w:after="0"/>
              <w:rPr>
                <w:sz w:val="14"/>
                <w:szCs w:val="14"/>
                <w:color w:val="auto"/>
              </w:rPr>
            </w:pPr>
          </w:p>
        </w:tc>
        <w:tc>
          <w:tcPr>
            <w:tcW w:w="660" w:type="dxa"/>
            <w:vAlign w:val="bottom"/>
            <w:gridSpan w:val="2"/>
          </w:tcPr>
          <w:p>
            <w:pPr>
              <w:ind w:left="40"/>
              <w:spacing w:after="0"/>
              <w:rPr>
                <w:sz w:val="20"/>
                <w:szCs w:val="20"/>
                <w:color w:val="auto"/>
              </w:rPr>
            </w:pPr>
            <w:r>
              <w:rPr>
                <w:rFonts w:ascii="Times New Roman" w:cs="Times New Roman" w:eastAsia="Times New Roman" w:hAnsi="Times New Roman"/>
                <w:sz w:val="12"/>
                <w:szCs w:val="12"/>
                <w:b w:val="1"/>
                <w:bCs w:val="1"/>
                <w:color w:val="auto"/>
              </w:rPr>
              <w:t>Gains</w:t>
            </w:r>
          </w:p>
        </w:tc>
        <w:tc>
          <w:tcPr>
            <w:tcW w:w="140" w:type="dxa"/>
            <w:vAlign w:val="bottom"/>
          </w:tcPr>
          <w:p>
            <w:pPr>
              <w:spacing w:after="0"/>
              <w:rPr>
                <w:sz w:val="14"/>
                <w:szCs w:val="14"/>
                <w:color w:val="auto"/>
              </w:rPr>
            </w:pPr>
          </w:p>
        </w:tc>
        <w:tc>
          <w:tcPr>
            <w:tcW w:w="640" w:type="dxa"/>
            <w:vAlign w:val="bottom"/>
            <w:gridSpan w:val="2"/>
          </w:tcPr>
          <w:p>
            <w:pPr>
              <w:ind w:left="40"/>
              <w:spacing w:after="0"/>
              <w:rPr>
                <w:sz w:val="20"/>
                <w:szCs w:val="20"/>
                <w:color w:val="auto"/>
              </w:rPr>
            </w:pPr>
            <w:r>
              <w:rPr>
                <w:rFonts w:ascii="Times New Roman" w:cs="Times New Roman" w:eastAsia="Times New Roman" w:hAnsi="Times New Roman"/>
                <w:sz w:val="12"/>
                <w:szCs w:val="12"/>
                <w:b w:val="1"/>
                <w:bCs w:val="1"/>
                <w:color w:val="auto"/>
              </w:rPr>
              <w:t>Losses</w:t>
            </w:r>
          </w:p>
        </w:tc>
        <w:tc>
          <w:tcPr>
            <w:tcW w:w="120" w:type="dxa"/>
            <w:vAlign w:val="bottom"/>
          </w:tcPr>
          <w:p>
            <w:pPr>
              <w:spacing w:after="0"/>
              <w:rPr>
                <w:sz w:val="14"/>
                <w:szCs w:val="14"/>
                <w:color w:val="auto"/>
              </w:rPr>
            </w:pPr>
          </w:p>
        </w:tc>
        <w:tc>
          <w:tcPr>
            <w:tcW w:w="76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Fair Value</w:t>
            </w:r>
          </w:p>
        </w:tc>
        <w:tc>
          <w:tcPr>
            <w:tcW w:w="1020" w:type="dxa"/>
            <w:vAlign w:val="bottom"/>
            <w:gridSpan w:val="3"/>
          </w:tcPr>
          <w:p>
            <w:pPr>
              <w:ind w:left="60"/>
              <w:spacing w:after="0"/>
              <w:rPr>
                <w:sz w:val="20"/>
                <w:szCs w:val="20"/>
                <w:color w:val="auto"/>
              </w:rPr>
            </w:pPr>
            <w:r>
              <w:rPr>
                <w:rFonts w:ascii="Times New Roman" w:cs="Times New Roman" w:eastAsia="Times New Roman" w:hAnsi="Times New Roman"/>
                <w:sz w:val="12"/>
                <w:szCs w:val="12"/>
                <w:b w:val="1"/>
                <w:bCs w:val="1"/>
                <w:color w:val="auto"/>
              </w:rPr>
              <w:t>Amortized Cost</w:t>
            </w:r>
          </w:p>
        </w:tc>
        <w:tc>
          <w:tcPr>
            <w:tcW w:w="980" w:type="dxa"/>
            <w:vAlign w:val="bottom"/>
            <w:gridSpan w:val="3"/>
          </w:tcPr>
          <w:p>
            <w:pPr>
              <w:ind w:left="80"/>
              <w:spacing w:after="0"/>
              <w:rPr>
                <w:sz w:val="20"/>
                <w:szCs w:val="20"/>
                <w:color w:val="auto"/>
              </w:rPr>
            </w:pPr>
            <w:r>
              <w:rPr>
                <w:rFonts w:ascii="Times New Roman" w:cs="Times New Roman" w:eastAsia="Times New Roman" w:hAnsi="Times New Roman"/>
                <w:sz w:val="12"/>
                <w:szCs w:val="12"/>
                <w:b w:val="1"/>
                <w:bCs w:val="1"/>
                <w:color w:val="auto"/>
              </w:rPr>
              <w:t>Credit Losses</w:t>
            </w:r>
          </w:p>
        </w:tc>
        <w:tc>
          <w:tcPr>
            <w:tcW w:w="160" w:type="dxa"/>
            <w:vAlign w:val="bottom"/>
          </w:tcPr>
          <w:p>
            <w:pPr>
              <w:spacing w:after="0"/>
              <w:rPr>
                <w:sz w:val="14"/>
                <w:szCs w:val="14"/>
                <w:color w:val="auto"/>
              </w:rPr>
            </w:pPr>
          </w:p>
        </w:tc>
        <w:tc>
          <w:tcPr>
            <w:tcW w:w="660" w:type="dxa"/>
            <w:vAlign w:val="bottom"/>
            <w:gridSpan w:val="2"/>
          </w:tcPr>
          <w:p>
            <w:pPr>
              <w:ind w:left="40"/>
              <w:spacing w:after="0"/>
              <w:rPr>
                <w:sz w:val="20"/>
                <w:szCs w:val="20"/>
                <w:color w:val="auto"/>
              </w:rPr>
            </w:pPr>
            <w:r>
              <w:rPr>
                <w:rFonts w:ascii="Times New Roman" w:cs="Times New Roman" w:eastAsia="Times New Roman" w:hAnsi="Times New Roman"/>
                <w:sz w:val="12"/>
                <w:szCs w:val="12"/>
                <w:b w:val="1"/>
                <w:bCs w:val="1"/>
                <w:color w:val="auto"/>
              </w:rPr>
              <w:t>Gains</w:t>
            </w:r>
          </w:p>
        </w:tc>
        <w:tc>
          <w:tcPr>
            <w:tcW w:w="120" w:type="dxa"/>
            <w:vAlign w:val="bottom"/>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Losses</w:t>
            </w:r>
          </w:p>
        </w:tc>
        <w:tc>
          <w:tcPr>
            <w:tcW w:w="120" w:type="dxa"/>
            <w:vAlign w:val="bottom"/>
          </w:tcPr>
          <w:p>
            <w:pPr>
              <w:spacing w:after="0"/>
              <w:rPr>
                <w:sz w:val="14"/>
                <w:szCs w:val="14"/>
                <w:color w:val="auto"/>
              </w:rPr>
            </w:pPr>
          </w:p>
        </w:tc>
        <w:tc>
          <w:tcPr>
            <w:tcW w:w="680" w:type="dxa"/>
            <w:vAlign w:val="bottom"/>
          </w:tcPr>
          <w:p>
            <w:pPr>
              <w:jc w:val="right"/>
              <w:ind w:right="51"/>
              <w:spacing w:after="0"/>
              <w:rPr>
                <w:sz w:val="20"/>
                <w:szCs w:val="20"/>
                <w:color w:val="auto"/>
              </w:rPr>
            </w:pPr>
            <w:r>
              <w:rPr>
                <w:rFonts w:ascii="Times New Roman" w:cs="Times New Roman" w:eastAsia="Times New Roman" w:hAnsi="Times New Roman"/>
                <w:sz w:val="12"/>
                <w:szCs w:val="12"/>
                <w:b w:val="1"/>
                <w:bCs w:val="1"/>
                <w:color w:val="auto"/>
                <w:w w:val="98"/>
              </w:rPr>
              <w:t>Fair Value</w:t>
            </w:r>
          </w:p>
        </w:tc>
        <w:tc>
          <w:tcPr>
            <w:tcW w:w="0" w:type="dxa"/>
            <w:vAlign w:val="bottom"/>
          </w:tcPr>
          <w:p>
            <w:pPr>
              <w:spacing w:after="0"/>
              <w:rPr>
                <w:sz w:val="1"/>
                <w:szCs w:val="1"/>
                <w:color w:val="auto"/>
              </w:rPr>
            </w:pPr>
          </w:p>
        </w:tc>
      </w:tr>
      <w:tr>
        <w:trPr>
          <w:trHeight w:val="30"/>
        </w:trPr>
        <w:tc>
          <w:tcPr>
            <w:tcW w:w="2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60"/>
        </w:trPr>
        <w:tc>
          <w:tcPr>
            <w:tcW w:w="2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gridSpan w:val="3"/>
          </w:tcPr>
          <w:p>
            <w:pPr>
              <w:ind w:left="380"/>
              <w:spacing w:after="0"/>
              <w:rPr>
                <w:sz w:val="20"/>
                <w:szCs w:val="20"/>
                <w:color w:val="auto"/>
              </w:rPr>
            </w:pPr>
            <w:r>
              <w:rPr>
                <w:rFonts w:ascii="Times New Roman" w:cs="Times New Roman" w:eastAsia="Times New Roman" w:hAnsi="Times New Roman"/>
                <w:sz w:val="12"/>
                <w:szCs w:val="12"/>
                <w:b w:val="1"/>
                <w:bCs w:val="1"/>
                <w:color w:val="auto"/>
              </w:rPr>
              <w:t>(In millions)</w:t>
            </w: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17"/>
        </w:trPr>
        <w:tc>
          <w:tcPr>
            <w:tcW w:w="2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U.S. corporate</w:t>
            </w:r>
          </w:p>
        </w:tc>
        <w:tc>
          <w:tcPr>
            <w:tcW w:w="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41,011</w:t>
            </w:r>
          </w:p>
        </w:tc>
        <w:tc>
          <w:tcPr>
            <w:tcW w:w="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jc w:val="right"/>
              <w:ind w:right="194"/>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3,417</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37,845</w:t>
            </w:r>
          </w:p>
        </w:tc>
        <w:tc>
          <w:tcPr>
            <w:tcW w:w="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41,030</w:t>
            </w:r>
          </w:p>
        </w:tc>
        <w:tc>
          <w:tcPr>
            <w:tcW w:w="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jc w:val="right"/>
              <w:ind w:right="194"/>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437</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3,031</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38,409</w:t>
            </w:r>
          </w:p>
        </w:tc>
        <w:tc>
          <w:tcPr>
            <w:tcW w:w="0" w:type="dxa"/>
            <w:vAlign w:val="bottom"/>
          </w:tcPr>
          <w:p>
            <w:pPr>
              <w:spacing w:after="0"/>
              <w:rPr>
                <w:sz w:val="1"/>
                <w:szCs w:val="1"/>
                <w:color w:val="auto"/>
              </w:rPr>
            </w:pPr>
          </w:p>
        </w:tc>
      </w:tr>
      <w:tr>
        <w:trPr>
          <w:trHeight w:val="400"/>
        </w:trPr>
        <w:tc>
          <w:tcPr>
            <w:tcW w:w="2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corporate</w:t>
            </w:r>
          </w:p>
        </w:tc>
        <w:tc>
          <w:tcPr>
            <w:tcW w:w="300" w:type="dxa"/>
            <w:vAlign w:val="bottom"/>
          </w:tcPr>
          <w:p>
            <w:pPr>
              <w:spacing w:after="0"/>
              <w:rPr>
                <w:sz w:val="24"/>
                <w:szCs w:val="24"/>
                <w:color w:val="auto"/>
              </w:rPr>
            </w:pPr>
          </w:p>
        </w:tc>
        <w:tc>
          <w:tcPr>
            <w:tcW w:w="6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12,102</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11,049</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12,311</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11,434</w:t>
            </w:r>
          </w:p>
        </w:tc>
        <w:tc>
          <w:tcPr>
            <w:tcW w:w="0" w:type="dxa"/>
            <w:vAlign w:val="bottom"/>
          </w:tcPr>
          <w:p>
            <w:pPr>
              <w:spacing w:after="0"/>
              <w:rPr>
                <w:sz w:val="1"/>
                <w:szCs w:val="1"/>
                <w:color w:val="auto"/>
              </w:rPr>
            </w:pPr>
          </w:p>
        </w:tc>
      </w:tr>
      <w:tr>
        <w:trPr>
          <w:trHeight w:val="38"/>
        </w:trPr>
        <w:tc>
          <w:tcPr>
            <w:tcW w:w="24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7"/>
        </w:trPr>
        <w:tc>
          <w:tcPr>
            <w:tcW w:w="2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Residential mortgage-backed securities</w:t>
            </w:r>
          </w:p>
        </w:tc>
        <w:tc>
          <w:tcPr>
            <w:tcW w:w="30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9,366</w:t>
            </w:r>
          </w:p>
        </w:tc>
        <w:tc>
          <w:tcPr>
            <w:tcW w:w="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605</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8,825</w:t>
            </w:r>
          </w:p>
        </w:tc>
        <w:tc>
          <w:tcPr>
            <w:tcW w:w="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8,967</w:t>
            </w:r>
          </w:p>
        </w:tc>
        <w:tc>
          <w:tcPr>
            <w:tcW w:w="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571</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8,476</w:t>
            </w:r>
          </w:p>
        </w:tc>
        <w:tc>
          <w:tcPr>
            <w:tcW w:w="0" w:type="dxa"/>
            <w:vAlign w:val="bottom"/>
          </w:tcPr>
          <w:p>
            <w:pPr>
              <w:spacing w:after="0"/>
              <w:rPr>
                <w:sz w:val="1"/>
                <w:szCs w:val="1"/>
                <w:color w:val="auto"/>
              </w:rPr>
            </w:pPr>
          </w:p>
        </w:tc>
      </w:tr>
      <w:tr>
        <w:trPr>
          <w:trHeight w:val="400"/>
        </w:trPr>
        <w:tc>
          <w:tcPr>
            <w:tcW w:w="2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U.S. government and agency</w:t>
            </w:r>
          </w:p>
        </w:tc>
        <w:tc>
          <w:tcPr>
            <w:tcW w:w="300" w:type="dxa"/>
            <w:vAlign w:val="bottom"/>
          </w:tcPr>
          <w:p>
            <w:pPr>
              <w:spacing w:after="0"/>
              <w:rPr>
                <w:sz w:val="24"/>
                <w:szCs w:val="24"/>
                <w:color w:val="auto"/>
              </w:rPr>
            </w:pPr>
          </w:p>
        </w:tc>
        <w:tc>
          <w:tcPr>
            <w:tcW w:w="6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6,917</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639</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6,341</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6,942</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6,445</w:t>
            </w:r>
          </w:p>
        </w:tc>
        <w:tc>
          <w:tcPr>
            <w:tcW w:w="0" w:type="dxa"/>
            <w:vAlign w:val="bottom"/>
          </w:tcPr>
          <w:p>
            <w:pPr>
              <w:spacing w:after="0"/>
              <w:rPr>
                <w:sz w:val="1"/>
                <w:szCs w:val="1"/>
                <w:color w:val="auto"/>
              </w:rPr>
            </w:pPr>
          </w:p>
        </w:tc>
      </w:tr>
      <w:tr>
        <w:trPr>
          <w:trHeight w:val="38"/>
        </w:trPr>
        <w:tc>
          <w:tcPr>
            <w:tcW w:w="24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7"/>
        </w:trPr>
        <w:tc>
          <w:tcPr>
            <w:tcW w:w="2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Asset-backed securities</w:t>
            </w:r>
          </w:p>
        </w:tc>
        <w:tc>
          <w:tcPr>
            <w:tcW w:w="30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6,120</w:t>
            </w:r>
          </w:p>
        </w:tc>
        <w:tc>
          <w:tcPr>
            <w:tcW w:w="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6,074</w:t>
            </w:r>
          </w:p>
        </w:tc>
        <w:tc>
          <w:tcPr>
            <w:tcW w:w="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6,054</w:t>
            </w:r>
          </w:p>
        </w:tc>
        <w:tc>
          <w:tcPr>
            <w:tcW w:w="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6,031</w:t>
            </w:r>
          </w:p>
        </w:tc>
        <w:tc>
          <w:tcPr>
            <w:tcW w:w="0" w:type="dxa"/>
            <w:vAlign w:val="bottom"/>
          </w:tcPr>
          <w:p>
            <w:pPr>
              <w:spacing w:after="0"/>
              <w:rPr>
                <w:sz w:val="1"/>
                <w:szCs w:val="1"/>
                <w:color w:val="auto"/>
              </w:rPr>
            </w:pPr>
          </w:p>
        </w:tc>
      </w:tr>
      <w:tr>
        <w:trPr>
          <w:trHeight w:val="400"/>
        </w:trPr>
        <w:tc>
          <w:tcPr>
            <w:tcW w:w="2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Commercial mortgage-backed securities</w:t>
            </w:r>
          </w:p>
        </w:tc>
        <w:tc>
          <w:tcPr>
            <w:tcW w:w="300" w:type="dxa"/>
            <w:vAlign w:val="bottom"/>
          </w:tcPr>
          <w:p>
            <w:pPr>
              <w:spacing w:after="0"/>
              <w:rPr>
                <w:sz w:val="24"/>
                <w:szCs w:val="24"/>
                <w:color w:val="auto"/>
              </w:rPr>
            </w:pPr>
          </w:p>
        </w:tc>
        <w:tc>
          <w:tcPr>
            <w:tcW w:w="6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5,996</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5,770</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6,009</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5,800</w:t>
            </w:r>
          </w:p>
        </w:tc>
        <w:tc>
          <w:tcPr>
            <w:tcW w:w="0" w:type="dxa"/>
            <w:vAlign w:val="bottom"/>
          </w:tcPr>
          <w:p>
            <w:pPr>
              <w:spacing w:after="0"/>
              <w:rPr>
                <w:sz w:val="1"/>
                <w:szCs w:val="1"/>
                <w:color w:val="auto"/>
              </w:rPr>
            </w:pPr>
          </w:p>
        </w:tc>
      </w:tr>
      <w:tr>
        <w:trPr>
          <w:trHeight w:val="38"/>
        </w:trPr>
        <w:tc>
          <w:tcPr>
            <w:tcW w:w="24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7"/>
        </w:trPr>
        <w:tc>
          <w:tcPr>
            <w:tcW w:w="2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State and political subdivision</w:t>
            </w:r>
          </w:p>
        </w:tc>
        <w:tc>
          <w:tcPr>
            <w:tcW w:w="30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3,562</w:t>
            </w:r>
          </w:p>
        </w:tc>
        <w:tc>
          <w:tcPr>
            <w:tcW w:w="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3,343</w:t>
            </w:r>
          </w:p>
        </w:tc>
        <w:tc>
          <w:tcPr>
            <w:tcW w:w="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3,620</w:t>
            </w:r>
          </w:p>
        </w:tc>
        <w:tc>
          <w:tcPr>
            <w:tcW w:w="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3,423</w:t>
            </w:r>
          </w:p>
        </w:tc>
        <w:tc>
          <w:tcPr>
            <w:tcW w:w="0" w:type="dxa"/>
            <w:vAlign w:val="bottom"/>
          </w:tcPr>
          <w:p>
            <w:pPr>
              <w:spacing w:after="0"/>
              <w:rPr>
                <w:sz w:val="1"/>
                <w:szCs w:val="1"/>
                <w:color w:val="auto"/>
              </w:rPr>
            </w:pPr>
          </w:p>
        </w:tc>
      </w:tr>
      <w:tr>
        <w:trPr>
          <w:trHeight w:val="400"/>
        </w:trPr>
        <w:tc>
          <w:tcPr>
            <w:tcW w:w="2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government</w:t>
            </w:r>
          </w:p>
        </w:tc>
        <w:tc>
          <w:tcPr>
            <w:tcW w:w="300" w:type="dxa"/>
            <w:vAlign w:val="bottom"/>
          </w:tcPr>
          <w:p>
            <w:pPr>
              <w:spacing w:after="0"/>
              <w:rPr>
                <w:sz w:val="24"/>
                <w:szCs w:val="24"/>
                <w:color w:val="auto"/>
              </w:rPr>
            </w:pPr>
          </w:p>
        </w:tc>
        <w:tc>
          <w:tcPr>
            <w:tcW w:w="6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947</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896</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974</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942</w:t>
            </w:r>
          </w:p>
        </w:tc>
        <w:tc>
          <w:tcPr>
            <w:tcW w:w="0" w:type="dxa"/>
            <w:vAlign w:val="bottom"/>
          </w:tcPr>
          <w:p>
            <w:pPr>
              <w:spacing w:after="0"/>
              <w:rPr>
                <w:sz w:val="1"/>
                <w:szCs w:val="1"/>
                <w:color w:val="auto"/>
              </w:rPr>
            </w:pPr>
          </w:p>
        </w:tc>
      </w:tr>
      <w:tr>
        <w:trPr>
          <w:trHeight w:val="37"/>
        </w:trPr>
        <w:tc>
          <w:tcPr>
            <w:tcW w:w="244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455"/>
        </w:trPr>
        <w:tc>
          <w:tcPr>
            <w:tcW w:w="24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fixed maturity securities</w:t>
            </w:r>
          </w:p>
        </w:tc>
        <w:tc>
          <w:tcPr>
            <w:tcW w:w="30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86,021</w:t>
            </w:r>
          </w:p>
        </w:tc>
        <w:tc>
          <w:tcPr>
            <w:tcW w:w="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637</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6,451</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80,143</w:t>
            </w:r>
          </w:p>
        </w:tc>
        <w:tc>
          <w:tcPr>
            <w:tcW w:w="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85,907</w:t>
            </w:r>
          </w:p>
        </w:tc>
        <w:tc>
          <w:tcPr>
            <w:tcW w:w="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951</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5,836</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80,960</w:t>
            </w:r>
          </w:p>
        </w:tc>
        <w:tc>
          <w:tcPr>
            <w:tcW w:w="0" w:type="dxa"/>
            <w:vAlign w:val="bottom"/>
          </w:tcPr>
          <w:p>
            <w:pPr>
              <w:spacing w:after="0"/>
              <w:rPr>
                <w:sz w:val="1"/>
                <w:szCs w:val="1"/>
                <w:color w:val="auto"/>
              </w:rPr>
            </w:pPr>
          </w:p>
        </w:tc>
      </w:tr>
      <w:tr>
        <w:trPr>
          <w:trHeight w:val="20"/>
        </w:trPr>
        <w:tc>
          <w:tcPr>
            <w:tcW w:w="24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ind w:left="160" w:firstLine="318"/>
        <w:spacing w:after="0" w:line="274" w:lineRule="auto"/>
        <w:rPr>
          <w:sz w:val="20"/>
          <w:szCs w:val="20"/>
          <w:color w:val="auto"/>
        </w:rPr>
      </w:pPr>
      <w:r>
        <w:rPr>
          <w:rFonts w:ascii="Times New Roman" w:cs="Times New Roman" w:eastAsia="Times New Roman" w:hAnsi="Times New Roman"/>
          <w:sz w:val="18"/>
          <w:szCs w:val="18"/>
          <w:color w:val="auto"/>
        </w:rPr>
        <w:t>The Company held non-income producing fixed maturity securities with an estimated fair value of $11 million and $14 million at March 31, 2026 and December 31, 2025, respectively.</w:t>
      </w:r>
    </w:p>
    <w:p>
      <w:pPr>
        <w:sectPr>
          <w:pgSz w:w="11900" w:h="16838" w:orient="portrait"/>
          <w:cols w:equalWidth="0" w:num="1">
            <w:col w:w="11240"/>
          </w:cols>
          <w:pgMar w:left="320" w:top="2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type w:val="continuous"/>
        </w:sectPr>
      </w:pPr>
    </w:p>
    <w:bookmarkStart w:id="22" w:name="page23"/>
    <w:bookmarkEnd w:id="22"/>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Life Insurance Company</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 Indirect Wholly-Owned Subsidiary of Brighthouse Financial, Inc.)</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1" w:lineRule="exact"/>
        <w:rPr>
          <w:sz w:val="20"/>
          <w:szCs w:val="20"/>
          <w:color w:val="auto"/>
        </w:rPr>
      </w:pPr>
    </w:p>
    <w:p>
      <w:pPr>
        <w:ind w:left="180" w:hanging="174"/>
        <w:spacing w:after="0"/>
        <w:tabs>
          <w:tab w:leader="none" w:pos="18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Investments (continued)</w:t>
      </w:r>
    </w:p>
    <w:p>
      <w:pPr>
        <w:spacing w:after="0" w:line="200" w:lineRule="exact"/>
        <w:rPr>
          <w:rFonts w:ascii="Times New Roman" w:cs="Times New Roman" w:eastAsia="Times New Roman" w:hAnsi="Times New Roman"/>
          <w:sz w:val="18"/>
          <w:szCs w:val="18"/>
          <w:b w:val="1"/>
          <w:bCs w:val="1"/>
          <w:color w:val="auto"/>
        </w:rPr>
      </w:pPr>
    </w:p>
    <w:p>
      <w:pPr>
        <w:spacing w:after="0" w:line="306" w:lineRule="exact"/>
        <w:rPr>
          <w:rFonts w:ascii="Times New Roman" w:cs="Times New Roman" w:eastAsia="Times New Roman" w:hAnsi="Times New Roman"/>
          <w:sz w:val="18"/>
          <w:szCs w:val="18"/>
          <w:b w:val="1"/>
          <w:bCs w:val="1"/>
          <w:color w:val="auto"/>
        </w:rPr>
      </w:pPr>
    </w:p>
    <w:p>
      <w:pPr>
        <w:ind w:left="1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u w:val="single" w:color="auto"/>
          <w:color w:val="auto"/>
        </w:rPr>
        <w:t>Maturities of Fixed Maturity Securities</w:t>
      </w:r>
    </w:p>
    <w:p>
      <w:pPr>
        <w:spacing w:after="0" w:line="115" w:lineRule="exact"/>
        <w:rPr>
          <w:rFonts w:ascii="Times New Roman" w:cs="Times New Roman" w:eastAsia="Times New Roman" w:hAnsi="Times New Roman"/>
          <w:sz w:val="18"/>
          <w:szCs w:val="18"/>
          <w:b w:val="1"/>
          <w:bCs w:val="1"/>
          <w:color w:val="auto"/>
        </w:rPr>
      </w:pPr>
    </w:p>
    <w:p>
      <w:pPr>
        <w:ind w:left="4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amortized cost and estimated fair value of fixed maturity securities, by contractual maturity date, were as follows at March 31, 2026:</w:t>
      </w: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020" w:type="dxa"/>
            <w:vAlign w:val="bottom"/>
          </w:tcPr>
          <w:p>
            <w:pPr>
              <w:spacing w:after="0"/>
              <w:rPr>
                <w:sz w:val="14"/>
                <w:szCs w:val="14"/>
                <w:color w:val="auto"/>
              </w:rPr>
            </w:pPr>
          </w:p>
        </w:tc>
        <w:tc>
          <w:tcPr>
            <w:tcW w:w="1240" w:type="dxa"/>
            <w:vAlign w:val="bottom"/>
            <w:gridSpan w:val="2"/>
          </w:tcPr>
          <w:p>
            <w:pPr>
              <w:jc w:val="right"/>
              <w:ind w:right="63"/>
              <w:spacing w:after="0"/>
              <w:rPr>
                <w:sz w:val="20"/>
                <w:szCs w:val="20"/>
                <w:color w:val="auto"/>
              </w:rPr>
            </w:pPr>
            <w:r>
              <w:rPr>
                <w:rFonts w:ascii="Times New Roman" w:cs="Times New Roman" w:eastAsia="Times New Roman" w:hAnsi="Times New Roman"/>
                <w:sz w:val="14"/>
                <w:szCs w:val="14"/>
                <w:b w:val="1"/>
                <w:bCs w:val="1"/>
                <w:color w:val="auto"/>
              </w:rPr>
              <w:t>Due in One Year</w:t>
            </w:r>
          </w:p>
        </w:tc>
        <w:tc>
          <w:tcPr>
            <w:tcW w:w="13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Due After One Year</w:t>
            </w:r>
          </w:p>
        </w:tc>
        <w:tc>
          <w:tcPr>
            <w:tcW w:w="1520" w:type="dxa"/>
            <w:vAlign w:val="bottom"/>
            <w:gridSpan w:val="2"/>
          </w:tcPr>
          <w:p>
            <w:pPr>
              <w:jc w:val="right"/>
              <w:ind w:right="45"/>
              <w:spacing w:after="0"/>
              <w:rPr>
                <w:sz w:val="20"/>
                <w:szCs w:val="20"/>
                <w:color w:val="auto"/>
              </w:rPr>
            </w:pPr>
            <w:r>
              <w:rPr>
                <w:rFonts w:ascii="Times New Roman" w:cs="Times New Roman" w:eastAsia="Times New Roman" w:hAnsi="Times New Roman"/>
                <w:sz w:val="14"/>
                <w:szCs w:val="14"/>
                <w:b w:val="1"/>
                <w:bCs w:val="1"/>
                <w:color w:val="auto"/>
              </w:rPr>
              <w:t>Due After Five Years</w:t>
            </w:r>
          </w:p>
        </w:tc>
        <w:tc>
          <w:tcPr>
            <w:tcW w:w="240" w:type="dxa"/>
            <w:vAlign w:val="bottom"/>
          </w:tcPr>
          <w:p>
            <w:pPr>
              <w:spacing w:after="0"/>
              <w:rPr>
                <w:sz w:val="14"/>
                <w:szCs w:val="14"/>
                <w:color w:val="auto"/>
              </w:rPr>
            </w:pPr>
          </w:p>
        </w:tc>
        <w:tc>
          <w:tcPr>
            <w:tcW w:w="1120" w:type="dxa"/>
            <w:vAlign w:val="bottom"/>
          </w:tcPr>
          <w:p>
            <w:pPr>
              <w:jc w:val="right"/>
              <w:ind w:right="145"/>
              <w:spacing w:after="0"/>
              <w:rPr>
                <w:sz w:val="20"/>
                <w:szCs w:val="20"/>
                <w:color w:val="auto"/>
              </w:rPr>
            </w:pPr>
            <w:r>
              <w:rPr>
                <w:rFonts w:ascii="Times New Roman" w:cs="Times New Roman" w:eastAsia="Times New Roman" w:hAnsi="Times New Roman"/>
                <w:sz w:val="14"/>
                <w:szCs w:val="14"/>
                <w:b w:val="1"/>
                <w:bCs w:val="1"/>
                <w:color w:val="auto"/>
              </w:rPr>
              <w:t>Due After Ten</w:t>
            </w:r>
          </w:p>
        </w:tc>
        <w:tc>
          <w:tcPr>
            <w:tcW w:w="240" w:type="dxa"/>
            <w:vAlign w:val="bottom"/>
          </w:tcPr>
          <w:p>
            <w:pPr>
              <w:spacing w:after="0"/>
              <w:rPr>
                <w:sz w:val="14"/>
                <w:szCs w:val="14"/>
                <w:color w:val="auto"/>
              </w:rPr>
            </w:pPr>
          </w:p>
        </w:tc>
        <w:tc>
          <w:tcPr>
            <w:tcW w:w="1140" w:type="dxa"/>
            <w:vAlign w:val="bottom"/>
          </w:tcPr>
          <w:p>
            <w:pPr>
              <w:jc w:val="right"/>
              <w:ind w:right="265"/>
              <w:spacing w:after="0"/>
              <w:rPr>
                <w:sz w:val="20"/>
                <w:szCs w:val="20"/>
                <w:color w:val="auto"/>
              </w:rPr>
            </w:pPr>
            <w:r>
              <w:rPr>
                <w:rFonts w:ascii="Times New Roman" w:cs="Times New Roman" w:eastAsia="Times New Roman" w:hAnsi="Times New Roman"/>
                <w:sz w:val="14"/>
                <w:szCs w:val="14"/>
                <w:b w:val="1"/>
                <w:bCs w:val="1"/>
                <w:color w:val="auto"/>
              </w:rPr>
              <w:t>Structured</w:t>
            </w:r>
          </w:p>
        </w:tc>
        <w:tc>
          <w:tcPr>
            <w:tcW w:w="280" w:type="dxa"/>
            <w:vAlign w:val="bottom"/>
          </w:tcPr>
          <w:p>
            <w:pPr>
              <w:spacing w:after="0"/>
              <w:rPr>
                <w:sz w:val="14"/>
                <w:szCs w:val="14"/>
                <w:color w:val="auto"/>
              </w:rPr>
            </w:pPr>
          </w:p>
        </w:tc>
        <w:tc>
          <w:tcPr>
            <w:tcW w:w="1060" w:type="dxa"/>
            <w:vAlign w:val="bottom"/>
          </w:tcPr>
          <w:p>
            <w:pPr>
              <w:jc w:val="right"/>
              <w:ind w:right="223"/>
              <w:spacing w:after="0"/>
              <w:rPr>
                <w:sz w:val="20"/>
                <w:szCs w:val="20"/>
                <w:color w:val="auto"/>
              </w:rPr>
            </w:pPr>
            <w:r>
              <w:rPr>
                <w:rFonts w:ascii="Times New Roman" w:cs="Times New Roman" w:eastAsia="Times New Roman" w:hAnsi="Times New Roman"/>
                <w:sz w:val="14"/>
                <w:szCs w:val="14"/>
                <w:b w:val="1"/>
                <w:bCs w:val="1"/>
                <w:color w:val="auto"/>
              </w:rPr>
              <w:t>Total Fixed</w:t>
            </w:r>
          </w:p>
        </w:tc>
      </w:tr>
      <w:tr>
        <w:trPr>
          <w:trHeight w:val="186"/>
        </w:trPr>
        <w:tc>
          <w:tcPr>
            <w:tcW w:w="3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jc w:val="right"/>
              <w:ind w:right="343"/>
              <w:spacing w:after="0"/>
              <w:rPr>
                <w:sz w:val="20"/>
                <w:szCs w:val="20"/>
                <w:color w:val="auto"/>
              </w:rPr>
            </w:pPr>
            <w:r>
              <w:rPr>
                <w:rFonts w:ascii="Times New Roman" w:cs="Times New Roman" w:eastAsia="Times New Roman" w:hAnsi="Times New Roman"/>
                <w:sz w:val="14"/>
                <w:szCs w:val="14"/>
                <w:b w:val="1"/>
                <w:bCs w:val="1"/>
                <w:color w:val="auto"/>
              </w:rPr>
              <w:t>or Less</w:t>
            </w:r>
          </w:p>
        </w:tc>
        <w:tc>
          <w:tcPr>
            <w:tcW w:w="13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Through Five Years</w:t>
            </w:r>
          </w:p>
        </w:tc>
        <w:tc>
          <w:tcPr>
            <w:tcW w:w="180" w:type="dxa"/>
            <w:vAlign w:val="bottom"/>
          </w:tcPr>
          <w:p>
            <w:pPr>
              <w:spacing w:after="0"/>
              <w:rPr>
                <w:sz w:val="16"/>
                <w:szCs w:val="16"/>
                <w:color w:val="auto"/>
              </w:rPr>
            </w:pPr>
          </w:p>
        </w:tc>
        <w:tc>
          <w:tcPr>
            <w:tcW w:w="1340" w:type="dxa"/>
            <w:vAlign w:val="bottom"/>
          </w:tcPr>
          <w:p>
            <w:pPr>
              <w:jc w:val="right"/>
              <w:ind w:right="85"/>
              <w:spacing w:after="0"/>
              <w:rPr>
                <w:sz w:val="20"/>
                <w:szCs w:val="20"/>
                <w:color w:val="auto"/>
              </w:rPr>
            </w:pPr>
            <w:r>
              <w:rPr>
                <w:rFonts w:ascii="Times New Roman" w:cs="Times New Roman" w:eastAsia="Times New Roman" w:hAnsi="Times New Roman"/>
                <w:sz w:val="14"/>
                <w:szCs w:val="14"/>
                <w:b w:val="1"/>
                <w:bCs w:val="1"/>
                <w:color w:val="auto"/>
                <w:w w:val="98"/>
              </w:rPr>
              <w:t>Through Ten Years</w:t>
            </w:r>
          </w:p>
        </w:tc>
        <w:tc>
          <w:tcPr>
            <w:tcW w:w="240" w:type="dxa"/>
            <w:vAlign w:val="bottom"/>
          </w:tcPr>
          <w:p>
            <w:pPr>
              <w:spacing w:after="0"/>
              <w:rPr>
                <w:sz w:val="16"/>
                <w:szCs w:val="16"/>
                <w:color w:val="auto"/>
              </w:rPr>
            </w:pPr>
          </w:p>
        </w:tc>
        <w:tc>
          <w:tcPr>
            <w:tcW w:w="1120" w:type="dxa"/>
            <w:vAlign w:val="bottom"/>
          </w:tcPr>
          <w:p>
            <w:pPr>
              <w:jc w:val="right"/>
              <w:ind w:right="405"/>
              <w:spacing w:after="0"/>
              <w:rPr>
                <w:sz w:val="20"/>
                <w:szCs w:val="20"/>
                <w:color w:val="auto"/>
              </w:rPr>
            </w:pPr>
            <w:r>
              <w:rPr>
                <w:rFonts w:ascii="Times New Roman" w:cs="Times New Roman" w:eastAsia="Times New Roman" w:hAnsi="Times New Roman"/>
                <w:sz w:val="14"/>
                <w:szCs w:val="14"/>
                <w:b w:val="1"/>
                <w:bCs w:val="1"/>
                <w:color w:val="auto"/>
              </w:rPr>
              <w:t>Years</w:t>
            </w:r>
          </w:p>
        </w:tc>
        <w:tc>
          <w:tcPr>
            <w:tcW w:w="240" w:type="dxa"/>
            <w:vAlign w:val="bottom"/>
          </w:tcPr>
          <w:p>
            <w:pPr>
              <w:spacing w:after="0"/>
              <w:rPr>
                <w:sz w:val="16"/>
                <w:szCs w:val="16"/>
                <w:color w:val="auto"/>
              </w:rPr>
            </w:pPr>
          </w:p>
        </w:tc>
        <w:tc>
          <w:tcPr>
            <w:tcW w:w="1140" w:type="dxa"/>
            <w:vAlign w:val="bottom"/>
          </w:tcPr>
          <w:p>
            <w:pPr>
              <w:jc w:val="right"/>
              <w:ind w:right="205"/>
              <w:spacing w:after="0"/>
              <w:rPr>
                <w:sz w:val="20"/>
                <w:szCs w:val="20"/>
                <w:color w:val="auto"/>
              </w:rPr>
            </w:pPr>
            <w:r>
              <w:rPr>
                <w:rFonts w:ascii="Times New Roman" w:cs="Times New Roman" w:eastAsia="Times New Roman" w:hAnsi="Times New Roman"/>
                <w:sz w:val="14"/>
                <w:szCs w:val="14"/>
                <w:b w:val="1"/>
                <w:bCs w:val="1"/>
                <w:color w:val="auto"/>
              </w:rPr>
              <w:t>Securities (1)</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Maturity Securities</w:t>
            </w:r>
          </w:p>
        </w:tc>
      </w:tr>
      <w:tr>
        <w:trPr>
          <w:trHeight w:val="38"/>
        </w:trPr>
        <w:tc>
          <w:tcPr>
            <w:tcW w:w="302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2700" w:type="dxa"/>
            <w:vAlign w:val="bottom"/>
            <w:tcBorders>
              <w:bottom w:val="single" w:sz="8" w:color="auto"/>
            </w:tcBorders>
            <w:gridSpan w:val="3"/>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r>
      <w:tr>
        <w:trPr>
          <w:trHeight w:val="393"/>
        </w:trPr>
        <w:tc>
          <w:tcPr>
            <w:tcW w:w="3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700" w:type="dxa"/>
            <w:vAlign w:val="bottom"/>
            <w:gridSpan w:val="3"/>
          </w:tcPr>
          <w:p>
            <w:pPr>
              <w:jc w:val="right"/>
              <w:ind w:right="945"/>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8"/>
        </w:trPr>
        <w:tc>
          <w:tcPr>
            <w:tcW w:w="30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5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60" w:type="dxa"/>
            <w:vAlign w:val="bottom"/>
          </w:tcPr>
          <w:p>
            <w:pPr>
              <w:spacing w:after="0"/>
              <w:rPr>
                <w:sz w:val="3"/>
                <w:szCs w:val="3"/>
                <w:color w:val="auto"/>
              </w:rPr>
            </w:pPr>
          </w:p>
        </w:tc>
      </w:tr>
      <w:tr>
        <w:trPr>
          <w:trHeight w:val="451"/>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Amortized cost</w:t>
            </w:r>
          </w:p>
        </w:tc>
        <w:tc>
          <w:tcPr>
            <w:tcW w:w="24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5,251</w:t>
            </w:r>
          </w:p>
        </w:tc>
        <w:tc>
          <w:tcPr>
            <w:tcW w:w="5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19,956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6"/>
                <w:szCs w:val="16"/>
                <w:color w:val="auto"/>
              </w:rPr>
              <w:t>12,908</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6"/>
                <w:szCs w:val="16"/>
                <w:color w:val="auto"/>
              </w:rPr>
              <w:t>26,424</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6"/>
                <w:szCs w:val="16"/>
                <w:color w:val="auto"/>
              </w:rPr>
              <w:t>21,482</w:t>
            </w:r>
          </w:p>
        </w:tc>
        <w:tc>
          <w:tcPr>
            <w:tcW w:w="28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86,021</w:t>
            </w:r>
          </w:p>
        </w:tc>
      </w:tr>
      <w:tr>
        <w:trPr>
          <w:trHeight w:val="432"/>
        </w:trPr>
        <w:tc>
          <w:tcPr>
            <w:tcW w:w="3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Estimated fair value</w:t>
            </w:r>
          </w:p>
        </w:tc>
        <w:tc>
          <w:tcPr>
            <w:tcW w:w="24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5,234</w:t>
            </w:r>
          </w:p>
        </w:tc>
        <w:tc>
          <w:tcPr>
            <w:tcW w:w="5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19,477</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ind w:right="25"/>
              <w:spacing w:after="0"/>
              <w:rPr>
                <w:sz w:val="20"/>
                <w:szCs w:val="20"/>
                <w:color w:val="auto"/>
              </w:rPr>
            </w:pPr>
            <w:r>
              <w:rPr>
                <w:rFonts w:ascii="Times New Roman" w:cs="Times New Roman" w:eastAsia="Times New Roman" w:hAnsi="Times New Roman"/>
                <w:sz w:val="16"/>
                <w:szCs w:val="16"/>
                <w:color w:val="auto"/>
              </w:rPr>
              <w:t>12,431</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ind w:right="25"/>
              <w:spacing w:after="0"/>
              <w:rPr>
                <w:sz w:val="20"/>
                <w:szCs w:val="20"/>
                <w:color w:val="auto"/>
              </w:rPr>
            </w:pPr>
            <w:r>
              <w:rPr>
                <w:rFonts w:ascii="Times New Roman" w:cs="Times New Roman" w:eastAsia="Times New Roman" w:hAnsi="Times New Roman"/>
                <w:sz w:val="16"/>
                <w:szCs w:val="16"/>
                <w:color w:val="auto"/>
              </w:rPr>
              <w:t>22,332</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ind w:right="25"/>
              <w:spacing w:after="0"/>
              <w:rPr>
                <w:sz w:val="20"/>
                <w:szCs w:val="20"/>
                <w:color w:val="auto"/>
              </w:rPr>
            </w:pPr>
            <w:r>
              <w:rPr>
                <w:rFonts w:ascii="Times New Roman" w:cs="Times New Roman" w:eastAsia="Times New Roman" w:hAnsi="Times New Roman"/>
                <w:sz w:val="16"/>
                <w:szCs w:val="16"/>
                <w:color w:val="auto"/>
              </w:rPr>
              <w:t>20,669</w:t>
            </w:r>
          </w:p>
        </w:tc>
        <w:tc>
          <w:tcPr>
            <w:tcW w:w="28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80,143</w:t>
            </w:r>
          </w:p>
        </w:tc>
      </w:tr>
      <w:tr>
        <w:trPr>
          <w:trHeight w:val="272"/>
        </w:trPr>
        <w:tc>
          <w:tcPr>
            <w:tcW w:w="3020" w:type="dxa"/>
            <w:vAlign w:val="bottom"/>
          </w:tcPr>
          <w:p>
            <w:pPr>
              <w:spacing w:after="0"/>
              <w:rPr>
                <w:sz w:val="20"/>
                <w:szCs w:val="20"/>
                <w:color w:val="auto"/>
              </w:rPr>
            </w:pPr>
            <w:r>
              <w:rPr>
                <w:rFonts w:ascii="Times New Roman" w:cs="Times New Roman" w:eastAsia="Times New Roman" w:hAnsi="Times New Roman"/>
                <w:sz w:val="14"/>
                <w:szCs w:val="14"/>
                <w:color w:val="auto"/>
              </w:rPr>
              <w:t>_______________</w:t>
            </w:r>
          </w:p>
        </w:tc>
        <w:tc>
          <w:tcPr>
            <w:tcW w:w="2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60" w:type="dxa"/>
            <w:vAlign w:val="bottom"/>
          </w:tcPr>
          <w:p>
            <w:pPr>
              <w:spacing w:after="0"/>
              <w:rPr>
                <w:sz w:val="23"/>
                <w:szCs w:val="23"/>
                <w:color w:val="auto"/>
              </w:rPr>
            </w:pPr>
          </w:p>
        </w:tc>
      </w:tr>
    </w:tbl>
    <w:p>
      <w:pPr>
        <w:spacing w:after="0" w:line="85" w:lineRule="exact"/>
        <w:rPr>
          <w:sz w:val="20"/>
          <w:szCs w:val="20"/>
          <w:color w:val="auto"/>
        </w:rPr>
      </w:pPr>
    </w:p>
    <w:p>
      <w:pPr>
        <w:ind w:left="320" w:hanging="314"/>
        <w:spacing w:after="0" w:line="274" w:lineRule="auto"/>
        <w:tabs>
          <w:tab w:leader="none" w:pos="31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Structured securities include residential mortgage-backed securities (“RMBS”), commercial mortgage-backed securities (“CMBS”) and asset-backed securities (“ABS”) (collectively, “Structured Securities”).</w:t>
      </w:r>
    </w:p>
    <w:p>
      <w:pPr>
        <w:spacing w:after="0" w:line="110" w:lineRule="exact"/>
        <w:rPr>
          <w:sz w:val="20"/>
          <w:szCs w:val="20"/>
          <w:color w:val="auto"/>
        </w:rPr>
      </w:pPr>
    </w:p>
    <w:p>
      <w:pPr>
        <w:jc w:val="both"/>
        <w:ind w:left="160" w:firstLine="318"/>
        <w:spacing w:after="0" w:line="259" w:lineRule="auto"/>
        <w:rPr>
          <w:sz w:val="20"/>
          <w:szCs w:val="20"/>
          <w:color w:val="auto"/>
        </w:rPr>
      </w:pPr>
      <w:r>
        <w:rPr>
          <w:rFonts w:ascii="Times New Roman" w:cs="Times New Roman" w:eastAsia="Times New Roman" w:hAnsi="Times New Roman"/>
          <w:sz w:val="18"/>
          <w:szCs w:val="18"/>
          <w:color w:val="auto"/>
        </w:rPr>
        <w:t>Actual maturities may differ from contractual maturities due to the exercise of call or prepayment options. Fixed maturity securities not due at a single maturity date have been presented in the year of final contractual maturity. Structured Securities are shown separately, as they are not due at a single maturity.</w:t>
      </w:r>
    </w:p>
    <w:p>
      <w:pPr>
        <w:spacing w:after="0" w:line="6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Continuous Gross Unrealized Losses for Fixed Maturity Securities by Sector</w:t>
      </w:r>
    </w:p>
    <w:p>
      <w:pPr>
        <w:spacing w:after="0" w:line="115" w:lineRule="exact"/>
        <w:rPr>
          <w:sz w:val="20"/>
          <w:szCs w:val="20"/>
          <w:color w:val="auto"/>
        </w:rPr>
      </w:pPr>
    </w:p>
    <w:p>
      <w:pPr>
        <w:jc w:val="both"/>
        <w:ind w:left="160" w:firstLine="318"/>
        <w:spacing w:after="0" w:line="274" w:lineRule="auto"/>
        <w:rPr>
          <w:sz w:val="20"/>
          <w:szCs w:val="20"/>
          <w:color w:val="auto"/>
        </w:rPr>
      </w:pPr>
      <w:r>
        <w:rPr>
          <w:rFonts w:ascii="Times New Roman" w:cs="Times New Roman" w:eastAsia="Times New Roman" w:hAnsi="Times New Roman"/>
          <w:sz w:val="18"/>
          <w:szCs w:val="18"/>
          <w:color w:val="auto"/>
        </w:rPr>
        <w:t>The estimated fair value and gross unrealized losses of fixed maturity securities in an unrealized loss position, by sector and by length of time that the securities have been in a continuous unrealized loss position, were as follows at:</w:t>
      </w: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60" w:type="dxa"/>
            <w:vAlign w:val="bottom"/>
            <w:gridSpan w:val="4"/>
          </w:tcPr>
          <w:p>
            <w:pPr>
              <w:jc w:val="right"/>
              <w:ind w:right="429"/>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40" w:type="dxa"/>
            <w:vAlign w:val="bottom"/>
            <w:gridSpan w:val="4"/>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298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940" w:type="dxa"/>
            <w:vAlign w:val="bottom"/>
            <w:tcBorders>
              <w:bottom w:val="single" w:sz="8" w:color="auto"/>
            </w:tcBorders>
            <w:gridSpan w:val="5"/>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860" w:type="dxa"/>
            <w:vAlign w:val="bottom"/>
            <w:tcBorders>
              <w:bottom w:val="single" w:sz="8" w:color="auto"/>
            </w:tcBorders>
            <w:gridSpan w:val="4"/>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980" w:type="dxa"/>
            <w:vAlign w:val="bottom"/>
            <w:tcBorders>
              <w:bottom w:val="single" w:sz="8" w:color="auto"/>
            </w:tcBorders>
            <w:gridSpan w:val="5"/>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860" w:type="dxa"/>
            <w:vAlign w:val="bottom"/>
            <w:tcBorders>
              <w:bottom w:val="single" w:sz="8" w:color="auto"/>
            </w:tcBorders>
            <w:gridSpan w:val="4"/>
          </w:tcPr>
          <w:p>
            <w:pPr>
              <w:spacing w:after="0"/>
              <w:rPr>
                <w:sz w:val="3"/>
                <w:szCs w:val="3"/>
                <w:color w:val="auto"/>
              </w:rPr>
            </w:pPr>
          </w:p>
        </w:tc>
        <w:tc>
          <w:tcPr>
            <w:tcW w:w="0" w:type="dxa"/>
            <w:vAlign w:val="bottom"/>
          </w:tcPr>
          <w:p>
            <w:pPr>
              <w:spacing w:after="0"/>
              <w:rPr>
                <w:sz w:val="1"/>
                <w:szCs w:val="1"/>
                <w:color w:val="auto"/>
              </w:rPr>
            </w:pPr>
          </w:p>
        </w:tc>
      </w:tr>
      <w:tr>
        <w:trPr>
          <w:trHeight w:val="393"/>
        </w:trPr>
        <w:tc>
          <w:tcPr>
            <w:tcW w:w="2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4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140" w:type="dxa"/>
            <w:vAlign w:val="bottom"/>
          </w:tcPr>
          <w:p>
            <w:pPr>
              <w:spacing w:after="0"/>
              <w:rPr>
                <w:sz w:val="24"/>
                <w:szCs w:val="24"/>
                <w:color w:val="auto"/>
              </w:rPr>
            </w:pPr>
          </w:p>
        </w:tc>
        <w:tc>
          <w:tcPr>
            <w:tcW w:w="196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12 Months or Greater</w:t>
            </w:r>
          </w:p>
        </w:tc>
        <w:tc>
          <w:tcPr>
            <w:tcW w:w="120" w:type="dxa"/>
            <w:vAlign w:val="bottom"/>
          </w:tcPr>
          <w:p>
            <w:pPr>
              <w:spacing w:after="0"/>
              <w:rPr>
                <w:sz w:val="24"/>
                <w:szCs w:val="24"/>
                <w:color w:val="auto"/>
              </w:rPr>
            </w:pPr>
          </w:p>
        </w:tc>
        <w:tc>
          <w:tcPr>
            <w:tcW w:w="198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120" w:type="dxa"/>
            <w:vAlign w:val="bottom"/>
          </w:tcPr>
          <w:p>
            <w:pPr>
              <w:spacing w:after="0"/>
              <w:rPr>
                <w:sz w:val="24"/>
                <w:szCs w:val="24"/>
                <w:color w:val="auto"/>
              </w:rPr>
            </w:pPr>
          </w:p>
        </w:tc>
        <w:tc>
          <w:tcPr>
            <w:tcW w:w="1860" w:type="dxa"/>
            <w:vAlign w:val="bottom"/>
            <w:gridSpan w:val="4"/>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12 Months or Greater</w:t>
            </w:r>
          </w:p>
        </w:tc>
        <w:tc>
          <w:tcPr>
            <w:tcW w:w="0" w:type="dxa"/>
            <w:vAlign w:val="bottom"/>
          </w:tcPr>
          <w:p>
            <w:pPr>
              <w:spacing w:after="0"/>
              <w:rPr>
                <w:sz w:val="1"/>
                <w:szCs w:val="1"/>
                <w:color w:val="auto"/>
              </w:rPr>
            </w:pPr>
          </w:p>
        </w:tc>
      </w:tr>
      <w:tr>
        <w:trPr>
          <w:trHeight w:val="38"/>
        </w:trPr>
        <w:tc>
          <w:tcPr>
            <w:tcW w:w="29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gridSpan w:val="2"/>
          </w:tcPr>
          <w:p>
            <w:pPr>
              <w:spacing w:after="0"/>
              <w:rPr>
                <w:sz w:val="3"/>
                <w:szCs w:val="3"/>
                <w:color w:val="auto"/>
              </w:rPr>
            </w:pPr>
          </w:p>
        </w:tc>
        <w:tc>
          <w:tcPr>
            <w:tcW w:w="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28"/>
        </w:trPr>
        <w:tc>
          <w:tcPr>
            <w:tcW w:w="29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vMerge w:val="restart"/>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1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center"/>
              <w:ind w:right="69"/>
              <w:spacing w:after="0" w:line="128" w:lineRule="exact"/>
              <w:rPr>
                <w:sz w:val="20"/>
                <w:szCs w:val="20"/>
                <w:color w:val="auto"/>
              </w:rPr>
            </w:pPr>
            <w:r>
              <w:rPr>
                <w:rFonts w:ascii="Times New Roman" w:cs="Times New Roman" w:eastAsia="Times New Roman" w:hAnsi="Times New Roman"/>
                <w:sz w:val="14"/>
                <w:szCs w:val="14"/>
                <w:b w:val="1"/>
                <w:bCs w:val="1"/>
                <w:color w:val="auto"/>
              </w:rPr>
              <w:t>Gross</w:t>
            </w:r>
          </w:p>
        </w:tc>
        <w:tc>
          <w:tcPr>
            <w:tcW w:w="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vMerge w:val="restart"/>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1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center"/>
              <w:ind w:right="70"/>
              <w:spacing w:after="0" w:line="128" w:lineRule="exact"/>
              <w:rPr>
                <w:sz w:val="20"/>
                <w:szCs w:val="20"/>
                <w:color w:val="auto"/>
              </w:rPr>
            </w:pPr>
            <w:r>
              <w:rPr>
                <w:rFonts w:ascii="Times New Roman" w:cs="Times New Roman" w:eastAsia="Times New Roman" w:hAnsi="Times New Roman"/>
                <w:sz w:val="14"/>
                <w:szCs w:val="14"/>
                <w:b w:val="1"/>
                <w:bCs w:val="1"/>
                <w:color w:val="auto"/>
              </w:rPr>
              <w:t>Gross</w:t>
            </w: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vMerge w:val="restart"/>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1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center"/>
              <w:ind w:right="69"/>
              <w:spacing w:after="0" w:line="128" w:lineRule="exact"/>
              <w:rPr>
                <w:sz w:val="20"/>
                <w:szCs w:val="20"/>
                <w:color w:val="auto"/>
              </w:rPr>
            </w:pPr>
            <w:r>
              <w:rPr>
                <w:rFonts w:ascii="Times New Roman" w:cs="Times New Roman" w:eastAsia="Times New Roman" w:hAnsi="Times New Roman"/>
                <w:sz w:val="14"/>
                <w:szCs w:val="14"/>
                <w:b w:val="1"/>
                <w:bCs w:val="1"/>
                <w:color w:val="auto"/>
                <w:w w:val="96"/>
              </w:rPr>
              <w:t>Gross</w:t>
            </w: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vMerge w:val="restart"/>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1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center"/>
              <w:ind w:right="69"/>
              <w:spacing w:after="0" w:line="128" w:lineRule="exact"/>
              <w:rPr>
                <w:sz w:val="20"/>
                <w:szCs w:val="20"/>
                <w:color w:val="auto"/>
              </w:rPr>
            </w:pPr>
            <w:r>
              <w:rPr>
                <w:rFonts w:ascii="Times New Roman" w:cs="Times New Roman" w:eastAsia="Times New Roman" w:hAnsi="Times New Roman"/>
                <w:sz w:val="14"/>
                <w:szCs w:val="14"/>
                <w:b w:val="1"/>
                <w:bCs w:val="1"/>
                <w:color w:val="auto"/>
                <w:w w:val="96"/>
              </w:rPr>
              <w:t>Gross</w:t>
            </w:r>
          </w:p>
        </w:tc>
        <w:tc>
          <w:tcPr>
            <w:tcW w:w="0" w:type="dxa"/>
            <w:vAlign w:val="bottom"/>
          </w:tcPr>
          <w:p>
            <w:pPr>
              <w:spacing w:after="0"/>
              <w:rPr>
                <w:sz w:val="1"/>
                <w:szCs w:val="1"/>
                <w:color w:val="auto"/>
              </w:rPr>
            </w:pPr>
          </w:p>
        </w:tc>
      </w:tr>
      <w:tr>
        <w:trPr>
          <w:trHeight w:val="146"/>
        </w:trPr>
        <w:tc>
          <w:tcPr>
            <w:tcW w:w="2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200"/>
              <w:spacing w:after="0" w:line="146"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center"/>
              <w:ind w:right="69"/>
              <w:spacing w:after="0" w:line="146"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0" w:type="dxa"/>
            <w:vAlign w:val="bottom"/>
          </w:tcPr>
          <w:p>
            <w:pPr>
              <w:spacing w:after="0"/>
              <w:rPr>
                <w:sz w:val="1"/>
                <w:szCs w:val="1"/>
                <w:color w:val="auto"/>
              </w:rPr>
            </w:pPr>
          </w:p>
        </w:tc>
      </w:tr>
      <w:tr>
        <w:trPr>
          <w:trHeight w:val="191"/>
        </w:trPr>
        <w:tc>
          <w:tcPr>
            <w:tcW w:w="29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Losses</w:t>
            </w: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69"/>
              <w:spacing w:after="0"/>
              <w:rPr>
                <w:sz w:val="20"/>
                <w:szCs w:val="20"/>
                <w:color w:val="auto"/>
              </w:rPr>
            </w:pPr>
            <w:r>
              <w:rPr>
                <w:rFonts w:ascii="Times New Roman" w:cs="Times New Roman" w:eastAsia="Times New Roman" w:hAnsi="Times New Roman"/>
                <w:sz w:val="14"/>
                <w:szCs w:val="14"/>
                <w:b w:val="1"/>
                <w:bCs w:val="1"/>
                <w:color w:val="auto"/>
                <w:w w:val="97"/>
              </w:rPr>
              <w:t>Losses</w:t>
            </w:r>
          </w:p>
        </w:tc>
        <w:tc>
          <w:tcPr>
            <w:tcW w:w="0" w:type="dxa"/>
            <w:vAlign w:val="bottom"/>
          </w:tcPr>
          <w:p>
            <w:pPr>
              <w:spacing w:after="0"/>
              <w:rPr>
                <w:sz w:val="1"/>
                <w:szCs w:val="1"/>
                <w:color w:val="auto"/>
              </w:rPr>
            </w:pPr>
          </w:p>
        </w:tc>
      </w:tr>
      <w:tr>
        <w:trPr>
          <w:trHeight w:val="379"/>
        </w:trPr>
        <w:tc>
          <w:tcPr>
            <w:tcW w:w="2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80" w:type="dxa"/>
            <w:vAlign w:val="bottom"/>
            <w:gridSpan w:val="4"/>
          </w:tcPr>
          <w:p>
            <w:pPr>
              <w:jc w:val="right"/>
              <w:ind w:right="369"/>
              <w:spacing w:after="0"/>
              <w:rPr>
                <w:sz w:val="20"/>
                <w:szCs w:val="20"/>
                <w:color w:val="auto"/>
              </w:rPr>
            </w:pPr>
            <w:r>
              <w:rPr>
                <w:rFonts w:ascii="Times New Roman" w:cs="Times New Roman" w:eastAsia="Times New Roman" w:hAnsi="Times New Roman"/>
                <w:sz w:val="12"/>
                <w:szCs w:val="12"/>
                <w:b w:val="1"/>
                <w:bCs w:val="1"/>
                <w:color w:val="auto"/>
              </w:rPr>
              <w:t>(Dollars in millions)</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17"/>
        </w:trPr>
        <w:tc>
          <w:tcPr>
            <w:tcW w:w="2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U.S. corporate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8,736</w:t>
            </w:r>
          </w:p>
        </w:tc>
        <w:tc>
          <w:tcPr>
            <w:tcW w:w="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455</w:t>
            </w: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17,985</w:t>
            </w:r>
          </w:p>
        </w:tc>
        <w:tc>
          <w:tcPr>
            <w:tcW w:w="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2,962</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4,126</w:t>
            </w:r>
          </w:p>
        </w:tc>
        <w:tc>
          <w:tcPr>
            <w:tcW w:w="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394</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18,777</w:t>
            </w:r>
          </w:p>
        </w:tc>
        <w:tc>
          <w:tcPr>
            <w:tcW w:w="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2,637</w:t>
            </w:r>
          </w:p>
        </w:tc>
        <w:tc>
          <w:tcPr>
            <w:tcW w:w="0" w:type="dxa"/>
            <w:vAlign w:val="bottom"/>
          </w:tcPr>
          <w:p>
            <w:pPr>
              <w:spacing w:after="0"/>
              <w:rPr>
                <w:sz w:val="1"/>
                <w:szCs w:val="1"/>
                <w:color w:val="auto"/>
              </w:rPr>
            </w:pPr>
          </w:p>
        </w:tc>
      </w:tr>
      <w:tr>
        <w:trPr>
          <w:trHeight w:val="400"/>
        </w:trPr>
        <w:tc>
          <w:tcPr>
            <w:tcW w:w="2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corporate</w:t>
            </w: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2,616</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5,185</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958</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1,380</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5,203</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812</w:t>
            </w:r>
          </w:p>
        </w:tc>
        <w:tc>
          <w:tcPr>
            <w:tcW w:w="0" w:type="dxa"/>
            <w:vAlign w:val="bottom"/>
          </w:tcPr>
          <w:p>
            <w:pPr>
              <w:spacing w:after="0"/>
              <w:rPr>
                <w:sz w:val="1"/>
                <w:szCs w:val="1"/>
                <w:color w:val="auto"/>
              </w:rPr>
            </w:pPr>
          </w:p>
        </w:tc>
      </w:tr>
      <w:tr>
        <w:trPr>
          <w:trHeight w:val="38"/>
        </w:trPr>
        <w:tc>
          <w:tcPr>
            <w:tcW w:w="29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7"/>
        </w:trPr>
        <w:tc>
          <w:tcPr>
            <w:tcW w:w="2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RMBS</w:t>
            </w:r>
          </w:p>
        </w:tc>
        <w:tc>
          <w:tcPr>
            <w:tcW w:w="14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2,118</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4,100</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540</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822</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4,338</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523</w:t>
            </w:r>
          </w:p>
        </w:tc>
        <w:tc>
          <w:tcPr>
            <w:tcW w:w="0" w:type="dxa"/>
            <w:vAlign w:val="bottom"/>
          </w:tcPr>
          <w:p>
            <w:pPr>
              <w:spacing w:after="0"/>
              <w:rPr>
                <w:sz w:val="1"/>
                <w:szCs w:val="1"/>
                <w:color w:val="auto"/>
              </w:rPr>
            </w:pPr>
          </w:p>
        </w:tc>
      </w:tr>
      <w:tr>
        <w:trPr>
          <w:trHeight w:val="400"/>
        </w:trPr>
        <w:tc>
          <w:tcPr>
            <w:tcW w:w="2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U.S. government and agency</w:t>
            </w: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1,097</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2,017</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587</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2,229</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591</w:t>
            </w:r>
          </w:p>
        </w:tc>
        <w:tc>
          <w:tcPr>
            <w:tcW w:w="0" w:type="dxa"/>
            <w:vAlign w:val="bottom"/>
          </w:tcPr>
          <w:p>
            <w:pPr>
              <w:spacing w:after="0"/>
              <w:rPr>
                <w:sz w:val="1"/>
                <w:szCs w:val="1"/>
                <w:color w:val="auto"/>
              </w:rPr>
            </w:pPr>
          </w:p>
        </w:tc>
      </w:tr>
      <w:tr>
        <w:trPr>
          <w:trHeight w:val="38"/>
        </w:trPr>
        <w:tc>
          <w:tcPr>
            <w:tcW w:w="29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7"/>
        </w:trPr>
        <w:tc>
          <w:tcPr>
            <w:tcW w:w="2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ABS</w:t>
            </w:r>
          </w:p>
        </w:tc>
        <w:tc>
          <w:tcPr>
            <w:tcW w:w="14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2,229</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702</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513</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749</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0" w:type="dxa"/>
            <w:vAlign w:val="bottom"/>
          </w:tcPr>
          <w:p>
            <w:pPr>
              <w:spacing w:after="0"/>
              <w:rPr>
                <w:sz w:val="1"/>
                <w:szCs w:val="1"/>
                <w:color w:val="auto"/>
              </w:rPr>
            </w:pPr>
          </w:p>
        </w:tc>
      </w:tr>
      <w:tr>
        <w:trPr>
          <w:trHeight w:val="400"/>
        </w:trPr>
        <w:tc>
          <w:tcPr>
            <w:tcW w:w="2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CMBS</w:t>
            </w: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1,267</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3,726</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323</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4,227</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w:t>
            </w:r>
          </w:p>
        </w:tc>
        <w:tc>
          <w:tcPr>
            <w:tcW w:w="0" w:type="dxa"/>
            <w:vAlign w:val="bottom"/>
          </w:tcPr>
          <w:p>
            <w:pPr>
              <w:spacing w:after="0"/>
              <w:rPr>
                <w:sz w:val="1"/>
                <w:szCs w:val="1"/>
                <w:color w:val="auto"/>
              </w:rPr>
            </w:pPr>
          </w:p>
        </w:tc>
      </w:tr>
      <w:tr>
        <w:trPr>
          <w:trHeight w:val="38"/>
        </w:trPr>
        <w:tc>
          <w:tcPr>
            <w:tcW w:w="29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7"/>
        </w:trPr>
        <w:tc>
          <w:tcPr>
            <w:tcW w:w="2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State and political subdivision</w:t>
            </w:r>
          </w:p>
        </w:tc>
        <w:tc>
          <w:tcPr>
            <w:tcW w:w="14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411</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1,658</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1,777</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w:t>
            </w:r>
          </w:p>
        </w:tc>
        <w:tc>
          <w:tcPr>
            <w:tcW w:w="0" w:type="dxa"/>
            <w:vAlign w:val="bottom"/>
          </w:tcPr>
          <w:p>
            <w:pPr>
              <w:spacing w:after="0"/>
              <w:rPr>
                <w:sz w:val="1"/>
                <w:szCs w:val="1"/>
                <w:color w:val="auto"/>
              </w:rPr>
            </w:pPr>
          </w:p>
        </w:tc>
      </w:tr>
      <w:tr>
        <w:trPr>
          <w:trHeight w:val="400"/>
        </w:trPr>
        <w:tc>
          <w:tcPr>
            <w:tcW w:w="2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government</w:t>
            </w: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505</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560</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0" w:type="dxa"/>
            <w:vAlign w:val="bottom"/>
          </w:tcPr>
          <w:p>
            <w:pPr>
              <w:spacing w:after="0"/>
              <w:rPr>
                <w:sz w:val="1"/>
                <w:szCs w:val="1"/>
                <w:color w:val="auto"/>
              </w:rPr>
            </w:pPr>
          </w:p>
        </w:tc>
      </w:tr>
      <w:tr>
        <w:trPr>
          <w:trHeight w:val="38"/>
        </w:trPr>
        <w:tc>
          <w:tcPr>
            <w:tcW w:w="29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445"/>
        </w:trPr>
        <w:tc>
          <w:tcPr>
            <w:tcW w:w="2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Total fixed maturity securities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18,574</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748</w:t>
            </w: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35,878</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5,703</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8,056</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648</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37,860</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5,188</w:t>
            </w:r>
          </w:p>
        </w:tc>
        <w:tc>
          <w:tcPr>
            <w:tcW w:w="0" w:type="dxa"/>
            <w:vAlign w:val="bottom"/>
          </w:tcPr>
          <w:p>
            <w:pPr>
              <w:spacing w:after="0"/>
              <w:rPr>
                <w:sz w:val="1"/>
                <w:szCs w:val="1"/>
                <w:color w:val="auto"/>
              </w:rPr>
            </w:pPr>
          </w:p>
        </w:tc>
      </w:tr>
      <w:tr>
        <w:trPr>
          <w:trHeight w:val="20"/>
        </w:trPr>
        <w:tc>
          <w:tcPr>
            <w:tcW w:w="2980" w:type="dxa"/>
            <w:vAlign w:val="bottom"/>
            <w:tcBorders>
              <w:top w:val="single" w:sz="8" w:color="CCEEFF"/>
              <w:bottom w:val="single" w:sz="8" w:color="CCEEFF"/>
            </w:tcBorders>
            <w:vMerge w:val="restart"/>
          </w:tcPr>
          <w:p>
            <w:pPr>
              <w:ind w:left="180"/>
              <w:spacing w:after="0"/>
              <w:rPr>
                <w:sz w:val="20"/>
                <w:szCs w:val="20"/>
                <w:color w:val="auto"/>
              </w:rPr>
            </w:pPr>
            <w:r>
              <w:rPr>
                <w:rFonts w:ascii="Times New Roman" w:cs="Times New Roman" w:eastAsia="Times New Roman" w:hAnsi="Times New Roman"/>
                <w:sz w:val="14"/>
                <w:szCs w:val="14"/>
                <w:color w:val="auto"/>
              </w:rPr>
              <w:t>Total number of securities in an unrealized loss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298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2,792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4,840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1,313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5,035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1"/>
        </w:trPr>
        <w:tc>
          <w:tcPr>
            <w:tcW w:w="2980" w:type="dxa"/>
            <w:vAlign w:val="bottom"/>
            <w:vMerge w:val="restart"/>
          </w:tcPr>
          <w:p>
            <w:pPr>
              <w:ind w:left="340"/>
              <w:spacing w:after="0"/>
              <w:rPr>
                <w:sz w:val="20"/>
                <w:szCs w:val="20"/>
                <w:color w:val="auto"/>
              </w:rPr>
            </w:pPr>
            <w:r>
              <w:rPr>
                <w:rFonts w:ascii="Times New Roman" w:cs="Times New Roman" w:eastAsia="Times New Roman" w:hAnsi="Times New Roman"/>
                <w:sz w:val="14"/>
                <w:szCs w:val="14"/>
                <w:color w:val="auto"/>
              </w:rPr>
              <w:t>position</w:t>
            </w:r>
          </w:p>
        </w:tc>
        <w:tc>
          <w:tcPr>
            <w:tcW w:w="14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7"/>
        </w:trPr>
        <w:tc>
          <w:tcPr>
            <w:tcW w:w="2980" w:type="dxa"/>
            <w:vAlign w:val="bottom"/>
            <w:vMerge w:val="continue"/>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Allowance for Credit Losses for Fixed Maturity Securities</w:t>
      </w:r>
    </w:p>
    <w:p>
      <w:pPr>
        <w:spacing w:after="0" w:line="1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Evaluation and Measurement Methodologies</w:t>
      </w:r>
    </w:p>
    <w:p>
      <w:pPr>
        <w:spacing w:after="0" w:line="113" w:lineRule="exact"/>
        <w:rPr>
          <w:sz w:val="20"/>
          <w:szCs w:val="20"/>
          <w:color w:val="auto"/>
        </w:rPr>
      </w:pPr>
    </w:p>
    <w:p>
      <w:pPr>
        <w:jc w:val="both"/>
        <w:ind w:left="320" w:firstLine="318"/>
        <w:spacing w:after="0" w:line="252" w:lineRule="auto"/>
        <w:rPr>
          <w:sz w:val="20"/>
          <w:szCs w:val="20"/>
          <w:color w:val="auto"/>
        </w:rPr>
      </w:pPr>
      <w:r>
        <w:rPr>
          <w:rFonts w:ascii="Times New Roman" w:cs="Times New Roman" w:eastAsia="Times New Roman" w:hAnsi="Times New Roman"/>
          <w:sz w:val="18"/>
          <w:szCs w:val="18"/>
          <w:color w:val="auto"/>
        </w:rPr>
        <w:t>For fixed maturity securities in an unrealized loss position, management first assesses whether the Company intends to sell, or whether it is more likely than not it will be required to sell the security before recovery of its amortized cost basis. If either of the criteria regarding intent or requirement to sell is met, the security’s amortized cost basis is written down to estimated fair value through net investment gains (losses). For fixed maturity securities that do not meet the aforementioned criteria, management evaluates whether the decline in estimated fair value has resulted from credit losses or other factors.</w:t>
      </w:r>
    </w:p>
    <w:p>
      <w:pPr>
        <w:sectPr>
          <w:pgSz w:w="11900" w:h="16866" w:orient="portrait"/>
          <w:cols w:equalWidth="0" w:num="1">
            <w:col w:w="11240"/>
          </w:cols>
          <w:pgMar w:left="320" w:top="230"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20</w:t>
      </w:r>
    </w:p>
    <w:p>
      <w:pPr>
        <w:sectPr>
          <w:pgSz w:w="11900" w:h="16866" w:orient="portrait"/>
          <w:cols w:equalWidth="0" w:num="1">
            <w:col w:w="11240"/>
          </w:cols>
          <w:pgMar w:left="320" w:top="230" w:right="339" w:bottom="0" w:gutter="0" w:footer="0" w:header="0"/>
          <w:type w:val="continuous"/>
        </w:sectPr>
      </w:pPr>
    </w:p>
    <w:bookmarkStart w:id="23" w:name="page24"/>
    <w:bookmarkEnd w:id="2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60260"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0260" cy="298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Life Insurance Company</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 Indirect Wholly-Owned Subsidiary of Brighthouse Financial, Inc.)</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Investments (continued)</w:t>
      </w:r>
    </w:p>
    <w:p>
      <w:pPr>
        <w:spacing w:after="0" w:line="200" w:lineRule="exact"/>
        <w:rPr>
          <w:sz w:val="20"/>
          <w:szCs w:val="20"/>
          <w:color w:val="auto"/>
        </w:rPr>
      </w:pPr>
    </w:p>
    <w:p>
      <w:pPr>
        <w:spacing w:after="0" w:line="311" w:lineRule="exact"/>
        <w:rPr>
          <w:sz w:val="20"/>
          <w:szCs w:val="20"/>
          <w:color w:val="auto"/>
        </w:rPr>
      </w:pPr>
    </w:p>
    <w:p>
      <w:pPr>
        <w:jc w:val="both"/>
        <w:ind w:left="320" w:firstLine="318"/>
        <w:spacing w:after="0" w:line="249" w:lineRule="auto"/>
        <w:rPr>
          <w:sz w:val="20"/>
          <w:szCs w:val="20"/>
          <w:color w:val="auto"/>
        </w:rPr>
      </w:pPr>
      <w:r>
        <w:rPr>
          <w:rFonts w:ascii="Times New Roman" w:cs="Times New Roman" w:eastAsia="Times New Roman" w:hAnsi="Times New Roman"/>
          <w:sz w:val="18"/>
          <w:szCs w:val="18"/>
          <w:color w:val="auto"/>
        </w:rPr>
        <w:t>Inherent in management’s evaluation of the security are assumptions and estimates about the operations of the issuer and its future earnings potential. Considerations used in the allowance for credit loss evaluation process include, but are not limited to: (i) the extent to which estimated fair value is less than amortized cost; (ii) any changes to the rating of the security by a rating agency; (iii) adverse conditions specifically related to the security, industry or geographic area; and (iv) payment structure of the fixed maturity security and the likelihood of the issuer being able to make payments in the future or the issuer’s failure to make scheduled interest and principal payments. If this assessment indicates that a credit loss exists, the present value of cash flows expected to be collected from the security are compared to the amortized cost basis of the security. If the present value of cash flows expected to be collected is less than the amortized cost basis, a credit loss is deemed to exist and an allowance for credit losses is recorded, limited by the amount that the estimated fair value is less than the amortized cost basis, with a corresponding charge to net investment gains (losses). Any unrealized losses that have not been recorded through an allowance for credit losses are recognized in other comprehensive income (“OCI”).</w:t>
      </w:r>
    </w:p>
    <w:p>
      <w:pPr>
        <w:spacing w:after="0" w:line="81" w:lineRule="exact"/>
        <w:rPr>
          <w:sz w:val="20"/>
          <w:szCs w:val="20"/>
          <w:color w:val="auto"/>
        </w:rPr>
      </w:pPr>
    </w:p>
    <w:p>
      <w:pPr>
        <w:jc w:val="both"/>
        <w:ind w:left="320" w:firstLine="318"/>
        <w:spacing w:after="0" w:line="259" w:lineRule="auto"/>
        <w:rPr>
          <w:sz w:val="20"/>
          <w:szCs w:val="20"/>
          <w:color w:val="auto"/>
        </w:rPr>
      </w:pPr>
      <w:r>
        <w:rPr>
          <w:rFonts w:ascii="Times New Roman" w:cs="Times New Roman" w:eastAsia="Times New Roman" w:hAnsi="Times New Roman"/>
          <w:sz w:val="18"/>
          <w:szCs w:val="18"/>
          <w:color w:val="auto"/>
        </w:rPr>
        <w:t>Once a security specific allowance for credit losses is established, the present value of cash flows expected to be collected from the security continues to be reassessed. Any changes in the security specific allowance for credit losses are recorded as a provision for (or reversal of) credit loss expense in net investment gains (losses).</w:t>
      </w:r>
    </w:p>
    <w:p>
      <w:pPr>
        <w:spacing w:after="0" w:line="72" w:lineRule="exact"/>
        <w:rPr>
          <w:sz w:val="20"/>
          <w:szCs w:val="20"/>
          <w:color w:val="auto"/>
        </w:rPr>
      </w:pPr>
    </w:p>
    <w:p>
      <w:pPr>
        <w:jc w:val="both"/>
        <w:ind w:left="320" w:firstLine="318"/>
        <w:spacing w:after="0" w:line="259" w:lineRule="auto"/>
        <w:rPr>
          <w:sz w:val="20"/>
          <w:szCs w:val="20"/>
          <w:color w:val="auto"/>
        </w:rPr>
      </w:pPr>
      <w:r>
        <w:rPr>
          <w:rFonts w:ascii="Times New Roman" w:cs="Times New Roman" w:eastAsia="Times New Roman" w:hAnsi="Times New Roman"/>
          <w:sz w:val="18"/>
          <w:szCs w:val="18"/>
          <w:color w:val="auto"/>
        </w:rPr>
        <w:t>Fixed maturity securities are also evaluated to determine whether any amounts have become uncollectible. When all, or a portion, of a security is deemed uncollectible, the uncollectible portion is written-off with an adjustment to amortized cost and a corresponding reduction to the allowance for credit losses.</w:t>
      </w:r>
    </w:p>
    <w:p>
      <w:pPr>
        <w:spacing w:after="0" w:line="72" w:lineRule="exact"/>
        <w:rPr>
          <w:sz w:val="20"/>
          <w:szCs w:val="20"/>
          <w:color w:val="auto"/>
        </w:rPr>
      </w:pPr>
    </w:p>
    <w:p>
      <w:pPr>
        <w:jc w:val="both"/>
        <w:ind w:left="320" w:firstLine="318"/>
        <w:spacing w:after="0" w:line="255" w:lineRule="auto"/>
        <w:rPr>
          <w:sz w:val="20"/>
          <w:szCs w:val="20"/>
          <w:color w:val="auto"/>
        </w:rPr>
      </w:pPr>
      <w:r>
        <w:rPr>
          <w:rFonts w:ascii="Times New Roman" w:cs="Times New Roman" w:eastAsia="Times New Roman" w:hAnsi="Times New Roman"/>
          <w:sz w:val="18"/>
          <w:szCs w:val="18"/>
          <w:color w:val="auto"/>
        </w:rPr>
        <w:t>Accrued interest receivables are presented separate from the amortized cost basis of fixed maturity securities. An allowance for credit losses is not estimated on an accrued interest receivable, rather receivable balances 90-days past due are deemed uncollectible and are written off with a corresponding reduction to net investment income. The accrued interest receivable on fixed maturity securities totaled $688 million and $663 million at March 31, 2026 and December 31, 2025, respectively, and is included in accrued investment income.</w:t>
      </w:r>
    </w:p>
    <w:p>
      <w:pPr>
        <w:spacing w:after="0" w:line="74" w:lineRule="exact"/>
        <w:rPr>
          <w:sz w:val="20"/>
          <w:szCs w:val="20"/>
          <w:color w:val="auto"/>
        </w:rPr>
      </w:pPr>
    </w:p>
    <w:p>
      <w:pPr>
        <w:jc w:val="both"/>
        <w:ind w:left="320" w:firstLine="318"/>
        <w:spacing w:after="0" w:line="249" w:lineRule="auto"/>
        <w:rPr>
          <w:sz w:val="20"/>
          <w:szCs w:val="20"/>
          <w:color w:val="auto"/>
        </w:rPr>
      </w:pPr>
      <w:r>
        <w:rPr>
          <w:rFonts w:ascii="Times New Roman" w:cs="Times New Roman" w:eastAsia="Times New Roman" w:hAnsi="Times New Roman"/>
          <w:sz w:val="18"/>
          <w:szCs w:val="18"/>
          <w:color w:val="auto"/>
        </w:rPr>
        <w:t>Fixed maturity securities are also evaluated to determine if they qualify as purchased financial assets with credit deterioration (“PCD”). To determine if the credit deterioration experienced since origination is more than insignificant, both (i) the extent of the credit deterioration and (ii) any rating agency downgrades are evaluated. For securities categorized as PCD assets, the present value of cash flows expected to be collected from the security are compared to the par value of the security. If the present value of cash flows expected to be collected is less than the par value, credit losses are embedded in the purchase price of the PCD asset. In this situation, both an allowance for credit losses and amortized cost gross-up is recorded, limited by the amount that the estimated fair value is less than the grossed-up amortized cost basis. Any difference between the purchase price and the present value of cash flows is amortized or accreted into net investment income over the life of the PCD asset. Any subsequent PCD asset allowance for credit losses is evaluated in a manner similar to the process described above for fixed maturity securities.</w:t>
      </w:r>
    </w:p>
    <w:p>
      <w:pPr>
        <w:spacing w:after="0" w:line="8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Current Period Evaluation</w:t>
      </w:r>
    </w:p>
    <w:p>
      <w:pPr>
        <w:spacing w:after="0" w:line="113" w:lineRule="exact"/>
        <w:rPr>
          <w:sz w:val="20"/>
          <w:szCs w:val="20"/>
          <w:color w:val="auto"/>
        </w:rPr>
      </w:pPr>
    </w:p>
    <w:p>
      <w:pPr>
        <w:jc w:val="both"/>
        <w:ind w:left="320" w:firstLine="318"/>
        <w:spacing w:after="0" w:line="250" w:lineRule="auto"/>
        <w:rPr>
          <w:sz w:val="20"/>
          <w:szCs w:val="20"/>
          <w:color w:val="auto"/>
        </w:rPr>
      </w:pPr>
      <w:r>
        <w:rPr>
          <w:rFonts w:ascii="Times New Roman" w:cs="Times New Roman" w:eastAsia="Times New Roman" w:hAnsi="Times New Roman"/>
          <w:sz w:val="18"/>
          <w:szCs w:val="18"/>
          <w:color w:val="auto"/>
        </w:rPr>
        <w:t>Based on the Company’s current evaluation of its fixed maturity securities in an unrealized loss position and the current intent or requirement to sell, the Company recorded an allowance for credit losses of $64 million, relating to 19 securities, at March 31, 2026. Management concluded that for all other fixed maturity securities in an unrealized loss position, the unrealized loss was not due to issuer-specific credit-related factors and as a result was recognized in OCI. Where unrealized losses have not been recognized into income, it is primarily because the securities’ bond issuer(s) are of high credit quality, management does not intend to sell and it is likely that management will not be required to sell the securities prior to their anticipated recovery, and the decline in estimated fair value is largely due to changes in interest rates and non-issuer specific credit spreads. These issuers continued to make timely principal and interest payments and the estimated fair value is expected to recover as the securities approach maturity.</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Life Insurance Company</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 Indirect Wholly-Owned Subsidiary of Brighthouse Financial, Inc.)</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Investments (continued)</w:t>
      </w:r>
    </w:p>
    <w:p>
      <w:pPr>
        <w:spacing w:after="0" w:line="200" w:lineRule="exact"/>
        <w:rPr>
          <w:sz w:val="20"/>
          <w:szCs w:val="20"/>
          <w:color w:val="auto"/>
        </w:rPr>
      </w:pPr>
    </w:p>
    <w:p>
      <w:pPr>
        <w:spacing w:after="0" w:line="30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Rollforward of the Allowance for Credit Losses for Fixed Maturity Securities by Sector</w:t>
      </w:r>
    </w:p>
    <w:p>
      <w:pPr>
        <w:spacing w:after="0" w:line="11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changes in the allowance for credit losses for fixed maturity securities by sector were as follows:</w:t>
      </w: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5260" w:type="dxa"/>
            <w:vAlign w:val="bottom"/>
          </w:tcPr>
          <w:p>
            <w:pPr>
              <w:spacing w:after="0"/>
              <w:rPr>
                <w:sz w:val="16"/>
                <w:szCs w:val="16"/>
                <w:color w:val="auto"/>
              </w:rPr>
            </w:pPr>
          </w:p>
        </w:tc>
        <w:tc>
          <w:tcPr>
            <w:tcW w:w="10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U.S. Corporate</w:t>
            </w:r>
          </w:p>
        </w:tc>
        <w:tc>
          <w:tcPr>
            <w:tcW w:w="140" w:type="dxa"/>
            <w:vAlign w:val="bottom"/>
          </w:tcPr>
          <w:p>
            <w:pPr>
              <w:spacing w:after="0"/>
              <w:rPr>
                <w:sz w:val="16"/>
                <w:szCs w:val="16"/>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200" w:type="dxa"/>
            <w:vAlign w:val="bottom"/>
          </w:tcPr>
          <w:p>
            <w:pPr>
              <w:spacing w:after="0"/>
              <w:rPr>
                <w:sz w:val="16"/>
                <w:szCs w:val="16"/>
                <w:color w:val="auto"/>
              </w:rPr>
            </w:pPr>
          </w:p>
        </w:tc>
        <w:tc>
          <w:tcPr>
            <w:tcW w:w="8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RMBS</w:t>
            </w:r>
          </w:p>
        </w:tc>
        <w:tc>
          <w:tcPr>
            <w:tcW w:w="240" w:type="dxa"/>
            <w:vAlign w:val="bottom"/>
          </w:tcPr>
          <w:p>
            <w:pPr>
              <w:spacing w:after="0"/>
              <w:rPr>
                <w:sz w:val="16"/>
                <w:szCs w:val="16"/>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CMBS</w:t>
            </w:r>
          </w:p>
        </w:tc>
        <w:tc>
          <w:tcPr>
            <w:tcW w:w="180" w:type="dxa"/>
            <w:vAlign w:val="bottom"/>
          </w:tcPr>
          <w:p>
            <w:pPr>
              <w:spacing w:after="0"/>
              <w:rPr>
                <w:sz w:val="16"/>
                <w:szCs w:val="16"/>
                <w:color w:val="auto"/>
              </w:rPr>
            </w:pPr>
          </w:p>
        </w:tc>
        <w:tc>
          <w:tcPr>
            <w:tcW w:w="58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ABS</w:t>
            </w:r>
          </w:p>
        </w:tc>
        <w:tc>
          <w:tcPr>
            <w:tcW w:w="240" w:type="dxa"/>
            <w:vAlign w:val="bottom"/>
          </w:tcPr>
          <w:p>
            <w:pPr>
              <w:spacing w:after="0"/>
              <w:rPr>
                <w:sz w:val="16"/>
                <w:szCs w:val="16"/>
                <w:color w:val="auto"/>
              </w:rPr>
            </w:pPr>
          </w:p>
        </w:tc>
        <w:tc>
          <w:tcPr>
            <w:tcW w:w="740" w:type="dxa"/>
            <w:vAlign w:val="bottom"/>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38"/>
        </w:trPr>
        <w:tc>
          <w:tcPr>
            <w:tcW w:w="5260" w:type="dxa"/>
            <w:vAlign w:val="bottom"/>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gridSpan w:val="3"/>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93"/>
        </w:trPr>
        <w:tc>
          <w:tcPr>
            <w:tcW w:w="5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
        </w:trPr>
        <w:tc>
          <w:tcPr>
            <w:tcW w:w="5260" w:type="dxa"/>
            <w:vAlign w:val="bottom"/>
          </w:tcPr>
          <w:p>
            <w:pPr>
              <w:spacing w:after="0"/>
              <w:rPr>
                <w:sz w:val="3"/>
                <w:szCs w:val="3"/>
                <w:color w:val="auto"/>
              </w:rPr>
            </w:pPr>
          </w:p>
        </w:tc>
        <w:tc>
          <w:tcPr>
            <w:tcW w:w="4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4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2"/>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March 31, 2026</w:t>
            </w:r>
          </w:p>
        </w:tc>
        <w:tc>
          <w:tcPr>
            <w:tcW w:w="4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48"/>
        </w:trPr>
        <w:tc>
          <w:tcPr>
            <w:tcW w:w="5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beginning of period</w:t>
            </w:r>
          </w:p>
        </w:tc>
        <w:tc>
          <w:tcPr>
            <w:tcW w:w="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tcPr>
          <w:p>
            <w:pPr>
              <w:spacing w:after="0"/>
              <w:rPr>
                <w:sz w:val="24"/>
                <w:szCs w:val="24"/>
                <w:color w:val="auto"/>
              </w:rPr>
            </w:pP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24"/>
                <w:szCs w:val="24"/>
                <w:color w:val="auto"/>
              </w:rPr>
            </w:pPr>
          </w:p>
        </w:tc>
        <w:tc>
          <w:tcPr>
            <w:tcW w:w="2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24"/>
                <w:szCs w:val="24"/>
                <w:color w:val="auto"/>
              </w:rPr>
            </w:pPr>
          </w:p>
        </w:tc>
        <w:tc>
          <w:tcPr>
            <w:tcW w:w="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0" w:type="dxa"/>
            <w:vAlign w:val="bottom"/>
          </w:tcPr>
          <w:p>
            <w:pPr>
              <w:spacing w:after="0"/>
              <w:rPr>
                <w:sz w:val="1"/>
                <w:szCs w:val="1"/>
                <w:color w:val="auto"/>
              </w:rPr>
            </w:pPr>
          </w:p>
        </w:tc>
      </w:tr>
      <w:tr>
        <w:trPr>
          <w:trHeight w:val="453"/>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Allowance on securities where credit losses were not previously recorded</w:t>
            </w:r>
          </w:p>
        </w:tc>
        <w:tc>
          <w:tcPr>
            <w:tcW w:w="40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4"/>
                <w:szCs w:val="24"/>
                <w:color w:val="auto"/>
              </w:rPr>
            </w:pPr>
          </w:p>
        </w:tc>
        <w:tc>
          <w:tcPr>
            <w:tcW w:w="5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10</w:t>
            </w:r>
          </w:p>
        </w:tc>
        <w:tc>
          <w:tcPr>
            <w:tcW w:w="24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448"/>
        </w:trPr>
        <w:tc>
          <w:tcPr>
            <w:tcW w:w="5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Reductions for securities sold</w:t>
            </w:r>
          </w:p>
        </w:tc>
        <w:tc>
          <w:tcPr>
            <w:tcW w:w="4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4"/>
                <w:szCs w:val="24"/>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4"/>
                <w:szCs w:val="24"/>
                <w:color w:val="auto"/>
              </w:rPr>
            </w:pPr>
          </w:p>
        </w:tc>
        <w:tc>
          <w:tcPr>
            <w:tcW w:w="5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241"/>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 in allowance on securities with an allowance recorded in a previous</w:t>
            </w:r>
          </w:p>
        </w:tc>
        <w:tc>
          <w:tcPr>
            <w:tcW w:w="400" w:type="dxa"/>
            <w:vAlign w:val="bottom"/>
            <w:shd w:val="clear" w:color="auto" w:fill="CCEEFF"/>
          </w:tcPr>
          <w:p>
            <w:pPr>
              <w:spacing w:after="0"/>
              <w:rPr>
                <w:sz w:val="20"/>
                <w:szCs w:val="20"/>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0"/>
                <w:szCs w:val="20"/>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20"/>
                <w:szCs w:val="20"/>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0"/>
                <w:szCs w:val="20"/>
                <w:color w:val="auto"/>
              </w:rPr>
            </w:pPr>
          </w:p>
        </w:tc>
        <w:tc>
          <w:tcPr>
            <w:tcW w:w="580" w:type="dxa"/>
            <w:vAlign w:val="bottom"/>
            <w:vMerge w:val="restart"/>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20"/>
                <w:szCs w:val="20"/>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12"/>
        </w:trPr>
        <w:tc>
          <w:tcPr>
            <w:tcW w:w="5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period</w:t>
            </w:r>
          </w:p>
        </w:tc>
        <w:tc>
          <w:tcPr>
            <w:tcW w:w="400" w:type="dxa"/>
            <w:vAlign w:val="bottom"/>
            <w:shd w:val="clear" w:color="auto" w:fill="CCEEFF"/>
          </w:tcPr>
          <w:p>
            <w:pPr>
              <w:spacing w:after="0"/>
              <w:rPr>
                <w:sz w:val="18"/>
                <w:szCs w:val="18"/>
                <w:color w:val="auto"/>
              </w:rPr>
            </w:pPr>
          </w:p>
        </w:tc>
        <w:tc>
          <w:tcPr>
            <w:tcW w:w="5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48"/>
        </w:trPr>
        <w:tc>
          <w:tcPr>
            <w:tcW w:w="5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Write-offs charged against allowance (1)</w:t>
            </w:r>
          </w:p>
        </w:tc>
        <w:tc>
          <w:tcPr>
            <w:tcW w:w="400" w:type="dxa"/>
            <w:vAlign w:val="bottom"/>
          </w:tcPr>
          <w:p>
            <w:pPr>
              <w:spacing w:after="0"/>
              <w:rPr>
                <w:sz w:val="24"/>
                <w:szCs w:val="24"/>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4"/>
                <w:szCs w:val="24"/>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4"/>
                <w:szCs w:val="24"/>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4"/>
                <w:szCs w:val="24"/>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4"/>
                <w:szCs w:val="24"/>
                <w:color w:val="auto"/>
              </w:rPr>
            </w:pPr>
          </w:p>
        </w:tc>
        <w:tc>
          <w:tcPr>
            <w:tcW w:w="5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71"/>
        </w:trPr>
        <w:tc>
          <w:tcPr>
            <w:tcW w:w="52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end of period</w:t>
            </w:r>
          </w:p>
        </w:tc>
        <w:tc>
          <w:tcPr>
            <w:tcW w:w="400" w:type="dxa"/>
            <w:vAlign w:val="bottom"/>
            <w:tcBorders>
              <w:top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20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24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top w:val="single" w:sz="8" w:color="auto"/>
              <w:bottom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10</w:t>
            </w:r>
          </w:p>
        </w:tc>
        <w:tc>
          <w:tcPr>
            <w:tcW w:w="24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March 31, 2025</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8"/>
        </w:trPr>
        <w:tc>
          <w:tcPr>
            <w:tcW w:w="526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beginning of period</w:t>
            </w:r>
          </w:p>
        </w:tc>
        <w:tc>
          <w:tcPr>
            <w:tcW w:w="4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0" w:type="dxa"/>
            <w:vAlign w:val="bottom"/>
          </w:tcPr>
          <w:p>
            <w:pPr>
              <w:spacing w:after="0"/>
              <w:rPr>
                <w:sz w:val="1"/>
                <w:szCs w:val="1"/>
                <w:color w:val="auto"/>
              </w:rPr>
            </w:pPr>
          </w:p>
        </w:tc>
      </w:tr>
      <w:tr>
        <w:trPr>
          <w:trHeight w:val="448"/>
        </w:trPr>
        <w:tc>
          <w:tcPr>
            <w:tcW w:w="5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Allowance on securities where credit losses were not previously recorded</w:t>
            </w:r>
          </w:p>
        </w:tc>
        <w:tc>
          <w:tcPr>
            <w:tcW w:w="400" w:type="dxa"/>
            <w:vAlign w:val="bottom"/>
          </w:tcPr>
          <w:p>
            <w:pPr>
              <w:spacing w:after="0"/>
              <w:rPr>
                <w:sz w:val="24"/>
                <w:szCs w:val="24"/>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4"/>
                <w:szCs w:val="24"/>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4"/>
                <w:szCs w:val="24"/>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4"/>
                <w:szCs w:val="24"/>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4"/>
                <w:szCs w:val="24"/>
                <w:color w:val="auto"/>
              </w:rPr>
            </w:pPr>
          </w:p>
        </w:tc>
        <w:tc>
          <w:tcPr>
            <w:tcW w:w="5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53"/>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Reductions for securities sold</w:t>
            </w:r>
          </w:p>
        </w:tc>
        <w:tc>
          <w:tcPr>
            <w:tcW w:w="40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5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38"/>
        </w:trPr>
        <w:tc>
          <w:tcPr>
            <w:tcW w:w="5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 in allowance on securities with an allowance recorded in a previous</w:t>
            </w:r>
          </w:p>
        </w:tc>
        <w:tc>
          <w:tcPr>
            <w:tcW w:w="400" w:type="dxa"/>
            <w:vAlign w:val="bottom"/>
          </w:tcPr>
          <w:p>
            <w:pPr>
              <w:spacing w:after="0"/>
              <w:rPr>
                <w:sz w:val="20"/>
                <w:szCs w:val="20"/>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580" w:type="dxa"/>
            <w:vAlign w:val="bottom"/>
            <w:vMerge w:val="restart"/>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10"/>
        </w:trPr>
        <w:tc>
          <w:tcPr>
            <w:tcW w:w="52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period</w:t>
            </w:r>
          </w:p>
        </w:tc>
        <w:tc>
          <w:tcPr>
            <w:tcW w:w="400" w:type="dxa"/>
            <w:vAlign w:val="bottom"/>
          </w:tcPr>
          <w:p>
            <w:pPr>
              <w:spacing w:after="0"/>
              <w:rPr>
                <w:sz w:val="18"/>
                <w:szCs w:val="18"/>
                <w:color w:val="auto"/>
              </w:rPr>
            </w:pPr>
          </w:p>
        </w:tc>
        <w:tc>
          <w:tcPr>
            <w:tcW w:w="5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50"/>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Write-offs charged against allowance (1)</w:t>
            </w:r>
          </w:p>
        </w:tc>
        <w:tc>
          <w:tcPr>
            <w:tcW w:w="40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4"/>
                <w:szCs w:val="24"/>
                <w:color w:val="auto"/>
              </w:rPr>
            </w:pPr>
          </w:p>
        </w:tc>
        <w:tc>
          <w:tcPr>
            <w:tcW w:w="5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0" w:type="dxa"/>
            <w:vAlign w:val="bottom"/>
          </w:tcPr>
          <w:p>
            <w:pPr>
              <w:spacing w:after="0"/>
              <w:rPr>
                <w:sz w:val="1"/>
                <w:szCs w:val="1"/>
                <w:color w:val="auto"/>
              </w:rPr>
            </w:pPr>
          </w:p>
        </w:tc>
      </w:tr>
      <w:tr>
        <w:trPr>
          <w:trHeight w:val="446"/>
        </w:trPr>
        <w:tc>
          <w:tcPr>
            <w:tcW w:w="5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end of period</w:t>
            </w:r>
          </w:p>
        </w:tc>
        <w:tc>
          <w:tcPr>
            <w:tcW w:w="40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tcBorders>
              <w:bottom w:val="single" w:sz="8" w:color="auto"/>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24"/>
                <w:szCs w:val="24"/>
                <w:color w:val="auto"/>
              </w:rPr>
            </w:pPr>
          </w:p>
        </w:tc>
        <w:tc>
          <w:tcPr>
            <w:tcW w:w="240" w:type="dxa"/>
            <w:vAlign w:val="bottom"/>
            <w:tcBorders>
              <w:top w:val="single" w:sz="8" w:color="auto"/>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top w:val="single" w:sz="8" w:color="auto"/>
              <w:bottom w:val="single" w:sz="8" w:color="auto"/>
            </w:tcBorders>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top w:val="single" w:sz="8" w:color="auto"/>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0" w:type="dxa"/>
            <w:vAlign w:val="bottom"/>
          </w:tcPr>
          <w:p>
            <w:pPr>
              <w:spacing w:after="0"/>
              <w:rPr>
                <w:sz w:val="1"/>
                <w:szCs w:val="1"/>
                <w:color w:val="auto"/>
              </w:rPr>
            </w:pPr>
          </w:p>
        </w:tc>
      </w:tr>
      <w:tr>
        <w:trPr>
          <w:trHeight w:val="20"/>
        </w:trPr>
        <w:tc>
          <w:tcPr>
            <w:tcW w:w="52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_______________</w:t>
            </w:r>
          </w:p>
        </w:tc>
        <w:tc>
          <w:tcPr>
            <w:tcW w:w="4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5260" w:type="dxa"/>
            <w:vAlign w:val="bottom"/>
            <w:vMerge w:val="continue"/>
          </w:tcPr>
          <w:p>
            <w:pPr>
              <w:spacing w:after="0"/>
              <w:rPr>
                <w:sz w:val="21"/>
                <w:szCs w:val="21"/>
                <w:color w:val="auto"/>
              </w:rPr>
            </w:pPr>
          </w:p>
        </w:tc>
        <w:tc>
          <w:tcPr>
            <w:tcW w:w="4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320" w:hanging="314"/>
        <w:spacing w:after="0" w:line="274" w:lineRule="auto"/>
        <w:tabs>
          <w:tab w:leader="none" w:pos="31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did not record any write-offs for the three months ended March 31, 2026. The Company recorded total write-offs of $33 million for the three months ended March 31, 2025.</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Mortgage Loans</w:t>
      </w:r>
    </w:p>
    <w:p>
      <w:pPr>
        <w:spacing w:after="0" w:line="11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Mortgage Loans by Portfolio Segment</w:t>
      </w:r>
    </w:p>
    <w:p>
      <w:pPr>
        <w:spacing w:after="0" w:line="11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Mortgage loans are summarized as follows at:</w:t>
      </w: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40" w:type="dxa"/>
            <w:vAlign w:val="bottom"/>
            <w:gridSpan w:val="3"/>
          </w:tcPr>
          <w:p>
            <w:pPr>
              <w:ind w:left="74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60" w:type="dxa"/>
            <w:vAlign w:val="bottom"/>
            <w:gridSpan w:val="3"/>
          </w:tcPr>
          <w:p>
            <w:pPr>
              <w:ind w:left="620"/>
              <w:spacing w:after="0"/>
              <w:rPr>
                <w:sz w:val="20"/>
                <w:szCs w:val="20"/>
                <w:color w:val="auto"/>
              </w:rPr>
            </w:pPr>
            <w:r>
              <w:rPr>
                <w:rFonts w:ascii="Times New Roman" w:cs="Times New Roman" w:eastAsia="Times New Roman" w:hAnsi="Times New Roman"/>
                <w:sz w:val="14"/>
                <w:szCs w:val="14"/>
                <w:b w:val="1"/>
                <w:bCs w:val="1"/>
                <w:color w:val="auto"/>
                <w:w w:val="98"/>
              </w:rPr>
              <w:t>December 31, 2025</w:t>
            </w:r>
          </w:p>
        </w:tc>
        <w:tc>
          <w:tcPr>
            <w:tcW w:w="880" w:type="dxa"/>
            <w:vAlign w:val="bottom"/>
          </w:tcPr>
          <w:p>
            <w:pPr>
              <w:spacing w:after="0"/>
              <w:rPr>
                <w:sz w:val="16"/>
                <w:szCs w:val="16"/>
                <w:color w:val="auto"/>
              </w:rPr>
            </w:pPr>
          </w:p>
        </w:tc>
      </w:tr>
      <w:tr>
        <w:trPr>
          <w:trHeight w:val="37"/>
        </w:trPr>
        <w:tc>
          <w:tcPr>
            <w:tcW w:w="528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740" w:type="dxa"/>
            <w:vAlign w:val="bottom"/>
            <w:tcBorders>
              <w:bottom w:val="single" w:sz="8" w:color="auto"/>
            </w:tcBorders>
            <w:gridSpan w:val="3"/>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760" w:type="dxa"/>
            <w:vAlign w:val="bottom"/>
            <w:tcBorders>
              <w:bottom w:val="single" w:sz="8" w:color="auto"/>
            </w:tcBorders>
            <w:gridSpan w:val="3"/>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r>
      <w:tr>
        <w:trPr>
          <w:trHeight w:val="167"/>
        </w:trPr>
        <w:tc>
          <w:tcPr>
            <w:tcW w:w="5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40" w:type="dxa"/>
            <w:vAlign w:val="bottom"/>
            <w:gridSpan w:val="3"/>
          </w:tcPr>
          <w:p>
            <w:pPr>
              <w:jc w:val="center"/>
              <w:ind w:right="90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 of</w:t>
            </w:r>
          </w:p>
        </w:tc>
        <w:tc>
          <w:tcPr>
            <w:tcW w:w="260" w:type="dxa"/>
            <w:vAlign w:val="bottom"/>
          </w:tcPr>
          <w:p>
            <w:pPr>
              <w:spacing w:after="0"/>
              <w:rPr>
                <w:sz w:val="14"/>
                <w:szCs w:val="14"/>
                <w:color w:val="auto"/>
              </w:rPr>
            </w:pPr>
          </w:p>
        </w:tc>
        <w:tc>
          <w:tcPr>
            <w:tcW w:w="1760" w:type="dxa"/>
            <w:vAlign w:val="bottom"/>
            <w:gridSpan w:val="3"/>
          </w:tcPr>
          <w:p>
            <w:pPr>
              <w:jc w:val="center"/>
              <w:ind w:right="92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880" w:type="dxa"/>
            <w:vAlign w:val="bottom"/>
          </w:tcPr>
          <w:p>
            <w:pPr>
              <w:jc w:val="right"/>
              <w:ind w:right="483"/>
              <w:spacing w:after="0"/>
              <w:rPr>
                <w:sz w:val="20"/>
                <w:szCs w:val="20"/>
                <w:color w:val="auto"/>
              </w:rPr>
            </w:pPr>
            <w:r>
              <w:rPr>
                <w:rFonts w:ascii="Times New Roman" w:cs="Times New Roman" w:eastAsia="Times New Roman" w:hAnsi="Times New Roman"/>
                <w:sz w:val="14"/>
                <w:szCs w:val="14"/>
                <w:b w:val="1"/>
                <w:bCs w:val="1"/>
                <w:color w:val="auto"/>
              </w:rPr>
              <w:t>% of</w:t>
            </w:r>
          </w:p>
        </w:tc>
      </w:tr>
      <w:tr>
        <w:trPr>
          <w:trHeight w:val="186"/>
        </w:trPr>
        <w:tc>
          <w:tcPr>
            <w:tcW w:w="5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40" w:type="dxa"/>
            <w:vAlign w:val="bottom"/>
            <w:gridSpan w:val="3"/>
          </w:tcPr>
          <w:p>
            <w:pPr>
              <w:jc w:val="center"/>
              <w:ind w:right="88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60" w:type="dxa"/>
            <w:vAlign w:val="bottom"/>
          </w:tcPr>
          <w:p>
            <w:pPr>
              <w:spacing w:after="0"/>
              <w:rPr>
                <w:sz w:val="16"/>
                <w:szCs w:val="16"/>
                <w:color w:val="auto"/>
              </w:rPr>
            </w:pPr>
          </w:p>
        </w:tc>
        <w:tc>
          <w:tcPr>
            <w:tcW w:w="1760" w:type="dxa"/>
            <w:vAlign w:val="bottom"/>
            <w:gridSpan w:val="3"/>
          </w:tcPr>
          <w:p>
            <w:pPr>
              <w:jc w:val="center"/>
              <w:ind w:right="90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880" w:type="dxa"/>
            <w:vAlign w:val="bottom"/>
          </w:tcPr>
          <w:p>
            <w:pPr>
              <w:jc w:val="right"/>
              <w:ind w:right="483"/>
              <w:spacing w:after="0"/>
              <w:rPr>
                <w:sz w:val="20"/>
                <w:szCs w:val="20"/>
                <w:color w:val="auto"/>
              </w:rPr>
            </w:pPr>
            <w:r>
              <w:rPr>
                <w:rFonts w:ascii="Times New Roman" w:cs="Times New Roman" w:eastAsia="Times New Roman" w:hAnsi="Times New Roman"/>
                <w:sz w:val="14"/>
                <w:szCs w:val="14"/>
                <w:b w:val="1"/>
                <w:bCs w:val="1"/>
                <w:color w:val="auto"/>
                <w:w w:val="93"/>
              </w:rPr>
              <w:t>Total</w:t>
            </w:r>
          </w:p>
        </w:tc>
      </w:tr>
      <w:tr>
        <w:trPr>
          <w:trHeight w:val="38"/>
        </w:trPr>
        <w:tc>
          <w:tcPr>
            <w:tcW w:w="528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3080" w:type="dxa"/>
            <w:vAlign w:val="bottom"/>
            <w:tcBorders>
              <w:bottom w:val="single" w:sz="8" w:color="auto"/>
            </w:tcBorders>
            <w:gridSpan w:val="6"/>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r>
      <w:tr>
        <w:trPr>
          <w:trHeight w:val="393"/>
        </w:trPr>
        <w:tc>
          <w:tcPr>
            <w:tcW w:w="5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80" w:type="dxa"/>
            <w:vAlign w:val="bottom"/>
            <w:gridSpan w:val="6"/>
          </w:tcPr>
          <w:p>
            <w:pPr>
              <w:ind w:left="38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880" w:type="dxa"/>
            <w:vAlign w:val="bottom"/>
          </w:tcPr>
          <w:p>
            <w:pPr>
              <w:spacing w:after="0"/>
              <w:rPr>
                <w:sz w:val="24"/>
                <w:szCs w:val="24"/>
                <w:color w:val="auto"/>
              </w:rPr>
            </w:pPr>
          </w:p>
        </w:tc>
      </w:tr>
      <w:tr>
        <w:trPr>
          <w:trHeight w:val="38"/>
        </w:trPr>
        <w:tc>
          <w:tcPr>
            <w:tcW w:w="52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450"/>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w:t>
            </w: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12,131</w:t>
            </w: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53.7 %</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12,319</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54.2 %</w:t>
            </w:r>
          </w:p>
        </w:tc>
      </w:tr>
      <w:tr>
        <w:trPr>
          <w:trHeight w:val="441"/>
        </w:trPr>
        <w:tc>
          <w:tcPr>
            <w:tcW w:w="5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Agricultural</w:t>
            </w:r>
          </w:p>
        </w:tc>
        <w:tc>
          <w:tcPr>
            <w:tcW w:w="2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4,622</w:t>
            </w: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auto"/>
              </w:rPr>
              <w:t>20.5</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4,631</w:t>
            </w: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8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auto"/>
              </w:rPr>
              <w:t>20.4</w:t>
            </w:r>
          </w:p>
        </w:tc>
      </w:tr>
      <w:tr>
        <w:trPr>
          <w:trHeight w:val="453"/>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Residential</w:t>
            </w:r>
          </w:p>
        </w:tc>
        <w:tc>
          <w:tcPr>
            <w:tcW w:w="26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6,052</w:t>
            </w:r>
          </w:p>
        </w:tc>
        <w:tc>
          <w:tcPr>
            <w:tcW w:w="120" w:type="dxa"/>
            <w:vAlign w:val="bottom"/>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26.8</w:t>
            </w:r>
          </w:p>
        </w:tc>
        <w:tc>
          <w:tcPr>
            <w:tcW w:w="10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5,976</w:t>
            </w:r>
          </w:p>
        </w:tc>
        <w:tc>
          <w:tcPr>
            <w:tcW w:w="120" w:type="dxa"/>
            <w:vAlign w:val="bottom"/>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26.3</w:t>
            </w:r>
          </w:p>
        </w:tc>
      </w:tr>
      <w:tr>
        <w:trPr>
          <w:trHeight w:val="441"/>
        </w:trPr>
        <w:tc>
          <w:tcPr>
            <w:tcW w:w="52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 mortgage loans (1)</w:t>
            </w:r>
          </w:p>
        </w:tc>
        <w:tc>
          <w:tcPr>
            <w:tcW w:w="2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22,805</w:t>
            </w: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auto"/>
              </w:rPr>
              <w:t>101.0</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22,926</w:t>
            </w: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8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auto"/>
              </w:rPr>
              <w:t>100.9</w:t>
            </w:r>
          </w:p>
        </w:tc>
      </w:tr>
      <w:tr>
        <w:trPr>
          <w:trHeight w:val="453"/>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Allowance for credit losses</w:t>
            </w:r>
          </w:p>
        </w:tc>
        <w:tc>
          <w:tcPr>
            <w:tcW w:w="26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120" w:type="dxa"/>
            <w:vAlign w:val="bottom"/>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120" w:type="dxa"/>
            <w:vAlign w:val="bottom"/>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6"/>
                <w:szCs w:val="16"/>
                <w:color w:val="auto"/>
              </w:rPr>
              <w:t>(0.9)</w:t>
            </w:r>
          </w:p>
        </w:tc>
      </w:tr>
      <w:tr>
        <w:trPr>
          <w:trHeight w:val="450"/>
        </w:trPr>
        <w:tc>
          <w:tcPr>
            <w:tcW w:w="52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 mortgage loans, net</w:t>
            </w:r>
          </w:p>
        </w:tc>
        <w:tc>
          <w:tcPr>
            <w:tcW w:w="26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22,595</w:t>
            </w:r>
          </w:p>
        </w:tc>
        <w:tc>
          <w:tcPr>
            <w:tcW w:w="12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00" w:type="dxa"/>
            <w:vAlign w:val="bottom"/>
          </w:tcPr>
          <w:p>
            <w:pPr>
              <w:spacing w:after="0"/>
              <w:rPr>
                <w:sz w:val="24"/>
                <w:szCs w:val="24"/>
                <w:color w:val="auto"/>
              </w:rPr>
            </w:pPr>
          </w:p>
        </w:tc>
        <w:tc>
          <w:tcPr>
            <w:tcW w:w="26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22,726</w:t>
            </w:r>
          </w:p>
        </w:tc>
        <w:tc>
          <w:tcPr>
            <w:tcW w:w="12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100.0 %</w:t>
            </w:r>
          </w:p>
        </w:tc>
      </w:tr>
      <w:tr>
        <w:trPr>
          <w:trHeight w:val="20"/>
        </w:trPr>
        <w:tc>
          <w:tcPr>
            <w:tcW w:w="5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70" w:lineRule="exact"/>
        <w:rPr>
          <w:sz w:val="20"/>
          <w:szCs w:val="20"/>
          <w:color w:val="auto"/>
        </w:rPr>
      </w:pPr>
    </w:p>
    <w:p>
      <w:pPr>
        <w:sectPr>
          <w:pgSz w:w="11900" w:h="16838" w:orient="portrait"/>
          <w:cols w:equalWidth="0" w:num="1">
            <w:col w:w="11240"/>
          </w:cols>
          <w:pgMar w:left="320" w:top="230" w:right="339" w:bottom="0" w:gutter="0" w:footer="0" w:header="0"/>
        </w:sectPr>
      </w:pPr>
    </w:p>
    <w:p>
      <w:pPr>
        <w:spacing w:after="0"/>
        <w:rPr>
          <w:sz w:val="20"/>
          <w:szCs w:val="20"/>
          <w:color w:val="auto"/>
        </w:rPr>
      </w:pPr>
      <w:r>
        <w:rPr>
          <w:rFonts w:ascii="Times New Roman" w:cs="Times New Roman" w:eastAsia="Times New Roman" w:hAnsi="Times New Roman"/>
          <w:sz w:val="14"/>
          <w:szCs w:val="14"/>
          <w:color w:val="auto"/>
        </w:rPr>
        <w:t>_______________</w:t>
      </w:r>
    </w:p>
    <w:p>
      <w:pPr>
        <w:sectPr>
          <w:pgSz w:w="11900" w:h="16838" w:orient="portrait"/>
          <w:cols w:equalWidth="0" w:num="1">
            <w:col w:w="11240"/>
          </w:cols>
          <w:pgMar w:left="320" w:top="230" w:right="339" w:bottom="0" w:gutter="0" w:footer="0" w:header="0"/>
          <w:type w:val="continuous"/>
        </w:sectPr>
      </w:pPr>
    </w:p>
    <w:bookmarkStart w:id="26" w:name="page27"/>
    <w:bookmarkEnd w:id="26"/>
    <w:p>
      <w:pPr>
        <w:ind w:left="314" w:hanging="314"/>
        <w:spacing w:after="0" w:line="274" w:lineRule="auto"/>
        <w:tabs>
          <w:tab w:leader="none" w:pos="30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of mortgage loans from third parties were $296 million and $178 million for the three months ended March 31, 2026 and 2025, respectively, and were primarily comprised of residential mortgage loans.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313"/>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69215</wp:posOffset>
            </wp:positionV>
            <wp:extent cx="716026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34"/>
          </w:cols>
          <w:pgMar w:left="326"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Life Insurance Company</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 Indirect Wholly-Owned Subsidiary of Brighthouse Financial, Inc.)</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Investments (continued)</w:t>
      </w:r>
    </w:p>
    <w:p>
      <w:pPr>
        <w:spacing w:after="0" w:line="200" w:lineRule="exact"/>
        <w:rPr>
          <w:sz w:val="20"/>
          <w:szCs w:val="20"/>
          <w:color w:val="auto"/>
        </w:rPr>
      </w:pPr>
    </w:p>
    <w:p>
      <w:pPr>
        <w:spacing w:after="0" w:line="30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Allowance for Credit Losses for Mortgage Loans</w:t>
      </w:r>
    </w:p>
    <w:p>
      <w:pPr>
        <w:spacing w:after="0" w:line="1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Evaluation and Measurement Methodologies</w:t>
      </w:r>
    </w:p>
    <w:p>
      <w:pPr>
        <w:spacing w:after="0" w:line="113" w:lineRule="exact"/>
        <w:rPr>
          <w:sz w:val="20"/>
          <w:szCs w:val="20"/>
          <w:color w:val="auto"/>
        </w:rPr>
      </w:pPr>
    </w:p>
    <w:p>
      <w:pPr>
        <w:jc w:val="both"/>
        <w:ind w:left="320" w:firstLine="318"/>
        <w:spacing w:after="0" w:line="259" w:lineRule="auto"/>
        <w:rPr>
          <w:sz w:val="20"/>
          <w:szCs w:val="20"/>
          <w:color w:val="auto"/>
        </w:rPr>
      </w:pPr>
      <w:r>
        <w:rPr>
          <w:rFonts w:ascii="Times New Roman" w:cs="Times New Roman" w:eastAsia="Times New Roman" w:hAnsi="Times New Roman"/>
          <w:sz w:val="18"/>
          <w:szCs w:val="18"/>
          <w:color w:val="auto"/>
        </w:rPr>
        <w:t>The allowance for credit losses is a valuation account that is deducted from the mortgage loan’s amortized cost basis to present the net amount expected to be collected on the mortgage loan. The loan balance, or a portion of the loan balance, is written-off against the allowance when management believes this amount is uncollectible.</w:t>
      </w:r>
    </w:p>
    <w:p>
      <w:pPr>
        <w:spacing w:after="0" w:line="72" w:lineRule="exact"/>
        <w:rPr>
          <w:sz w:val="20"/>
          <w:szCs w:val="20"/>
          <w:color w:val="auto"/>
        </w:rPr>
      </w:pPr>
    </w:p>
    <w:p>
      <w:pPr>
        <w:jc w:val="both"/>
        <w:ind w:left="320" w:firstLine="318"/>
        <w:spacing w:after="0" w:line="255" w:lineRule="auto"/>
        <w:rPr>
          <w:sz w:val="20"/>
          <w:szCs w:val="20"/>
          <w:color w:val="auto"/>
        </w:rPr>
      </w:pPr>
      <w:r>
        <w:rPr>
          <w:rFonts w:ascii="Times New Roman" w:cs="Times New Roman" w:eastAsia="Times New Roman" w:hAnsi="Times New Roman"/>
          <w:sz w:val="18"/>
          <w:szCs w:val="18"/>
          <w:color w:val="auto"/>
        </w:rPr>
        <w:t>Accrued interest receivables are presented separate from the amortized cost basis of mortgage loans. An allowance for credit losses is generally not estimated on an accrued interest receivable, rather when a loan is placed in nonaccrual status the associated accrued interest receivable balance is written off with a corresponding reduction to net investment income. The accrued interest receivable on mortgage loans is included in accrued investment income and totaled $125 million and $132 million at March 31, 2026 and December 31, 2025, respectively.</w:t>
      </w:r>
    </w:p>
    <w:p>
      <w:pPr>
        <w:spacing w:after="0" w:line="74" w:lineRule="exact"/>
        <w:rPr>
          <w:sz w:val="20"/>
          <w:szCs w:val="20"/>
          <w:color w:val="auto"/>
        </w:rPr>
      </w:pPr>
    </w:p>
    <w:p>
      <w:pPr>
        <w:jc w:val="both"/>
        <w:ind w:left="320" w:firstLine="318"/>
        <w:spacing w:after="0" w:line="255" w:lineRule="auto"/>
        <w:rPr>
          <w:sz w:val="20"/>
          <w:szCs w:val="20"/>
          <w:color w:val="auto"/>
        </w:rPr>
      </w:pPr>
      <w:r>
        <w:rPr>
          <w:rFonts w:ascii="Times New Roman" w:cs="Times New Roman" w:eastAsia="Times New Roman" w:hAnsi="Times New Roman"/>
          <w:sz w:val="18"/>
          <w:szCs w:val="18"/>
          <w:color w:val="auto"/>
        </w:rPr>
        <w:t>The allowance for credit losses is estimated using relevant available information, from internal and external sources, relating to past events, current conditions, and a reasonable and supportable forecast. Historical credit loss experience provides the basis for estimating expected credit losses. Adjustments to historical loss information are made for differences in current loan-specific risk characteristics and environmental conditions. A reasonable and supportable forecast period of two years is used with an input reversion period of one year.</w:t>
      </w:r>
    </w:p>
    <w:p>
      <w:pPr>
        <w:spacing w:after="0" w:line="74" w:lineRule="exact"/>
        <w:rPr>
          <w:sz w:val="20"/>
          <w:szCs w:val="20"/>
          <w:color w:val="auto"/>
        </w:rPr>
      </w:pPr>
    </w:p>
    <w:p>
      <w:pPr>
        <w:jc w:val="both"/>
        <w:ind w:left="320" w:firstLine="318"/>
        <w:spacing w:after="0" w:line="252" w:lineRule="auto"/>
        <w:rPr>
          <w:sz w:val="20"/>
          <w:szCs w:val="20"/>
          <w:color w:val="auto"/>
        </w:rPr>
      </w:pPr>
      <w:r>
        <w:rPr>
          <w:rFonts w:ascii="Times New Roman" w:cs="Times New Roman" w:eastAsia="Times New Roman" w:hAnsi="Times New Roman"/>
          <w:sz w:val="18"/>
          <w:szCs w:val="18"/>
          <w:color w:val="auto"/>
        </w:rPr>
        <w:t>Mortgage loans are evaluated in each of the three portfolio segments to determine the allowance for credit losses. The loan-level loss rates are determined using individual loan terms and characteristics, risk pools/internal ratings, national economic forecasts, prepayment speeds, and estimated default and loss severity. The resulting loss rates are applied to the mortgage loan’s amortized cost to generate an allowance for credit losses. In certain situations, the allowance for credit losses is measured as the difference between the loan’s amortized cost and liquidation value of the collateral. These situations include collateral dependent loans, modifications, foreclosure probable loans, and loans with dissimilar risk characteristics.</w:t>
      </w:r>
    </w:p>
    <w:p>
      <w:pPr>
        <w:spacing w:after="0" w:line="79" w:lineRule="exact"/>
        <w:rPr>
          <w:sz w:val="20"/>
          <w:szCs w:val="20"/>
          <w:color w:val="auto"/>
        </w:rPr>
      </w:pPr>
    </w:p>
    <w:p>
      <w:pPr>
        <w:jc w:val="both"/>
        <w:ind w:left="320" w:firstLine="318"/>
        <w:spacing w:after="0" w:line="255" w:lineRule="auto"/>
        <w:rPr>
          <w:sz w:val="20"/>
          <w:szCs w:val="20"/>
          <w:color w:val="auto"/>
        </w:rPr>
      </w:pPr>
      <w:r>
        <w:rPr>
          <w:rFonts w:ascii="Times New Roman" w:cs="Times New Roman" w:eastAsia="Times New Roman" w:hAnsi="Times New Roman"/>
          <w:sz w:val="18"/>
          <w:szCs w:val="18"/>
          <w:color w:val="auto"/>
        </w:rPr>
        <w:t>Mortgage loans are also evaluated to determine if they qualify as PCD assets. To determine if the credit deterioration experienced since origination is more than insignificant, the extent of credit deterioration is evaluated. All re-performing/modified loan (“RPL”) pools purchased after December 31, 2019 are determined to have been acquired with evidence of more than insignificant credit deterioration since origination and are classified as PCD assets. RPLs are pools of residential mortgage loans acquired at a discount or premium which have both credit and non-credit components.</w:t>
      </w:r>
    </w:p>
    <w:p>
      <w:pPr>
        <w:spacing w:after="0" w:line="74" w:lineRule="exact"/>
        <w:rPr>
          <w:sz w:val="20"/>
          <w:szCs w:val="20"/>
          <w:color w:val="auto"/>
        </w:rPr>
      </w:pPr>
    </w:p>
    <w:p>
      <w:pPr>
        <w:jc w:val="both"/>
        <w:ind w:left="320" w:firstLine="318"/>
        <w:spacing w:after="0" w:line="251" w:lineRule="auto"/>
        <w:rPr>
          <w:sz w:val="20"/>
          <w:szCs w:val="20"/>
          <w:color w:val="auto"/>
        </w:rPr>
      </w:pPr>
      <w:r>
        <w:rPr>
          <w:rFonts w:ascii="Times New Roman" w:cs="Times New Roman" w:eastAsia="Times New Roman" w:hAnsi="Times New Roman"/>
          <w:sz w:val="18"/>
          <w:szCs w:val="18"/>
          <w:color w:val="auto"/>
        </w:rPr>
        <w:t>For PCD mortgage loans, the allowance for credit losses is determined using a similar methodology described above, except the loss-rate is determined at the pool level instead of the individual loan level. The initial allowance for credit losses, determined on a collective basis, is then allocated to the individual loans. The initial amortized cost of the loan is grossed-up to reflect the sum of the loan’s purchase price and allowance for credit losses. The difference between the grossed-up amortized cost basis and the par value of the loan is a non-credit discount or premium, which is accreted or amortized into net investment income over the remaining life of the loan. Any subsequent PCD mortgage loan allowance for credit losses is evaluated in a manner similar to the process described above for each of the three portfolio segments.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Life Insurance Company</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 Indirect Wholly-Owned Subsidiary of Brighthouse Financial, Inc.)</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Investments (continued)</w:t>
      </w:r>
    </w:p>
    <w:p>
      <w:pPr>
        <w:spacing w:after="0" w:line="200" w:lineRule="exact"/>
        <w:rPr>
          <w:sz w:val="20"/>
          <w:szCs w:val="20"/>
          <w:color w:val="auto"/>
        </w:rPr>
      </w:pPr>
    </w:p>
    <w:p>
      <w:pPr>
        <w:spacing w:after="0" w:line="309" w:lineRule="exact"/>
        <w:rPr>
          <w:sz w:val="20"/>
          <w:szCs w:val="20"/>
          <w:color w:val="auto"/>
        </w:rPr>
      </w:pPr>
    </w:p>
    <w:p>
      <w:pPr>
        <w:jc w:val="right"/>
        <w:ind w:left="320" w:right="4580"/>
        <w:spacing w:after="0" w:line="436" w:lineRule="auto"/>
        <w:rPr>
          <w:sz w:val="20"/>
          <w:szCs w:val="20"/>
          <w:color w:val="auto"/>
        </w:rPr>
      </w:pPr>
      <w:r>
        <w:rPr>
          <w:rFonts w:ascii="Times New Roman" w:cs="Times New Roman" w:eastAsia="Times New Roman" w:hAnsi="Times New Roman"/>
          <w:sz w:val="17"/>
          <w:szCs w:val="17"/>
          <w:i w:val="1"/>
          <w:iCs w:val="1"/>
          <w:u w:val="single" w:color="auto"/>
          <w:color w:val="auto"/>
        </w:rPr>
        <w:t xml:space="preserve">Rollforward of the Allowance for Credit Losses for Mortgage Loans by Portfolio Segment </w:t>
      </w:r>
      <w:r>
        <w:rPr>
          <w:rFonts w:ascii="Times New Roman" w:cs="Times New Roman" w:eastAsia="Times New Roman" w:hAnsi="Times New Roman"/>
          <w:sz w:val="17"/>
          <w:szCs w:val="17"/>
          <w:color w:val="auto"/>
        </w:rPr>
        <w:t>The changes in the allowance for credit losses by portfolio segment were as follows: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200" w:type="dxa"/>
            <w:vAlign w:val="bottom"/>
          </w:tcPr>
          <w:p>
            <w:pPr>
              <w:spacing w:after="0"/>
              <w:rPr>
                <w:sz w:val="16"/>
                <w:szCs w:val="16"/>
                <w:color w:val="auto"/>
              </w:rPr>
            </w:pPr>
          </w:p>
        </w:tc>
        <w:tc>
          <w:tcPr>
            <w:tcW w:w="12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Agricultural</w:t>
            </w:r>
          </w:p>
        </w:tc>
        <w:tc>
          <w:tcPr>
            <w:tcW w:w="320" w:type="dxa"/>
            <w:vAlign w:val="bottom"/>
          </w:tcPr>
          <w:p>
            <w:pPr>
              <w:spacing w:after="0"/>
              <w:rPr>
                <w:sz w:val="16"/>
                <w:szCs w:val="16"/>
                <w:color w:val="auto"/>
              </w:rPr>
            </w:pP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Residential</w:t>
            </w:r>
          </w:p>
        </w:tc>
        <w:tc>
          <w:tcPr>
            <w:tcW w:w="320" w:type="dxa"/>
            <w:vAlign w:val="bottom"/>
          </w:tcPr>
          <w:p>
            <w:pPr>
              <w:spacing w:after="0"/>
              <w:rPr>
                <w:sz w:val="16"/>
                <w:szCs w:val="16"/>
                <w:color w:val="auto"/>
              </w:rPr>
            </w:pPr>
          </w:p>
        </w:tc>
        <w:tc>
          <w:tcPr>
            <w:tcW w:w="1020" w:type="dxa"/>
            <w:vAlign w:val="bottom"/>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38"/>
        </w:trPr>
        <w:tc>
          <w:tcPr>
            <w:tcW w:w="55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gridSpan w:val="3"/>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93"/>
        </w:trPr>
        <w:tc>
          <w:tcPr>
            <w:tcW w:w="5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
        </w:trPr>
        <w:tc>
          <w:tcPr>
            <w:tcW w:w="5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2"/>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March 31, 2026</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48"/>
        </w:trPr>
        <w:tc>
          <w:tcPr>
            <w:tcW w:w="5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beginning of period</w:t>
            </w:r>
          </w:p>
        </w:tc>
        <w:tc>
          <w:tcPr>
            <w:tcW w:w="2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120" w:type="dxa"/>
            <w:vAlign w:val="bottom"/>
          </w:tcPr>
          <w:p>
            <w:pPr>
              <w:spacing w:after="0"/>
              <w:rPr>
                <w:sz w:val="24"/>
                <w:szCs w:val="24"/>
                <w:color w:val="auto"/>
              </w:rPr>
            </w:pP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Pr>
          <w:p>
            <w:pPr>
              <w:spacing w:after="0"/>
              <w:rPr>
                <w:sz w:val="24"/>
                <w:szCs w:val="24"/>
                <w:color w:val="auto"/>
              </w:rPr>
            </w:pPr>
          </w:p>
        </w:tc>
        <w:tc>
          <w:tcPr>
            <w:tcW w:w="32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ind w:left="800"/>
              <w:spacing w:after="0"/>
              <w:rPr>
                <w:sz w:val="20"/>
                <w:szCs w:val="20"/>
                <w:color w:val="auto"/>
              </w:rPr>
            </w:pPr>
            <w:r>
              <w:rPr>
                <w:rFonts w:ascii="Times New Roman" w:cs="Times New Roman" w:eastAsia="Times New Roman" w:hAnsi="Times New Roman"/>
                <w:sz w:val="16"/>
                <w:szCs w:val="16"/>
                <w:color w:val="auto"/>
              </w:rPr>
              <w:t>46</w:t>
            </w:r>
          </w:p>
        </w:tc>
        <w:tc>
          <w:tcPr>
            <w:tcW w:w="100" w:type="dxa"/>
            <w:vAlign w:val="bottom"/>
          </w:tcPr>
          <w:p>
            <w:pPr>
              <w:spacing w:after="0"/>
              <w:rPr>
                <w:sz w:val="24"/>
                <w:szCs w:val="24"/>
                <w:color w:val="auto"/>
              </w:rPr>
            </w:pPr>
          </w:p>
        </w:tc>
        <w:tc>
          <w:tcPr>
            <w:tcW w:w="32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0" w:type="dxa"/>
            <w:vAlign w:val="bottom"/>
          </w:tcPr>
          <w:p>
            <w:pPr>
              <w:spacing w:after="0"/>
              <w:rPr>
                <w:sz w:val="1"/>
                <w:szCs w:val="1"/>
                <w:color w:val="auto"/>
              </w:rPr>
            </w:pPr>
          </w:p>
        </w:tc>
      </w:tr>
      <w:tr>
        <w:trPr>
          <w:trHeight w:val="453"/>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period provision</w:t>
            </w:r>
          </w:p>
        </w:tc>
        <w:tc>
          <w:tcPr>
            <w:tcW w:w="20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448"/>
        </w:trPr>
        <w:tc>
          <w:tcPr>
            <w:tcW w:w="5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Charge-offs, net of recoveries</w:t>
            </w:r>
          </w:p>
        </w:tc>
        <w:tc>
          <w:tcPr>
            <w:tcW w:w="200" w:type="dxa"/>
            <w:vAlign w:val="bottom"/>
          </w:tcPr>
          <w:p>
            <w:pPr>
              <w:spacing w:after="0"/>
              <w:rPr>
                <w:sz w:val="24"/>
                <w:szCs w:val="24"/>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4"/>
                <w:szCs w:val="24"/>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24"/>
                <w:szCs w:val="24"/>
                <w:color w:val="auto"/>
              </w:rPr>
            </w:pPr>
          </w:p>
        </w:tc>
        <w:tc>
          <w:tcPr>
            <w:tcW w:w="1120" w:type="dxa"/>
            <w:vAlign w:val="bottom"/>
            <w:gridSpan w:val="2"/>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71"/>
        </w:trPr>
        <w:tc>
          <w:tcPr>
            <w:tcW w:w="55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end of period</w:t>
            </w:r>
          </w:p>
        </w:tc>
        <w:tc>
          <w:tcPr>
            <w:tcW w:w="20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w:t>
            </w:r>
          </w:p>
        </w:tc>
        <w:tc>
          <w:tcPr>
            <w:tcW w:w="120" w:type="dxa"/>
            <w:vAlign w:val="bottom"/>
            <w:tcBorders>
              <w:top w:val="single" w:sz="8" w:color="CCEEFF"/>
              <w:bottom w:val="single" w:sz="8" w:color="CCEEFF"/>
            </w:tcBorders>
            <w:shd w:val="clear" w:color="auto" w:fill="CCEEFF"/>
          </w:tcPr>
          <w:p>
            <w:pPr>
              <w:spacing w:after="0"/>
              <w:rPr>
                <w:sz w:val="24"/>
                <w:szCs w:val="24"/>
                <w:color w:val="auto"/>
              </w:rPr>
            </w:pPr>
          </w:p>
        </w:tc>
        <w:tc>
          <w:tcPr>
            <w:tcW w:w="20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320" w:type="dxa"/>
            <w:vAlign w:val="bottom"/>
            <w:tcBorders>
              <w:top w:val="single" w:sz="8" w:color="auto"/>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45</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320" w:type="dxa"/>
            <w:vAlign w:val="bottom"/>
            <w:tcBorders>
              <w:top w:val="single" w:sz="8" w:color="auto"/>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March 31, 2025</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558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52"/>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beginning of period</w:t>
            </w: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42</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w:t>
            </w:r>
          </w:p>
        </w:tc>
        <w:tc>
          <w:tcPr>
            <w:tcW w:w="0" w:type="dxa"/>
            <w:vAlign w:val="bottom"/>
          </w:tcPr>
          <w:p>
            <w:pPr>
              <w:spacing w:after="0"/>
              <w:rPr>
                <w:sz w:val="1"/>
                <w:szCs w:val="1"/>
                <w:color w:val="auto"/>
              </w:rPr>
            </w:pPr>
          </w:p>
        </w:tc>
      </w:tr>
      <w:tr>
        <w:trPr>
          <w:trHeight w:val="441"/>
        </w:trPr>
        <w:tc>
          <w:tcPr>
            <w:tcW w:w="5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period provision</w:t>
            </w: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ind w:left="800"/>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0" w:type="dxa"/>
            <w:vAlign w:val="bottom"/>
          </w:tcPr>
          <w:p>
            <w:pPr>
              <w:spacing w:after="0"/>
              <w:rPr>
                <w:sz w:val="1"/>
                <w:szCs w:val="1"/>
                <w:color w:val="auto"/>
              </w:rPr>
            </w:pPr>
          </w:p>
        </w:tc>
      </w:tr>
      <w:tr>
        <w:trPr>
          <w:trHeight w:val="453"/>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Charge-offs, net of recoveries</w:t>
            </w:r>
          </w:p>
        </w:tc>
        <w:tc>
          <w:tcPr>
            <w:tcW w:w="20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450"/>
        </w:trPr>
        <w:tc>
          <w:tcPr>
            <w:tcW w:w="5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end of period</w:t>
            </w:r>
          </w:p>
        </w:tc>
        <w:tc>
          <w:tcPr>
            <w:tcW w:w="200" w:type="dxa"/>
            <w:vAlign w:val="bottom"/>
            <w:tcBorders>
              <w:top w:val="single" w:sz="8" w:color="auto"/>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146</w:t>
            </w:r>
          </w:p>
        </w:tc>
        <w:tc>
          <w:tcPr>
            <w:tcW w:w="120" w:type="dxa"/>
            <w:vAlign w:val="bottom"/>
          </w:tcPr>
          <w:p>
            <w:pPr>
              <w:spacing w:after="0"/>
              <w:rPr>
                <w:sz w:val="24"/>
                <w:szCs w:val="24"/>
                <w:color w:val="auto"/>
              </w:rPr>
            </w:pPr>
          </w:p>
        </w:tc>
        <w:tc>
          <w:tcPr>
            <w:tcW w:w="200" w:type="dxa"/>
            <w:vAlign w:val="bottom"/>
            <w:tcBorders>
              <w:top w:val="single" w:sz="8" w:color="auto"/>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tcPr>
          <w:p>
            <w:pPr>
              <w:spacing w:after="0"/>
              <w:rPr>
                <w:sz w:val="24"/>
                <w:szCs w:val="24"/>
                <w:color w:val="auto"/>
              </w:rPr>
            </w:pPr>
          </w:p>
        </w:tc>
        <w:tc>
          <w:tcPr>
            <w:tcW w:w="320" w:type="dxa"/>
            <w:vAlign w:val="bottom"/>
            <w:tcBorders>
              <w:top w:val="single" w:sz="8" w:color="auto"/>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tcPr>
          <w:p>
            <w:pPr>
              <w:ind w:left="800"/>
              <w:spacing w:after="0"/>
              <w:rPr>
                <w:sz w:val="20"/>
                <w:szCs w:val="20"/>
                <w:color w:val="auto"/>
              </w:rPr>
            </w:pPr>
            <w:r>
              <w:rPr>
                <w:rFonts w:ascii="Times New Roman" w:cs="Times New Roman" w:eastAsia="Times New Roman" w:hAnsi="Times New Roman"/>
                <w:sz w:val="16"/>
                <w:szCs w:val="16"/>
                <w:color w:val="auto"/>
              </w:rPr>
              <w:t>41</w:t>
            </w:r>
          </w:p>
        </w:tc>
        <w:tc>
          <w:tcPr>
            <w:tcW w:w="100" w:type="dxa"/>
            <w:vAlign w:val="bottom"/>
          </w:tcPr>
          <w:p>
            <w:pPr>
              <w:spacing w:after="0"/>
              <w:rPr>
                <w:sz w:val="24"/>
                <w:szCs w:val="24"/>
                <w:color w:val="auto"/>
              </w:rPr>
            </w:pPr>
          </w:p>
        </w:tc>
        <w:tc>
          <w:tcPr>
            <w:tcW w:w="320" w:type="dxa"/>
            <w:vAlign w:val="bottom"/>
            <w:tcBorders>
              <w:top w:val="single" w:sz="8" w:color="auto"/>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209</w:t>
            </w: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Credit Quality of Mortgage Loans by Portfolio Segment</w:t>
      </w:r>
    </w:p>
    <w:p>
      <w:pPr>
        <w:spacing w:after="0" w:line="11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amortized cost of mortgage loans by year of origination and credit quality indicator was as follows at:</w:t>
      </w:r>
    </w:p>
    <w:p>
      <w:pPr>
        <w:sectPr>
          <w:pgSz w:w="11900" w:h="16838" w:orient="portrait"/>
          <w:cols w:equalWidth="0" w:num="1">
            <w:col w:w="11240"/>
          </w:cols>
          <w:pgMar w:left="320" w:top="230" w:right="339" w:bottom="1440" w:gutter="0" w:footer="0" w:header="0"/>
        </w:sectPr>
      </w:pPr>
    </w:p>
    <w:bookmarkStart w:id="29" w:name="page30"/>
    <w:bookmarkEnd w:id="29"/>
    <w:p>
      <w:pPr>
        <w:ind w:left="3980"/>
        <w:spacing w:after="0"/>
        <w:tabs>
          <w:tab w:leader="none" w:pos="5060" w:val="left"/>
          <w:tab w:leader="none" w:pos="6160" w:val="left"/>
          <w:tab w:leader="none" w:pos="7260" w:val="left"/>
          <w:tab w:leader="none" w:pos="8360" w:val="left"/>
          <w:tab w:leader="none" w:pos="9440" w:val="left"/>
          <w:tab w:leader="none" w:pos="10560" w:val="left"/>
        </w:tabs>
        <w:rPr>
          <w:sz w:val="20"/>
          <w:szCs w:val="20"/>
          <w:color w:val="auto"/>
        </w:rPr>
      </w:pPr>
      <w:r>
        <w:rPr>
          <w:rFonts w:ascii="Times New Roman" w:cs="Times New Roman" w:eastAsia="Times New Roman" w:hAnsi="Times New Roman"/>
          <w:sz w:val="14"/>
          <w:szCs w:val="14"/>
          <w:b w:val="1"/>
          <w:bCs w:val="1"/>
          <w:color w:val="auto"/>
        </w:rPr>
        <w:t>2026</w:t>
      </w:r>
      <w:r>
        <w:rPr>
          <w:sz w:val="20"/>
          <w:szCs w:val="20"/>
          <w:color w:val="auto"/>
        </w:rPr>
        <w:tab/>
      </w:r>
      <w:r>
        <w:rPr>
          <w:rFonts w:ascii="Times New Roman" w:cs="Times New Roman" w:eastAsia="Times New Roman" w:hAnsi="Times New Roman"/>
          <w:sz w:val="14"/>
          <w:szCs w:val="14"/>
          <w:b w:val="1"/>
          <w:bCs w:val="1"/>
          <w:color w:val="auto"/>
        </w:rPr>
        <w:t>2025</w:t>
      </w:r>
      <w:r>
        <w:rPr>
          <w:sz w:val="20"/>
          <w:szCs w:val="20"/>
          <w:color w:val="auto"/>
        </w:rPr>
        <w:tab/>
      </w: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r>
        <w:rPr>
          <w:sz w:val="20"/>
          <w:szCs w:val="20"/>
          <w:color w:val="auto"/>
        </w:rPr>
        <w:tab/>
      </w:r>
      <w:r>
        <w:rPr>
          <w:rFonts w:ascii="Times New Roman" w:cs="Times New Roman" w:eastAsia="Times New Roman" w:hAnsi="Times New Roman"/>
          <w:sz w:val="14"/>
          <w:szCs w:val="14"/>
          <w:b w:val="1"/>
          <w:bCs w:val="1"/>
          <w:color w:val="auto"/>
        </w:rPr>
        <w:t>2022</w:t>
      </w:r>
      <w:r>
        <w:rPr>
          <w:sz w:val="20"/>
          <w:szCs w:val="20"/>
          <w:color w:val="auto"/>
        </w:rPr>
        <w:tab/>
      </w:r>
      <w:r>
        <w:rPr>
          <w:rFonts w:ascii="Times New Roman" w:cs="Times New Roman" w:eastAsia="Times New Roman" w:hAnsi="Times New Roman"/>
          <w:sz w:val="14"/>
          <w:szCs w:val="14"/>
          <w:b w:val="1"/>
          <w:bCs w:val="1"/>
          <w:color w:val="auto"/>
        </w:rPr>
        <w:t>Prior</w:t>
      </w:r>
      <w:r>
        <w:rPr>
          <w:sz w:val="20"/>
          <w:szCs w:val="20"/>
          <w:color w:val="auto"/>
        </w:rPr>
        <w:tab/>
      </w:r>
      <w:r>
        <w:rPr>
          <w:rFonts w:ascii="Times New Roman" w:cs="Times New Roman" w:eastAsia="Times New Roman" w:hAnsi="Times New Roman"/>
          <w:sz w:val="14"/>
          <w:szCs w:val="14"/>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2300605</wp:posOffset>
            </wp:positionH>
            <wp:positionV relativeFrom="paragraph">
              <wp:posOffset>39370</wp:posOffset>
            </wp:positionV>
            <wp:extent cx="483806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4838065" cy="8255"/>
                    </a:xfrm>
                    <a:prstGeom prst="rect">
                      <a:avLst/>
                    </a:prstGeom>
                    <a:noFill/>
                  </pic:spPr>
                </pic:pic>
              </a:graphicData>
            </a:graphic>
          </wp:anchor>
        </w:drawing>
      </w:r>
    </w:p>
    <w:p>
      <w:pPr>
        <w:spacing w:after="0" w:line="270" w:lineRule="exact"/>
        <w:rPr>
          <w:sz w:val="20"/>
          <w:szCs w:val="20"/>
          <w:color w:val="auto"/>
        </w:rPr>
      </w:pPr>
    </w:p>
    <w:p>
      <w:pPr>
        <w:ind w:left="7060"/>
        <w:spacing w:after="0"/>
        <w:rPr>
          <w:sz w:val="20"/>
          <w:szCs w:val="20"/>
          <w:color w:val="auto"/>
        </w:rPr>
      </w:pPr>
      <w:r>
        <w:rPr>
          <w:rFonts w:ascii="Times New Roman" w:cs="Times New Roman" w:eastAsia="Times New Roman" w:hAnsi="Times New Roman"/>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39370</wp:posOffset>
            </wp:positionV>
            <wp:extent cx="7134860" cy="2857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4860" cy="285750"/>
                    </a:xfrm>
                    <a:prstGeom prst="rect">
                      <a:avLst/>
                    </a:prstGeom>
                    <a:noFill/>
                  </pic:spPr>
                </pic:pic>
              </a:graphicData>
            </a:graphic>
          </wp:anchor>
        </w:drawing>
      </w:r>
    </w:p>
    <w:p>
      <w:pPr>
        <w:spacing w:after="0" w:line="26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March 31, 2026</w:t>
      </w:r>
    </w:p>
    <w:p>
      <w:pPr>
        <w:spacing w:after="0" w:line="2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Commercial mortgage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27940</wp:posOffset>
            </wp:positionV>
            <wp:extent cx="7134860" cy="2857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4860" cy="285750"/>
                    </a:xfrm>
                    <a:prstGeom prst="rect">
                      <a:avLst/>
                    </a:prstGeom>
                    <a:noFill/>
                  </pic:spPr>
                </pic:pic>
              </a:graphicData>
            </a:graphic>
          </wp:anchor>
        </w:drawing>
      </w:r>
    </w:p>
    <w:p>
      <w:pPr>
        <w:spacing w:after="0" w:line="2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Loan-to-value ratios: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 than 65%</w:t>
            </w:r>
          </w:p>
        </w:tc>
        <w:tc>
          <w:tcPr>
            <w:tcW w:w="400" w:type="dxa"/>
            <w:vAlign w:val="bottom"/>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100" w:type="dxa"/>
            <w:vAlign w:val="bottom"/>
          </w:tcPr>
          <w:p>
            <w:pPr>
              <w:spacing w:after="0"/>
              <w:rPr>
                <w:sz w:val="18"/>
                <w:szCs w:val="18"/>
                <w:color w:val="auto"/>
              </w:rPr>
            </w:pP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423</w:t>
            </w:r>
          </w:p>
        </w:tc>
        <w:tc>
          <w:tcPr>
            <w:tcW w:w="100" w:type="dxa"/>
            <w:vAlign w:val="bottom"/>
          </w:tcPr>
          <w:p>
            <w:pPr>
              <w:spacing w:after="0"/>
              <w:rPr>
                <w:sz w:val="18"/>
                <w:szCs w:val="18"/>
                <w:color w:val="auto"/>
              </w:rPr>
            </w:pP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668</w:t>
            </w:r>
          </w:p>
        </w:tc>
        <w:tc>
          <w:tcPr>
            <w:tcW w:w="100" w:type="dxa"/>
            <w:vAlign w:val="bottom"/>
          </w:tcPr>
          <w:p>
            <w:pPr>
              <w:spacing w:after="0"/>
              <w:rPr>
                <w:sz w:val="18"/>
                <w:szCs w:val="18"/>
                <w:color w:val="auto"/>
              </w:rPr>
            </w:pPr>
          </w:p>
        </w:tc>
        <w:tc>
          <w:tcPr>
            <w:tcW w:w="400" w:type="dxa"/>
            <w:vAlign w:val="bottom"/>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100" w:type="dxa"/>
            <w:vAlign w:val="bottom"/>
          </w:tcPr>
          <w:p>
            <w:pPr>
              <w:spacing w:after="0"/>
              <w:rPr>
                <w:sz w:val="18"/>
                <w:szCs w:val="18"/>
                <w:color w:val="auto"/>
              </w:rPr>
            </w:pP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437</w:t>
            </w:r>
          </w:p>
        </w:tc>
        <w:tc>
          <w:tcPr>
            <w:tcW w:w="100" w:type="dxa"/>
            <w:vAlign w:val="bottom"/>
          </w:tcPr>
          <w:p>
            <w:pPr>
              <w:spacing w:after="0"/>
              <w:rPr>
                <w:sz w:val="18"/>
                <w:szCs w:val="18"/>
                <w:color w:val="auto"/>
              </w:rPr>
            </w:pP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4,333</w:t>
            </w:r>
          </w:p>
        </w:tc>
        <w:tc>
          <w:tcPr>
            <w:tcW w:w="120" w:type="dxa"/>
            <w:vAlign w:val="bottom"/>
          </w:tcPr>
          <w:p>
            <w:pPr>
              <w:spacing w:after="0"/>
              <w:rPr>
                <w:sz w:val="18"/>
                <w:szCs w:val="18"/>
                <w:color w:val="auto"/>
              </w:rPr>
            </w:pP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6,095</w:t>
            </w:r>
          </w:p>
        </w:tc>
      </w:tr>
      <w:tr>
        <w:trPr>
          <w:trHeight w:val="460"/>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65% to 75%</w:t>
            </w:r>
          </w:p>
        </w:tc>
        <w:tc>
          <w:tcPr>
            <w:tcW w:w="40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583</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1,470</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2,679</w:t>
            </w:r>
          </w:p>
        </w:tc>
      </w:tr>
      <w:tr>
        <w:trPr>
          <w:trHeight w:val="441"/>
        </w:trPr>
        <w:tc>
          <w:tcPr>
            <w:tcW w:w="3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76% to 80%</w:t>
            </w:r>
          </w:p>
        </w:tc>
        <w:tc>
          <w:tcPr>
            <w:tcW w:w="400" w:type="dxa"/>
            <w:vAlign w:val="bottom"/>
          </w:tcPr>
          <w:p>
            <w:pPr>
              <w:spacing w:after="0"/>
              <w:rPr>
                <w:sz w:val="24"/>
                <w:szCs w:val="24"/>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24"/>
                <w:szCs w:val="24"/>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4"/>
                <w:szCs w:val="24"/>
                <w:color w:val="auto"/>
              </w:rPr>
            </w:pPr>
          </w:p>
        </w:tc>
        <w:tc>
          <w:tcPr>
            <w:tcW w:w="6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205</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695</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909</w:t>
            </w:r>
          </w:p>
        </w:tc>
      </w:tr>
      <w:tr>
        <w:trPr>
          <w:trHeight w:val="453"/>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Greater than 80%</w:t>
            </w:r>
          </w:p>
        </w:tc>
        <w:tc>
          <w:tcPr>
            <w:tcW w:w="40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662</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1,750</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2,448</w:t>
            </w:r>
          </w:p>
        </w:tc>
      </w:tr>
      <w:tr>
        <w:trPr>
          <w:trHeight w:val="444"/>
        </w:trPr>
        <w:tc>
          <w:tcPr>
            <w:tcW w:w="36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Total commercial mortgage loans</w:t>
            </w:r>
          </w:p>
        </w:tc>
        <w:tc>
          <w:tcPr>
            <w:tcW w:w="400" w:type="dxa"/>
            <w:vAlign w:val="bottom"/>
            <w:tcBorders>
              <w:top w:val="single" w:sz="8" w:color="auto"/>
              <w:bottom w:val="single" w:sz="8" w:color="auto"/>
            </w:tcBorders>
          </w:tcPr>
          <w:p>
            <w:pPr>
              <w:spacing w:after="0"/>
              <w:rPr>
                <w:sz w:val="24"/>
                <w:szCs w:val="24"/>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282</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730</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848</w:t>
            </w:r>
          </w:p>
        </w:tc>
        <w:tc>
          <w:tcPr>
            <w:tcW w:w="10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spacing w:after="0"/>
              <w:rPr>
                <w:sz w:val="24"/>
                <w:szCs w:val="24"/>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66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1,887</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8,248</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12,131</w:t>
            </w:r>
          </w:p>
        </w:tc>
      </w:tr>
      <w:tr>
        <w:trPr>
          <w:trHeight w:val="437"/>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Agricultural mortgage loans</w:t>
            </w:r>
          </w:p>
        </w:tc>
        <w:tc>
          <w:tcPr>
            <w:tcW w:w="4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r>
      <w:tr>
        <w:trPr>
          <w:trHeight w:val="441"/>
        </w:trPr>
        <w:tc>
          <w:tcPr>
            <w:tcW w:w="3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Loan-to-value ratios:</w:t>
            </w: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460"/>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than 65%</w:t>
            </w:r>
          </w:p>
        </w:tc>
        <w:tc>
          <w:tcPr>
            <w:tcW w:w="40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555</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2,750</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4,343</w:t>
            </w:r>
          </w:p>
        </w:tc>
      </w:tr>
      <w:tr>
        <w:trPr>
          <w:trHeight w:val="441"/>
        </w:trPr>
        <w:tc>
          <w:tcPr>
            <w:tcW w:w="3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65% to 75%</w:t>
            </w:r>
          </w:p>
        </w:tc>
        <w:tc>
          <w:tcPr>
            <w:tcW w:w="400" w:type="dxa"/>
            <w:vAlign w:val="bottom"/>
          </w:tcPr>
          <w:p>
            <w:pPr>
              <w:spacing w:after="0"/>
              <w:rPr>
                <w:sz w:val="24"/>
                <w:szCs w:val="24"/>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96</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w:t>
            </w:r>
          </w:p>
        </w:tc>
      </w:tr>
      <w:tr>
        <w:trPr>
          <w:trHeight w:val="460"/>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76% to 80%</w:t>
            </w:r>
          </w:p>
        </w:tc>
        <w:tc>
          <w:tcPr>
            <w:tcW w:w="40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444"/>
        </w:trPr>
        <w:tc>
          <w:tcPr>
            <w:tcW w:w="3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Greater than 80%</w:t>
            </w:r>
          </w:p>
        </w:tc>
        <w:tc>
          <w:tcPr>
            <w:tcW w:w="400" w:type="dxa"/>
            <w:vAlign w:val="bottom"/>
          </w:tcPr>
          <w:p>
            <w:pPr>
              <w:spacing w:after="0"/>
              <w:rPr>
                <w:sz w:val="24"/>
                <w:szCs w:val="24"/>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4"/>
                <w:szCs w:val="24"/>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4"/>
                <w:szCs w:val="24"/>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24"/>
                <w:szCs w:val="24"/>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4"/>
                <w:szCs w:val="24"/>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450"/>
        </w:trPr>
        <w:tc>
          <w:tcPr>
            <w:tcW w:w="362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agricultural mortgage loans</w:t>
            </w:r>
          </w:p>
        </w:tc>
        <w:tc>
          <w:tcPr>
            <w:tcW w:w="400" w:type="dxa"/>
            <w:vAlign w:val="bottom"/>
            <w:tcBorders>
              <w:top w:val="single" w:sz="8" w:color="auto"/>
              <w:bottom w:val="single" w:sz="8" w:color="auto"/>
            </w:tcBorders>
            <w:shd w:val="clear" w:color="auto" w:fill="CCEEFF"/>
          </w:tcPr>
          <w:p>
            <w:pPr>
              <w:spacing w:after="0"/>
              <w:rPr>
                <w:sz w:val="24"/>
                <w:szCs w:val="24"/>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100" w:type="dxa"/>
            <w:vAlign w:val="bottom"/>
            <w:tcBorders>
              <w:top w:val="single" w:sz="8" w:color="CCEEFF"/>
            </w:tcBorders>
            <w:shd w:val="clear" w:color="auto" w:fill="CCEEFF"/>
          </w:tcPr>
          <w:p>
            <w:pPr>
              <w:spacing w:after="0"/>
              <w:rPr>
                <w:sz w:val="24"/>
                <w:szCs w:val="24"/>
                <w:color w:val="auto"/>
              </w:rPr>
            </w:pPr>
          </w:p>
        </w:tc>
        <w:tc>
          <w:tcPr>
            <w:tcW w:w="340" w:type="dxa"/>
            <w:vAlign w:val="bottom"/>
            <w:tcBorders>
              <w:top w:val="single" w:sz="8" w:color="auto"/>
              <w:bottom w:val="single" w:sz="8" w:color="auto"/>
            </w:tcBorders>
            <w:shd w:val="clear" w:color="auto" w:fill="CCEEFF"/>
          </w:tcPr>
          <w:p>
            <w:pPr>
              <w:spacing w:after="0"/>
              <w:rPr>
                <w:sz w:val="24"/>
                <w:szCs w:val="24"/>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461</w:t>
            </w:r>
          </w:p>
        </w:tc>
        <w:tc>
          <w:tcPr>
            <w:tcW w:w="100" w:type="dxa"/>
            <w:vAlign w:val="bottom"/>
            <w:tcBorders>
              <w:top w:val="single" w:sz="8" w:color="CCEEFF"/>
            </w:tcBorders>
            <w:shd w:val="clear" w:color="auto" w:fill="CCEEFF"/>
          </w:tcPr>
          <w:p>
            <w:pPr>
              <w:spacing w:after="0"/>
              <w:rPr>
                <w:sz w:val="24"/>
                <w:szCs w:val="24"/>
                <w:color w:val="auto"/>
              </w:rPr>
            </w:pPr>
          </w:p>
        </w:tc>
        <w:tc>
          <w:tcPr>
            <w:tcW w:w="340" w:type="dxa"/>
            <w:vAlign w:val="bottom"/>
            <w:tcBorders>
              <w:top w:val="single" w:sz="8" w:color="auto"/>
              <w:bottom w:val="single" w:sz="8" w:color="auto"/>
            </w:tcBorders>
            <w:shd w:val="clear" w:color="auto" w:fill="CCEEFF"/>
          </w:tcPr>
          <w:p>
            <w:pPr>
              <w:spacing w:after="0"/>
              <w:rPr>
                <w:sz w:val="24"/>
                <w:szCs w:val="24"/>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w:t>
            </w:r>
          </w:p>
        </w:tc>
        <w:tc>
          <w:tcPr>
            <w:tcW w:w="100" w:type="dxa"/>
            <w:vAlign w:val="bottom"/>
            <w:tcBorders>
              <w:top w:val="single" w:sz="8" w:color="CCEEFF"/>
            </w:tcBorders>
            <w:shd w:val="clear" w:color="auto" w:fill="CCEEFF"/>
          </w:tcPr>
          <w:p>
            <w:pPr>
              <w:spacing w:after="0"/>
              <w:rPr>
                <w:sz w:val="24"/>
                <w:szCs w:val="24"/>
                <w:color w:val="auto"/>
              </w:rPr>
            </w:pPr>
          </w:p>
        </w:tc>
        <w:tc>
          <w:tcPr>
            <w:tcW w:w="400" w:type="dxa"/>
            <w:vAlign w:val="bottom"/>
            <w:tcBorders>
              <w:top w:val="single" w:sz="8" w:color="auto"/>
              <w:bottom w:val="single" w:sz="8" w:color="auto"/>
            </w:tcBorders>
            <w:shd w:val="clear" w:color="auto" w:fill="CCEEFF"/>
          </w:tcPr>
          <w:p>
            <w:pPr>
              <w:spacing w:after="0"/>
              <w:rPr>
                <w:sz w:val="24"/>
                <w:szCs w:val="24"/>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w:t>
            </w:r>
          </w:p>
        </w:tc>
        <w:tc>
          <w:tcPr>
            <w:tcW w:w="100" w:type="dxa"/>
            <w:vAlign w:val="bottom"/>
            <w:tcBorders>
              <w:top w:val="single" w:sz="8" w:color="CCEEFF"/>
            </w:tcBorders>
            <w:shd w:val="clear" w:color="auto" w:fill="CCEEFF"/>
          </w:tcPr>
          <w:p>
            <w:pPr>
              <w:spacing w:after="0"/>
              <w:rPr>
                <w:sz w:val="24"/>
                <w:szCs w:val="24"/>
                <w:color w:val="auto"/>
              </w:rPr>
            </w:pPr>
          </w:p>
        </w:tc>
        <w:tc>
          <w:tcPr>
            <w:tcW w:w="340" w:type="dxa"/>
            <w:vAlign w:val="bottom"/>
            <w:tcBorders>
              <w:top w:val="single" w:sz="8" w:color="auto"/>
              <w:bottom w:val="single" w:sz="8" w:color="auto"/>
            </w:tcBorders>
            <w:shd w:val="clear" w:color="auto" w:fill="CCEEFF"/>
          </w:tcPr>
          <w:p>
            <w:pPr>
              <w:spacing w:after="0"/>
              <w:rPr>
                <w:sz w:val="24"/>
                <w:szCs w:val="24"/>
                <w:color w:val="auto"/>
              </w:rPr>
            </w:pPr>
          </w:p>
        </w:tc>
        <w:tc>
          <w:tcPr>
            <w:tcW w:w="6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651</w:t>
            </w:r>
          </w:p>
        </w:tc>
        <w:tc>
          <w:tcPr>
            <w:tcW w:w="100" w:type="dxa"/>
            <w:vAlign w:val="bottom"/>
            <w:tcBorders>
              <w:top w:val="single" w:sz="8" w:color="CCEEFF"/>
            </w:tcBorders>
            <w:shd w:val="clear" w:color="auto" w:fill="CCEEFF"/>
          </w:tcPr>
          <w:p>
            <w:pPr>
              <w:spacing w:after="0"/>
              <w:rPr>
                <w:sz w:val="24"/>
                <w:szCs w:val="24"/>
                <w:color w:val="auto"/>
              </w:rPr>
            </w:pPr>
          </w:p>
        </w:tc>
        <w:tc>
          <w:tcPr>
            <w:tcW w:w="300" w:type="dxa"/>
            <w:vAlign w:val="bottom"/>
            <w:tcBorders>
              <w:top w:val="single" w:sz="8" w:color="auto"/>
              <w:bottom w:val="single" w:sz="8" w:color="auto"/>
            </w:tcBorders>
            <w:shd w:val="clear" w:color="auto" w:fill="CCEEFF"/>
          </w:tcPr>
          <w:p>
            <w:pPr>
              <w:spacing w:after="0"/>
              <w:rPr>
                <w:sz w:val="24"/>
                <w:szCs w:val="24"/>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2,873</w:t>
            </w:r>
          </w:p>
        </w:tc>
        <w:tc>
          <w:tcPr>
            <w:tcW w:w="120" w:type="dxa"/>
            <w:vAlign w:val="bottom"/>
            <w:tcBorders>
              <w:top w:val="single" w:sz="8" w:color="CCEEFF"/>
            </w:tcBorders>
            <w:shd w:val="clear" w:color="auto" w:fill="CCEEFF"/>
          </w:tcPr>
          <w:p>
            <w:pPr>
              <w:spacing w:after="0"/>
              <w:rPr>
                <w:sz w:val="24"/>
                <w:szCs w:val="24"/>
                <w:color w:val="auto"/>
              </w:rPr>
            </w:pPr>
          </w:p>
        </w:tc>
        <w:tc>
          <w:tcPr>
            <w:tcW w:w="300" w:type="dxa"/>
            <w:vAlign w:val="bottom"/>
            <w:tcBorders>
              <w:top w:val="single" w:sz="8" w:color="auto"/>
              <w:bottom w:val="single" w:sz="8" w:color="auto"/>
            </w:tcBorders>
            <w:shd w:val="clear" w:color="auto" w:fill="CCEEFF"/>
          </w:tcPr>
          <w:p>
            <w:pPr>
              <w:spacing w:after="0"/>
              <w:rPr>
                <w:sz w:val="24"/>
                <w:szCs w:val="24"/>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4,622</w:t>
            </w:r>
          </w:p>
        </w:tc>
      </w:tr>
      <w:tr>
        <w:trPr>
          <w:trHeight w:val="421"/>
        </w:trPr>
        <w:tc>
          <w:tcPr>
            <w:tcW w:w="36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Residential mortgage loans</w:t>
            </w: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460"/>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Performing</w:t>
            </w:r>
          </w:p>
        </w:tc>
        <w:tc>
          <w:tcPr>
            <w:tcW w:w="40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1,103</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571</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1,119</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2,987</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5,946</w:t>
            </w:r>
          </w:p>
        </w:tc>
      </w:tr>
      <w:tr>
        <w:trPr>
          <w:trHeight w:val="444"/>
        </w:trPr>
        <w:tc>
          <w:tcPr>
            <w:tcW w:w="3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Nonperforming</w:t>
            </w:r>
          </w:p>
        </w:tc>
        <w:tc>
          <w:tcPr>
            <w:tcW w:w="400" w:type="dxa"/>
            <w:vAlign w:val="bottom"/>
          </w:tcPr>
          <w:p>
            <w:pPr>
              <w:spacing w:after="0"/>
              <w:rPr>
                <w:sz w:val="24"/>
                <w:szCs w:val="24"/>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24"/>
                <w:szCs w:val="24"/>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4"/>
                <w:szCs w:val="24"/>
                <w:color w:val="auto"/>
              </w:rPr>
            </w:pPr>
          </w:p>
        </w:tc>
        <w:tc>
          <w:tcPr>
            <w:tcW w:w="6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41</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w:t>
            </w:r>
          </w:p>
        </w:tc>
      </w:tr>
      <w:tr>
        <w:trPr>
          <w:trHeight w:val="444"/>
        </w:trPr>
        <w:tc>
          <w:tcPr>
            <w:tcW w:w="362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residential mortgage loans</w:t>
            </w:r>
          </w:p>
        </w:tc>
        <w:tc>
          <w:tcPr>
            <w:tcW w:w="400" w:type="dxa"/>
            <w:vAlign w:val="bottom"/>
            <w:tcBorders>
              <w:top w:val="single" w:sz="8" w:color="auto"/>
              <w:bottom w:val="single" w:sz="8" w:color="auto"/>
            </w:tcBorders>
            <w:shd w:val="clear" w:color="auto" w:fill="CCEEFF"/>
          </w:tcPr>
          <w:p>
            <w:pPr>
              <w:spacing w:after="0"/>
              <w:rPr>
                <w:sz w:val="24"/>
                <w:szCs w:val="24"/>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Borders>
              <w:top w:val="single" w:sz="8" w:color="CCEEFF"/>
            </w:tcBorders>
            <w:shd w:val="clear" w:color="auto" w:fill="CCEEFF"/>
          </w:tcPr>
          <w:p>
            <w:pPr>
              <w:spacing w:after="0"/>
              <w:rPr>
                <w:sz w:val="24"/>
                <w:szCs w:val="24"/>
                <w:color w:val="auto"/>
              </w:rPr>
            </w:pPr>
          </w:p>
        </w:tc>
        <w:tc>
          <w:tcPr>
            <w:tcW w:w="340" w:type="dxa"/>
            <w:vAlign w:val="bottom"/>
            <w:tcBorders>
              <w:top w:val="single" w:sz="8" w:color="auto"/>
              <w:bottom w:val="single" w:sz="8" w:color="auto"/>
            </w:tcBorders>
            <w:shd w:val="clear" w:color="auto" w:fill="CCEEFF"/>
          </w:tcPr>
          <w:p>
            <w:pPr>
              <w:spacing w:after="0"/>
              <w:rPr>
                <w:sz w:val="24"/>
                <w:szCs w:val="24"/>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1,104</w:t>
            </w:r>
          </w:p>
        </w:tc>
        <w:tc>
          <w:tcPr>
            <w:tcW w:w="100" w:type="dxa"/>
            <w:vAlign w:val="bottom"/>
            <w:tcBorders>
              <w:top w:val="single" w:sz="8" w:color="CCEEFF"/>
            </w:tcBorders>
            <w:shd w:val="clear" w:color="auto" w:fill="CCEEFF"/>
          </w:tcPr>
          <w:p>
            <w:pPr>
              <w:spacing w:after="0"/>
              <w:rPr>
                <w:sz w:val="24"/>
                <w:szCs w:val="24"/>
                <w:color w:val="auto"/>
              </w:rPr>
            </w:pPr>
          </w:p>
        </w:tc>
        <w:tc>
          <w:tcPr>
            <w:tcW w:w="340" w:type="dxa"/>
            <w:vAlign w:val="bottom"/>
            <w:tcBorders>
              <w:top w:val="single" w:sz="8" w:color="auto"/>
              <w:bottom w:val="single" w:sz="8" w:color="auto"/>
            </w:tcBorders>
            <w:shd w:val="clear" w:color="auto" w:fill="CCEEFF"/>
          </w:tcPr>
          <w:p>
            <w:pPr>
              <w:spacing w:after="0"/>
              <w:rPr>
                <w:sz w:val="24"/>
                <w:szCs w:val="24"/>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571</w:t>
            </w:r>
          </w:p>
        </w:tc>
        <w:tc>
          <w:tcPr>
            <w:tcW w:w="100" w:type="dxa"/>
            <w:vAlign w:val="bottom"/>
            <w:tcBorders>
              <w:top w:val="single" w:sz="8" w:color="CCEEFF"/>
            </w:tcBorders>
            <w:shd w:val="clear" w:color="auto" w:fill="CCEEFF"/>
          </w:tcPr>
          <w:p>
            <w:pPr>
              <w:spacing w:after="0"/>
              <w:rPr>
                <w:sz w:val="24"/>
                <w:szCs w:val="24"/>
                <w:color w:val="auto"/>
              </w:rPr>
            </w:pPr>
          </w:p>
        </w:tc>
        <w:tc>
          <w:tcPr>
            <w:tcW w:w="400" w:type="dxa"/>
            <w:vAlign w:val="bottom"/>
            <w:tcBorders>
              <w:top w:val="single" w:sz="8" w:color="auto"/>
              <w:bottom w:val="single" w:sz="8" w:color="auto"/>
            </w:tcBorders>
            <w:shd w:val="clear" w:color="auto" w:fill="CCEEFF"/>
          </w:tcPr>
          <w:p>
            <w:pPr>
              <w:spacing w:after="0"/>
              <w:rPr>
                <w:sz w:val="24"/>
                <w:szCs w:val="24"/>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w:t>
            </w:r>
          </w:p>
        </w:tc>
        <w:tc>
          <w:tcPr>
            <w:tcW w:w="100" w:type="dxa"/>
            <w:vAlign w:val="bottom"/>
            <w:tcBorders>
              <w:top w:val="single" w:sz="8" w:color="CCEEFF"/>
            </w:tcBorders>
            <w:shd w:val="clear" w:color="auto" w:fill="CCEEFF"/>
          </w:tcPr>
          <w:p>
            <w:pPr>
              <w:spacing w:after="0"/>
              <w:rPr>
                <w:sz w:val="24"/>
                <w:szCs w:val="24"/>
                <w:color w:val="auto"/>
              </w:rPr>
            </w:pPr>
          </w:p>
        </w:tc>
        <w:tc>
          <w:tcPr>
            <w:tcW w:w="340" w:type="dxa"/>
            <w:vAlign w:val="bottom"/>
            <w:tcBorders>
              <w:top w:val="single" w:sz="8" w:color="auto"/>
              <w:bottom w:val="single" w:sz="8" w:color="auto"/>
            </w:tcBorders>
            <w:shd w:val="clear" w:color="auto" w:fill="CCEEFF"/>
          </w:tcPr>
          <w:p>
            <w:pPr>
              <w:spacing w:after="0"/>
              <w:rPr>
                <w:sz w:val="24"/>
                <w:szCs w:val="24"/>
                <w:color w:val="auto"/>
              </w:rPr>
            </w:pPr>
          </w:p>
        </w:tc>
        <w:tc>
          <w:tcPr>
            <w:tcW w:w="6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1,160</w:t>
            </w:r>
          </w:p>
        </w:tc>
        <w:tc>
          <w:tcPr>
            <w:tcW w:w="100" w:type="dxa"/>
            <w:vAlign w:val="bottom"/>
            <w:tcBorders>
              <w:top w:val="single" w:sz="8" w:color="CCEEFF"/>
            </w:tcBorders>
            <w:shd w:val="clear" w:color="auto" w:fill="CCEEFF"/>
          </w:tcPr>
          <w:p>
            <w:pPr>
              <w:spacing w:after="0"/>
              <w:rPr>
                <w:sz w:val="24"/>
                <w:szCs w:val="24"/>
                <w:color w:val="auto"/>
              </w:rPr>
            </w:pPr>
          </w:p>
        </w:tc>
        <w:tc>
          <w:tcPr>
            <w:tcW w:w="300" w:type="dxa"/>
            <w:vAlign w:val="bottom"/>
            <w:tcBorders>
              <w:top w:val="single" w:sz="8" w:color="auto"/>
              <w:bottom w:val="single" w:sz="8" w:color="auto"/>
            </w:tcBorders>
            <w:shd w:val="clear" w:color="auto" w:fill="CCEEFF"/>
          </w:tcPr>
          <w:p>
            <w:pPr>
              <w:spacing w:after="0"/>
              <w:rPr>
                <w:sz w:val="24"/>
                <w:szCs w:val="24"/>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3,051</w:t>
            </w:r>
          </w:p>
        </w:tc>
        <w:tc>
          <w:tcPr>
            <w:tcW w:w="120" w:type="dxa"/>
            <w:vAlign w:val="bottom"/>
            <w:tcBorders>
              <w:top w:val="single" w:sz="8" w:color="CCEEFF"/>
            </w:tcBorders>
            <w:shd w:val="clear" w:color="auto" w:fill="CCEEFF"/>
          </w:tcPr>
          <w:p>
            <w:pPr>
              <w:spacing w:after="0"/>
              <w:rPr>
                <w:sz w:val="24"/>
                <w:szCs w:val="24"/>
                <w:color w:val="auto"/>
              </w:rPr>
            </w:pPr>
          </w:p>
        </w:tc>
        <w:tc>
          <w:tcPr>
            <w:tcW w:w="300" w:type="dxa"/>
            <w:vAlign w:val="bottom"/>
            <w:tcBorders>
              <w:top w:val="single" w:sz="8" w:color="auto"/>
              <w:bottom w:val="single" w:sz="8" w:color="auto"/>
            </w:tcBorders>
            <w:shd w:val="clear" w:color="auto" w:fill="CCEEFF"/>
          </w:tcPr>
          <w:p>
            <w:pPr>
              <w:spacing w:after="0"/>
              <w:rPr>
                <w:sz w:val="24"/>
                <w:szCs w:val="24"/>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6,052</w:t>
            </w:r>
          </w:p>
        </w:tc>
      </w:tr>
      <w:tr>
        <w:trPr>
          <w:trHeight w:val="450"/>
        </w:trPr>
        <w:tc>
          <w:tcPr>
            <w:tcW w:w="36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w:t>
            </w:r>
          </w:p>
        </w:tc>
        <w:tc>
          <w:tcPr>
            <w:tcW w:w="400" w:type="dxa"/>
            <w:vAlign w:val="bottom"/>
            <w:tcBorders>
              <w:bottom w:val="single" w:sz="8" w:color="auto"/>
            </w:tcBorders>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387</w:t>
            </w:r>
          </w:p>
        </w:tc>
        <w:tc>
          <w:tcPr>
            <w:tcW w:w="100" w:type="dxa"/>
            <w:vAlign w:val="bottom"/>
          </w:tcPr>
          <w:p>
            <w:pPr>
              <w:spacing w:after="0"/>
              <w:rPr>
                <w:sz w:val="24"/>
                <w:szCs w:val="24"/>
                <w:color w:val="auto"/>
              </w:rPr>
            </w:pPr>
          </w:p>
        </w:tc>
        <w:tc>
          <w:tcPr>
            <w:tcW w:w="34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2,295</w:t>
            </w:r>
          </w:p>
        </w:tc>
        <w:tc>
          <w:tcPr>
            <w:tcW w:w="100" w:type="dxa"/>
            <w:vAlign w:val="bottom"/>
          </w:tcPr>
          <w:p>
            <w:pPr>
              <w:spacing w:after="0"/>
              <w:rPr>
                <w:sz w:val="24"/>
                <w:szCs w:val="24"/>
                <w:color w:val="auto"/>
              </w:rPr>
            </w:pPr>
          </w:p>
        </w:tc>
        <w:tc>
          <w:tcPr>
            <w:tcW w:w="34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1,758</w:t>
            </w:r>
          </w:p>
        </w:tc>
        <w:tc>
          <w:tcPr>
            <w:tcW w:w="100" w:type="dxa"/>
            <w:vAlign w:val="bottom"/>
          </w:tcPr>
          <w:p>
            <w:pPr>
              <w:spacing w:after="0"/>
              <w:rPr>
                <w:sz w:val="24"/>
                <w:szCs w:val="24"/>
                <w:color w:val="auto"/>
              </w:rPr>
            </w:pPr>
          </w:p>
        </w:tc>
        <w:tc>
          <w:tcPr>
            <w:tcW w:w="400" w:type="dxa"/>
            <w:vAlign w:val="bottom"/>
            <w:tcBorders>
              <w:bottom w:val="single" w:sz="8" w:color="auto"/>
            </w:tcBorders>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495</w:t>
            </w:r>
          </w:p>
        </w:tc>
        <w:tc>
          <w:tcPr>
            <w:tcW w:w="100" w:type="dxa"/>
            <w:vAlign w:val="bottom"/>
          </w:tcPr>
          <w:p>
            <w:pPr>
              <w:spacing w:after="0"/>
              <w:rPr>
                <w:sz w:val="24"/>
                <w:szCs w:val="24"/>
                <w:color w:val="auto"/>
              </w:rPr>
            </w:pPr>
          </w:p>
        </w:tc>
        <w:tc>
          <w:tcPr>
            <w:tcW w:w="34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3,698</w:t>
            </w:r>
          </w:p>
        </w:tc>
        <w:tc>
          <w:tcPr>
            <w:tcW w:w="100" w:type="dxa"/>
            <w:vAlign w:val="bottom"/>
          </w:tcPr>
          <w:p>
            <w:pPr>
              <w:spacing w:after="0"/>
              <w:rPr>
                <w:sz w:val="24"/>
                <w:szCs w:val="24"/>
                <w:color w:val="auto"/>
              </w:rPr>
            </w:pPr>
          </w:p>
        </w:tc>
        <w:tc>
          <w:tcPr>
            <w:tcW w:w="3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14,172</w:t>
            </w:r>
          </w:p>
        </w:tc>
        <w:tc>
          <w:tcPr>
            <w:tcW w:w="120" w:type="dxa"/>
            <w:vAlign w:val="bottom"/>
          </w:tcPr>
          <w:p>
            <w:pPr>
              <w:spacing w:after="0"/>
              <w:rPr>
                <w:sz w:val="24"/>
                <w:szCs w:val="24"/>
                <w:color w:val="auto"/>
              </w:rPr>
            </w:pPr>
          </w:p>
        </w:tc>
        <w:tc>
          <w:tcPr>
            <w:tcW w:w="3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22,805</w:t>
            </w:r>
          </w:p>
        </w:tc>
      </w:tr>
      <w:tr>
        <w:trPr>
          <w:trHeight w:val="20"/>
        </w:trPr>
        <w:tc>
          <w:tcPr>
            <w:tcW w:w="36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80"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Life Insurance Company</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 Indirect Wholly-Owned Subsidiary of Brighthouse Financial, Inc.)</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Investments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4000"/>
        <w:spacing w:after="0"/>
        <w:tabs>
          <w:tab w:leader="none" w:pos="5080" w:val="left"/>
          <w:tab w:leader="none" w:pos="6180" w:val="left"/>
          <w:tab w:leader="none" w:pos="7280" w:val="left"/>
          <w:tab w:leader="none" w:pos="8380" w:val="left"/>
          <w:tab w:leader="none" w:pos="9460" w:val="left"/>
          <w:tab w:leader="none" w:pos="10560" w:val="left"/>
        </w:tabs>
        <w:rPr>
          <w:sz w:val="20"/>
          <w:szCs w:val="20"/>
          <w:color w:val="auto"/>
        </w:rPr>
      </w:pPr>
      <w:r>
        <w:rPr>
          <w:rFonts w:ascii="Times New Roman" w:cs="Times New Roman" w:eastAsia="Times New Roman" w:hAnsi="Times New Roman"/>
          <w:sz w:val="14"/>
          <w:szCs w:val="14"/>
          <w:b w:val="1"/>
          <w:bCs w:val="1"/>
          <w:color w:val="auto"/>
        </w:rPr>
        <w:t>2025</w:t>
      </w:r>
      <w:r>
        <w:rPr>
          <w:sz w:val="20"/>
          <w:szCs w:val="20"/>
          <w:color w:val="auto"/>
        </w:rPr>
        <w:tab/>
      </w: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r>
        <w:rPr>
          <w:sz w:val="20"/>
          <w:szCs w:val="20"/>
          <w:color w:val="auto"/>
        </w:rPr>
        <w:tab/>
      </w:r>
      <w:r>
        <w:rPr>
          <w:rFonts w:ascii="Times New Roman" w:cs="Times New Roman" w:eastAsia="Times New Roman" w:hAnsi="Times New Roman"/>
          <w:sz w:val="14"/>
          <w:szCs w:val="14"/>
          <w:b w:val="1"/>
          <w:bCs w:val="1"/>
          <w:color w:val="auto"/>
        </w:rPr>
        <w:t>2022</w:t>
      </w:r>
      <w:r>
        <w:rPr>
          <w:sz w:val="20"/>
          <w:szCs w:val="20"/>
          <w:color w:val="auto"/>
        </w:rPr>
        <w:tab/>
      </w:r>
      <w:r>
        <w:rPr>
          <w:rFonts w:ascii="Times New Roman" w:cs="Times New Roman" w:eastAsia="Times New Roman" w:hAnsi="Times New Roman"/>
          <w:sz w:val="14"/>
          <w:szCs w:val="14"/>
          <w:b w:val="1"/>
          <w:bCs w:val="1"/>
          <w:color w:val="auto"/>
        </w:rPr>
        <w:t>2021</w:t>
      </w:r>
      <w:r>
        <w:rPr>
          <w:sz w:val="20"/>
          <w:szCs w:val="20"/>
          <w:color w:val="auto"/>
        </w:rPr>
        <w:tab/>
      </w:r>
      <w:r>
        <w:rPr>
          <w:rFonts w:ascii="Times New Roman" w:cs="Times New Roman" w:eastAsia="Times New Roman" w:hAnsi="Times New Roman"/>
          <w:sz w:val="14"/>
          <w:szCs w:val="14"/>
          <w:b w:val="1"/>
          <w:bCs w:val="1"/>
          <w:color w:val="auto"/>
        </w:rPr>
        <w:t>Prior</w:t>
      </w:r>
      <w:r>
        <w:rPr>
          <w:sz w:val="20"/>
          <w:szCs w:val="20"/>
          <w:color w:val="auto"/>
        </w:rPr>
        <w:tab/>
      </w:r>
      <w:r>
        <w:rPr>
          <w:rFonts w:ascii="Times New Roman" w:cs="Times New Roman" w:eastAsia="Times New Roman" w:hAnsi="Times New Roman"/>
          <w:sz w:val="14"/>
          <w:szCs w:val="14"/>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2317750</wp:posOffset>
            </wp:positionH>
            <wp:positionV relativeFrom="paragraph">
              <wp:posOffset>39370</wp:posOffset>
            </wp:positionV>
            <wp:extent cx="48209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4820920" cy="8255"/>
                    </a:xfrm>
                    <a:prstGeom prst="rect">
                      <a:avLst/>
                    </a:prstGeom>
                    <a:noFill/>
                  </pic:spPr>
                </pic:pic>
              </a:graphicData>
            </a:graphic>
          </wp:anchor>
        </w:drawing>
      </w:r>
    </w:p>
    <w:p>
      <w:pPr>
        <w:spacing w:after="0" w:line="270" w:lineRule="exact"/>
        <w:rPr>
          <w:sz w:val="20"/>
          <w:szCs w:val="20"/>
          <w:color w:val="auto"/>
        </w:rPr>
      </w:pPr>
    </w:p>
    <w:p>
      <w:pPr>
        <w:ind w:left="7080"/>
        <w:spacing w:after="0"/>
        <w:rPr>
          <w:sz w:val="20"/>
          <w:szCs w:val="20"/>
          <w:color w:val="auto"/>
        </w:rPr>
      </w:pPr>
      <w:r>
        <w:rPr>
          <w:rFonts w:ascii="Times New Roman" w:cs="Times New Roman" w:eastAsia="Times New Roman" w:hAnsi="Times New Roman"/>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39370</wp:posOffset>
            </wp:positionV>
            <wp:extent cx="7134860" cy="2857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4860" cy="285750"/>
                    </a:xfrm>
                    <a:prstGeom prst="rect">
                      <a:avLst/>
                    </a:prstGeom>
                    <a:noFill/>
                  </pic:spPr>
                </pic:pic>
              </a:graphicData>
            </a:graphic>
          </wp:anchor>
        </w:drawing>
      </w:r>
    </w:p>
    <w:p>
      <w:pPr>
        <w:spacing w:after="0" w:line="26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2025</w:t>
      </w:r>
    </w:p>
    <w:p>
      <w:pPr>
        <w:spacing w:after="0" w:line="2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Commercial mortgage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27940</wp:posOffset>
            </wp:positionV>
            <wp:extent cx="7134860" cy="2857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4860" cy="285750"/>
                    </a:xfrm>
                    <a:prstGeom prst="rect">
                      <a:avLst/>
                    </a:prstGeom>
                    <a:noFill/>
                  </pic:spPr>
                </pic:pic>
              </a:graphicData>
            </a:graphic>
          </wp:anchor>
        </w:drawing>
      </w:r>
    </w:p>
    <w:p>
      <w:pPr>
        <w:spacing w:after="0" w:line="2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Loan-to-value ratios: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 than 65%</w:t>
            </w: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423</w:t>
            </w:r>
          </w:p>
        </w:tc>
        <w:tc>
          <w:tcPr>
            <w:tcW w:w="100" w:type="dxa"/>
            <w:vAlign w:val="bottom"/>
          </w:tcPr>
          <w:p>
            <w:pPr>
              <w:spacing w:after="0"/>
              <w:rPr>
                <w:sz w:val="19"/>
                <w:szCs w:val="19"/>
                <w:color w:val="auto"/>
              </w:rPr>
            </w:pP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668</w:t>
            </w:r>
          </w:p>
        </w:tc>
        <w:tc>
          <w:tcPr>
            <w:tcW w:w="100" w:type="dxa"/>
            <w:vAlign w:val="bottom"/>
          </w:tcPr>
          <w:p>
            <w:pPr>
              <w:spacing w:after="0"/>
              <w:rPr>
                <w:sz w:val="19"/>
                <w:szCs w:val="19"/>
                <w:color w:val="auto"/>
              </w:rPr>
            </w:pPr>
          </w:p>
        </w:tc>
        <w:tc>
          <w:tcPr>
            <w:tcW w:w="38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120" w:type="dxa"/>
            <w:vAlign w:val="bottom"/>
          </w:tcPr>
          <w:p>
            <w:pPr>
              <w:spacing w:after="0"/>
              <w:rPr>
                <w:sz w:val="19"/>
                <w:szCs w:val="19"/>
                <w:color w:val="auto"/>
              </w:rPr>
            </w:pPr>
          </w:p>
        </w:tc>
        <w:tc>
          <w:tcPr>
            <w:tcW w:w="32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483</w:t>
            </w:r>
          </w:p>
        </w:tc>
        <w:tc>
          <w:tcPr>
            <w:tcW w:w="120" w:type="dxa"/>
            <w:vAlign w:val="bottom"/>
          </w:tcPr>
          <w:p>
            <w:pPr>
              <w:spacing w:after="0"/>
              <w:rPr>
                <w:sz w:val="19"/>
                <w:szCs w:val="19"/>
                <w:color w:val="auto"/>
              </w:rPr>
            </w:pPr>
          </w:p>
        </w:tc>
        <w:tc>
          <w:tcPr>
            <w:tcW w:w="32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1,713</w:t>
            </w:r>
          </w:p>
        </w:tc>
        <w:tc>
          <w:tcPr>
            <w:tcW w:w="120" w:type="dxa"/>
            <w:vAlign w:val="bottom"/>
          </w:tcPr>
          <w:p>
            <w:pPr>
              <w:spacing w:after="0"/>
              <w:rPr>
                <w:sz w:val="19"/>
                <w:szCs w:val="19"/>
                <w:color w:val="auto"/>
              </w:rPr>
            </w:pPr>
          </w:p>
        </w:tc>
        <w:tc>
          <w:tcPr>
            <w:tcW w:w="32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2,903</w:t>
            </w:r>
          </w:p>
        </w:tc>
        <w:tc>
          <w:tcPr>
            <w:tcW w:w="120" w:type="dxa"/>
            <w:vAlign w:val="bottom"/>
          </w:tcPr>
          <w:p>
            <w:pPr>
              <w:spacing w:after="0"/>
              <w:rPr>
                <w:sz w:val="19"/>
                <w:szCs w:val="19"/>
                <w:color w:val="auto"/>
              </w:rPr>
            </w:pP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6,347</w:t>
            </w:r>
          </w:p>
        </w:tc>
      </w:tr>
      <w:tr>
        <w:trPr>
          <w:trHeight w:val="453"/>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65% to 75%</w:t>
            </w:r>
          </w:p>
        </w:tc>
        <w:tc>
          <w:tcPr>
            <w:tcW w:w="34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583</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651</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717</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2,393</w:t>
            </w:r>
          </w:p>
        </w:tc>
      </w:tr>
      <w:tr>
        <w:trPr>
          <w:trHeight w:val="448"/>
        </w:trPr>
        <w:tc>
          <w:tcPr>
            <w:tcW w:w="3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76% to 80%</w:t>
            </w:r>
          </w:p>
        </w:tc>
        <w:tc>
          <w:tcPr>
            <w:tcW w:w="3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24"/>
                <w:szCs w:val="24"/>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605</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1,106</w:t>
            </w:r>
          </w:p>
        </w:tc>
      </w:tr>
      <w:tr>
        <w:trPr>
          <w:trHeight w:val="453"/>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Greater than 80%</w:t>
            </w:r>
          </w:p>
        </w:tc>
        <w:tc>
          <w:tcPr>
            <w:tcW w:w="34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661</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1,532</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2,473</w:t>
            </w:r>
          </w:p>
        </w:tc>
      </w:tr>
      <w:tr>
        <w:trPr>
          <w:trHeight w:val="428"/>
        </w:trPr>
        <w:tc>
          <w:tcPr>
            <w:tcW w:w="36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Total commercial mortgage loans</w:t>
            </w:r>
          </w:p>
        </w:tc>
        <w:tc>
          <w:tcPr>
            <w:tcW w:w="340" w:type="dxa"/>
            <w:vAlign w:val="bottom"/>
            <w:tcBorders>
              <w:top w:val="single" w:sz="8" w:color="auto"/>
              <w:bottom w:val="single" w:sz="8" w:color="auto"/>
            </w:tcBorders>
          </w:tcPr>
          <w:p>
            <w:pPr>
              <w:spacing w:after="0"/>
              <w:rPr>
                <w:sz w:val="24"/>
                <w:szCs w:val="24"/>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730</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848</w:t>
            </w:r>
          </w:p>
        </w:tc>
        <w:tc>
          <w:tcPr>
            <w:tcW w:w="10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spacing w:after="0"/>
              <w:rPr>
                <w:sz w:val="24"/>
                <w:szCs w:val="24"/>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1,932</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2,895</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5,757</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12,319</w:t>
            </w:r>
          </w:p>
        </w:tc>
      </w:tr>
      <w:tr>
        <w:trPr>
          <w:trHeight w:val="433"/>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Agricultural mortgage loans</w:t>
            </w:r>
          </w:p>
        </w:tc>
        <w:tc>
          <w:tcPr>
            <w:tcW w:w="34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r>
      <w:tr>
        <w:trPr>
          <w:trHeight w:val="441"/>
        </w:trPr>
        <w:tc>
          <w:tcPr>
            <w:tcW w:w="3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Loan-to-value ratios:</w:t>
            </w: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460"/>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than 65%</w:t>
            </w:r>
          </w:p>
        </w:tc>
        <w:tc>
          <w:tcPr>
            <w:tcW w:w="34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415</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558</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1,048</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1,798</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4,350</w:t>
            </w:r>
          </w:p>
        </w:tc>
      </w:tr>
      <w:tr>
        <w:trPr>
          <w:trHeight w:val="448"/>
        </w:trPr>
        <w:tc>
          <w:tcPr>
            <w:tcW w:w="3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65% to 75%</w:t>
            </w:r>
          </w:p>
        </w:tc>
        <w:tc>
          <w:tcPr>
            <w:tcW w:w="3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w:t>
            </w:r>
          </w:p>
        </w:tc>
      </w:tr>
      <w:tr>
        <w:trPr>
          <w:trHeight w:val="453"/>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76% to 80%</w:t>
            </w:r>
          </w:p>
        </w:tc>
        <w:tc>
          <w:tcPr>
            <w:tcW w:w="34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448"/>
        </w:trPr>
        <w:tc>
          <w:tcPr>
            <w:tcW w:w="3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Greater than 80%</w:t>
            </w:r>
          </w:p>
        </w:tc>
        <w:tc>
          <w:tcPr>
            <w:tcW w:w="340" w:type="dxa"/>
            <w:vAlign w:val="bottom"/>
          </w:tcPr>
          <w:p>
            <w:pPr>
              <w:spacing w:after="0"/>
              <w:rPr>
                <w:sz w:val="24"/>
                <w:szCs w:val="24"/>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4"/>
                <w:szCs w:val="24"/>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24"/>
                <w:szCs w:val="24"/>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24"/>
                <w:szCs w:val="24"/>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433"/>
        </w:trPr>
        <w:tc>
          <w:tcPr>
            <w:tcW w:w="364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agricultural mortgage loans</w:t>
            </w:r>
          </w:p>
        </w:tc>
        <w:tc>
          <w:tcPr>
            <w:tcW w:w="340" w:type="dxa"/>
            <w:vAlign w:val="bottom"/>
            <w:tcBorders>
              <w:top w:val="single" w:sz="8" w:color="auto"/>
              <w:bottom w:val="single" w:sz="8" w:color="auto"/>
            </w:tcBorders>
            <w:shd w:val="clear" w:color="auto" w:fill="CCEEFF"/>
          </w:tcPr>
          <w:p>
            <w:pPr>
              <w:spacing w:after="0"/>
              <w:rPr>
                <w:sz w:val="24"/>
                <w:szCs w:val="24"/>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458</w:t>
            </w:r>
          </w:p>
        </w:tc>
        <w:tc>
          <w:tcPr>
            <w:tcW w:w="100" w:type="dxa"/>
            <w:vAlign w:val="bottom"/>
            <w:tcBorders>
              <w:top w:val="single" w:sz="8" w:color="CCEEFF"/>
            </w:tcBorders>
            <w:shd w:val="clear" w:color="auto" w:fill="CCEEFF"/>
          </w:tcPr>
          <w:p>
            <w:pPr>
              <w:spacing w:after="0"/>
              <w:rPr>
                <w:sz w:val="24"/>
                <w:szCs w:val="24"/>
                <w:color w:val="auto"/>
              </w:rPr>
            </w:pPr>
          </w:p>
        </w:tc>
        <w:tc>
          <w:tcPr>
            <w:tcW w:w="340" w:type="dxa"/>
            <w:vAlign w:val="bottom"/>
            <w:tcBorders>
              <w:top w:val="single" w:sz="8" w:color="auto"/>
              <w:bottom w:val="single" w:sz="8" w:color="auto"/>
            </w:tcBorders>
            <w:shd w:val="clear" w:color="auto" w:fill="CCEEFF"/>
          </w:tcPr>
          <w:p>
            <w:pPr>
              <w:spacing w:after="0"/>
              <w:rPr>
                <w:sz w:val="24"/>
                <w:szCs w:val="24"/>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w:t>
            </w:r>
          </w:p>
        </w:tc>
        <w:tc>
          <w:tcPr>
            <w:tcW w:w="100" w:type="dxa"/>
            <w:vAlign w:val="bottom"/>
            <w:tcBorders>
              <w:top w:val="single" w:sz="8" w:color="CCEEFF"/>
            </w:tcBorders>
            <w:shd w:val="clear" w:color="auto" w:fill="CCEEFF"/>
          </w:tcPr>
          <w:p>
            <w:pPr>
              <w:spacing w:after="0"/>
              <w:rPr>
                <w:sz w:val="24"/>
                <w:szCs w:val="24"/>
                <w:color w:val="auto"/>
              </w:rPr>
            </w:pPr>
          </w:p>
        </w:tc>
        <w:tc>
          <w:tcPr>
            <w:tcW w:w="380" w:type="dxa"/>
            <w:vAlign w:val="bottom"/>
            <w:tcBorders>
              <w:top w:val="single" w:sz="8" w:color="auto"/>
              <w:bottom w:val="single" w:sz="8" w:color="auto"/>
            </w:tcBorders>
            <w:shd w:val="clear" w:color="auto" w:fill="CCEEFF"/>
          </w:tcPr>
          <w:p>
            <w:pPr>
              <w:spacing w:after="0"/>
              <w:rPr>
                <w:sz w:val="24"/>
                <w:szCs w:val="24"/>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w:t>
            </w:r>
          </w:p>
        </w:tc>
        <w:tc>
          <w:tcPr>
            <w:tcW w:w="120" w:type="dxa"/>
            <w:vAlign w:val="bottom"/>
            <w:tcBorders>
              <w:top w:val="single" w:sz="8" w:color="CCEEFF"/>
            </w:tcBorders>
            <w:shd w:val="clear" w:color="auto" w:fill="CCEEFF"/>
          </w:tcPr>
          <w:p>
            <w:pPr>
              <w:spacing w:after="0"/>
              <w:rPr>
                <w:sz w:val="24"/>
                <w:szCs w:val="24"/>
                <w:color w:val="auto"/>
              </w:rPr>
            </w:pPr>
          </w:p>
        </w:tc>
        <w:tc>
          <w:tcPr>
            <w:tcW w:w="320" w:type="dxa"/>
            <w:vAlign w:val="bottom"/>
            <w:tcBorders>
              <w:top w:val="single" w:sz="8" w:color="auto"/>
              <w:bottom w:val="single" w:sz="8" w:color="auto"/>
            </w:tcBorders>
            <w:shd w:val="clear" w:color="auto" w:fill="CCEEFF"/>
          </w:tcPr>
          <w:p>
            <w:pPr>
              <w:spacing w:after="0"/>
              <w:rPr>
                <w:sz w:val="24"/>
                <w:szCs w:val="24"/>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655</w:t>
            </w:r>
          </w:p>
        </w:tc>
        <w:tc>
          <w:tcPr>
            <w:tcW w:w="120" w:type="dxa"/>
            <w:vAlign w:val="bottom"/>
            <w:tcBorders>
              <w:top w:val="single" w:sz="8" w:color="CCEEFF"/>
            </w:tcBorders>
            <w:shd w:val="clear" w:color="auto" w:fill="CCEEFF"/>
          </w:tcPr>
          <w:p>
            <w:pPr>
              <w:spacing w:after="0"/>
              <w:rPr>
                <w:sz w:val="24"/>
                <w:szCs w:val="24"/>
                <w:color w:val="auto"/>
              </w:rPr>
            </w:pPr>
          </w:p>
        </w:tc>
        <w:tc>
          <w:tcPr>
            <w:tcW w:w="320" w:type="dxa"/>
            <w:vAlign w:val="bottom"/>
            <w:tcBorders>
              <w:top w:val="single" w:sz="8" w:color="auto"/>
              <w:bottom w:val="single" w:sz="8" w:color="auto"/>
            </w:tcBorders>
            <w:shd w:val="clear" w:color="auto" w:fill="CCEEFF"/>
          </w:tcPr>
          <w:p>
            <w:pPr>
              <w:spacing w:after="0"/>
              <w:rPr>
                <w:sz w:val="24"/>
                <w:szCs w:val="24"/>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1,151</w:t>
            </w:r>
          </w:p>
        </w:tc>
        <w:tc>
          <w:tcPr>
            <w:tcW w:w="120" w:type="dxa"/>
            <w:vAlign w:val="bottom"/>
            <w:tcBorders>
              <w:top w:val="single" w:sz="8" w:color="CCEEFF"/>
            </w:tcBorders>
            <w:shd w:val="clear" w:color="auto" w:fill="CCEEFF"/>
          </w:tcPr>
          <w:p>
            <w:pPr>
              <w:spacing w:after="0"/>
              <w:rPr>
                <w:sz w:val="24"/>
                <w:szCs w:val="24"/>
                <w:color w:val="auto"/>
              </w:rPr>
            </w:pPr>
          </w:p>
        </w:tc>
        <w:tc>
          <w:tcPr>
            <w:tcW w:w="320" w:type="dxa"/>
            <w:vAlign w:val="bottom"/>
            <w:tcBorders>
              <w:top w:val="single" w:sz="8" w:color="auto"/>
              <w:bottom w:val="single" w:sz="8" w:color="auto"/>
            </w:tcBorders>
            <w:shd w:val="clear" w:color="auto" w:fill="CCEEFF"/>
          </w:tcPr>
          <w:p>
            <w:pPr>
              <w:spacing w:after="0"/>
              <w:rPr>
                <w:sz w:val="24"/>
                <w:szCs w:val="24"/>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1,819</w:t>
            </w:r>
          </w:p>
        </w:tc>
        <w:tc>
          <w:tcPr>
            <w:tcW w:w="120" w:type="dxa"/>
            <w:vAlign w:val="bottom"/>
            <w:tcBorders>
              <w:top w:val="single" w:sz="8" w:color="CCEEFF"/>
            </w:tcBorders>
            <w:shd w:val="clear" w:color="auto" w:fill="CCEEFF"/>
          </w:tcPr>
          <w:p>
            <w:pPr>
              <w:spacing w:after="0"/>
              <w:rPr>
                <w:sz w:val="24"/>
                <w:szCs w:val="24"/>
                <w:color w:val="auto"/>
              </w:rPr>
            </w:pPr>
          </w:p>
        </w:tc>
        <w:tc>
          <w:tcPr>
            <w:tcW w:w="300" w:type="dxa"/>
            <w:vAlign w:val="bottom"/>
            <w:tcBorders>
              <w:top w:val="single" w:sz="8" w:color="auto"/>
              <w:bottom w:val="single" w:sz="8" w:color="auto"/>
            </w:tcBorders>
            <w:shd w:val="clear" w:color="auto" w:fill="CCEEFF"/>
          </w:tcPr>
          <w:p>
            <w:pPr>
              <w:spacing w:after="0"/>
              <w:rPr>
                <w:sz w:val="24"/>
                <w:szCs w:val="24"/>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4,631</w:t>
            </w:r>
          </w:p>
        </w:tc>
      </w:tr>
      <w:tr>
        <w:trPr>
          <w:trHeight w:val="421"/>
        </w:trPr>
        <w:tc>
          <w:tcPr>
            <w:tcW w:w="36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Residential mortgage loans</w:t>
            </w: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460"/>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Performing</w:t>
            </w:r>
          </w:p>
        </w:tc>
        <w:tc>
          <w:tcPr>
            <w:tcW w:w="34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873</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622</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1,146</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1,505</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1,554</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5,868</w:t>
            </w:r>
          </w:p>
        </w:tc>
      </w:tr>
      <w:tr>
        <w:trPr>
          <w:trHeight w:val="448"/>
        </w:trPr>
        <w:tc>
          <w:tcPr>
            <w:tcW w:w="3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Nonperforming</w:t>
            </w:r>
          </w:p>
        </w:tc>
        <w:tc>
          <w:tcPr>
            <w:tcW w:w="340" w:type="dxa"/>
            <w:vAlign w:val="bottom"/>
          </w:tcPr>
          <w:p>
            <w:pPr>
              <w:spacing w:after="0"/>
              <w:rPr>
                <w:sz w:val="24"/>
                <w:szCs w:val="24"/>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4"/>
                <w:szCs w:val="24"/>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24"/>
                <w:szCs w:val="24"/>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w:t>
            </w:r>
          </w:p>
        </w:tc>
      </w:tr>
      <w:tr>
        <w:trPr>
          <w:trHeight w:val="430"/>
        </w:trPr>
        <w:tc>
          <w:tcPr>
            <w:tcW w:w="364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residential mortgage loans</w:t>
            </w:r>
          </w:p>
        </w:tc>
        <w:tc>
          <w:tcPr>
            <w:tcW w:w="340" w:type="dxa"/>
            <w:vAlign w:val="bottom"/>
            <w:tcBorders>
              <w:top w:val="single" w:sz="8" w:color="auto"/>
              <w:bottom w:val="single" w:sz="8" w:color="auto"/>
            </w:tcBorders>
            <w:shd w:val="clear" w:color="auto" w:fill="CCEEFF"/>
          </w:tcPr>
          <w:p>
            <w:pPr>
              <w:spacing w:after="0"/>
              <w:rPr>
                <w:sz w:val="24"/>
                <w:szCs w:val="24"/>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873</w:t>
            </w:r>
          </w:p>
        </w:tc>
        <w:tc>
          <w:tcPr>
            <w:tcW w:w="100" w:type="dxa"/>
            <w:vAlign w:val="bottom"/>
            <w:tcBorders>
              <w:top w:val="single" w:sz="8" w:color="CCEEFF"/>
            </w:tcBorders>
            <w:shd w:val="clear" w:color="auto" w:fill="CCEEFF"/>
          </w:tcPr>
          <w:p>
            <w:pPr>
              <w:spacing w:after="0"/>
              <w:rPr>
                <w:sz w:val="24"/>
                <w:szCs w:val="24"/>
                <w:color w:val="auto"/>
              </w:rPr>
            </w:pPr>
          </w:p>
        </w:tc>
        <w:tc>
          <w:tcPr>
            <w:tcW w:w="340" w:type="dxa"/>
            <w:vAlign w:val="bottom"/>
            <w:tcBorders>
              <w:top w:val="single" w:sz="8" w:color="auto"/>
              <w:bottom w:val="single" w:sz="8" w:color="auto"/>
            </w:tcBorders>
            <w:shd w:val="clear" w:color="auto" w:fill="CCEEFF"/>
          </w:tcPr>
          <w:p>
            <w:pPr>
              <w:spacing w:after="0"/>
              <w:rPr>
                <w:sz w:val="24"/>
                <w:szCs w:val="24"/>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622</w:t>
            </w:r>
          </w:p>
        </w:tc>
        <w:tc>
          <w:tcPr>
            <w:tcW w:w="100" w:type="dxa"/>
            <w:vAlign w:val="bottom"/>
            <w:tcBorders>
              <w:top w:val="single" w:sz="8" w:color="CCEEFF"/>
            </w:tcBorders>
            <w:shd w:val="clear" w:color="auto" w:fill="CCEEFF"/>
          </w:tcPr>
          <w:p>
            <w:pPr>
              <w:spacing w:after="0"/>
              <w:rPr>
                <w:sz w:val="24"/>
                <w:szCs w:val="24"/>
                <w:color w:val="auto"/>
              </w:rPr>
            </w:pPr>
          </w:p>
        </w:tc>
        <w:tc>
          <w:tcPr>
            <w:tcW w:w="380" w:type="dxa"/>
            <w:vAlign w:val="bottom"/>
            <w:tcBorders>
              <w:top w:val="single" w:sz="8" w:color="auto"/>
              <w:bottom w:val="single" w:sz="8" w:color="auto"/>
            </w:tcBorders>
            <w:shd w:val="clear" w:color="auto" w:fill="CCEEFF"/>
          </w:tcPr>
          <w:p>
            <w:pPr>
              <w:spacing w:after="0"/>
              <w:rPr>
                <w:sz w:val="24"/>
                <w:szCs w:val="24"/>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120" w:type="dxa"/>
            <w:vAlign w:val="bottom"/>
            <w:tcBorders>
              <w:top w:val="single" w:sz="8" w:color="CCEEFF"/>
            </w:tcBorders>
            <w:shd w:val="clear" w:color="auto" w:fill="CCEEFF"/>
          </w:tcPr>
          <w:p>
            <w:pPr>
              <w:spacing w:after="0"/>
              <w:rPr>
                <w:sz w:val="24"/>
                <w:szCs w:val="24"/>
                <w:color w:val="auto"/>
              </w:rPr>
            </w:pPr>
          </w:p>
        </w:tc>
        <w:tc>
          <w:tcPr>
            <w:tcW w:w="320" w:type="dxa"/>
            <w:vAlign w:val="bottom"/>
            <w:tcBorders>
              <w:top w:val="single" w:sz="8" w:color="auto"/>
              <w:bottom w:val="single" w:sz="8" w:color="auto"/>
            </w:tcBorders>
            <w:shd w:val="clear" w:color="auto" w:fill="CCEEFF"/>
          </w:tcPr>
          <w:p>
            <w:pPr>
              <w:spacing w:after="0"/>
              <w:rPr>
                <w:sz w:val="24"/>
                <w:szCs w:val="24"/>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1,191</w:t>
            </w:r>
          </w:p>
        </w:tc>
        <w:tc>
          <w:tcPr>
            <w:tcW w:w="120" w:type="dxa"/>
            <w:vAlign w:val="bottom"/>
            <w:tcBorders>
              <w:top w:val="single" w:sz="8" w:color="CCEEFF"/>
            </w:tcBorders>
            <w:shd w:val="clear" w:color="auto" w:fill="CCEEFF"/>
          </w:tcPr>
          <w:p>
            <w:pPr>
              <w:spacing w:after="0"/>
              <w:rPr>
                <w:sz w:val="24"/>
                <w:szCs w:val="24"/>
                <w:color w:val="auto"/>
              </w:rPr>
            </w:pPr>
          </w:p>
        </w:tc>
        <w:tc>
          <w:tcPr>
            <w:tcW w:w="320" w:type="dxa"/>
            <w:vAlign w:val="bottom"/>
            <w:tcBorders>
              <w:top w:val="single" w:sz="8" w:color="auto"/>
              <w:bottom w:val="single" w:sz="8" w:color="auto"/>
            </w:tcBorders>
            <w:shd w:val="clear" w:color="auto" w:fill="CCEEFF"/>
          </w:tcPr>
          <w:p>
            <w:pPr>
              <w:spacing w:after="0"/>
              <w:rPr>
                <w:sz w:val="24"/>
                <w:szCs w:val="24"/>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1,527</w:t>
            </w:r>
          </w:p>
        </w:tc>
        <w:tc>
          <w:tcPr>
            <w:tcW w:w="120" w:type="dxa"/>
            <w:vAlign w:val="bottom"/>
            <w:tcBorders>
              <w:top w:val="single" w:sz="8" w:color="CCEEFF"/>
            </w:tcBorders>
            <w:shd w:val="clear" w:color="auto" w:fill="CCEEFF"/>
          </w:tcPr>
          <w:p>
            <w:pPr>
              <w:spacing w:after="0"/>
              <w:rPr>
                <w:sz w:val="24"/>
                <w:szCs w:val="24"/>
                <w:color w:val="auto"/>
              </w:rPr>
            </w:pPr>
          </w:p>
        </w:tc>
        <w:tc>
          <w:tcPr>
            <w:tcW w:w="320" w:type="dxa"/>
            <w:vAlign w:val="bottom"/>
            <w:tcBorders>
              <w:top w:val="single" w:sz="8" w:color="auto"/>
              <w:bottom w:val="single" w:sz="8" w:color="auto"/>
            </w:tcBorders>
            <w:shd w:val="clear" w:color="auto" w:fill="CCEEFF"/>
          </w:tcPr>
          <w:p>
            <w:pPr>
              <w:spacing w:after="0"/>
              <w:rPr>
                <w:sz w:val="24"/>
                <w:szCs w:val="24"/>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1,595</w:t>
            </w:r>
          </w:p>
        </w:tc>
        <w:tc>
          <w:tcPr>
            <w:tcW w:w="120" w:type="dxa"/>
            <w:vAlign w:val="bottom"/>
            <w:tcBorders>
              <w:top w:val="single" w:sz="8" w:color="CCEEFF"/>
            </w:tcBorders>
            <w:shd w:val="clear" w:color="auto" w:fill="CCEEFF"/>
          </w:tcPr>
          <w:p>
            <w:pPr>
              <w:spacing w:after="0"/>
              <w:rPr>
                <w:sz w:val="24"/>
                <w:szCs w:val="24"/>
                <w:color w:val="auto"/>
              </w:rPr>
            </w:pPr>
          </w:p>
        </w:tc>
        <w:tc>
          <w:tcPr>
            <w:tcW w:w="300" w:type="dxa"/>
            <w:vAlign w:val="bottom"/>
            <w:tcBorders>
              <w:top w:val="single" w:sz="8" w:color="auto"/>
              <w:bottom w:val="single" w:sz="8" w:color="auto"/>
            </w:tcBorders>
            <w:shd w:val="clear" w:color="auto" w:fill="CCEEFF"/>
          </w:tcPr>
          <w:p>
            <w:pPr>
              <w:spacing w:after="0"/>
              <w:rPr>
                <w:sz w:val="24"/>
                <w:szCs w:val="24"/>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5,976</w:t>
            </w:r>
          </w:p>
        </w:tc>
      </w:tr>
      <w:tr>
        <w:trPr>
          <w:trHeight w:val="407"/>
        </w:trPr>
        <w:tc>
          <w:tcPr>
            <w:tcW w:w="36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w:t>
            </w:r>
          </w:p>
        </w:tc>
        <w:tc>
          <w:tcPr>
            <w:tcW w:w="34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2,061</w:t>
            </w:r>
          </w:p>
        </w:tc>
        <w:tc>
          <w:tcPr>
            <w:tcW w:w="100" w:type="dxa"/>
            <w:vAlign w:val="bottom"/>
          </w:tcPr>
          <w:p>
            <w:pPr>
              <w:spacing w:after="0"/>
              <w:rPr>
                <w:sz w:val="24"/>
                <w:szCs w:val="24"/>
                <w:color w:val="auto"/>
              </w:rPr>
            </w:pPr>
          </w:p>
        </w:tc>
        <w:tc>
          <w:tcPr>
            <w:tcW w:w="34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1,811</w:t>
            </w:r>
          </w:p>
        </w:tc>
        <w:tc>
          <w:tcPr>
            <w:tcW w:w="100" w:type="dxa"/>
            <w:vAlign w:val="bottom"/>
          </w:tcPr>
          <w:p>
            <w:pPr>
              <w:spacing w:after="0"/>
              <w:rPr>
                <w:sz w:val="24"/>
                <w:szCs w:val="24"/>
                <w:color w:val="auto"/>
              </w:rPr>
            </w:pPr>
          </w:p>
        </w:tc>
        <w:tc>
          <w:tcPr>
            <w:tcW w:w="38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532</w:t>
            </w:r>
          </w:p>
        </w:tc>
        <w:tc>
          <w:tcPr>
            <w:tcW w:w="120" w:type="dxa"/>
            <w:vAlign w:val="bottom"/>
          </w:tcPr>
          <w:p>
            <w:pPr>
              <w:spacing w:after="0"/>
              <w:rPr>
                <w:sz w:val="24"/>
                <w:szCs w:val="24"/>
                <w:color w:val="auto"/>
              </w:rPr>
            </w:pPr>
          </w:p>
        </w:tc>
        <w:tc>
          <w:tcPr>
            <w:tcW w:w="32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3,778</w:t>
            </w:r>
          </w:p>
        </w:tc>
        <w:tc>
          <w:tcPr>
            <w:tcW w:w="120" w:type="dxa"/>
            <w:vAlign w:val="bottom"/>
          </w:tcPr>
          <w:p>
            <w:pPr>
              <w:spacing w:after="0"/>
              <w:rPr>
                <w:sz w:val="24"/>
                <w:szCs w:val="24"/>
                <w:color w:val="auto"/>
              </w:rPr>
            </w:pPr>
          </w:p>
        </w:tc>
        <w:tc>
          <w:tcPr>
            <w:tcW w:w="32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5,573</w:t>
            </w:r>
          </w:p>
        </w:tc>
        <w:tc>
          <w:tcPr>
            <w:tcW w:w="120" w:type="dxa"/>
            <w:vAlign w:val="bottom"/>
          </w:tcPr>
          <w:p>
            <w:pPr>
              <w:spacing w:after="0"/>
              <w:rPr>
                <w:sz w:val="24"/>
                <w:szCs w:val="24"/>
                <w:color w:val="auto"/>
              </w:rPr>
            </w:pPr>
          </w:p>
        </w:tc>
        <w:tc>
          <w:tcPr>
            <w:tcW w:w="32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9,171</w:t>
            </w:r>
          </w:p>
        </w:tc>
        <w:tc>
          <w:tcPr>
            <w:tcW w:w="120" w:type="dxa"/>
            <w:vAlign w:val="bottom"/>
          </w:tcPr>
          <w:p>
            <w:pPr>
              <w:spacing w:after="0"/>
              <w:rPr>
                <w:sz w:val="24"/>
                <w:szCs w:val="24"/>
                <w:color w:val="auto"/>
              </w:rPr>
            </w:pPr>
          </w:p>
        </w:tc>
        <w:tc>
          <w:tcPr>
            <w:tcW w:w="3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22,926</w:t>
            </w:r>
          </w:p>
        </w:tc>
      </w:tr>
      <w:tr>
        <w:trPr>
          <w:trHeight w:val="20"/>
        </w:trPr>
        <w:tc>
          <w:tcPr>
            <w:tcW w:w="36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 loan-to-value ratio is a measure commonly used to assess the quality of commercial and agricultural mortgage loans. The loan-to-value ratio compares the amount of the loan to the estimated fair value of the underlying property collateralizing the loan and is commonly expressed as a percentage. A loan-to-value ratio less than 100% indicates an excess of collateral value over the loan amount. Loan-to-value ratios greater than 100% indicate that the loan amount exceeds the collateral value. Performing status is a measure commonly used to assess the quality of residential mortgage loans. A loan is considered performing when the borrower makes consistent and timely payments.</w:t>
      </w:r>
    </w:p>
    <w:p>
      <w:pPr>
        <w:spacing w:after="0" w:line="7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amortized cost of commercial mortgage loans by debt-service coverage ratio was as follows at:</w:t>
      </w:r>
    </w:p>
    <w:p>
      <w:pPr>
        <w:sectPr>
          <w:pgSz w:w="11900" w:h="16838" w:orient="portrait"/>
          <w:cols w:equalWidth="0" w:num="1">
            <w:col w:w="11240"/>
          </w:cols>
          <w:pgMar w:left="320" w:top="230" w:right="3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186"/>
        </w:trPr>
        <w:tc>
          <w:tcPr>
            <w:tcW w:w="6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60" w:type="dxa"/>
            <w:vAlign w:val="bottom"/>
            <w:gridSpan w:val="3"/>
          </w:tcPr>
          <w:p>
            <w:pPr>
              <w:ind w:left="420"/>
              <w:spacing w:after="0"/>
              <w:rPr>
                <w:sz w:val="20"/>
                <w:szCs w:val="20"/>
                <w:color w:val="auto"/>
              </w:rPr>
            </w:pPr>
            <w:r>
              <w:rPr>
                <w:rFonts w:ascii="Times New Roman" w:cs="Times New Roman" w:eastAsia="Times New Roman" w:hAnsi="Times New Roman"/>
                <w:sz w:val="14"/>
                <w:szCs w:val="14"/>
                <w:b w:val="1"/>
                <w:bCs w:val="1"/>
                <w:color w:val="auto"/>
                <w:w w:val="98"/>
              </w:rPr>
              <w:t>March 31, 2026</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900" w:type="dxa"/>
            <w:vAlign w:val="bottom"/>
            <w:gridSpan w:val="3"/>
          </w:tcPr>
          <w:p>
            <w:pPr>
              <w:jc w:val="right"/>
              <w:ind w:right="603"/>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38"/>
        </w:trPr>
        <w:tc>
          <w:tcPr>
            <w:tcW w:w="616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167"/>
        </w:trPr>
        <w:tc>
          <w:tcPr>
            <w:tcW w:w="6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 of</w:t>
            </w: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tcPr>
          <w:p>
            <w:pPr>
              <w:jc w:val="right"/>
              <w:ind w:right="403"/>
              <w:spacing w:after="0"/>
              <w:rPr>
                <w:sz w:val="20"/>
                <w:szCs w:val="20"/>
                <w:color w:val="auto"/>
              </w:rPr>
            </w:pPr>
            <w:r>
              <w:rPr>
                <w:rFonts w:ascii="Times New Roman" w:cs="Times New Roman" w:eastAsia="Times New Roman" w:hAnsi="Times New Roman"/>
                <w:sz w:val="14"/>
                <w:szCs w:val="14"/>
                <w:b w:val="1"/>
                <w:bCs w:val="1"/>
                <w:color w:val="auto"/>
              </w:rPr>
              <w:t>% of</w:t>
            </w:r>
          </w:p>
        </w:tc>
      </w:tr>
      <w:tr>
        <w:trPr>
          <w:trHeight w:val="186"/>
        </w:trPr>
        <w:tc>
          <w:tcPr>
            <w:tcW w:w="6160" w:type="dxa"/>
            <w:vAlign w:val="bottom"/>
          </w:tcPr>
          <w:p>
            <w:pPr>
              <w:spacing w:after="0"/>
              <w:rPr>
                <w:sz w:val="16"/>
                <w:szCs w:val="16"/>
                <w:color w:val="auto"/>
              </w:rPr>
            </w:pPr>
          </w:p>
        </w:tc>
        <w:tc>
          <w:tcPr>
            <w:tcW w:w="172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8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2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260" w:type="dxa"/>
            <w:vAlign w:val="bottom"/>
          </w:tcPr>
          <w:p>
            <w:pPr>
              <w:jc w:val="right"/>
              <w:ind w:right="40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8"/>
        </w:trPr>
        <w:tc>
          <w:tcPr>
            <w:tcW w:w="616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gridSpan w:val="3"/>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393"/>
        </w:trPr>
        <w:tc>
          <w:tcPr>
            <w:tcW w:w="6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60" w:type="dxa"/>
            <w:vAlign w:val="bottom"/>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8"/>
        </w:trPr>
        <w:tc>
          <w:tcPr>
            <w:tcW w:w="6160" w:type="dxa"/>
            <w:vAlign w:val="bottom"/>
          </w:tcPr>
          <w:p>
            <w:pPr>
              <w:spacing w:after="0"/>
              <w:rPr>
                <w:sz w:val="3"/>
                <w:szCs w:val="3"/>
                <w:color w:val="auto"/>
              </w:rPr>
            </w:pPr>
          </w:p>
        </w:tc>
        <w:tc>
          <w:tcPr>
            <w:tcW w:w="3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450"/>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Debt-service coverage ratios:</w:t>
            </w:r>
          </w:p>
        </w:tc>
        <w:tc>
          <w:tcPr>
            <w:tcW w:w="3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r>
      <w:tr>
        <w:trPr>
          <w:trHeight w:val="441"/>
        </w:trPr>
        <w:tc>
          <w:tcPr>
            <w:tcW w:w="6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Greater than 1.20x</w:t>
            </w:r>
          </w:p>
        </w:tc>
        <w:tc>
          <w:tcPr>
            <w:tcW w:w="360" w:type="dxa"/>
            <w:vAlign w:val="bottom"/>
          </w:tcPr>
          <w:p>
            <w:pPr>
              <w:jc w:val="right"/>
              <w:ind w:right="183"/>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10,899</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89.8 %</w:t>
            </w:r>
          </w:p>
        </w:tc>
        <w:tc>
          <w:tcPr>
            <w:tcW w:w="100" w:type="dxa"/>
            <w:vAlign w:val="bottom"/>
          </w:tcPr>
          <w:p>
            <w:pPr>
              <w:spacing w:after="0"/>
              <w:rPr>
                <w:sz w:val="24"/>
                <w:szCs w:val="24"/>
                <w:color w:val="auto"/>
              </w:rPr>
            </w:pPr>
          </w:p>
        </w:tc>
        <w:tc>
          <w:tcPr>
            <w:tcW w:w="580" w:type="dxa"/>
            <w:vAlign w:val="bottom"/>
          </w:tcPr>
          <w:p>
            <w:pPr>
              <w:jc w:val="right"/>
              <w:ind w:right="403"/>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11,154</w:t>
            </w:r>
          </w:p>
        </w:tc>
        <w:tc>
          <w:tcPr>
            <w:tcW w:w="8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90.5 %</w:t>
            </w:r>
          </w:p>
        </w:tc>
      </w:tr>
      <w:tr>
        <w:trPr>
          <w:trHeight w:val="460"/>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1.00x - 1.20x</w:t>
            </w:r>
          </w:p>
        </w:tc>
        <w:tc>
          <w:tcPr>
            <w:tcW w:w="3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750</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6"/>
                <w:szCs w:val="16"/>
                <w:color w:val="auto"/>
              </w:rPr>
              <w:t>6.2</w:t>
            </w: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738</w:t>
            </w:r>
          </w:p>
        </w:tc>
        <w:tc>
          <w:tcPr>
            <w:tcW w:w="8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6.0</w:t>
            </w:r>
          </w:p>
        </w:tc>
      </w:tr>
      <w:tr>
        <w:trPr>
          <w:trHeight w:val="444"/>
        </w:trPr>
        <w:tc>
          <w:tcPr>
            <w:tcW w:w="6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than 1.00x</w:t>
            </w:r>
          </w:p>
        </w:tc>
        <w:tc>
          <w:tcPr>
            <w:tcW w:w="3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482</w:t>
            </w:r>
          </w:p>
        </w:tc>
        <w:tc>
          <w:tcPr>
            <w:tcW w:w="100" w:type="dxa"/>
            <w:vAlign w:val="bottom"/>
            <w:tcBorders>
              <w:bottom w:val="single" w:sz="8" w:color="CCEEFF"/>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tcBorders>
              <w:bottom w:val="single" w:sz="8" w:color="CCEEFF"/>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427</w:t>
            </w:r>
          </w:p>
        </w:tc>
        <w:tc>
          <w:tcPr>
            <w:tcW w:w="80" w:type="dxa"/>
            <w:vAlign w:val="bottom"/>
            <w:tcBorders>
              <w:bottom w:val="single" w:sz="8" w:color="CCEEFF"/>
            </w:tcBorders>
          </w:tcPr>
          <w:p>
            <w:pPr>
              <w:spacing w:after="0"/>
              <w:rPr>
                <w:sz w:val="24"/>
                <w:szCs w:val="24"/>
                <w:color w:val="auto"/>
              </w:rPr>
            </w:pPr>
          </w:p>
        </w:tc>
        <w:tc>
          <w:tcPr>
            <w:tcW w:w="126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6"/>
                <w:szCs w:val="16"/>
                <w:color w:val="auto"/>
              </w:rPr>
              <w:t>3.5</w:t>
            </w:r>
          </w:p>
        </w:tc>
      </w:tr>
      <w:tr>
        <w:trPr>
          <w:trHeight w:val="476"/>
        </w:trPr>
        <w:tc>
          <w:tcPr>
            <w:tcW w:w="61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w:t>
            </w:r>
          </w:p>
        </w:tc>
        <w:tc>
          <w:tcPr>
            <w:tcW w:w="360" w:type="dxa"/>
            <w:vAlign w:val="bottom"/>
            <w:tcBorders>
              <w:bottom w:val="single" w:sz="8" w:color="auto"/>
            </w:tcBorders>
            <w:shd w:val="clear" w:color="auto" w:fill="CCEEFF"/>
          </w:tcPr>
          <w:p>
            <w:pPr>
              <w:jc w:val="right"/>
              <w:ind w:right="183"/>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12,131</w:t>
            </w: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0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jc w:val="right"/>
              <w:ind w:right="403"/>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12,319</w:t>
            </w:r>
          </w:p>
        </w:tc>
        <w:tc>
          <w:tcPr>
            <w:tcW w:w="8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debt-service coverage ratio compares a property’s net operating income to its debt-service payments. Debt-service coverage ratios less than 1.00 times indicate that property operations do not generate enough income to cover the loan’s current debt payments. A debt-service coverage ratio greater than 1.00 times indicates an excess of net operating income over the debt-service payments.</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80"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Life Insurance Company</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 Indirect Wholly-Owned Subsidiary of Brighthouse Financial, Inc.)</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Investments (continued)</w:t>
      </w:r>
    </w:p>
    <w:p>
      <w:pPr>
        <w:spacing w:after="0" w:line="200" w:lineRule="exact"/>
        <w:rPr>
          <w:sz w:val="20"/>
          <w:szCs w:val="20"/>
          <w:color w:val="auto"/>
        </w:rPr>
      </w:pPr>
    </w:p>
    <w:p>
      <w:pPr>
        <w:spacing w:after="0" w:line="30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Past Due Mortgage Loans by Portfolio Segment</w:t>
      </w:r>
    </w:p>
    <w:p>
      <w:pPr>
        <w:spacing w:after="0" w:line="115" w:lineRule="exact"/>
        <w:rPr>
          <w:sz w:val="20"/>
          <w:szCs w:val="20"/>
          <w:color w:val="auto"/>
        </w:rPr>
      </w:pPr>
    </w:p>
    <w:p>
      <w:pPr>
        <w:jc w:val="both"/>
        <w:ind w:left="160" w:firstLine="318"/>
        <w:spacing w:after="0" w:line="259" w:lineRule="auto"/>
        <w:rPr>
          <w:sz w:val="20"/>
          <w:szCs w:val="20"/>
          <w:color w:val="auto"/>
        </w:rPr>
      </w:pPr>
      <w:r>
        <w:rPr>
          <w:rFonts w:ascii="Times New Roman" w:cs="Times New Roman" w:eastAsia="Times New Roman" w:hAnsi="Times New Roman"/>
          <w:sz w:val="18"/>
          <w:szCs w:val="18"/>
          <w:color w:val="auto"/>
        </w:rPr>
        <w:t>The Company has a high-quality, well-performing mortgage loan portfolio, with 99% of all mortgage loans classified as performing at both March 31, 2026 and December 31, 2025. Delinquency is defined consistent with industry practice, when mortgage loans are past due as follows: commercial and residential mortgage loans — 60 days; and agricultural mortgage loans — 90 days.</w:t>
      </w:r>
    </w:p>
    <w:p>
      <w:pPr>
        <w:spacing w:after="0" w:line="7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aging of the amortized cost of past due mortgage loans by portfolio segment was as follows at:</w:t>
      </w: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80" w:type="dxa"/>
            <w:vAlign w:val="bottom"/>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8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38"/>
        </w:trPr>
        <w:tc>
          <w:tcPr>
            <w:tcW w:w="224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gridSpan w:val="2"/>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gridSpan w:val="2"/>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r>
      <w:tr>
        <w:trPr>
          <w:trHeight w:val="393"/>
        </w:trPr>
        <w:tc>
          <w:tcPr>
            <w:tcW w:w="2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140" w:type="dxa"/>
            <w:vAlign w:val="bottom"/>
          </w:tcPr>
          <w:p>
            <w:pPr>
              <w:spacing w:after="0"/>
              <w:rPr>
                <w:sz w:val="24"/>
                <w:szCs w:val="24"/>
                <w:color w:val="auto"/>
              </w:rPr>
            </w:pPr>
          </w:p>
        </w:tc>
        <w:tc>
          <w:tcPr>
            <w:tcW w:w="10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Agricultural</w:t>
            </w:r>
          </w:p>
        </w:tc>
        <w:tc>
          <w:tcPr>
            <w:tcW w:w="160" w:type="dxa"/>
            <w:vAlign w:val="bottom"/>
          </w:tcPr>
          <w:p>
            <w:pPr>
              <w:spacing w:after="0"/>
              <w:rPr>
                <w:sz w:val="24"/>
                <w:szCs w:val="24"/>
                <w:color w:val="auto"/>
              </w:rPr>
            </w:pPr>
          </w:p>
        </w:tc>
        <w:tc>
          <w:tcPr>
            <w:tcW w:w="10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Residential</w:t>
            </w:r>
          </w:p>
        </w:tc>
        <w:tc>
          <w:tcPr>
            <w:tcW w:w="200" w:type="dxa"/>
            <w:vAlign w:val="bottom"/>
          </w:tcPr>
          <w:p>
            <w:pPr>
              <w:spacing w:after="0"/>
              <w:rPr>
                <w:sz w:val="24"/>
                <w:szCs w:val="24"/>
                <w:color w:val="auto"/>
              </w:rPr>
            </w:pPr>
          </w:p>
        </w:tc>
        <w:tc>
          <w:tcPr>
            <w:tcW w:w="7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24"/>
                <w:szCs w:val="24"/>
                <w:color w:val="auto"/>
              </w:rPr>
            </w:pPr>
          </w:p>
        </w:tc>
        <w:tc>
          <w:tcPr>
            <w:tcW w:w="10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160" w:type="dxa"/>
            <w:vAlign w:val="bottom"/>
          </w:tcPr>
          <w:p>
            <w:pPr>
              <w:spacing w:after="0"/>
              <w:rPr>
                <w:sz w:val="24"/>
                <w:szCs w:val="24"/>
                <w:color w:val="auto"/>
              </w:rPr>
            </w:pPr>
          </w:p>
        </w:tc>
        <w:tc>
          <w:tcPr>
            <w:tcW w:w="10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Agricultural</w:t>
            </w:r>
          </w:p>
        </w:tc>
        <w:tc>
          <w:tcPr>
            <w:tcW w:w="180" w:type="dxa"/>
            <w:vAlign w:val="bottom"/>
          </w:tcPr>
          <w:p>
            <w:pPr>
              <w:spacing w:after="0"/>
              <w:rPr>
                <w:sz w:val="24"/>
                <w:szCs w:val="24"/>
                <w:color w:val="auto"/>
              </w:rPr>
            </w:pPr>
          </w:p>
        </w:tc>
        <w:tc>
          <w:tcPr>
            <w:tcW w:w="10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Residential</w:t>
            </w:r>
          </w:p>
        </w:tc>
        <w:tc>
          <w:tcPr>
            <w:tcW w:w="200" w:type="dxa"/>
            <w:vAlign w:val="bottom"/>
          </w:tcPr>
          <w:p>
            <w:pPr>
              <w:spacing w:after="0"/>
              <w:rPr>
                <w:sz w:val="24"/>
                <w:szCs w:val="24"/>
                <w:color w:val="auto"/>
              </w:rPr>
            </w:pPr>
          </w:p>
        </w:tc>
        <w:tc>
          <w:tcPr>
            <w:tcW w:w="680" w:type="dxa"/>
            <w:vAlign w:val="bottom"/>
          </w:tcPr>
          <w:p>
            <w:pPr>
              <w:jc w:val="right"/>
              <w:ind w:right="20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8"/>
        </w:trPr>
        <w:tc>
          <w:tcPr>
            <w:tcW w:w="224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920" w:type="dxa"/>
            <w:vAlign w:val="bottom"/>
            <w:tcBorders>
              <w:bottom w:val="single" w:sz="8" w:color="auto"/>
            </w:tcBorders>
            <w:gridSpan w:val="5"/>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r>
      <w:tr>
        <w:trPr>
          <w:trHeight w:val="393"/>
        </w:trPr>
        <w:tc>
          <w:tcPr>
            <w:tcW w:w="2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2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38"/>
        </w:trPr>
        <w:tc>
          <w:tcPr>
            <w:tcW w:w="2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680" w:type="dxa"/>
            <w:vAlign w:val="bottom"/>
          </w:tcPr>
          <w:p>
            <w:pPr>
              <w:spacing w:after="0"/>
              <w:rPr>
                <w:sz w:val="3"/>
                <w:szCs w:val="3"/>
                <w:color w:val="auto"/>
              </w:rPr>
            </w:pPr>
          </w:p>
        </w:tc>
      </w:tr>
      <w:tr>
        <w:trPr>
          <w:trHeight w:val="450"/>
        </w:trPr>
        <w:tc>
          <w:tcPr>
            <w:tcW w:w="2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11,993</w:t>
            </w: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4,605</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5,945</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22,543</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12,212</w:t>
            </w:r>
          </w:p>
        </w:tc>
        <w:tc>
          <w:tcPr>
            <w:tcW w:w="8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4,623</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5,865</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22,700</w:t>
            </w:r>
          </w:p>
        </w:tc>
      </w:tr>
      <w:tr>
        <w:trPr>
          <w:trHeight w:val="441"/>
        </w:trPr>
        <w:tc>
          <w:tcPr>
            <w:tcW w:w="2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30-59 days past due</w:t>
            </w:r>
          </w:p>
        </w:tc>
        <w:tc>
          <w:tcPr>
            <w:tcW w:w="120" w:type="dxa"/>
            <w:vAlign w:val="bottom"/>
          </w:tcPr>
          <w:p>
            <w:pPr>
              <w:spacing w:after="0"/>
              <w:rPr>
                <w:sz w:val="24"/>
                <w:szCs w:val="24"/>
                <w:color w:val="auto"/>
              </w:rPr>
            </w:pPr>
          </w:p>
        </w:tc>
        <w:tc>
          <w:tcPr>
            <w:tcW w:w="9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12</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r>
      <w:tr>
        <w:trPr>
          <w:trHeight w:val="460"/>
        </w:trPr>
        <w:tc>
          <w:tcPr>
            <w:tcW w:w="2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60-89 days past due</w:t>
            </w: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19</w:t>
            </w: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56</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r>
      <w:tr>
        <w:trPr>
          <w:trHeight w:val="441"/>
        </w:trPr>
        <w:tc>
          <w:tcPr>
            <w:tcW w:w="2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90-179 days past due</w:t>
            </w:r>
          </w:p>
        </w:tc>
        <w:tc>
          <w:tcPr>
            <w:tcW w:w="120" w:type="dxa"/>
            <w:vAlign w:val="bottom"/>
          </w:tcPr>
          <w:p>
            <w:pPr>
              <w:spacing w:after="0"/>
              <w:rPr>
                <w:sz w:val="24"/>
                <w:szCs w:val="24"/>
                <w:color w:val="auto"/>
              </w:rPr>
            </w:pPr>
          </w:p>
        </w:tc>
        <w:tc>
          <w:tcPr>
            <w:tcW w:w="9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47</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68</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w:t>
            </w:r>
          </w:p>
        </w:tc>
      </w:tr>
      <w:tr>
        <w:trPr>
          <w:trHeight w:val="453"/>
        </w:trPr>
        <w:tc>
          <w:tcPr>
            <w:tcW w:w="2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180+ days past due</w:t>
            </w:r>
          </w:p>
        </w:tc>
        <w:tc>
          <w:tcPr>
            <w:tcW w:w="12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60</w:t>
            </w:r>
          </w:p>
        </w:tc>
        <w:tc>
          <w:tcPr>
            <w:tcW w:w="8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6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117</w:t>
            </w:r>
          </w:p>
        </w:tc>
        <w:tc>
          <w:tcPr>
            <w:tcW w:w="10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8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0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w:t>
            </w:r>
          </w:p>
        </w:tc>
      </w:tr>
      <w:tr>
        <w:trPr>
          <w:trHeight w:val="450"/>
        </w:trPr>
        <w:tc>
          <w:tcPr>
            <w:tcW w:w="22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12,131</w:t>
            </w:r>
          </w:p>
        </w:tc>
        <w:tc>
          <w:tcPr>
            <w:tcW w:w="8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4,622</w:t>
            </w:r>
          </w:p>
        </w:tc>
        <w:tc>
          <w:tcPr>
            <w:tcW w:w="100" w:type="dxa"/>
            <w:vAlign w:val="bottom"/>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6,052</w:t>
            </w:r>
          </w:p>
        </w:tc>
        <w:tc>
          <w:tcPr>
            <w:tcW w:w="100" w:type="dxa"/>
            <w:vAlign w:val="bottom"/>
          </w:tcPr>
          <w:p>
            <w:pPr>
              <w:spacing w:after="0"/>
              <w:rPr>
                <w:sz w:val="24"/>
                <w:szCs w:val="24"/>
                <w:color w:val="auto"/>
              </w:rPr>
            </w:pPr>
          </w:p>
        </w:tc>
        <w:tc>
          <w:tcPr>
            <w:tcW w:w="20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22,805</w:t>
            </w:r>
          </w:p>
        </w:tc>
        <w:tc>
          <w:tcPr>
            <w:tcW w:w="100" w:type="dxa"/>
            <w:vAlign w:val="bottom"/>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12,319</w:t>
            </w:r>
          </w:p>
        </w:tc>
        <w:tc>
          <w:tcPr>
            <w:tcW w:w="80" w:type="dxa"/>
            <w:vAlign w:val="bottom"/>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4,631</w:t>
            </w:r>
          </w:p>
        </w:tc>
        <w:tc>
          <w:tcPr>
            <w:tcW w:w="100" w:type="dxa"/>
            <w:vAlign w:val="bottom"/>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5,976</w:t>
            </w:r>
          </w:p>
        </w:tc>
        <w:tc>
          <w:tcPr>
            <w:tcW w:w="100" w:type="dxa"/>
            <w:vAlign w:val="bottom"/>
          </w:tcPr>
          <w:p>
            <w:pPr>
              <w:spacing w:after="0"/>
              <w:rPr>
                <w:sz w:val="24"/>
                <w:szCs w:val="24"/>
                <w:color w:val="auto"/>
              </w:rPr>
            </w:pPr>
          </w:p>
        </w:tc>
        <w:tc>
          <w:tcPr>
            <w:tcW w:w="2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22,926</w:t>
            </w:r>
          </w:p>
        </w:tc>
      </w:tr>
      <w:tr>
        <w:trPr>
          <w:trHeight w:val="20"/>
        </w:trPr>
        <w:tc>
          <w:tcPr>
            <w:tcW w:w="2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Mortgage Loans in Nonaccrual Status by Portfolio Segment</w:t>
      </w:r>
    </w:p>
    <w:p>
      <w:pPr>
        <w:spacing w:after="0" w:line="115" w:lineRule="exact"/>
        <w:rPr>
          <w:sz w:val="20"/>
          <w:szCs w:val="20"/>
          <w:color w:val="auto"/>
        </w:rPr>
      </w:pPr>
    </w:p>
    <w:p>
      <w:pPr>
        <w:ind w:left="160" w:firstLine="318"/>
        <w:spacing w:after="0" w:line="274" w:lineRule="auto"/>
        <w:rPr>
          <w:sz w:val="20"/>
          <w:szCs w:val="20"/>
          <w:color w:val="auto"/>
        </w:rPr>
      </w:pPr>
      <w:r>
        <w:rPr>
          <w:rFonts w:ascii="Times New Roman" w:cs="Times New Roman" w:eastAsia="Times New Roman" w:hAnsi="Times New Roman"/>
          <w:sz w:val="18"/>
          <w:szCs w:val="18"/>
          <w:color w:val="auto"/>
        </w:rPr>
        <w:t>Mortgage loans are placed in a nonaccrual status if there are concerns regarding collectability of future payments or the loan is past due, unless the past due loan is well collateralized.</w:t>
      </w:r>
    </w:p>
    <w:p>
      <w:pPr>
        <w:spacing w:after="0" w:line="5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amortized cost of mortgage loans in a nonaccrual status by portfolio segment was as follows at:</w:t>
      </w: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jc w:val="right"/>
              <w:ind w:right="263"/>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260" w:type="dxa"/>
            <w:vAlign w:val="bottom"/>
          </w:tcPr>
          <w:p>
            <w:pPr>
              <w:spacing w:after="0"/>
              <w:rPr>
                <w:sz w:val="16"/>
                <w:szCs w:val="16"/>
                <w:color w:val="auto"/>
              </w:rPr>
            </w:pPr>
          </w:p>
        </w:tc>
        <w:tc>
          <w:tcPr>
            <w:tcW w:w="1180" w:type="dxa"/>
            <w:vAlign w:val="bottom"/>
          </w:tcPr>
          <w:p>
            <w:pPr>
              <w:jc w:val="right"/>
              <w:ind w:right="245"/>
              <w:spacing w:after="0"/>
              <w:rPr>
                <w:sz w:val="20"/>
                <w:szCs w:val="20"/>
                <w:color w:val="auto"/>
              </w:rPr>
            </w:pPr>
            <w:r>
              <w:rPr>
                <w:rFonts w:ascii="Times New Roman" w:cs="Times New Roman" w:eastAsia="Times New Roman" w:hAnsi="Times New Roman"/>
                <w:sz w:val="14"/>
                <w:szCs w:val="14"/>
                <w:b w:val="1"/>
                <w:bCs w:val="1"/>
                <w:color w:val="auto"/>
              </w:rPr>
              <w:t>Agricultural</w:t>
            </w:r>
          </w:p>
        </w:tc>
        <w:tc>
          <w:tcPr>
            <w:tcW w:w="240" w:type="dxa"/>
            <w:vAlign w:val="bottom"/>
          </w:tcPr>
          <w:p>
            <w:pPr>
              <w:spacing w:after="0"/>
              <w:rPr>
                <w:sz w:val="16"/>
                <w:szCs w:val="16"/>
                <w:color w:val="auto"/>
              </w:rPr>
            </w:pPr>
          </w:p>
        </w:tc>
        <w:tc>
          <w:tcPr>
            <w:tcW w:w="1200" w:type="dxa"/>
            <w:vAlign w:val="bottom"/>
          </w:tcPr>
          <w:p>
            <w:pPr>
              <w:jc w:val="right"/>
              <w:ind w:right="183"/>
              <w:spacing w:after="0"/>
              <w:rPr>
                <w:sz w:val="20"/>
                <w:szCs w:val="20"/>
                <w:color w:val="auto"/>
              </w:rPr>
            </w:pPr>
            <w:r>
              <w:rPr>
                <w:rFonts w:ascii="Times New Roman" w:cs="Times New Roman" w:eastAsia="Times New Roman" w:hAnsi="Times New Roman"/>
                <w:sz w:val="14"/>
                <w:szCs w:val="14"/>
                <w:b w:val="1"/>
                <w:bCs w:val="1"/>
                <w:color w:val="auto"/>
              </w:rPr>
              <w:t>Residential (1)</w:t>
            </w:r>
          </w:p>
        </w:tc>
        <w:tc>
          <w:tcPr>
            <w:tcW w:w="380" w:type="dxa"/>
            <w:vAlign w:val="bottom"/>
          </w:tcPr>
          <w:p>
            <w:pPr>
              <w:spacing w:after="0"/>
              <w:rPr>
                <w:sz w:val="16"/>
                <w:szCs w:val="16"/>
                <w:color w:val="auto"/>
              </w:rPr>
            </w:pPr>
          </w:p>
        </w:tc>
        <w:tc>
          <w:tcPr>
            <w:tcW w:w="980" w:type="dxa"/>
            <w:vAlign w:val="bottom"/>
          </w:tcPr>
          <w:p>
            <w:pPr>
              <w:jc w:val="right"/>
              <w:ind w:right="40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8"/>
        </w:trPr>
        <w:tc>
          <w:tcPr>
            <w:tcW w:w="562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2620" w:type="dxa"/>
            <w:vAlign w:val="bottom"/>
            <w:tcBorders>
              <w:bottom w:val="single" w:sz="8" w:color="auto"/>
            </w:tcBorders>
            <w:gridSpan w:val="3"/>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r>
      <w:tr>
        <w:trPr>
          <w:trHeight w:val="393"/>
        </w:trPr>
        <w:tc>
          <w:tcPr>
            <w:tcW w:w="5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20" w:type="dxa"/>
            <w:vAlign w:val="bottom"/>
            <w:gridSpan w:val="3"/>
          </w:tcPr>
          <w:p>
            <w:pPr>
              <w:jc w:val="right"/>
              <w:ind w:right="1003"/>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8"/>
        </w:trPr>
        <w:tc>
          <w:tcPr>
            <w:tcW w:w="5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38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45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31, 2026</w:t>
            </w:r>
          </w:p>
        </w:tc>
        <w:tc>
          <w:tcPr>
            <w:tcW w:w="2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239</w:t>
            </w:r>
          </w:p>
        </w:tc>
        <w:tc>
          <w:tcPr>
            <w:tcW w:w="2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6"/>
                <w:szCs w:val="16"/>
                <w:color w:val="auto"/>
              </w:rPr>
              <w:t>2</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106</w:t>
            </w:r>
          </w:p>
        </w:tc>
        <w:tc>
          <w:tcPr>
            <w:tcW w:w="38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w:t>
            </w:r>
          </w:p>
        </w:tc>
      </w:tr>
      <w:tr>
        <w:trPr>
          <w:trHeight w:val="452"/>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December 31, 2025</w:t>
            </w:r>
          </w:p>
        </w:tc>
        <w:tc>
          <w:tcPr>
            <w:tcW w:w="2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220</w:t>
            </w:r>
          </w:p>
        </w:tc>
        <w:tc>
          <w:tcPr>
            <w:tcW w:w="2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ind w:right="25"/>
              <w:spacing w:after="0"/>
              <w:rPr>
                <w:sz w:val="20"/>
                <w:szCs w:val="20"/>
                <w:color w:val="auto"/>
              </w:rPr>
            </w:pPr>
            <w:r>
              <w:rPr>
                <w:rFonts w:ascii="Times New Roman" w:cs="Times New Roman" w:eastAsia="Times New Roman" w:hAnsi="Times New Roman"/>
                <w:sz w:val="16"/>
                <w:szCs w:val="16"/>
                <w:color w:val="auto"/>
              </w:rPr>
              <w:t>5</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108</w:t>
            </w:r>
          </w:p>
        </w:tc>
        <w:tc>
          <w:tcPr>
            <w:tcW w:w="3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w:t>
            </w:r>
          </w:p>
        </w:tc>
      </w:tr>
      <w:tr>
        <w:trPr>
          <w:trHeight w:val="240"/>
        </w:trPr>
        <w:tc>
          <w:tcPr>
            <w:tcW w:w="5620" w:type="dxa"/>
            <w:vAlign w:val="bottom"/>
          </w:tcPr>
          <w:p>
            <w:pPr>
              <w:spacing w:after="0"/>
              <w:rPr>
                <w:sz w:val="20"/>
                <w:szCs w:val="20"/>
                <w:color w:val="auto"/>
              </w:rPr>
            </w:pPr>
            <w:r>
              <w:rPr>
                <w:rFonts w:ascii="Times New Roman" w:cs="Times New Roman" w:eastAsia="Times New Roman" w:hAnsi="Times New Roman"/>
                <w:sz w:val="14"/>
                <w:szCs w:val="14"/>
                <w:color w:val="auto"/>
              </w:rPr>
              <w:t>_______________</w:t>
            </w: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spacing w:after="0"/>
              <w:rPr>
                <w:sz w:val="20"/>
                <w:szCs w:val="20"/>
                <w:color w:val="auto"/>
              </w:rPr>
            </w:pPr>
          </w:p>
        </w:tc>
      </w:tr>
    </w:tbl>
    <w:p>
      <w:pPr>
        <w:spacing w:after="0" w:line="99" w:lineRule="exact"/>
        <w:rPr>
          <w:sz w:val="20"/>
          <w:szCs w:val="20"/>
          <w:color w:val="auto"/>
        </w:rPr>
      </w:pPr>
    </w:p>
    <w:p>
      <w:pPr>
        <w:ind w:left="320" w:right="20" w:hanging="314"/>
        <w:spacing w:after="0" w:line="274" w:lineRule="auto"/>
        <w:tabs>
          <w:tab w:leader="none" w:pos="27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had $51 million and $54 million of mortgage loans in nonaccrual status for which there was no related allowance for credit losses at March 31, 2026 and December 31, 2025, respectively.</w:t>
      </w:r>
    </w:p>
    <w:p>
      <w:pPr>
        <w:spacing w:after="0" w:line="110" w:lineRule="exact"/>
        <w:rPr>
          <w:sz w:val="20"/>
          <w:szCs w:val="20"/>
          <w:color w:val="auto"/>
        </w:rPr>
      </w:pPr>
    </w:p>
    <w:p>
      <w:pPr>
        <w:jc w:val="both"/>
        <w:ind w:left="160" w:firstLine="318"/>
        <w:spacing w:after="0" w:line="274" w:lineRule="auto"/>
        <w:rPr>
          <w:sz w:val="20"/>
          <w:szCs w:val="20"/>
          <w:color w:val="auto"/>
        </w:rPr>
      </w:pPr>
      <w:r>
        <w:rPr>
          <w:rFonts w:ascii="Times New Roman" w:cs="Times New Roman" w:eastAsia="Times New Roman" w:hAnsi="Times New Roman"/>
          <w:sz w:val="18"/>
          <w:szCs w:val="18"/>
          <w:color w:val="auto"/>
        </w:rPr>
        <w:t>Current period investment income on mortgage loans in nonaccrual status was $2 million and less than $1 million for the three months ended March 31, 2026 and 2025, respectively.</w:t>
      </w:r>
    </w:p>
    <w:p>
      <w:pPr>
        <w:spacing w:after="0" w:line="10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Modified Mortgage Loans by Portfolio Segment</w:t>
      </w:r>
    </w:p>
    <w:p>
      <w:pPr>
        <w:spacing w:after="0" w:line="115" w:lineRule="exact"/>
        <w:rPr>
          <w:sz w:val="20"/>
          <w:szCs w:val="20"/>
          <w:color w:val="auto"/>
        </w:rPr>
      </w:pPr>
    </w:p>
    <w:p>
      <w:pPr>
        <w:jc w:val="both"/>
        <w:ind w:left="160" w:firstLine="318"/>
        <w:spacing w:after="0" w:line="259" w:lineRule="auto"/>
        <w:rPr>
          <w:sz w:val="20"/>
          <w:szCs w:val="20"/>
          <w:color w:val="auto"/>
        </w:rPr>
      </w:pPr>
      <w:r>
        <w:rPr>
          <w:rFonts w:ascii="Times New Roman" w:cs="Times New Roman" w:eastAsia="Times New Roman" w:hAnsi="Times New Roman"/>
          <w:sz w:val="18"/>
          <w:szCs w:val="18"/>
          <w:color w:val="auto"/>
        </w:rPr>
        <w:t>Under certain circumstances, modifications are granted to mortgage loans. Generally, the types of concessions may include interest rate reduction, term extension, principal forgiveness, or a combination of all three. The Company did not have a significant amount of mortgage loans modified during both the three months ended March 31, 2026 and 2025.</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Invested Assets</w:t>
      </w:r>
    </w:p>
    <w:p>
      <w:pPr>
        <w:spacing w:after="0" w:line="11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Over 85% of other invested assets is comprised of freestanding derivatives with positive estimated fair values. See Note 8 for information about freestanding derivatives with positive estimated fair values. Other invested assets also includes the Company’s investment in company-owned life insurance, Federal Home Loan Bank (“FHLB”) stock, leveraged leases and tax credit and renewable energy partnerships.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Unrealized Investment Gains (Losses)</w:t>
      </w:r>
    </w:p>
    <w:p>
      <w:pPr>
        <w:spacing w:after="0" w:line="115"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Unrealized investment gains (losses) on fixed maturity securities, and the effect on future policy benefits that would result from the realization of the unrealized gains (losses), are included in net unrealized investment gains (losses) in accumulated other comprehensive income (loss) (“AOCI”).</w:t>
      </w:r>
    </w:p>
    <w:p>
      <w:pPr>
        <w:sectPr>
          <w:pgSz w:w="11900" w:h="16838" w:orient="portrait"/>
          <w:cols w:equalWidth="0" w:num="1">
            <w:col w:w="11240"/>
          </w:cols>
          <w:pgMar w:left="320" w:top="230"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30" w:right="339" w:bottom="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Life Insurance Company</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 Indirect Wholly-Owned Subsidiary of Brighthouse Financial, Inc.)</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Investments (continued)</w:t>
      </w:r>
    </w:p>
    <w:p>
      <w:pPr>
        <w:spacing w:after="0" w:line="200" w:lineRule="exact"/>
        <w:rPr>
          <w:sz w:val="20"/>
          <w:szCs w:val="20"/>
          <w:color w:val="auto"/>
        </w:rPr>
      </w:pPr>
    </w:p>
    <w:p>
      <w:pPr>
        <w:spacing w:after="0" w:line="31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components of net unrealized investment gains (losses), included in AOCI, were as follows at:</w:t>
      </w: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4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80" w:type="dxa"/>
            <w:vAlign w:val="bottom"/>
          </w:tcPr>
          <w:p>
            <w:pPr>
              <w:spacing w:after="0"/>
              <w:rPr>
                <w:sz w:val="16"/>
                <w:szCs w:val="16"/>
                <w:color w:val="auto"/>
              </w:rPr>
            </w:pPr>
          </w:p>
        </w:tc>
        <w:tc>
          <w:tcPr>
            <w:tcW w:w="1480" w:type="dxa"/>
            <w:vAlign w:val="bottom"/>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38"/>
        </w:trPr>
        <w:tc>
          <w:tcPr>
            <w:tcW w:w="780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920" w:type="dxa"/>
            <w:vAlign w:val="bottom"/>
            <w:tcBorders>
              <w:bottom w:val="single" w:sz="8" w:color="auto"/>
            </w:tcBorders>
            <w:gridSpan w:val="4"/>
          </w:tcPr>
          <w:p>
            <w:pPr>
              <w:spacing w:after="0"/>
              <w:rPr>
                <w:sz w:val="3"/>
                <w:szCs w:val="3"/>
                <w:color w:val="auto"/>
              </w:rPr>
            </w:pPr>
          </w:p>
        </w:tc>
        <w:tc>
          <w:tcPr>
            <w:tcW w:w="0" w:type="dxa"/>
            <w:vAlign w:val="bottom"/>
          </w:tcPr>
          <w:p>
            <w:pPr>
              <w:spacing w:after="0"/>
              <w:rPr>
                <w:sz w:val="1"/>
                <w:szCs w:val="1"/>
                <w:color w:val="auto"/>
              </w:rPr>
            </w:pPr>
          </w:p>
        </w:tc>
      </w:tr>
      <w:tr>
        <w:trPr>
          <w:trHeight w:val="393"/>
        </w:trPr>
        <w:tc>
          <w:tcPr>
            <w:tcW w:w="7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0" w:type="dxa"/>
            <w:vAlign w:val="bottom"/>
            <w:gridSpan w:val="5"/>
          </w:tcPr>
          <w:p>
            <w:pPr>
              <w:jc w:val="right"/>
              <w:ind w:right="1262"/>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r>
        <w:trPr>
          <w:trHeight w:val="38"/>
        </w:trPr>
        <w:tc>
          <w:tcPr>
            <w:tcW w:w="78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1"/>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Fixed maturity securities</w:t>
            </w: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(5,814)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(4,885)</w:t>
            </w:r>
          </w:p>
        </w:tc>
        <w:tc>
          <w:tcPr>
            <w:tcW w:w="0" w:type="dxa"/>
            <w:vAlign w:val="bottom"/>
          </w:tcPr>
          <w:p>
            <w:pPr>
              <w:spacing w:after="0"/>
              <w:rPr>
                <w:sz w:val="1"/>
                <w:szCs w:val="1"/>
                <w:color w:val="auto"/>
              </w:rPr>
            </w:pPr>
          </w:p>
        </w:tc>
      </w:tr>
      <w:tr>
        <w:trPr>
          <w:trHeight w:val="441"/>
        </w:trPr>
        <w:tc>
          <w:tcPr>
            <w:tcW w:w="7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Derivatives</w:t>
            </w:r>
          </w:p>
        </w:tc>
        <w:tc>
          <w:tcPr>
            <w:tcW w:w="240" w:type="dxa"/>
            <w:vAlign w:val="bottom"/>
          </w:tcPr>
          <w:p>
            <w:pPr>
              <w:spacing w:after="0"/>
              <w:rPr>
                <w:sz w:val="24"/>
                <w:szCs w:val="24"/>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317</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w:t>
            </w:r>
          </w:p>
        </w:tc>
        <w:tc>
          <w:tcPr>
            <w:tcW w:w="0" w:type="dxa"/>
            <w:vAlign w:val="bottom"/>
          </w:tcPr>
          <w:p>
            <w:pPr>
              <w:spacing w:after="0"/>
              <w:rPr>
                <w:sz w:val="1"/>
                <w:szCs w:val="1"/>
                <w:color w:val="auto"/>
              </w:rPr>
            </w:pPr>
          </w:p>
        </w:tc>
      </w:tr>
      <w:tr>
        <w:trPr>
          <w:trHeight w:val="453"/>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240" w:type="dxa"/>
            <w:vAlign w:val="bottom"/>
            <w:tcBorders>
              <w:bottom w:val="single" w:sz="8" w:color="auto"/>
            </w:tcBorders>
            <w:shd w:val="clear" w:color="auto" w:fill="CCEEFF"/>
          </w:tcPr>
          <w:p>
            <w:pPr>
              <w:spacing w:after="0"/>
              <w:rPr>
                <w:sz w:val="24"/>
                <w:szCs w:val="24"/>
                <w:color w:val="auto"/>
              </w:rPr>
            </w:pPr>
          </w:p>
        </w:tc>
        <w:tc>
          <w:tcPr>
            <w:tcW w:w="14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444"/>
        </w:trPr>
        <w:tc>
          <w:tcPr>
            <w:tcW w:w="78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Subtotal</w:t>
            </w:r>
          </w:p>
        </w:tc>
        <w:tc>
          <w:tcPr>
            <w:tcW w:w="24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(5,505)</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(4,674)</w:t>
            </w:r>
          </w:p>
        </w:tc>
        <w:tc>
          <w:tcPr>
            <w:tcW w:w="0" w:type="dxa"/>
            <w:vAlign w:val="bottom"/>
          </w:tcPr>
          <w:p>
            <w:pPr>
              <w:spacing w:after="0"/>
              <w:rPr>
                <w:sz w:val="1"/>
                <w:szCs w:val="1"/>
                <w:color w:val="auto"/>
              </w:rPr>
            </w:pPr>
          </w:p>
        </w:tc>
      </w:tr>
      <w:tr>
        <w:trPr>
          <w:trHeight w:val="437"/>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Amounts allocated from:</w:t>
            </w:r>
          </w:p>
        </w:tc>
        <w:tc>
          <w:tcPr>
            <w:tcW w:w="24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7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Future policy benefits</w:t>
            </w:r>
          </w:p>
        </w:tc>
        <w:tc>
          <w:tcPr>
            <w:tcW w:w="240" w:type="dxa"/>
            <w:vAlign w:val="bottom"/>
          </w:tcPr>
          <w:p>
            <w:pPr>
              <w:spacing w:after="0"/>
              <w:rPr>
                <w:sz w:val="24"/>
                <w:szCs w:val="24"/>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578</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571</w:t>
            </w:r>
          </w:p>
        </w:tc>
        <w:tc>
          <w:tcPr>
            <w:tcW w:w="0" w:type="dxa"/>
            <w:vAlign w:val="bottom"/>
          </w:tcPr>
          <w:p>
            <w:pPr>
              <w:spacing w:after="0"/>
              <w:rPr>
                <w:sz w:val="1"/>
                <w:szCs w:val="1"/>
                <w:color w:val="auto"/>
              </w:rPr>
            </w:pPr>
          </w:p>
        </w:tc>
      </w:tr>
      <w:tr>
        <w:trPr>
          <w:trHeight w:val="453"/>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income tax benefit (expense)</w:t>
            </w:r>
          </w:p>
        </w:tc>
        <w:tc>
          <w:tcPr>
            <w:tcW w:w="240" w:type="dxa"/>
            <w:vAlign w:val="bottom"/>
            <w:tcBorders>
              <w:bottom w:val="single" w:sz="8" w:color="auto"/>
            </w:tcBorders>
            <w:shd w:val="clear" w:color="auto" w:fill="CCEEFF"/>
          </w:tcPr>
          <w:p>
            <w:pPr>
              <w:spacing w:after="0"/>
              <w:rPr>
                <w:sz w:val="24"/>
                <w:szCs w:val="24"/>
                <w:color w:val="auto"/>
              </w:rPr>
            </w:pPr>
          </w:p>
        </w:tc>
        <w:tc>
          <w:tcPr>
            <w:tcW w:w="14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1,035</w:t>
            </w:r>
          </w:p>
        </w:tc>
        <w:tc>
          <w:tcPr>
            <w:tcW w:w="12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862</w:t>
            </w:r>
          </w:p>
        </w:tc>
        <w:tc>
          <w:tcPr>
            <w:tcW w:w="0" w:type="dxa"/>
            <w:vAlign w:val="bottom"/>
          </w:tcPr>
          <w:p>
            <w:pPr>
              <w:spacing w:after="0"/>
              <w:rPr>
                <w:sz w:val="1"/>
                <w:szCs w:val="1"/>
                <w:color w:val="auto"/>
              </w:rPr>
            </w:pPr>
          </w:p>
        </w:tc>
      </w:tr>
      <w:tr>
        <w:trPr>
          <w:trHeight w:val="450"/>
        </w:trPr>
        <w:tc>
          <w:tcPr>
            <w:tcW w:w="7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unrealized investment gains (losses)</w:t>
            </w:r>
          </w:p>
        </w:tc>
        <w:tc>
          <w:tcPr>
            <w:tcW w:w="24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(3,892)</w:t>
            </w:r>
          </w:p>
        </w:tc>
        <w:tc>
          <w:tcPr>
            <w:tcW w:w="120" w:type="dxa"/>
            <w:vAlign w:val="bottom"/>
          </w:tcPr>
          <w:p>
            <w:pPr>
              <w:spacing w:after="0"/>
              <w:rPr>
                <w:sz w:val="24"/>
                <w:szCs w:val="24"/>
                <w:color w:val="auto"/>
              </w:rPr>
            </w:pPr>
          </w:p>
        </w:tc>
        <w:tc>
          <w:tcPr>
            <w:tcW w:w="1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(3,241)</w:t>
            </w:r>
          </w:p>
        </w:tc>
        <w:tc>
          <w:tcPr>
            <w:tcW w:w="0" w:type="dxa"/>
            <w:vAlign w:val="bottom"/>
          </w:tcPr>
          <w:p>
            <w:pPr>
              <w:spacing w:after="0"/>
              <w:rPr>
                <w:sz w:val="1"/>
                <w:szCs w:val="1"/>
                <w:color w:val="auto"/>
              </w:rPr>
            </w:pPr>
          </w:p>
        </w:tc>
      </w:tr>
      <w:tr>
        <w:trPr>
          <w:trHeight w:val="20"/>
        </w:trPr>
        <w:tc>
          <w:tcPr>
            <w:tcW w:w="780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auto"/>
              </w:rPr>
              <w:t>The changes in net unrealized investment gains (losses) were as follows:</w:t>
            </w: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8"/>
        </w:trPr>
        <w:tc>
          <w:tcPr>
            <w:tcW w:w="78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7"/>
        </w:trPr>
        <w:tc>
          <w:tcPr>
            <w:tcW w:w="7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9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 March</w:t>
            </w:r>
          </w:p>
        </w:tc>
        <w:tc>
          <w:tcPr>
            <w:tcW w:w="0" w:type="dxa"/>
            <w:vAlign w:val="bottom"/>
          </w:tcPr>
          <w:p>
            <w:pPr>
              <w:spacing w:after="0"/>
              <w:rPr>
                <w:sz w:val="1"/>
                <w:szCs w:val="1"/>
                <w:color w:val="auto"/>
              </w:rPr>
            </w:pPr>
          </w:p>
        </w:tc>
      </w:tr>
      <w:tr>
        <w:trPr>
          <w:trHeight w:val="186"/>
        </w:trPr>
        <w:tc>
          <w:tcPr>
            <w:tcW w:w="7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tcPr>
          <w:p>
            <w:pPr>
              <w:jc w:val="center"/>
              <w:ind w:right="362"/>
              <w:spacing w:after="0"/>
              <w:rPr>
                <w:sz w:val="20"/>
                <w:szCs w:val="20"/>
                <w:color w:val="auto"/>
              </w:rPr>
            </w:pPr>
            <w:r>
              <w:rPr>
                <w:rFonts w:ascii="Times New Roman" w:cs="Times New Roman" w:eastAsia="Times New Roman" w:hAnsi="Times New Roman"/>
                <w:sz w:val="14"/>
                <w:szCs w:val="14"/>
                <w:b w:val="1"/>
                <w:bCs w:val="1"/>
                <w:color w:val="auto"/>
                <w:w w:val="97"/>
              </w:rPr>
              <w:t>31, 2026</w:t>
            </w:r>
          </w:p>
        </w:tc>
        <w:tc>
          <w:tcPr>
            <w:tcW w:w="0" w:type="dxa"/>
            <w:vAlign w:val="bottom"/>
          </w:tcPr>
          <w:p>
            <w:pPr>
              <w:spacing w:after="0"/>
              <w:rPr>
                <w:sz w:val="1"/>
                <w:szCs w:val="1"/>
                <w:color w:val="auto"/>
              </w:rPr>
            </w:pPr>
          </w:p>
        </w:tc>
      </w:tr>
      <w:tr>
        <w:trPr>
          <w:trHeight w:val="51"/>
        </w:trPr>
        <w:tc>
          <w:tcPr>
            <w:tcW w:w="78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93"/>
        </w:trPr>
        <w:tc>
          <w:tcPr>
            <w:tcW w:w="7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jc w:val="center"/>
              <w:ind w:right="342"/>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r>
        <w:trPr>
          <w:trHeight w:val="38"/>
        </w:trPr>
        <w:tc>
          <w:tcPr>
            <w:tcW w:w="78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0"/>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December 31, 2025</w:t>
            </w:r>
          </w:p>
        </w:tc>
        <w:tc>
          <w:tcPr>
            <w:tcW w:w="240" w:type="dxa"/>
            <w:vAlign w:val="bottom"/>
            <w:shd w:val="clear" w:color="auto" w:fill="CCEEFF"/>
          </w:tcPr>
          <w:p>
            <w:pPr>
              <w:spacing w:after="0"/>
              <w:rPr>
                <w:sz w:val="24"/>
                <w:szCs w:val="24"/>
                <w:color w:val="auto"/>
              </w:rPr>
            </w:pP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(3,241)</w:t>
            </w:r>
          </w:p>
        </w:tc>
        <w:tc>
          <w:tcPr>
            <w:tcW w:w="0" w:type="dxa"/>
            <w:vAlign w:val="bottom"/>
          </w:tcPr>
          <w:p>
            <w:pPr>
              <w:spacing w:after="0"/>
              <w:rPr>
                <w:sz w:val="1"/>
                <w:szCs w:val="1"/>
                <w:color w:val="auto"/>
              </w:rPr>
            </w:pPr>
          </w:p>
        </w:tc>
      </w:tr>
      <w:tr>
        <w:trPr>
          <w:trHeight w:val="441"/>
        </w:trPr>
        <w:tc>
          <w:tcPr>
            <w:tcW w:w="7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Unrealized investment gains (losses) during the period</w:t>
            </w: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(831)</w:t>
            </w:r>
          </w:p>
        </w:tc>
        <w:tc>
          <w:tcPr>
            <w:tcW w:w="0" w:type="dxa"/>
            <w:vAlign w:val="bottom"/>
          </w:tcPr>
          <w:p>
            <w:pPr>
              <w:spacing w:after="0"/>
              <w:rPr>
                <w:sz w:val="1"/>
                <w:szCs w:val="1"/>
                <w:color w:val="auto"/>
              </w:rPr>
            </w:pPr>
          </w:p>
        </w:tc>
      </w:tr>
      <w:tr>
        <w:trPr>
          <w:trHeight w:val="460"/>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Unrealized investment gains (losses) relating to:</w:t>
            </w:r>
          </w:p>
        </w:tc>
        <w:tc>
          <w:tcPr>
            <w:tcW w:w="24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7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Future policy benefits</w:t>
            </w: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453"/>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income tax benefit (expense)</w:t>
            </w:r>
          </w:p>
        </w:tc>
        <w:tc>
          <w:tcPr>
            <w:tcW w:w="24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w:t>
            </w:r>
          </w:p>
        </w:tc>
        <w:tc>
          <w:tcPr>
            <w:tcW w:w="0" w:type="dxa"/>
            <w:vAlign w:val="bottom"/>
          </w:tcPr>
          <w:p>
            <w:pPr>
              <w:spacing w:after="0"/>
              <w:rPr>
                <w:sz w:val="1"/>
                <w:szCs w:val="1"/>
                <w:color w:val="auto"/>
              </w:rPr>
            </w:pPr>
          </w:p>
        </w:tc>
      </w:tr>
      <w:tr>
        <w:trPr>
          <w:trHeight w:val="450"/>
        </w:trPr>
        <w:tc>
          <w:tcPr>
            <w:tcW w:w="7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at March 31, 2026</w:t>
            </w:r>
          </w:p>
        </w:tc>
        <w:tc>
          <w:tcPr>
            <w:tcW w:w="240" w:type="dxa"/>
            <w:vAlign w:val="bottom"/>
          </w:tcPr>
          <w:p>
            <w:pPr>
              <w:spacing w:after="0"/>
              <w:rPr>
                <w:sz w:val="24"/>
                <w:szCs w:val="24"/>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(3,892)</w:t>
            </w:r>
          </w:p>
        </w:tc>
        <w:tc>
          <w:tcPr>
            <w:tcW w:w="0" w:type="dxa"/>
            <w:vAlign w:val="bottom"/>
          </w:tcPr>
          <w:p>
            <w:pPr>
              <w:spacing w:after="0"/>
              <w:rPr>
                <w:sz w:val="1"/>
                <w:szCs w:val="1"/>
                <w:color w:val="auto"/>
              </w:rPr>
            </w:pPr>
          </w:p>
        </w:tc>
      </w:tr>
      <w:tr>
        <w:trPr>
          <w:trHeight w:val="20"/>
        </w:trPr>
        <w:tc>
          <w:tcPr>
            <w:tcW w:w="78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3"/>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 in net unrealized investment gains (losses)</w:t>
            </w:r>
          </w:p>
        </w:tc>
        <w:tc>
          <w:tcPr>
            <w:tcW w:w="240" w:type="dxa"/>
            <w:vAlign w:val="bottom"/>
            <w:shd w:val="clear" w:color="auto" w:fill="CCEEFF"/>
          </w:tcPr>
          <w:p>
            <w:pPr>
              <w:spacing w:after="0"/>
              <w:rPr>
                <w:sz w:val="24"/>
                <w:szCs w:val="24"/>
                <w:color w:val="auto"/>
              </w:rPr>
            </w:pP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(651)</w:t>
            </w:r>
          </w:p>
        </w:tc>
        <w:tc>
          <w:tcPr>
            <w:tcW w:w="0" w:type="dxa"/>
            <w:vAlign w:val="bottom"/>
          </w:tcPr>
          <w:p>
            <w:pPr>
              <w:spacing w:after="0"/>
              <w:rPr>
                <w:sz w:val="1"/>
                <w:szCs w:val="1"/>
                <w:color w:val="auto"/>
              </w:rPr>
            </w:pPr>
          </w:p>
        </w:tc>
      </w:tr>
      <w:tr>
        <w:trPr>
          <w:trHeight w:val="20"/>
        </w:trPr>
        <w:tc>
          <w:tcPr>
            <w:tcW w:w="78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w:t>
            </w:r>
          </w:p>
        </w:tc>
        <w:tc>
          <w:tcPr>
            <w:tcW w:w="2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4"/>
        </w:trPr>
        <w:tc>
          <w:tcPr>
            <w:tcW w:w="78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There were no investments in any counterparty that were greater than 10% of the Company’s equity, other than the U.S. government and its agencies, at both March 31, 2026 and December 31, 2025.</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Securities Lending</w:t>
      </w:r>
    </w:p>
    <w:p>
      <w:pPr>
        <w:spacing w:after="0" w:line="1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Elements of the securities lending program are presented below at:</w:t>
      </w:r>
    </w:p>
    <w:p>
      <w:pPr>
        <w:sectPr>
          <w:pgSz w:w="11900" w:h="16838" w:orient="portrait"/>
          <w:cols w:equalWidth="0" w:num="1">
            <w:col w:w="11240"/>
          </w:cols>
          <w:pgMar w:left="320" w:top="230" w:right="3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186"/>
        </w:trPr>
        <w:tc>
          <w:tcPr>
            <w:tcW w:w="7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tcPr>
          <w:p>
            <w:pPr>
              <w:jc w:val="right"/>
              <w:ind w:right="323"/>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60" w:type="dxa"/>
            <w:vAlign w:val="bottom"/>
          </w:tcPr>
          <w:p>
            <w:pPr>
              <w:spacing w:after="0"/>
              <w:rPr>
                <w:sz w:val="16"/>
                <w:szCs w:val="16"/>
                <w:color w:val="auto"/>
              </w:rPr>
            </w:pPr>
          </w:p>
        </w:tc>
        <w:tc>
          <w:tcPr>
            <w:tcW w:w="1480" w:type="dxa"/>
            <w:vAlign w:val="bottom"/>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38"/>
        </w:trPr>
        <w:tc>
          <w:tcPr>
            <w:tcW w:w="780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3200" w:type="dxa"/>
            <w:vAlign w:val="bottom"/>
            <w:tcBorders>
              <w:bottom w:val="single" w:sz="8" w:color="auto"/>
            </w:tcBorders>
            <w:gridSpan w:val="3"/>
          </w:tcPr>
          <w:p>
            <w:pPr>
              <w:spacing w:after="0"/>
              <w:rPr>
                <w:sz w:val="3"/>
                <w:szCs w:val="3"/>
                <w:color w:val="auto"/>
              </w:rPr>
            </w:pPr>
          </w:p>
        </w:tc>
      </w:tr>
      <w:tr>
        <w:trPr>
          <w:trHeight w:val="393"/>
        </w:trPr>
        <w:tc>
          <w:tcPr>
            <w:tcW w:w="7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0" w:type="dxa"/>
            <w:vAlign w:val="bottom"/>
            <w:gridSpan w:val="3"/>
          </w:tcPr>
          <w:p>
            <w:pPr>
              <w:jc w:val="right"/>
              <w:ind w:right="1262"/>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38"/>
        </w:trPr>
        <w:tc>
          <w:tcPr>
            <w:tcW w:w="78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80" w:type="dxa"/>
            <w:vAlign w:val="bottom"/>
          </w:tcPr>
          <w:p>
            <w:pPr>
              <w:spacing w:after="0"/>
              <w:rPr>
                <w:sz w:val="3"/>
                <w:szCs w:val="3"/>
                <w:color w:val="auto"/>
              </w:rPr>
            </w:pPr>
          </w:p>
        </w:tc>
      </w:tr>
      <w:tr>
        <w:trPr>
          <w:trHeight w:val="450"/>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Securities on loan: (1)</w:t>
            </w:r>
          </w:p>
        </w:tc>
        <w:tc>
          <w:tcPr>
            <w:tcW w:w="24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r>
      <w:tr>
        <w:trPr>
          <w:trHeight w:val="441"/>
        </w:trPr>
        <w:tc>
          <w:tcPr>
            <w:tcW w:w="78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Amortized cost</w:t>
            </w:r>
          </w:p>
        </w:tc>
        <w:tc>
          <w:tcPr>
            <w:tcW w:w="2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3,593</w:t>
            </w:r>
          </w:p>
        </w:tc>
        <w:tc>
          <w:tcPr>
            <w:tcW w:w="2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3,550</w:t>
            </w:r>
          </w:p>
        </w:tc>
      </w:tr>
      <w:tr>
        <w:trPr>
          <w:trHeight w:val="460"/>
        </w:trPr>
        <w:tc>
          <w:tcPr>
            <w:tcW w:w="7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Estimated fair value</w:t>
            </w: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3,126</w:t>
            </w:r>
          </w:p>
        </w:tc>
        <w:tc>
          <w:tcPr>
            <w:tcW w:w="2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3,141</w:t>
            </w:r>
          </w:p>
        </w:tc>
      </w:tr>
      <w:tr>
        <w:trPr>
          <w:trHeight w:val="441"/>
        </w:trPr>
        <w:tc>
          <w:tcPr>
            <w:tcW w:w="7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collateral received from counterparties (2)</w:t>
            </w:r>
          </w:p>
        </w:tc>
        <w:tc>
          <w:tcPr>
            <w:tcW w:w="2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3,215</w:t>
            </w:r>
          </w:p>
        </w:tc>
        <w:tc>
          <w:tcPr>
            <w:tcW w:w="2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3,225</w:t>
            </w:r>
          </w:p>
        </w:tc>
      </w:tr>
      <w:tr>
        <w:trPr>
          <w:trHeight w:val="460"/>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Reinvestment portfolio — estimated fair value</w:t>
            </w: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3,343</w:t>
            </w:r>
          </w:p>
        </w:tc>
        <w:tc>
          <w:tcPr>
            <w:tcW w:w="2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3,352</w:t>
            </w:r>
          </w:p>
        </w:tc>
      </w:tr>
      <w:tr>
        <w:trPr>
          <w:trHeight w:val="254"/>
        </w:trPr>
        <w:tc>
          <w:tcPr>
            <w:tcW w:w="7800" w:type="dxa"/>
            <w:vAlign w:val="bottom"/>
          </w:tcPr>
          <w:p>
            <w:pPr>
              <w:spacing w:after="0"/>
              <w:rPr>
                <w:sz w:val="20"/>
                <w:szCs w:val="20"/>
                <w:color w:val="auto"/>
              </w:rPr>
            </w:pPr>
            <w:r>
              <w:rPr>
                <w:rFonts w:ascii="Times New Roman" w:cs="Times New Roman" w:eastAsia="Times New Roman" w:hAnsi="Times New Roman"/>
                <w:sz w:val="14"/>
                <w:szCs w:val="14"/>
                <w:color w:val="auto"/>
              </w:rPr>
              <w:t>_______________</w:t>
            </w:r>
          </w:p>
        </w:tc>
        <w:tc>
          <w:tcPr>
            <w:tcW w:w="2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80" w:type="dxa"/>
            <w:vAlign w:val="bottom"/>
          </w:tcPr>
          <w:p>
            <w:pPr>
              <w:spacing w:after="0"/>
              <w:rPr>
                <w:sz w:val="22"/>
                <w:szCs w:val="22"/>
                <w:color w:val="auto"/>
              </w:rPr>
            </w:pPr>
          </w:p>
        </w:tc>
      </w:tr>
    </w:tbl>
    <w:p>
      <w:pPr>
        <w:spacing w:after="0" w:line="85" w:lineRule="exact"/>
        <w:rPr>
          <w:sz w:val="20"/>
          <w:szCs w:val="20"/>
          <w:color w:val="auto"/>
        </w:rPr>
      </w:pPr>
    </w:p>
    <w:p>
      <w:pPr>
        <w:ind w:left="320" w:hanging="314"/>
        <w:spacing w:after="0"/>
        <w:tabs>
          <w:tab w:leader="none" w:pos="3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fixed maturity securities.</w:t>
      </w:r>
    </w:p>
    <w:p>
      <w:pPr>
        <w:spacing w:after="0" w:line="111" w:lineRule="exact"/>
        <w:rPr>
          <w:rFonts w:ascii="Times New Roman" w:cs="Times New Roman" w:eastAsia="Times New Roman" w:hAnsi="Times New Roman"/>
          <w:sz w:val="18"/>
          <w:szCs w:val="18"/>
          <w:color w:val="auto"/>
        </w:rPr>
      </w:pPr>
    </w:p>
    <w:p>
      <w:pPr>
        <w:ind w:left="320" w:hanging="314"/>
        <w:spacing w:after="0"/>
        <w:tabs>
          <w:tab w:leader="none" w:pos="3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payables for collateral under securities loaned and other transactions.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80"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Life Insurance Company</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 Indirect Wholly-Owned Subsidiary of Brighthouse Financial, Inc.)</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Investments (continued)</w:t>
      </w:r>
    </w:p>
    <w:p>
      <w:pPr>
        <w:spacing w:after="0" w:line="200" w:lineRule="exact"/>
        <w:rPr>
          <w:sz w:val="20"/>
          <w:szCs w:val="20"/>
          <w:color w:val="auto"/>
        </w:rPr>
      </w:pPr>
    </w:p>
    <w:p>
      <w:pPr>
        <w:spacing w:after="0" w:line="36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cash collateral liability by loaned security type and remaining tenor of the agreements were as follows at:</w:t>
      </w: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8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364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gridSpan w:val="3"/>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gridSpan w:val="3"/>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79"/>
        </w:trPr>
        <w:tc>
          <w:tcPr>
            <w:tcW w:w="3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1 Month or</w:t>
            </w: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1 Month or</w:t>
            </w: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3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Open (1)</w:t>
            </w:r>
          </w:p>
        </w:tc>
        <w:tc>
          <w:tcPr>
            <w:tcW w:w="200" w:type="dxa"/>
            <w:vAlign w:val="bottom"/>
          </w:tcPr>
          <w:p>
            <w:pPr>
              <w:spacing w:after="0"/>
              <w:rPr>
                <w:sz w:val="16"/>
                <w:szCs w:val="16"/>
                <w:color w:val="auto"/>
              </w:rPr>
            </w:pPr>
          </w:p>
        </w:tc>
        <w:tc>
          <w:tcPr>
            <w:tcW w:w="7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8"/>
              </w:rPr>
              <w:t>Less</w:t>
            </w:r>
          </w:p>
        </w:tc>
        <w:tc>
          <w:tcPr>
            <w:tcW w:w="9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1 to 6 Months</w:t>
            </w:r>
          </w:p>
        </w:tc>
        <w:tc>
          <w:tcPr>
            <w:tcW w:w="16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Pr>
          <w:p>
            <w:pPr>
              <w:spacing w:after="0"/>
              <w:rPr>
                <w:sz w:val="16"/>
                <w:szCs w:val="16"/>
                <w:color w:val="auto"/>
              </w:rPr>
            </w:pPr>
          </w:p>
        </w:tc>
        <w:tc>
          <w:tcPr>
            <w:tcW w:w="8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Open (1)</w:t>
            </w:r>
          </w:p>
        </w:tc>
        <w:tc>
          <w:tcPr>
            <w:tcW w:w="200" w:type="dxa"/>
            <w:vAlign w:val="bottom"/>
          </w:tcPr>
          <w:p>
            <w:pPr>
              <w:spacing w:after="0"/>
              <w:rPr>
                <w:sz w:val="16"/>
                <w:szCs w:val="16"/>
                <w:color w:val="auto"/>
              </w:rPr>
            </w:pPr>
          </w:p>
        </w:tc>
        <w:tc>
          <w:tcPr>
            <w:tcW w:w="8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8"/>
              </w:rPr>
              <w:t>Less</w:t>
            </w:r>
          </w:p>
        </w:tc>
        <w:tc>
          <w:tcPr>
            <w:tcW w:w="9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1 to 6 Months</w:t>
            </w:r>
          </w:p>
        </w:tc>
        <w:tc>
          <w:tcPr>
            <w:tcW w:w="180" w:type="dxa"/>
            <w:vAlign w:val="bottom"/>
          </w:tcPr>
          <w:p>
            <w:pPr>
              <w:spacing w:after="0"/>
              <w:rPr>
                <w:sz w:val="16"/>
                <w:szCs w:val="16"/>
                <w:color w:val="auto"/>
              </w:rPr>
            </w:pPr>
          </w:p>
        </w:tc>
        <w:tc>
          <w:tcPr>
            <w:tcW w:w="620" w:type="dxa"/>
            <w:vAlign w:val="bottom"/>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38"/>
        </w:trPr>
        <w:tc>
          <w:tcPr>
            <w:tcW w:w="364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700" w:type="dxa"/>
            <w:vAlign w:val="bottom"/>
            <w:tcBorders>
              <w:bottom w:val="single" w:sz="8" w:color="auto"/>
            </w:tcBorders>
            <w:gridSpan w:val="5"/>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93"/>
        </w:trPr>
        <w:tc>
          <w:tcPr>
            <w:tcW w:w="3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0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
        </w:trPr>
        <w:tc>
          <w:tcPr>
            <w:tcW w:w="3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1"/>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 government and agency</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927</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1,603</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2,851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417</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663</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1,777</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2,857</w:t>
            </w:r>
          </w:p>
        </w:tc>
        <w:tc>
          <w:tcPr>
            <w:tcW w:w="0" w:type="dxa"/>
            <w:vAlign w:val="bottom"/>
          </w:tcPr>
          <w:p>
            <w:pPr>
              <w:spacing w:after="0"/>
              <w:rPr>
                <w:sz w:val="1"/>
                <w:szCs w:val="1"/>
                <w:color w:val="auto"/>
              </w:rPr>
            </w:pPr>
          </w:p>
        </w:tc>
      </w:tr>
      <w:tr>
        <w:trPr>
          <w:trHeight w:val="441"/>
        </w:trPr>
        <w:tc>
          <w:tcPr>
            <w:tcW w:w="3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U.S. corporate</w:t>
            </w:r>
          </w:p>
        </w:tc>
        <w:tc>
          <w:tcPr>
            <w:tcW w:w="140" w:type="dxa"/>
            <w:vAlign w:val="bottom"/>
          </w:tcPr>
          <w:p>
            <w:pPr>
              <w:spacing w:after="0"/>
              <w:rPr>
                <w:sz w:val="24"/>
                <w:szCs w:val="24"/>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310</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48</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w:t>
            </w:r>
          </w:p>
        </w:tc>
        <w:tc>
          <w:tcPr>
            <w:tcW w:w="0" w:type="dxa"/>
            <w:vAlign w:val="bottom"/>
          </w:tcPr>
          <w:p>
            <w:pPr>
              <w:spacing w:after="0"/>
              <w:rPr>
                <w:sz w:val="1"/>
                <w:szCs w:val="1"/>
                <w:color w:val="auto"/>
              </w:rPr>
            </w:pPr>
          </w:p>
        </w:tc>
      </w:tr>
      <w:tr>
        <w:trPr>
          <w:trHeight w:val="460"/>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corporate</w:t>
            </w: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46</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0" w:type="dxa"/>
            <w:vAlign w:val="bottom"/>
          </w:tcPr>
          <w:p>
            <w:pPr>
              <w:spacing w:after="0"/>
              <w:rPr>
                <w:sz w:val="1"/>
                <w:szCs w:val="1"/>
                <w:color w:val="auto"/>
              </w:rPr>
            </w:pPr>
          </w:p>
        </w:tc>
      </w:tr>
      <w:tr>
        <w:trPr>
          <w:trHeight w:val="444"/>
        </w:trPr>
        <w:tc>
          <w:tcPr>
            <w:tcW w:w="3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Foreign government</w:t>
            </w:r>
          </w:p>
        </w:tc>
        <w:tc>
          <w:tcPr>
            <w:tcW w:w="1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475"/>
        </w:trPr>
        <w:tc>
          <w:tcPr>
            <w:tcW w:w="364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w:t>
            </w:r>
          </w:p>
        </w:tc>
        <w:tc>
          <w:tcPr>
            <w:tcW w:w="120" w:type="dxa"/>
            <w:vAlign w:val="bottom"/>
            <w:tcBorders>
              <w:top w:val="single" w:sz="8" w:color="CCEEFF"/>
              <w:bottom w:val="single" w:sz="8" w:color="CCEEFF"/>
            </w:tcBorders>
            <w:shd w:val="clear" w:color="auto" w:fill="CCEEFF"/>
          </w:tcPr>
          <w:p>
            <w:pPr>
              <w:spacing w:after="0"/>
              <w:rPr>
                <w:sz w:val="24"/>
                <w:szCs w:val="24"/>
                <w:color w:val="auto"/>
              </w:rPr>
            </w:pPr>
          </w:p>
        </w:tc>
        <w:tc>
          <w:tcPr>
            <w:tcW w:w="20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967</w:t>
            </w:r>
          </w:p>
        </w:tc>
        <w:tc>
          <w:tcPr>
            <w:tcW w:w="120" w:type="dxa"/>
            <w:vAlign w:val="bottom"/>
            <w:tcBorders>
              <w:top w:val="single" w:sz="8" w:color="CCEEFF"/>
              <w:bottom w:val="single" w:sz="8" w:color="CCEEFF"/>
            </w:tcBorders>
            <w:shd w:val="clear" w:color="auto" w:fill="CCEEFF"/>
          </w:tcPr>
          <w:p>
            <w:pPr>
              <w:spacing w:after="0"/>
              <w:rPr>
                <w:sz w:val="24"/>
                <w:szCs w:val="24"/>
                <w:color w:val="auto"/>
              </w:rPr>
            </w:pPr>
          </w:p>
        </w:tc>
        <w:tc>
          <w:tcPr>
            <w:tcW w:w="4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1,926</w:t>
            </w:r>
          </w:p>
        </w:tc>
        <w:tc>
          <w:tcPr>
            <w:tcW w:w="120" w:type="dxa"/>
            <w:vAlign w:val="bottom"/>
            <w:tcBorders>
              <w:top w:val="single" w:sz="8" w:color="CCEEFF"/>
              <w:bottom w:val="single" w:sz="8" w:color="CCEEFF"/>
            </w:tcBorders>
            <w:shd w:val="clear" w:color="auto" w:fill="CCEEFF"/>
          </w:tcPr>
          <w:p>
            <w:pPr>
              <w:spacing w:after="0"/>
              <w:rPr>
                <w:sz w:val="24"/>
                <w:szCs w:val="24"/>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3,215</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480</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20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968</w:t>
            </w:r>
          </w:p>
        </w:tc>
        <w:tc>
          <w:tcPr>
            <w:tcW w:w="120" w:type="dxa"/>
            <w:vAlign w:val="bottom"/>
            <w:tcBorders>
              <w:top w:val="single" w:sz="8" w:color="CCEEFF"/>
              <w:bottom w:val="single" w:sz="8" w:color="CCEEFF"/>
            </w:tcBorders>
            <w:shd w:val="clear" w:color="auto" w:fill="CCEEFF"/>
          </w:tcPr>
          <w:p>
            <w:pPr>
              <w:spacing w:after="0"/>
              <w:rPr>
                <w:sz w:val="24"/>
                <w:szCs w:val="24"/>
                <w:color w:val="auto"/>
              </w:rPr>
            </w:pPr>
          </w:p>
        </w:tc>
        <w:tc>
          <w:tcPr>
            <w:tcW w:w="2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1,777</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3,225</w:t>
            </w:r>
          </w:p>
        </w:tc>
        <w:tc>
          <w:tcPr>
            <w:tcW w:w="0" w:type="dxa"/>
            <w:vAlign w:val="bottom"/>
          </w:tcPr>
          <w:p>
            <w:pPr>
              <w:spacing w:after="0"/>
              <w:rPr>
                <w:sz w:val="1"/>
                <w:szCs w:val="1"/>
                <w:color w:val="auto"/>
              </w:rPr>
            </w:pPr>
          </w:p>
        </w:tc>
      </w:tr>
      <w:tr>
        <w:trPr>
          <w:trHeight w:val="20"/>
        </w:trPr>
        <w:tc>
          <w:tcPr>
            <w:tcW w:w="36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4"/>
                <w:szCs w:val="14"/>
                <w:color w:val="auto"/>
              </w:rPr>
              <w:t>_______________</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364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320" w:hanging="314"/>
        <w:spacing w:after="0" w:line="274" w:lineRule="auto"/>
        <w:tabs>
          <w:tab w:leader="none" w:pos="31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related loaned security could be returned to the Company on the next business day which would require the Company to immediately return the cash collateral.</w:t>
      </w:r>
    </w:p>
    <w:p>
      <w:pPr>
        <w:spacing w:after="0" w:line="57"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If the Company is required to return significant amounts of cash collateral on short notice and is forced to sell securities to meet the return obligation, it may have difficulty selling such collateral that is invested in securities in a timely manner, be forced to sell securities in a volatile or illiquid market for less than what otherwise would have been realized in normal market conditions, or both. The estimated fair value of the securities on loan related to the cash collateral on open at March 31, 2026 was $314 million, primarily comprised of U.S. government and agency securities which, if put back to the Company, could be immediately sold to satisfy the cash requirement.</w:t>
      </w:r>
    </w:p>
    <w:p>
      <w:pPr>
        <w:spacing w:after="0" w:line="79" w:lineRule="exact"/>
        <w:rPr>
          <w:sz w:val="20"/>
          <w:szCs w:val="20"/>
          <w:color w:val="auto"/>
        </w:rPr>
      </w:pPr>
    </w:p>
    <w:p>
      <w:pPr>
        <w:jc w:val="both"/>
        <w:ind w:firstLine="318"/>
        <w:spacing w:after="0" w:line="256" w:lineRule="auto"/>
        <w:rPr>
          <w:sz w:val="20"/>
          <w:szCs w:val="20"/>
          <w:color w:val="auto"/>
        </w:rPr>
      </w:pPr>
      <w:r>
        <w:rPr>
          <w:rFonts w:ascii="Times New Roman" w:cs="Times New Roman" w:eastAsia="Times New Roman" w:hAnsi="Times New Roman"/>
          <w:sz w:val="18"/>
          <w:szCs w:val="18"/>
          <w:color w:val="auto"/>
        </w:rPr>
        <w:t>The reinvestment portfolio acquired with the cash collateral consisted principally of fixed maturity securities (including agency RMBS, ABS, U.S. government and agency securities, U.S. and foreign corporate securities</w:t>
      </w:r>
      <w:r>
        <w:rPr>
          <w:rFonts w:ascii="Arial" w:cs="Arial" w:eastAsia="Arial" w:hAnsi="Arial"/>
          <w:sz w:val="19"/>
          <w:szCs w:val="19"/>
          <w:color w:val="auto"/>
        </w:rPr>
        <w:t>,</w:t>
      </w:r>
      <w:r>
        <w:rPr>
          <w:rFonts w:ascii="Times New Roman" w:cs="Times New Roman" w:eastAsia="Times New Roman" w:hAnsi="Times New Roman"/>
          <w:sz w:val="18"/>
          <w:szCs w:val="18"/>
          <w:color w:val="auto"/>
        </w:rPr>
        <w:t xml:space="preserve"> non-agency RMBS and CMBS) with 50% invested in agency RMBS, U.S. government and agency securities and cash and cash equivalents at March 31, 2026. If the securities on loan or the reinvestment portfolio become less liquid, the Company has the liquidity resources of most of its general account available to meet any potential cash demands when securities on loan are put back to the Company.</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Invested Assets on Deposit, Held in Trust and Pledged as Collateral</w:t>
      </w:r>
    </w:p>
    <w:p>
      <w:pPr>
        <w:spacing w:after="0" w:line="1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Invested assets on deposit, held in trust and pledged as collateral at estimated fair value were as follows at:</w:t>
      </w: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80" w:type="dxa"/>
            <w:vAlign w:val="bottom"/>
          </w:tcPr>
          <w:p>
            <w:pPr>
              <w:spacing w:after="0"/>
              <w:rPr>
                <w:sz w:val="16"/>
                <w:szCs w:val="16"/>
                <w:color w:val="auto"/>
              </w:rPr>
            </w:pPr>
          </w:p>
        </w:tc>
        <w:tc>
          <w:tcPr>
            <w:tcW w:w="1480" w:type="dxa"/>
            <w:vAlign w:val="bottom"/>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38"/>
        </w:trPr>
        <w:tc>
          <w:tcPr>
            <w:tcW w:w="780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3200" w:type="dxa"/>
            <w:vAlign w:val="bottom"/>
            <w:tcBorders>
              <w:bottom w:val="single" w:sz="8" w:color="auto"/>
            </w:tcBorders>
            <w:gridSpan w:val="4"/>
          </w:tcPr>
          <w:p>
            <w:pPr>
              <w:spacing w:after="0"/>
              <w:rPr>
                <w:sz w:val="3"/>
                <w:szCs w:val="3"/>
                <w:color w:val="auto"/>
              </w:rPr>
            </w:pPr>
          </w:p>
        </w:tc>
        <w:tc>
          <w:tcPr>
            <w:tcW w:w="0" w:type="dxa"/>
            <w:vAlign w:val="bottom"/>
          </w:tcPr>
          <w:p>
            <w:pPr>
              <w:spacing w:after="0"/>
              <w:rPr>
                <w:sz w:val="1"/>
                <w:szCs w:val="1"/>
                <w:color w:val="auto"/>
              </w:rPr>
            </w:pPr>
          </w:p>
        </w:tc>
      </w:tr>
      <w:tr>
        <w:trPr>
          <w:trHeight w:val="393"/>
        </w:trPr>
        <w:tc>
          <w:tcPr>
            <w:tcW w:w="7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0" w:type="dxa"/>
            <w:vAlign w:val="bottom"/>
            <w:gridSpan w:val="4"/>
          </w:tcPr>
          <w:p>
            <w:pPr>
              <w:jc w:val="right"/>
              <w:ind w:right="1262"/>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r>
        <w:trPr>
          <w:trHeight w:val="38"/>
        </w:trPr>
        <w:tc>
          <w:tcPr>
            <w:tcW w:w="78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0"/>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Invested assets on deposit (regulatory deposits) (1)</w:t>
            </w: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6,559</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6,570</w:t>
            </w:r>
          </w:p>
        </w:tc>
        <w:tc>
          <w:tcPr>
            <w:tcW w:w="0" w:type="dxa"/>
            <w:vAlign w:val="bottom"/>
          </w:tcPr>
          <w:p>
            <w:pPr>
              <w:spacing w:after="0"/>
              <w:rPr>
                <w:sz w:val="1"/>
                <w:szCs w:val="1"/>
                <w:color w:val="auto"/>
              </w:rPr>
            </w:pPr>
          </w:p>
        </w:tc>
      </w:tr>
      <w:tr>
        <w:trPr>
          <w:trHeight w:val="441"/>
        </w:trPr>
        <w:tc>
          <w:tcPr>
            <w:tcW w:w="7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Invested assets held in trust (reinsurance agreements) (2)</w:t>
            </w:r>
          </w:p>
        </w:tc>
        <w:tc>
          <w:tcPr>
            <w:tcW w:w="24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6,955</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7,268</w:t>
            </w:r>
          </w:p>
        </w:tc>
        <w:tc>
          <w:tcPr>
            <w:tcW w:w="0" w:type="dxa"/>
            <w:vAlign w:val="bottom"/>
          </w:tcPr>
          <w:p>
            <w:pPr>
              <w:spacing w:after="0"/>
              <w:rPr>
                <w:sz w:val="1"/>
                <w:szCs w:val="1"/>
                <w:color w:val="auto"/>
              </w:rPr>
            </w:pPr>
          </w:p>
        </w:tc>
      </w:tr>
      <w:tr>
        <w:trPr>
          <w:trHeight w:val="453"/>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Invested assets pledged as collateral (3)</w:t>
            </w:r>
          </w:p>
        </w:tc>
        <w:tc>
          <w:tcPr>
            <w:tcW w:w="240" w:type="dxa"/>
            <w:vAlign w:val="bottom"/>
            <w:tcBorders>
              <w:bottom w:val="single" w:sz="8" w:color="auto"/>
            </w:tcBorders>
            <w:shd w:val="clear" w:color="auto" w:fill="CCEEFF"/>
          </w:tcPr>
          <w:p>
            <w:pPr>
              <w:spacing w:after="0"/>
              <w:rPr>
                <w:sz w:val="24"/>
                <w:szCs w:val="24"/>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12,043</w:t>
            </w:r>
          </w:p>
        </w:tc>
        <w:tc>
          <w:tcPr>
            <w:tcW w:w="12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10,794</w:t>
            </w:r>
          </w:p>
        </w:tc>
        <w:tc>
          <w:tcPr>
            <w:tcW w:w="0" w:type="dxa"/>
            <w:vAlign w:val="bottom"/>
          </w:tcPr>
          <w:p>
            <w:pPr>
              <w:spacing w:after="0"/>
              <w:rPr>
                <w:sz w:val="1"/>
                <w:szCs w:val="1"/>
                <w:color w:val="auto"/>
              </w:rPr>
            </w:pPr>
          </w:p>
        </w:tc>
      </w:tr>
      <w:tr>
        <w:trPr>
          <w:trHeight w:val="450"/>
        </w:trPr>
        <w:tc>
          <w:tcPr>
            <w:tcW w:w="78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 invested assets on deposit, held in trust and pledged as collateral</w:t>
            </w:r>
          </w:p>
        </w:tc>
        <w:tc>
          <w:tcPr>
            <w:tcW w:w="24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25,557</w:t>
            </w:r>
          </w:p>
        </w:tc>
        <w:tc>
          <w:tcPr>
            <w:tcW w:w="120" w:type="dxa"/>
            <w:vAlign w:val="bottom"/>
          </w:tcPr>
          <w:p>
            <w:pPr>
              <w:spacing w:after="0"/>
              <w:rPr>
                <w:sz w:val="24"/>
                <w:szCs w:val="24"/>
                <w:color w:val="auto"/>
              </w:rPr>
            </w:pPr>
          </w:p>
        </w:tc>
        <w:tc>
          <w:tcPr>
            <w:tcW w:w="1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24,632</w:t>
            </w:r>
          </w:p>
        </w:tc>
        <w:tc>
          <w:tcPr>
            <w:tcW w:w="0" w:type="dxa"/>
            <w:vAlign w:val="bottom"/>
          </w:tcPr>
          <w:p>
            <w:pPr>
              <w:spacing w:after="0"/>
              <w:rPr>
                <w:sz w:val="1"/>
                <w:szCs w:val="1"/>
                <w:color w:val="auto"/>
              </w:rPr>
            </w:pPr>
          </w:p>
        </w:tc>
      </w:tr>
      <w:tr>
        <w:trPr>
          <w:trHeight w:val="20"/>
        </w:trPr>
        <w:tc>
          <w:tcPr>
            <w:tcW w:w="78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_______________</w:t>
            </w: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7800" w:type="dxa"/>
            <w:vAlign w:val="bottom"/>
            <w:vMerge w:val="continue"/>
          </w:tcPr>
          <w:p>
            <w:pPr>
              <w:spacing w:after="0"/>
              <w:rPr>
                <w:sz w:val="21"/>
                <w:szCs w:val="21"/>
                <w:color w:val="auto"/>
              </w:rPr>
            </w:pPr>
          </w:p>
        </w:tc>
        <w:tc>
          <w:tcPr>
            <w:tcW w:w="2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p>
      <w:pPr>
        <w:jc w:val="both"/>
        <w:ind w:left="320" w:hanging="314"/>
        <w:spacing w:after="0" w:line="259" w:lineRule="auto"/>
        <w:tabs>
          <w:tab w:leader="none" w:pos="31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assets, primarily fixed maturity securities, on deposit with governmental authorities relating to certain policyholder liabilities, of which $112 million and $126 million of the assets on deposit represents restricted cash and cash equivalents at March 31, 2026 and December 31, 2025, respectively.</w:t>
      </w:r>
    </w:p>
    <w:p>
      <w:pPr>
        <w:spacing w:after="0" w:line="71" w:lineRule="exact"/>
        <w:rPr>
          <w:rFonts w:ascii="Times New Roman" w:cs="Times New Roman" w:eastAsia="Times New Roman" w:hAnsi="Times New Roman"/>
          <w:sz w:val="18"/>
          <w:szCs w:val="18"/>
          <w:color w:val="auto"/>
        </w:rPr>
      </w:pPr>
    </w:p>
    <w:p>
      <w:pPr>
        <w:ind w:left="320" w:right="20" w:hanging="314"/>
        <w:spacing w:after="0" w:line="274" w:lineRule="auto"/>
        <w:tabs>
          <w:tab w:leader="none" w:pos="31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assets, primarily fixed maturity securities, held in trust relating to certain reinsurance transactions, of which $113 million and $328 million of the assets held in trust balance represents restricted cash and cash equivalents at March 31, 2026 and December 31, 2025, respectively.</w:t>
      </w:r>
    </w:p>
    <w:p>
      <w:pPr>
        <w:spacing w:after="0" w:line="57" w:lineRule="exact"/>
        <w:rPr>
          <w:rFonts w:ascii="Times New Roman" w:cs="Times New Roman" w:eastAsia="Times New Roman" w:hAnsi="Times New Roman"/>
          <w:sz w:val="18"/>
          <w:szCs w:val="18"/>
          <w:color w:val="auto"/>
        </w:rPr>
      </w:pPr>
    </w:p>
    <w:p>
      <w:pPr>
        <w:ind w:left="320" w:hanging="314"/>
        <w:spacing w:after="0" w:line="274" w:lineRule="auto"/>
        <w:tabs>
          <w:tab w:leader="none" w:pos="31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pledged invested assets in connection with various agreements and transactions, including funding agreements (see Note 3 of the Notes to the Consolidated Financial Statements included in the 2025 Annual Report) and derivative transactions (see Note 8).</w:t>
      </w:r>
    </w:p>
    <w:p>
      <w:pPr>
        <w:spacing w:after="0" w:line="5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See “— Securities Lending” for information regarding securities on loan. In addition, the Company’s investment in FHLB common stock, which is considered restricted until redeemed by the issuer, was $217 million and $218 million at redemption value at March 31, 2026 and December 31, 2025, respectively.</w:t>
      </w:r>
    </w:p>
    <w:p>
      <w:pPr>
        <w:sectPr>
          <w:pgSz w:w="11900" w:h="16838" w:orient="portrait"/>
          <w:cols w:equalWidth="0" w:num="1">
            <w:col w:w="11240"/>
          </w:cols>
          <w:pgMar w:left="320" w:top="230" w:right="339" w:bottom="245" w:gutter="0" w:footer="0" w:header="0"/>
        </w:sectPr>
      </w:pPr>
    </w:p>
    <w:bookmarkStart w:id="36" w:name="page37"/>
    <w:bookmarkEnd w:id="36"/>
    <w:p>
      <w:pPr>
        <w:jc w:val="center"/>
        <w:ind w:right="-32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69215</wp:posOffset>
            </wp:positionV>
            <wp:extent cx="716026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9019"/>
          </w:cols>
          <w:pgMar w:left="1440" w:top="161" w:right="1440"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Life Insurance Company</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 Indirect Wholly-Owned Subsidiary of Brighthouse Financial, Inc.)</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Investments (continued)</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Variable Interest Entities</w:t>
      </w:r>
    </w:p>
    <w:p>
      <w:pPr>
        <w:spacing w:after="0" w:line="11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A variable interest entity (“VIE”) is a legal entity that does not have sufficient equity at risk to finance its activities or is structured such that equity investors lack the ability to make significant decisions relating to the entity’s operations through voting rights or do not substantively participate in the gains and losses of the entity.</w:t>
      </w:r>
    </w:p>
    <w:p>
      <w:pPr>
        <w:spacing w:after="0" w:line="72"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The Company enters into various arrangements with VIEs in the normal course of business and has invested in legal entities that are VIEs. VIEs are consolidated when it is determined that the Company is the primary beneficiary. A primary beneficiary is the variable interest holder in a VIE with both (i) the power to direct the activities of the VIE that most significantly impact the economic performance of the VIE and (ii) the obligation to absorb losses or the right to receive benefits that could potentially be significant to the VIE. In addition, the evaluation of whether a legal entity is a VIE and if the Company is a primary beneficiary includes a review of the capital structure of the VIE, the related contractual relationships and terms, the nature of the operations and purpose of the VIE, the nature of the VIE interests issued and the Company’s involvement with the entity.</w:t>
      </w:r>
    </w:p>
    <w:p>
      <w:pPr>
        <w:spacing w:after="0" w:line="7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There were no material VIEs for which the Company has concluded that it is the primary beneficiary at either March 31, 2026 or December 31, 2025.</w:t>
      </w:r>
    </w:p>
    <w:p>
      <w:pPr>
        <w:spacing w:after="0" w:line="111"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carrying amount and maximum exposure to loss related to the VIEs for which the Company has concluded that it holds a variable interest, but is not the primary beneficiary, were as follows at:</w:t>
      </w: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60" w:type="dxa"/>
            <w:vAlign w:val="bottom"/>
            <w:gridSpan w:val="4"/>
          </w:tcPr>
          <w:p>
            <w:pPr>
              <w:jc w:val="right"/>
              <w:ind w:right="803"/>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38"/>
        </w:trPr>
        <w:tc>
          <w:tcPr>
            <w:tcW w:w="540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gridSpan w:val="2"/>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gridSpan w:val="2"/>
          </w:tcPr>
          <w:p>
            <w:pPr>
              <w:spacing w:after="0"/>
              <w:rPr>
                <w:sz w:val="3"/>
                <w:szCs w:val="3"/>
                <w:color w:val="auto"/>
              </w:rPr>
            </w:pPr>
          </w:p>
        </w:tc>
      </w:tr>
      <w:tr>
        <w:trPr>
          <w:trHeight w:val="379"/>
        </w:trPr>
        <w:tc>
          <w:tcPr>
            <w:tcW w:w="5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Maximum Exposure</w:t>
            </w: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gridSpan w:val="2"/>
          </w:tcPr>
          <w:p>
            <w:pPr>
              <w:jc w:val="right"/>
              <w:ind w:right="3"/>
              <w:spacing w:after="0"/>
              <w:rPr>
                <w:sz w:val="20"/>
                <w:szCs w:val="20"/>
                <w:color w:val="auto"/>
              </w:rPr>
            </w:pPr>
            <w:r>
              <w:rPr>
                <w:rFonts w:ascii="Times New Roman" w:cs="Times New Roman" w:eastAsia="Times New Roman" w:hAnsi="Times New Roman"/>
                <w:sz w:val="14"/>
                <w:szCs w:val="14"/>
                <w:b w:val="1"/>
                <w:bCs w:val="1"/>
                <w:color w:val="auto"/>
              </w:rPr>
              <w:t>Maximum Exposure</w:t>
            </w:r>
          </w:p>
        </w:tc>
      </w:tr>
      <w:tr>
        <w:trPr>
          <w:trHeight w:val="186"/>
        </w:trPr>
        <w:tc>
          <w:tcPr>
            <w:tcW w:w="5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460" w:type="dxa"/>
            <w:vAlign w:val="bottom"/>
          </w:tcPr>
          <w:p>
            <w:pPr>
              <w:spacing w:after="0"/>
              <w:rPr>
                <w:sz w:val="16"/>
                <w:szCs w:val="16"/>
                <w:color w:val="auto"/>
              </w:rPr>
            </w:pPr>
          </w:p>
        </w:tc>
        <w:tc>
          <w:tcPr>
            <w:tcW w:w="104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w w:val="98"/>
              </w:rPr>
              <w:t>to Loss</w:t>
            </w:r>
          </w:p>
        </w:tc>
        <w:tc>
          <w:tcPr>
            <w:tcW w:w="120" w:type="dxa"/>
            <w:vAlign w:val="bottom"/>
          </w:tcPr>
          <w:p>
            <w:pPr>
              <w:spacing w:after="0"/>
              <w:rPr>
                <w:sz w:val="16"/>
                <w:szCs w:val="16"/>
                <w:color w:val="auto"/>
              </w:rPr>
            </w:pP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280" w:type="dxa"/>
            <w:vAlign w:val="bottom"/>
          </w:tcPr>
          <w:p>
            <w:pPr>
              <w:spacing w:after="0"/>
              <w:rPr>
                <w:sz w:val="16"/>
                <w:szCs w:val="16"/>
                <w:color w:val="auto"/>
              </w:rPr>
            </w:pPr>
          </w:p>
        </w:tc>
        <w:tc>
          <w:tcPr>
            <w:tcW w:w="1100" w:type="dxa"/>
            <w:vAlign w:val="bottom"/>
          </w:tcPr>
          <w:p>
            <w:pPr>
              <w:jc w:val="right"/>
              <w:ind w:right="403"/>
              <w:spacing w:after="0"/>
              <w:rPr>
                <w:sz w:val="20"/>
                <w:szCs w:val="20"/>
                <w:color w:val="auto"/>
              </w:rPr>
            </w:pPr>
            <w:r>
              <w:rPr>
                <w:rFonts w:ascii="Times New Roman" w:cs="Times New Roman" w:eastAsia="Times New Roman" w:hAnsi="Times New Roman"/>
                <w:sz w:val="14"/>
                <w:szCs w:val="14"/>
                <w:b w:val="1"/>
                <w:bCs w:val="1"/>
                <w:color w:val="auto"/>
              </w:rPr>
              <w:t>to Loss</w:t>
            </w:r>
          </w:p>
        </w:tc>
      </w:tr>
      <w:tr>
        <w:trPr>
          <w:trHeight w:val="38"/>
        </w:trPr>
        <w:tc>
          <w:tcPr>
            <w:tcW w:w="540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2540" w:type="dxa"/>
            <w:vAlign w:val="bottom"/>
            <w:tcBorders>
              <w:bottom w:val="single" w:sz="8" w:color="auto"/>
            </w:tcBorders>
            <w:gridSpan w:val="5"/>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393"/>
        </w:trPr>
        <w:tc>
          <w:tcPr>
            <w:tcW w:w="5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540" w:type="dxa"/>
            <w:vAlign w:val="bottom"/>
            <w:gridSpan w:val="5"/>
          </w:tcPr>
          <w:p>
            <w:pPr>
              <w:ind w:left="6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8"/>
        </w:trPr>
        <w:tc>
          <w:tcPr>
            <w:tcW w:w="5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450"/>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Fixed maturity securities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12,522</w:t>
            </w:r>
          </w:p>
        </w:tc>
        <w:tc>
          <w:tcPr>
            <w:tcW w:w="8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263"/>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13,167</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13,020</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13,614</w:t>
            </w:r>
          </w:p>
        </w:tc>
      </w:tr>
      <w:tr>
        <w:trPr>
          <w:trHeight w:val="444"/>
        </w:trPr>
        <w:tc>
          <w:tcPr>
            <w:tcW w:w="5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Limited partnerships and LLCs</w:t>
            </w:r>
          </w:p>
        </w:tc>
        <w:tc>
          <w:tcPr>
            <w:tcW w:w="1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4,267</w:t>
            </w:r>
          </w:p>
        </w:tc>
        <w:tc>
          <w:tcPr>
            <w:tcW w:w="8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5,222</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4,275</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5,231</w:t>
            </w:r>
          </w:p>
        </w:tc>
      </w:tr>
      <w:tr>
        <w:trPr>
          <w:trHeight w:val="475"/>
        </w:trPr>
        <w:tc>
          <w:tcPr>
            <w:tcW w:w="54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16,789</w:t>
            </w:r>
          </w:p>
        </w:tc>
        <w:tc>
          <w:tcPr>
            <w:tcW w:w="8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jc w:val="right"/>
              <w:ind w:right="263"/>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18,389</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17,295</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18,845</w:t>
            </w: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Company’s investments in unconsolidated VIEs are described below.</w:t>
      </w:r>
    </w:p>
    <w:p>
      <w:pPr>
        <w:spacing w:after="0" w:line="10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Fixed Maturity Securities</w:t>
      </w:r>
    </w:p>
    <w:p>
      <w:pPr>
        <w:spacing w:after="0" w:line="115" w:lineRule="exact"/>
        <w:rPr>
          <w:sz w:val="20"/>
          <w:szCs w:val="20"/>
          <w:color w:val="auto"/>
        </w:rPr>
      </w:pPr>
    </w:p>
    <w:p>
      <w:pPr>
        <w:jc w:val="both"/>
        <w:ind w:left="160" w:firstLine="318"/>
        <w:spacing w:after="0" w:line="249" w:lineRule="auto"/>
        <w:rPr>
          <w:sz w:val="20"/>
          <w:szCs w:val="20"/>
          <w:color w:val="auto"/>
        </w:rPr>
      </w:pPr>
      <w:r>
        <w:rPr>
          <w:rFonts w:ascii="Times New Roman" w:cs="Times New Roman" w:eastAsia="Times New Roman" w:hAnsi="Times New Roman"/>
          <w:sz w:val="18"/>
          <w:szCs w:val="18"/>
          <w:color w:val="auto"/>
        </w:rPr>
        <w:t>The Company invests in U.S. corporate bonds, foreign corporate bonds and Structured Securities issued by VIEs. The Company is not obligated to provide any financial or other support to these VIEs, other than the original investment. The Company’s involvement with these entities is limited to that of a passive investor. The Company has no unilateral right to appoint or remove the servicer, special servicer, or investment manager, which are generally viewed as having the power to direct the activities that most significantly impact the economic performance of the VIE, nor does the Company function in any of these roles. The Company does not have the obligation to absorb losses or the right to receive benefits from the entity that could potentially be significant to the entity; as a result, the Company has determined it is not the primary beneficiary, or consolidator, of the VIE. The Company’s maximum exposure to loss on these fixed maturity securities is limited to the amortized cost of these investments. See “— Fixed Maturity Securities Available-For-Sale” for information on these securities.</w:t>
      </w:r>
    </w:p>
    <w:p>
      <w:pPr>
        <w:spacing w:after="0" w:line="8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Limited Partnerships and LLCs</w:t>
      </w:r>
    </w:p>
    <w:p>
      <w:pPr>
        <w:spacing w:after="0" w:line="115" w:lineRule="exact"/>
        <w:rPr>
          <w:sz w:val="20"/>
          <w:szCs w:val="20"/>
          <w:color w:val="auto"/>
        </w:rPr>
      </w:pPr>
    </w:p>
    <w:p>
      <w:pPr>
        <w:jc w:val="both"/>
        <w:ind w:left="160" w:firstLine="318"/>
        <w:spacing w:after="0" w:line="251" w:lineRule="auto"/>
        <w:rPr>
          <w:sz w:val="20"/>
          <w:szCs w:val="20"/>
          <w:color w:val="auto"/>
        </w:rPr>
      </w:pPr>
      <w:r>
        <w:rPr>
          <w:rFonts w:ascii="Times New Roman" w:cs="Times New Roman" w:eastAsia="Times New Roman" w:hAnsi="Times New Roman"/>
          <w:sz w:val="18"/>
          <w:szCs w:val="18"/>
          <w:color w:val="auto"/>
        </w:rPr>
        <w:t>The Company holds investments in certain limited partnerships and LLCs which are VIEs. These ventures include limited partnerships, LLCs, private equity funds, and, to a lesser extent, tax credit and renewable energy partnerships. The Company is not considered the primary beneficiary, or consolidator, when its involvement takes the form of a limited partner interest and is restricted to a role of a passive investor, as a limited partner’s interest does not provide the Company with any substantive kick-out or participating rights, nor does it provide the Company with the power to direct the activities of the fund. The Company’s maximum exposure to loss on these investments is limited to: (i) the amount invested in debt or equity of the VIE and (ii) commitments to the VIE, as described in Note 12.</w:t>
      </w:r>
    </w:p>
    <w:p>
      <w:pPr>
        <w:sectPr>
          <w:pgSz w:w="11900" w:h="16838" w:orient="portrait"/>
          <w:cols w:equalWidth="0" w:num="1">
            <w:col w:w="11240"/>
          </w:cols>
          <w:pgMar w:left="320" w:top="2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Life Insurance Company</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 Indirect Wholly-Owned Subsidiary of Brighthouse Financial, Inc.)</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Investments (continued)</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Investment Income</w:t>
      </w:r>
    </w:p>
    <w:p>
      <w:pPr>
        <w:spacing w:after="0" w:line="1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components of net investment income were as follows:</w:t>
      </w:r>
    </w:p>
    <w:p>
      <w:pPr>
        <w:spacing w:after="0" w:line="264" w:lineRule="exact"/>
        <w:rPr>
          <w:sz w:val="20"/>
          <w:szCs w:val="20"/>
          <w:color w:val="auto"/>
        </w:rPr>
      </w:pPr>
    </w:p>
    <w:p>
      <w:pPr>
        <w:jc w:val="center"/>
        <w:ind w:left="72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5" w:lineRule="exact"/>
        <w:rPr>
          <w:sz w:val="20"/>
          <w:szCs w:val="20"/>
          <w:color w:val="auto"/>
        </w:rPr>
      </w:pPr>
    </w:p>
    <w:p>
      <w:pPr>
        <w:jc w:val="center"/>
        <w:ind w:left="722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4597400</wp:posOffset>
            </wp:positionH>
            <wp:positionV relativeFrom="paragraph">
              <wp:posOffset>31115</wp:posOffset>
            </wp:positionV>
            <wp:extent cx="254063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540635" cy="8255"/>
                    </a:xfrm>
                    <a:prstGeom prst="rect">
                      <a:avLst/>
                    </a:prstGeom>
                    <a:noFill/>
                  </pic:spPr>
                </pic:pic>
              </a:graphicData>
            </a:graphic>
          </wp:anchor>
        </w:drawing>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240" w:type="dxa"/>
            <w:vAlign w:val="bottom"/>
          </w:tcPr>
          <w:p>
            <w:pPr>
              <w:spacing w:after="0"/>
              <w:rPr>
                <w:sz w:val="16"/>
                <w:szCs w:val="16"/>
                <w:color w:val="auto"/>
              </w:rPr>
            </w:pPr>
          </w:p>
        </w:tc>
        <w:tc>
          <w:tcPr>
            <w:tcW w:w="1320" w:type="dxa"/>
            <w:vAlign w:val="bottom"/>
          </w:tcPr>
          <w:p>
            <w:pPr>
              <w:jc w:val="right"/>
              <w:ind w:right="123"/>
              <w:spacing w:after="0"/>
              <w:rPr>
                <w:sz w:val="20"/>
                <w:szCs w:val="20"/>
                <w:color w:val="auto"/>
              </w:rPr>
            </w:pPr>
            <w:r>
              <w:rPr>
                <w:rFonts w:ascii="Times New Roman" w:cs="Times New Roman" w:eastAsia="Times New Roman" w:hAnsi="Times New Roman"/>
                <w:sz w:val="14"/>
                <w:szCs w:val="14"/>
                <w:b w:val="1"/>
                <w:bCs w:val="1"/>
                <w:color w:val="auto"/>
              </w:rPr>
              <w:t>2026</w:t>
            </w: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380" w:type="dxa"/>
            <w:vAlign w:val="bottom"/>
          </w:tcPr>
          <w:p>
            <w:pPr>
              <w:jc w:val="right"/>
              <w:ind w:right="761"/>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38"/>
        </w:trPr>
        <w:tc>
          <w:tcPr>
            <w:tcW w:w="7240" w:type="dxa"/>
            <w:vAlign w:val="bottom"/>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gridSpan w:val="3"/>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93"/>
        </w:trPr>
        <w:tc>
          <w:tcPr>
            <w:tcW w:w="7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00" w:type="dxa"/>
            <w:vAlign w:val="bottom"/>
            <w:gridSpan w:val="3"/>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
        </w:trPr>
        <w:tc>
          <w:tcPr>
            <w:tcW w:w="7240" w:type="dxa"/>
            <w:vAlign w:val="bottom"/>
          </w:tcPr>
          <w:p>
            <w:pPr>
              <w:spacing w:after="0"/>
              <w:rPr>
                <w:sz w:val="3"/>
                <w:szCs w:val="3"/>
                <w:color w:val="auto"/>
              </w:rPr>
            </w:pPr>
          </w:p>
        </w:tc>
        <w:tc>
          <w:tcPr>
            <w:tcW w:w="1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3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1"/>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Investment income:</w:t>
            </w:r>
          </w:p>
        </w:tc>
        <w:tc>
          <w:tcPr>
            <w:tcW w:w="132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7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Fixed maturity securities</w:t>
            </w:r>
          </w:p>
        </w:tc>
        <w:tc>
          <w:tcPr>
            <w:tcW w:w="1320" w:type="dxa"/>
            <w:vAlign w:val="bottom"/>
          </w:tcPr>
          <w:p>
            <w:pPr>
              <w:jc w:val="right"/>
              <w:ind w:right="1143"/>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905</w:t>
            </w:r>
          </w:p>
        </w:tc>
        <w:tc>
          <w:tcPr>
            <w:tcW w:w="120" w:type="dxa"/>
            <w:vAlign w:val="bottom"/>
          </w:tcPr>
          <w:p>
            <w:pPr>
              <w:spacing w:after="0"/>
              <w:rPr>
                <w:sz w:val="24"/>
                <w:szCs w:val="24"/>
                <w:color w:val="auto"/>
              </w:rPr>
            </w:pPr>
          </w:p>
        </w:tc>
        <w:tc>
          <w:tcPr>
            <w:tcW w:w="560" w:type="dxa"/>
            <w:vAlign w:val="bottom"/>
          </w:tcPr>
          <w:p>
            <w:pPr>
              <w:jc w:val="right"/>
              <w:ind w:right="381"/>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914</w:t>
            </w:r>
          </w:p>
        </w:tc>
        <w:tc>
          <w:tcPr>
            <w:tcW w:w="0" w:type="dxa"/>
            <w:vAlign w:val="bottom"/>
          </w:tcPr>
          <w:p>
            <w:pPr>
              <w:spacing w:after="0"/>
              <w:rPr>
                <w:sz w:val="1"/>
                <w:szCs w:val="1"/>
                <w:color w:val="auto"/>
              </w:rPr>
            </w:pPr>
          </w:p>
        </w:tc>
      </w:tr>
      <w:tr>
        <w:trPr>
          <w:trHeight w:val="460"/>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Trading securities (1)</w:t>
            </w:r>
          </w:p>
        </w:tc>
        <w:tc>
          <w:tcPr>
            <w:tcW w:w="132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441"/>
        </w:trPr>
        <w:tc>
          <w:tcPr>
            <w:tcW w:w="7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Mortgage loans</w:t>
            </w:r>
          </w:p>
        </w:tc>
        <w:tc>
          <w:tcPr>
            <w:tcW w:w="13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w:t>
            </w:r>
          </w:p>
        </w:tc>
        <w:tc>
          <w:tcPr>
            <w:tcW w:w="0" w:type="dxa"/>
            <w:vAlign w:val="bottom"/>
          </w:tcPr>
          <w:p>
            <w:pPr>
              <w:spacing w:after="0"/>
              <w:rPr>
                <w:sz w:val="1"/>
                <w:szCs w:val="1"/>
                <w:color w:val="auto"/>
              </w:rPr>
            </w:pPr>
          </w:p>
        </w:tc>
      </w:tr>
      <w:tr>
        <w:trPr>
          <w:trHeight w:val="460"/>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Policy loans</w:t>
            </w:r>
          </w:p>
        </w:tc>
        <w:tc>
          <w:tcPr>
            <w:tcW w:w="132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441"/>
        </w:trPr>
        <w:tc>
          <w:tcPr>
            <w:tcW w:w="7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Limited partnerships and LLCs (2)</w:t>
            </w:r>
          </w:p>
        </w:tc>
        <w:tc>
          <w:tcPr>
            <w:tcW w:w="13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0" w:type="dxa"/>
            <w:vAlign w:val="bottom"/>
          </w:tcPr>
          <w:p>
            <w:pPr>
              <w:spacing w:after="0"/>
              <w:rPr>
                <w:sz w:val="1"/>
                <w:szCs w:val="1"/>
                <w:color w:val="auto"/>
              </w:rPr>
            </w:pPr>
          </w:p>
        </w:tc>
      </w:tr>
      <w:tr>
        <w:trPr>
          <w:trHeight w:val="460"/>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cash equivalents and short-term investments</w:t>
            </w:r>
          </w:p>
        </w:tc>
        <w:tc>
          <w:tcPr>
            <w:tcW w:w="132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0" w:type="dxa"/>
            <w:vAlign w:val="bottom"/>
          </w:tcPr>
          <w:p>
            <w:pPr>
              <w:spacing w:after="0"/>
              <w:rPr>
                <w:sz w:val="1"/>
                <w:szCs w:val="1"/>
                <w:color w:val="auto"/>
              </w:rPr>
            </w:pPr>
          </w:p>
        </w:tc>
      </w:tr>
      <w:tr>
        <w:trPr>
          <w:trHeight w:val="444"/>
        </w:trPr>
        <w:tc>
          <w:tcPr>
            <w:tcW w:w="7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3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20" w:type="dxa"/>
            <w:vAlign w:val="bottom"/>
            <w:tcBorders>
              <w:bottom w:val="single" w:sz="8" w:color="CCEEFF"/>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0" w:type="dxa"/>
            <w:vAlign w:val="bottom"/>
          </w:tcPr>
          <w:p>
            <w:pPr>
              <w:spacing w:after="0"/>
              <w:rPr>
                <w:sz w:val="1"/>
                <w:szCs w:val="1"/>
                <w:color w:val="auto"/>
              </w:rPr>
            </w:pPr>
          </w:p>
        </w:tc>
      </w:tr>
      <w:tr>
        <w:trPr>
          <w:trHeight w:val="450"/>
        </w:trPr>
        <w:tc>
          <w:tcPr>
            <w:tcW w:w="7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investment income</w:t>
            </w:r>
          </w:p>
        </w:tc>
        <w:tc>
          <w:tcPr>
            <w:tcW w:w="132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1,322</w:t>
            </w: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1,351</w:t>
            </w:r>
          </w:p>
        </w:tc>
        <w:tc>
          <w:tcPr>
            <w:tcW w:w="0" w:type="dxa"/>
            <w:vAlign w:val="bottom"/>
          </w:tcPr>
          <w:p>
            <w:pPr>
              <w:spacing w:after="0"/>
              <w:rPr>
                <w:sz w:val="1"/>
                <w:szCs w:val="1"/>
                <w:color w:val="auto"/>
              </w:rPr>
            </w:pPr>
          </w:p>
        </w:tc>
      </w:tr>
      <w:tr>
        <w:trPr>
          <w:trHeight w:val="444"/>
        </w:trPr>
        <w:tc>
          <w:tcPr>
            <w:tcW w:w="7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Investment expenses</w:t>
            </w:r>
          </w:p>
        </w:tc>
        <w:tc>
          <w:tcPr>
            <w:tcW w:w="13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120" w:type="dxa"/>
            <w:vAlign w:val="bottom"/>
            <w:tcBorders>
              <w:bottom w:val="single" w:sz="8" w:color="CCEEFF"/>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0" w:type="dxa"/>
            <w:vAlign w:val="bottom"/>
          </w:tcPr>
          <w:p>
            <w:pPr>
              <w:spacing w:after="0"/>
              <w:rPr>
                <w:sz w:val="1"/>
                <w:szCs w:val="1"/>
                <w:color w:val="auto"/>
              </w:rPr>
            </w:pPr>
          </w:p>
        </w:tc>
      </w:tr>
      <w:tr>
        <w:trPr>
          <w:trHeight w:val="475"/>
        </w:trPr>
        <w:tc>
          <w:tcPr>
            <w:tcW w:w="72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Net investment income</w:t>
            </w:r>
          </w:p>
        </w:tc>
        <w:tc>
          <w:tcPr>
            <w:tcW w:w="1320" w:type="dxa"/>
            <w:vAlign w:val="bottom"/>
            <w:tcBorders>
              <w:bottom w:val="single" w:sz="8" w:color="auto"/>
            </w:tcBorders>
            <w:shd w:val="clear" w:color="auto" w:fill="CCEEFF"/>
          </w:tcPr>
          <w:p>
            <w:pPr>
              <w:jc w:val="right"/>
              <w:ind w:right="1143"/>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1,236</w:t>
            </w:r>
          </w:p>
        </w:tc>
        <w:tc>
          <w:tcPr>
            <w:tcW w:w="12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jc w:val="right"/>
              <w:ind w:right="381"/>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1,269</w:t>
            </w:r>
          </w:p>
        </w:tc>
        <w:tc>
          <w:tcPr>
            <w:tcW w:w="0" w:type="dxa"/>
            <w:vAlign w:val="bottom"/>
          </w:tcPr>
          <w:p>
            <w:pPr>
              <w:spacing w:after="0"/>
              <w:rPr>
                <w:sz w:val="1"/>
                <w:szCs w:val="1"/>
                <w:color w:val="auto"/>
              </w:rPr>
            </w:pPr>
          </w:p>
        </w:tc>
      </w:tr>
      <w:tr>
        <w:trPr>
          <w:trHeight w:val="20"/>
        </w:trPr>
        <w:tc>
          <w:tcPr>
            <w:tcW w:w="72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4"/>
                <w:szCs w:val="14"/>
                <w:color w:val="auto"/>
              </w:rPr>
              <w:t>_______________</w:t>
            </w: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7240" w:type="dxa"/>
            <w:vAlign w:val="bottom"/>
            <w:vMerge w:val="continue"/>
          </w:tcPr>
          <w:p>
            <w:pPr>
              <w:spacing w:after="0"/>
              <w:rPr>
                <w:sz w:val="19"/>
                <w:szCs w:val="19"/>
                <w:color w:val="auto"/>
              </w:rPr>
            </w:pPr>
          </w:p>
        </w:tc>
        <w:tc>
          <w:tcPr>
            <w:tcW w:w="13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320" w:hanging="314"/>
        <w:spacing w:after="0" w:line="274" w:lineRule="auto"/>
        <w:tabs>
          <w:tab w:leader="none" w:pos="31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gains (losses) related to trading securities still held were ($10) million and $6 million for the three months ended March 31, 2026 and 2025, respectively.</w:t>
      </w:r>
    </w:p>
    <w:p>
      <w:pPr>
        <w:spacing w:after="0" w:line="57" w:lineRule="exact"/>
        <w:rPr>
          <w:rFonts w:ascii="Times New Roman" w:cs="Times New Roman" w:eastAsia="Times New Roman" w:hAnsi="Times New Roman"/>
          <w:sz w:val="18"/>
          <w:szCs w:val="18"/>
          <w:color w:val="auto"/>
        </w:rPr>
      </w:pPr>
    </w:p>
    <w:p>
      <w:pPr>
        <w:ind w:left="320" w:hanging="314"/>
        <w:spacing w:after="0" w:line="274" w:lineRule="auto"/>
        <w:tabs>
          <w:tab w:leader="none" w:pos="31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net investment income pertaining to other limited partnership interests of $64 million and $56 million for the three months ended March 31, 2026 and 2025, respectively.</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Investment Gains (Losses)</w:t>
      </w:r>
    </w:p>
    <w:p>
      <w:pPr>
        <w:spacing w:after="0" w:line="11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Components of Net Investment Gains (Losses)</w:t>
      </w:r>
    </w:p>
    <w:p>
      <w:pPr>
        <w:spacing w:after="0" w:line="11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components of net investment gains (losses) were as follows:</w:t>
      </w:r>
    </w:p>
    <w:p>
      <w:pPr>
        <w:spacing w:after="0" w:line="264" w:lineRule="exact"/>
        <w:rPr>
          <w:sz w:val="20"/>
          <w:szCs w:val="20"/>
          <w:color w:val="auto"/>
        </w:rPr>
      </w:pPr>
    </w:p>
    <w:p>
      <w:pPr>
        <w:jc w:val="center"/>
        <w:ind w:left="73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5" w:lineRule="exact"/>
        <w:rPr>
          <w:sz w:val="20"/>
          <w:szCs w:val="20"/>
          <w:color w:val="auto"/>
        </w:rPr>
      </w:pPr>
    </w:p>
    <w:p>
      <w:pPr>
        <w:jc w:val="center"/>
        <w:ind w:left="73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4690110</wp:posOffset>
            </wp:positionH>
            <wp:positionV relativeFrom="paragraph">
              <wp:posOffset>31115</wp:posOffset>
            </wp:positionV>
            <wp:extent cx="244856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448560" cy="8255"/>
                    </a:xfrm>
                    <a:prstGeom prst="rect">
                      <a:avLst/>
                    </a:prstGeom>
                    <a:noFill/>
                  </pic:spPr>
                </pic:pic>
              </a:graphicData>
            </a:graphic>
          </wp:anchor>
        </w:drawing>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380" w:type="dxa"/>
            <w:vAlign w:val="bottom"/>
          </w:tcPr>
          <w:p>
            <w:pPr>
              <w:spacing w:after="0"/>
              <w:rPr>
                <w:sz w:val="16"/>
                <w:szCs w:val="16"/>
                <w:color w:val="auto"/>
              </w:rPr>
            </w:pPr>
          </w:p>
        </w:tc>
        <w:tc>
          <w:tcPr>
            <w:tcW w:w="1320" w:type="dxa"/>
            <w:vAlign w:val="bottom"/>
          </w:tcPr>
          <w:p>
            <w:pPr>
              <w:jc w:val="right"/>
              <w:ind w:right="163"/>
              <w:spacing w:after="0"/>
              <w:rPr>
                <w:sz w:val="20"/>
                <w:szCs w:val="20"/>
                <w:color w:val="auto"/>
              </w:rPr>
            </w:pPr>
            <w:r>
              <w:rPr>
                <w:rFonts w:ascii="Times New Roman" w:cs="Times New Roman" w:eastAsia="Times New Roman" w:hAnsi="Times New Roman"/>
                <w:sz w:val="14"/>
                <w:szCs w:val="14"/>
                <w:b w:val="1"/>
                <w:bCs w:val="1"/>
                <w:color w:val="auto"/>
              </w:rPr>
              <w:t>2026</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320" w:type="dxa"/>
            <w:vAlign w:val="bottom"/>
          </w:tcPr>
          <w:p>
            <w:pPr>
              <w:jc w:val="right"/>
              <w:ind w:right="72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8"/>
        </w:trPr>
        <w:tc>
          <w:tcPr>
            <w:tcW w:w="7380" w:type="dxa"/>
            <w:vAlign w:val="bottom"/>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gridSpan w:val="3"/>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r>
      <w:tr>
        <w:trPr>
          <w:trHeight w:val="393"/>
        </w:trPr>
        <w:tc>
          <w:tcPr>
            <w:tcW w:w="7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20" w:type="dxa"/>
            <w:vAlign w:val="bottom"/>
            <w:gridSpan w:val="3"/>
          </w:tcPr>
          <w:p>
            <w:pPr>
              <w:ind w:left="2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320" w:type="dxa"/>
            <w:vAlign w:val="bottom"/>
          </w:tcPr>
          <w:p>
            <w:pPr>
              <w:spacing w:after="0"/>
              <w:rPr>
                <w:sz w:val="24"/>
                <w:szCs w:val="24"/>
                <w:color w:val="auto"/>
              </w:rPr>
            </w:pPr>
          </w:p>
        </w:tc>
      </w:tr>
      <w:tr>
        <w:trPr>
          <w:trHeight w:val="38"/>
        </w:trPr>
        <w:tc>
          <w:tcPr>
            <w:tcW w:w="73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320" w:type="dxa"/>
            <w:vAlign w:val="bottom"/>
          </w:tcPr>
          <w:p>
            <w:pPr>
              <w:spacing w:after="0"/>
              <w:rPr>
                <w:sz w:val="3"/>
                <w:szCs w:val="3"/>
                <w:color w:val="auto"/>
              </w:rPr>
            </w:pPr>
          </w:p>
        </w:tc>
      </w:tr>
      <w:tr>
        <w:trPr>
          <w:trHeight w:val="450"/>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Fixed maturity securities</w:t>
            </w:r>
          </w:p>
        </w:tc>
        <w:tc>
          <w:tcPr>
            <w:tcW w:w="1320" w:type="dxa"/>
            <w:vAlign w:val="bottom"/>
            <w:shd w:val="clear" w:color="auto" w:fill="CCEEFF"/>
          </w:tcPr>
          <w:p>
            <w:pPr>
              <w:jc w:val="right"/>
              <w:ind w:right="1123"/>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381"/>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r>
      <w:tr>
        <w:trPr>
          <w:trHeight w:val="441"/>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Equity securities</w:t>
            </w:r>
          </w:p>
        </w:tc>
        <w:tc>
          <w:tcPr>
            <w:tcW w:w="1320" w:type="dxa"/>
            <w:vAlign w:val="bottom"/>
          </w:tcPr>
          <w:p>
            <w:pPr>
              <w:spacing w:after="0"/>
              <w:rPr>
                <w:sz w:val="24"/>
                <w:szCs w:val="24"/>
                <w:color w:val="auto"/>
              </w:rPr>
            </w:pPr>
          </w:p>
        </w:tc>
        <w:tc>
          <w:tcPr>
            <w:tcW w:w="66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460"/>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Mortgage loans</w:t>
            </w:r>
          </w:p>
        </w:tc>
        <w:tc>
          <w:tcPr>
            <w:tcW w:w="132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r>
      <w:tr>
        <w:trPr>
          <w:trHeight w:val="441"/>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Limited partnerships and LLCs</w:t>
            </w:r>
          </w:p>
        </w:tc>
        <w:tc>
          <w:tcPr>
            <w:tcW w:w="1320" w:type="dxa"/>
            <w:vAlign w:val="bottom"/>
          </w:tcPr>
          <w:p>
            <w:pPr>
              <w:spacing w:after="0"/>
              <w:rPr>
                <w:sz w:val="24"/>
                <w:szCs w:val="24"/>
                <w:color w:val="auto"/>
              </w:rPr>
            </w:pPr>
          </w:p>
        </w:tc>
        <w:tc>
          <w:tcPr>
            <w:tcW w:w="66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453"/>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320" w:type="dxa"/>
            <w:vAlign w:val="bottom"/>
            <w:tcBorders>
              <w:bottom w:val="single" w:sz="8" w:color="auto"/>
            </w:tcBorders>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450"/>
        </w:trPr>
        <w:tc>
          <w:tcPr>
            <w:tcW w:w="73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net investment gains (losses)</w:t>
            </w:r>
          </w:p>
        </w:tc>
        <w:tc>
          <w:tcPr>
            <w:tcW w:w="1320" w:type="dxa"/>
            <w:vAlign w:val="bottom"/>
            <w:tcBorders>
              <w:bottom w:val="single" w:sz="8" w:color="auto"/>
            </w:tcBorders>
          </w:tcPr>
          <w:p>
            <w:pPr>
              <w:jc w:val="right"/>
              <w:ind w:right="1123"/>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00" w:type="dxa"/>
            <w:vAlign w:val="bottom"/>
          </w:tcPr>
          <w:p>
            <w:pPr>
              <w:spacing w:after="0"/>
              <w:rPr>
                <w:sz w:val="24"/>
                <w:szCs w:val="24"/>
                <w:color w:val="auto"/>
              </w:rPr>
            </w:pPr>
          </w:p>
        </w:tc>
        <w:tc>
          <w:tcPr>
            <w:tcW w:w="56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w:t>
            </w:r>
          </w:p>
        </w:tc>
      </w:tr>
      <w:tr>
        <w:trPr>
          <w:trHeight w:val="20"/>
        </w:trPr>
        <w:tc>
          <w:tcPr>
            <w:tcW w:w="73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30" w:right="339" w:bottom="0" w:gutter="0" w:footer="0" w:header="0"/>
        </w:sectPr>
      </w:pPr>
    </w:p>
    <w:p>
      <w:pPr>
        <w:spacing w:after="0" w:line="33" w:lineRule="exact"/>
        <w:rPr>
          <w:sz w:val="20"/>
          <w:szCs w:val="20"/>
          <w:color w:val="auto"/>
        </w:rPr>
      </w:pPr>
    </w:p>
    <w:p>
      <w:pPr>
        <w:ind w:left="160" w:firstLine="318"/>
        <w:spacing w:after="0" w:line="274" w:lineRule="auto"/>
        <w:rPr>
          <w:sz w:val="20"/>
          <w:szCs w:val="20"/>
          <w:color w:val="auto"/>
        </w:rPr>
      </w:pPr>
      <w:r>
        <w:rPr>
          <w:rFonts w:ascii="Times New Roman" w:cs="Times New Roman" w:eastAsia="Times New Roman" w:hAnsi="Times New Roman"/>
          <w:sz w:val="18"/>
          <w:szCs w:val="18"/>
          <w:color w:val="auto"/>
        </w:rPr>
        <w:t>Gains (losses) from foreign currency transactions included within net investment gains (losses) were not significant for both the three months ended March 31, 2026 and 2025.</w:t>
      </w:r>
    </w:p>
    <w:p>
      <w:pPr>
        <w:sectPr>
          <w:pgSz w:w="11900" w:h="16838" w:orient="portrait"/>
          <w:cols w:equalWidth="0" w:num="1">
            <w:col w:w="11240"/>
          </w:cols>
          <w:pgMar w:left="320" w:top="230" w:right="339" w:bottom="0" w:gutter="0" w:footer="0" w:header="0"/>
          <w:type w:val="continuous"/>
        </w:sectPr>
      </w:pPr>
    </w:p>
    <w:bookmarkStart w:id="39" w:name="page40"/>
    <w:bookmarkEnd w:id="39"/>
    <w:p>
      <w:pPr>
        <w:jc w:val="center"/>
        <w:ind w:right="-32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69215</wp:posOffset>
            </wp:positionV>
            <wp:extent cx="716026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9019"/>
          </w:cols>
          <w:pgMar w:left="1440" w:top="651" w:right="1440"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Life Insurance Company</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 Indirect Wholly-Owned Subsidiary of Brighthouse Financial, Inc.)</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Investments (continued)</w:t>
      </w:r>
    </w:p>
    <w:p>
      <w:pPr>
        <w:spacing w:after="0" w:line="200" w:lineRule="exact"/>
        <w:rPr>
          <w:sz w:val="20"/>
          <w:szCs w:val="20"/>
          <w:color w:val="auto"/>
        </w:rPr>
      </w:pPr>
    </w:p>
    <w:p>
      <w:pPr>
        <w:spacing w:after="0" w:line="30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Sales or Disposals of Fixed Maturity Securities</w:t>
      </w:r>
    </w:p>
    <w:p>
      <w:pPr>
        <w:spacing w:after="0" w:line="115" w:lineRule="exact"/>
        <w:rPr>
          <w:sz w:val="20"/>
          <w:szCs w:val="20"/>
          <w:color w:val="auto"/>
        </w:rPr>
      </w:pPr>
    </w:p>
    <w:p>
      <w:pPr>
        <w:jc w:val="both"/>
        <w:ind w:left="160" w:firstLine="318"/>
        <w:spacing w:after="0" w:line="274" w:lineRule="auto"/>
        <w:rPr>
          <w:sz w:val="20"/>
          <w:szCs w:val="20"/>
          <w:color w:val="auto"/>
        </w:rPr>
      </w:pPr>
      <w:r>
        <w:rPr>
          <w:rFonts w:ascii="Times New Roman" w:cs="Times New Roman" w:eastAsia="Times New Roman" w:hAnsi="Times New Roman"/>
          <w:sz w:val="18"/>
          <w:szCs w:val="18"/>
          <w:color w:val="auto"/>
        </w:rPr>
        <w:t>Investment gains and losses on sales of securities are determined on a specific identification basis. Proceeds from sales or disposals of fixed maturity securities and the components of fixed maturity securities net investment gains (losses) were as follows:</w:t>
      </w:r>
    </w:p>
    <w:p>
      <w:pPr>
        <w:spacing w:after="0" w:line="210" w:lineRule="exact"/>
        <w:rPr>
          <w:sz w:val="20"/>
          <w:szCs w:val="20"/>
          <w:color w:val="auto"/>
        </w:rPr>
      </w:pPr>
    </w:p>
    <w:p>
      <w:pPr>
        <w:jc w:val="center"/>
        <w:ind w:left="77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5" w:lineRule="exact"/>
        <w:rPr>
          <w:sz w:val="20"/>
          <w:szCs w:val="20"/>
          <w:color w:val="auto"/>
        </w:rPr>
      </w:pPr>
    </w:p>
    <w:p>
      <w:pPr>
        <w:jc w:val="center"/>
        <w:ind w:left="772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4909185</wp:posOffset>
            </wp:positionH>
            <wp:positionV relativeFrom="paragraph">
              <wp:posOffset>31115</wp:posOffset>
            </wp:positionV>
            <wp:extent cx="222948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229485" cy="8255"/>
                    </a:xfrm>
                    <a:prstGeom prst="rect">
                      <a:avLst/>
                    </a:prstGeom>
                    <a:noFill/>
                  </pic:spPr>
                </pic:pic>
              </a:graphicData>
            </a:graphic>
          </wp:anchor>
        </w:drawing>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740" w:type="dxa"/>
            <w:vAlign w:val="bottom"/>
          </w:tcPr>
          <w:p>
            <w:pPr>
              <w:spacing w:after="0"/>
              <w:rPr>
                <w:sz w:val="16"/>
                <w:szCs w:val="16"/>
                <w:color w:val="auto"/>
              </w:rPr>
            </w:pPr>
          </w:p>
        </w:tc>
        <w:tc>
          <w:tcPr>
            <w:tcW w:w="1180" w:type="dxa"/>
            <w:vAlign w:val="bottom"/>
          </w:tcPr>
          <w:p>
            <w:pPr>
              <w:jc w:val="right"/>
              <w:ind w:right="103"/>
              <w:spacing w:after="0"/>
              <w:rPr>
                <w:sz w:val="20"/>
                <w:szCs w:val="20"/>
                <w:color w:val="auto"/>
              </w:rPr>
            </w:pPr>
            <w:r>
              <w:rPr>
                <w:rFonts w:ascii="Times New Roman" w:cs="Times New Roman" w:eastAsia="Times New Roman" w:hAnsi="Times New Roman"/>
                <w:sz w:val="14"/>
                <w:szCs w:val="14"/>
                <w:b w:val="1"/>
                <w:bCs w:val="1"/>
                <w:color w:val="auto"/>
              </w:rPr>
              <w:t>2026</w:t>
            </w: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80" w:type="dxa"/>
            <w:vAlign w:val="bottom"/>
          </w:tcPr>
          <w:p>
            <w:pPr>
              <w:jc w:val="right"/>
              <w:ind w:right="62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8"/>
        </w:trPr>
        <w:tc>
          <w:tcPr>
            <w:tcW w:w="7740" w:type="dxa"/>
            <w:vAlign w:val="bottom"/>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gridSpan w:val="3"/>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393"/>
        </w:trPr>
        <w:tc>
          <w:tcPr>
            <w:tcW w:w="77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40" w:type="dxa"/>
            <w:vAlign w:val="bottom"/>
            <w:gridSpan w:val="3"/>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180" w:type="dxa"/>
            <w:vAlign w:val="bottom"/>
          </w:tcPr>
          <w:p>
            <w:pPr>
              <w:spacing w:after="0"/>
              <w:rPr>
                <w:sz w:val="24"/>
                <w:szCs w:val="24"/>
                <w:color w:val="auto"/>
              </w:rPr>
            </w:pPr>
          </w:p>
        </w:tc>
      </w:tr>
      <w:tr>
        <w:trPr>
          <w:trHeight w:val="38"/>
        </w:trPr>
        <w:tc>
          <w:tcPr>
            <w:tcW w:w="77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180" w:type="dxa"/>
            <w:vAlign w:val="bottom"/>
          </w:tcPr>
          <w:p>
            <w:pPr>
              <w:spacing w:after="0"/>
              <w:rPr>
                <w:sz w:val="3"/>
                <w:szCs w:val="3"/>
                <w:color w:val="auto"/>
              </w:rPr>
            </w:pPr>
          </w:p>
        </w:tc>
      </w:tr>
      <w:tr>
        <w:trPr>
          <w:trHeight w:val="475"/>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w:t>
            </w:r>
          </w:p>
        </w:tc>
        <w:tc>
          <w:tcPr>
            <w:tcW w:w="1180" w:type="dxa"/>
            <w:vAlign w:val="bottom"/>
            <w:tcBorders>
              <w:bottom w:val="single" w:sz="8" w:color="auto"/>
            </w:tcBorders>
            <w:shd w:val="clear" w:color="auto" w:fill="CCEEFF"/>
          </w:tcPr>
          <w:p>
            <w:pPr>
              <w:jc w:val="right"/>
              <w:ind w:right="1003"/>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575</w:t>
            </w:r>
          </w:p>
        </w:tc>
        <w:tc>
          <w:tcPr>
            <w:tcW w:w="8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jc w:val="right"/>
              <w:ind w:right="321"/>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603</w:t>
            </w:r>
          </w:p>
        </w:tc>
      </w:tr>
      <w:tr>
        <w:trPr>
          <w:trHeight w:val="20"/>
        </w:trPr>
        <w:tc>
          <w:tcPr>
            <w:tcW w:w="77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414"/>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investment gains</w:t>
            </w:r>
          </w:p>
        </w:tc>
        <w:tc>
          <w:tcPr>
            <w:tcW w:w="1180" w:type="dxa"/>
            <w:vAlign w:val="bottom"/>
          </w:tcPr>
          <w:p>
            <w:pPr>
              <w:jc w:val="right"/>
              <w:ind w:right="1003"/>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Pr>
          <w:p>
            <w:pPr>
              <w:spacing w:after="0"/>
              <w:rPr>
                <w:sz w:val="24"/>
                <w:szCs w:val="24"/>
                <w:color w:val="auto"/>
              </w:rPr>
            </w:pPr>
          </w:p>
        </w:tc>
        <w:tc>
          <w:tcPr>
            <w:tcW w:w="520" w:type="dxa"/>
            <w:vAlign w:val="bottom"/>
          </w:tcPr>
          <w:p>
            <w:pPr>
              <w:jc w:val="right"/>
              <w:ind w:right="321"/>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453"/>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investment losses</w:t>
            </w:r>
          </w:p>
        </w:tc>
        <w:tc>
          <w:tcPr>
            <w:tcW w:w="1180" w:type="dxa"/>
            <w:vAlign w:val="bottom"/>
            <w:tcBorders>
              <w:bottom w:val="single" w:sz="8" w:color="auto"/>
            </w:tcBorders>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80" w:type="dxa"/>
            <w:vAlign w:val="bottom"/>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r>
      <w:tr>
        <w:trPr>
          <w:trHeight w:val="450"/>
        </w:trPr>
        <w:tc>
          <w:tcPr>
            <w:tcW w:w="77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Net investment gains (losses)</w:t>
            </w:r>
          </w:p>
        </w:tc>
        <w:tc>
          <w:tcPr>
            <w:tcW w:w="1180" w:type="dxa"/>
            <w:vAlign w:val="bottom"/>
            <w:tcBorders>
              <w:bottom w:val="single" w:sz="8" w:color="auto"/>
            </w:tcBorders>
          </w:tcPr>
          <w:p>
            <w:pPr>
              <w:jc w:val="right"/>
              <w:ind w:right="1003"/>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80" w:type="dxa"/>
            <w:vAlign w:val="bottom"/>
          </w:tcPr>
          <w:p>
            <w:pPr>
              <w:spacing w:after="0"/>
              <w:rPr>
                <w:sz w:val="24"/>
                <w:szCs w:val="24"/>
                <w:color w:val="auto"/>
              </w:rPr>
            </w:pPr>
          </w:p>
        </w:tc>
        <w:tc>
          <w:tcPr>
            <w:tcW w:w="52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w:t>
            </w:r>
          </w:p>
        </w:tc>
      </w:tr>
      <w:tr>
        <w:trPr>
          <w:trHeight w:val="20"/>
        </w:trPr>
        <w:tc>
          <w:tcPr>
            <w:tcW w:w="77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Derivatives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for Derivatives</w:t>
      </w:r>
    </w:p>
    <w:p>
      <w:pPr>
        <w:spacing w:after="0" w:line="115"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See Notes 1 and 10 of the Notes to the Consolidated Financial Statements included in the 2025 Annual Report for a description of the Company’s accounting policies for derivatives and the fair value hierarchy for derivatives and the related valuation methodologies.</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Types of Derivative Instruments and Derivative Strategies</w:t>
      </w:r>
    </w:p>
    <w:p>
      <w:pPr>
        <w:spacing w:after="0" w:line="115" w:lineRule="exact"/>
        <w:rPr>
          <w:sz w:val="20"/>
          <w:szCs w:val="20"/>
          <w:color w:val="auto"/>
        </w:rPr>
      </w:pPr>
    </w:p>
    <w:p>
      <w:pPr>
        <w:jc w:val="both"/>
        <w:ind w:left="160" w:firstLine="318"/>
        <w:spacing w:after="0" w:line="252" w:lineRule="auto"/>
        <w:rPr>
          <w:sz w:val="20"/>
          <w:szCs w:val="20"/>
          <w:color w:val="auto"/>
        </w:rPr>
      </w:pPr>
      <w:r>
        <w:rPr>
          <w:rFonts w:ascii="Times New Roman" w:cs="Times New Roman" w:eastAsia="Times New Roman" w:hAnsi="Times New Roman"/>
          <w:sz w:val="18"/>
          <w:szCs w:val="18"/>
          <w:color w:val="auto"/>
        </w:rPr>
        <w:t>The Company maintains an overall risk management strategy that incorporates the use of derivative instruments to minimize its exposure to various market risks. Derivatives are financial instruments with values derived from interest rates, foreign currency exchange rates, credit spreads and/or other financial indices. Derivatives may be exchange-traded or contracted in the over-the-counter (“OTC”) market. Certain of the Company’s OTC derivatives are cleared and settled through central clearing counterparties (“OTC-cleared”), while others are bilateral contracts between two counterparties (“OTC-bilateral”). Commonly used derivative instruments include, but are not necessarily limited to:</w:t>
      </w:r>
    </w:p>
    <w:p>
      <w:pPr>
        <w:spacing w:after="0" w:line="79" w:lineRule="exact"/>
        <w:rPr>
          <w:sz w:val="20"/>
          <w:szCs w:val="20"/>
          <w:color w:val="auto"/>
        </w:rPr>
      </w:pPr>
    </w:p>
    <w:p>
      <w:pPr>
        <w:ind w:left="800" w:hanging="317"/>
        <w:spacing w:after="0"/>
        <w:tabs>
          <w:tab w:leader="none" w:pos="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rate derivatives: swaps, floors, caps, futures, options and forwards;</w:t>
      </w:r>
    </w:p>
    <w:p>
      <w:pPr>
        <w:spacing w:after="0" w:line="111" w:lineRule="exact"/>
        <w:rPr>
          <w:rFonts w:ascii="Times New Roman" w:cs="Times New Roman" w:eastAsia="Times New Roman" w:hAnsi="Times New Roman"/>
          <w:sz w:val="18"/>
          <w:szCs w:val="18"/>
          <w:color w:val="auto"/>
        </w:rPr>
      </w:pPr>
    </w:p>
    <w:p>
      <w:pPr>
        <w:ind w:left="800" w:hanging="317"/>
        <w:spacing w:after="0"/>
        <w:tabs>
          <w:tab w:leader="none" w:pos="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exchange rate derivatives: forwards and swaps;</w:t>
      </w:r>
    </w:p>
    <w:p>
      <w:pPr>
        <w:spacing w:after="0" w:line="111" w:lineRule="exact"/>
        <w:rPr>
          <w:rFonts w:ascii="Times New Roman" w:cs="Times New Roman" w:eastAsia="Times New Roman" w:hAnsi="Times New Roman"/>
          <w:sz w:val="18"/>
          <w:szCs w:val="18"/>
          <w:color w:val="auto"/>
        </w:rPr>
      </w:pPr>
    </w:p>
    <w:p>
      <w:pPr>
        <w:ind w:left="800" w:hanging="317"/>
        <w:spacing w:after="0"/>
        <w:tabs>
          <w:tab w:leader="none" w:pos="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market derivatives: futures, options and total return swaps; and</w:t>
      </w:r>
    </w:p>
    <w:p>
      <w:pPr>
        <w:spacing w:after="0" w:line="111" w:lineRule="exact"/>
        <w:rPr>
          <w:rFonts w:ascii="Times New Roman" w:cs="Times New Roman" w:eastAsia="Times New Roman" w:hAnsi="Times New Roman"/>
          <w:sz w:val="18"/>
          <w:szCs w:val="18"/>
          <w:color w:val="auto"/>
        </w:rPr>
      </w:pPr>
    </w:p>
    <w:p>
      <w:pPr>
        <w:ind w:left="800" w:hanging="317"/>
        <w:spacing w:after="0"/>
        <w:tabs>
          <w:tab w:leader="none" w:pos="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derivatives: index reference credit default swaps.</w:t>
      </w:r>
    </w:p>
    <w:p>
      <w:pPr>
        <w:spacing w:after="0" w:line="111" w:lineRule="exact"/>
        <w:rPr>
          <w:sz w:val="20"/>
          <w:szCs w:val="20"/>
          <w:color w:val="auto"/>
        </w:rPr>
      </w:pPr>
    </w:p>
    <w:p>
      <w:pPr>
        <w:ind w:left="160" w:firstLine="318"/>
        <w:spacing w:after="0" w:line="274" w:lineRule="auto"/>
        <w:rPr>
          <w:sz w:val="20"/>
          <w:szCs w:val="20"/>
          <w:color w:val="auto"/>
        </w:rPr>
      </w:pPr>
      <w:r>
        <w:rPr>
          <w:rFonts w:ascii="Times New Roman" w:cs="Times New Roman" w:eastAsia="Times New Roman" w:hAnsi="Times New Roman"/>
          <w:sz w:val="18"/>
          <w:szCs w:val="18"/>
          <w:color w:val="auto"/>
        </w:rPr>
        <w:t>For detailed information on these contracts and the related strategies, see Note 9 of the Notes to the Consolidated Financial Statements included in the 2025 Annual Report.</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Life Insurance Company</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 Indirect Wholly-Owned Subsidiary of Brighthouse Financial, Inc.)</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Derivatives (continued)</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Primary Risks Managed by Derivatives</w:t>
      </w:r>
    </w:p>
    <w:p>
      <w:pPr>
        <w:spacing w:after="0" w:line="115"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The primary underlying risk exposure, gross notional amount and estimated fair value of derivatives, excluding embedded derivatives, held were as follows at:</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6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40" w:type="dxa"/>
            <w:vAlign w:val="bottom"/>
            <w:gridSpan w:val="5"/>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rPr>
              <w:t>March 31, 2026</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40" w:type="dxa"/>
            <w:vAlign w:val="bottom"/>
            <w:gridSpan w:val="5"/>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rPr>
              <w:t>December 31, 2025</w:t>
            </w: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306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4"/>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374"/>
        </w:trPr>
        <w:tc>
          <w:tcPr>
            <w:tcW w:w="306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00" w:type="dxa"/>
            <w:vAlign w:val="bottom"/>
            <w:gridSpan w:val="5"/>
          </w:tcPr>
          <w:p>
            <w:pPr>
              <w:ind w:left="160"/>
              <w:spacing w:after="0"/>
              <w:rPr>
                <w:sz w:val="20"/>
                <w:szCs w:val="20"/>
                <w:color w:val="auto"/>
              </w:rPr>
            </w:pPr>
            <w:r>
              <w:rPr>
                <w:rFonts w:ascii="Times New Roman" w:cs="Times New Roman" w:eastAsia="Times New Roman" w:hAnsi="Times New Roman"/>
                <w:sz w:val="12"/>
                <w:szCs w:val="12"/>
                <w:b w:val="1"/>
                <w:bCs w:val="1"/>
                <w:color w:val="auto"/>
              </w:rPr>
              <w:t>Estimated Fair Value</w:t>
            </w: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gridSpan w:val="4"/>
          </w:tcPr>
          <w:p>
            <w:pPr>
              <w:jc w:val="right"/>
              <w:ind w:right="252"/>
              <w:spacing w:after="0"/>
              <w:rPr>
                <w:sz w:val="20"/>
                <w:szCs w:val="20"/>
                <w:color w:val="auto"/>
              </w:rPr>
            </w:pPr>
            <w:r>
              <w:rPr>
                <w:rFonts w:ascii="Times New Roman" w:cs="Times New Roman" w:eastAsia="Times New Roman" w:hAnsi="Times New Roman"/>
                <w:sz w:val="12"/>
                <w:szCs w:val="12"/>
                <w:b w:val="1"/>
                <w:bCs w:val="1"/>
                <w:color w:val="auto"/>
              </w:rPr>
              <w:t>Estimated Fair Value</w:t>
            </w:r>
          </w:p>
        </w:tc>
        <w:tc>
          <w:tcPr>
            <w:tcW w:w="0" w:type="dxa"/>
            <w:vAlign w:val="bottom"/>
          </w:tcPr>
          <w:p>
            <w:pPr>
              <w:spacing w:after="0"/>
              <w:rPr>
                <w:sz w:val="1"/>
                <w:szCs w:val="1"/>
                <w:color w:val="auto"/>
              </w:rPr>
            </w:pPr>
          </w:p>
        </w:tc>
      </w:tr>
      <w:tr>
        <w:trPr>
          <w:trHeight w:val="30"/>
        </w:trPr>
        <w:tc>
          <w:tcPr>
            <w:tcW w:w="306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gridSpan w:val="2"/>
            <w:vMerge w:val="restart"/>
          </w:tcPr>
          <w:p>
            <w:pPr>
              <w:ind w:left="40"/>
              <w:spacing w:after="0"/>
              <w:rPr>
                <w:sz w:val="20"/>
                <w:szCs w:val="20"/>
                <w:color w:val="auto"/>
              </w:rPr>
            </w:pPr>
            <w:r>
              <w:rPr>
                <w:rFonts w:ascii="Times New Roman" w:cs="Times New Roman" w:eastAsia="Times New Roman" w:hAnsi="Times New Roman"/>
                <w:sz w:val="12"/>
                <w:szCs w:val="12"/>
                <w:b w:val="1"/>
                <w:bCs w:val="1"/>
                <w:color w:val="auto"/>
              </w:rPr>
              <w:t>Gross Notional</w:t>
            </w: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gridSpan w:val="2"/>
            <w:vMerge w:val="restart"/>
          </w:tcPr>
          <w:p>
            <w:pPr>
              <w:ind w:left="40"/>
              <w:spacing w:after="0"/>
              <w:rPr>
                <w:sz w:val="20"/>
                <w:szCs w:val="20"/>
                <w:color w:val="auto"/>
              </w:rPr>
            </w:pPr>
            <w:r>
              <w:rPr>
                <w:rFonts w:ascii="Times New Roman" w:cs="Times New Roman" w:eastAsia="Times New Roman" w:hAnsi="Times New Roman"/>
                <w:sz w:val="12"/>
                <w:szCs w:val="12"/>
                <w:b w:val="1"/>
                <w:bCs w:val="1"/>
                <w:color w:val="auto"/>
              </w:rPr>
              <w:t>Gross Notional</w:t>
            </w: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30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060" w:type="dxa"/>
            <w:vAlign w:val="bottom"/>
          </w:tcPr>
          <w:p>
            <w:pPr>
              <w:spacing w:after="0"/>
              <w:rPr>
                <w:sz w:val="14"/>
                <w:szCs w:val="14"/>
                <w:color w:val="auto"/>
              </w:rPr>
            </w:pPr>
          </w:p>
        </w:tc>
        <w:tc>
          <w:tcPr>
            <w:tcW w:w="2560" w:type="dxa"/>
            <w:vAlign w:val="bottom"/>
            <w:gridSpan w:val="2"/>
          </w:tcPr>
          <w:p>
            <w:pPr>
              <w:ind w:left="280"/>
              <w:spacing w:after="0"/>
              <w:rPr>
                <w:sz w:val="20"/>
                <w:szCs w:val="20"/>
                <w:color w:val="auto"/>
              </w:rPr>
            </w:pPr>
            <w:r>
              <w:rPr>
                <w:rFonts w:ascii="Times New Roman" w:cs="Times New Roman" w:eastAsia="Times New Roman" w:hAnsi="Times New Roman"/>
                <w:sz w:val="12"/>
                <w:szCs w:val="12"/>
                <w:b w:val="1"/>
                <w:bCs w:val="1"/>
                <w:color w:val="auto"/>
              </w:rPr>
              <w:t>Primary Underlying Risk Exposure</w:t>
            </w:r>
          </w:p>
        </w:tc>
        <w:tc>
          <w:tcPr>
            <w:tcW w:w="160" w:type="dxa"/>
            <w:vAlign w:val="bottom"/>
          </w:tcPr>
          <w:p>
            <w:pPr>
              <w:spacing w:after="0"/>
              <w:rPr>
                <w:sz w:val="14"/>
                <w:szCs w:val="14"/>
                <w:color w:val="auto"/>
              </w:rPr>
            </w:pPr>
          </w:p>
        </w:tc>
        <w:tc>
          <w:tcPr>
            <w:tcW w:w="720" w:type="dxa"/>
            <w:vAlign w:val="bottom"/>
          </w:tcPr>
          <w:p>
            <w:pPr>
              <w:jc w:val="right"/>
              <w:ind w:right="152"/>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3"/>
          </w:tcPr>
          <w:p>
            <w:pPr>
              <w:jc w:val="center"/>
              <w:ind w:right="420"/>
              <w:spacing w:after="0"/>
              <w:rPr>
                <w:sz w:val="20"/>
                <w:szCs w:val="20"/>
                <w:color w:val="auto"/>
              </w:rPr>
            </w:pPr>
            <w:r>
              <w:rPr>
                <w:rFonts w:ascii="Times New Roman" w:cs="Times New Roman" w:eastAsia="Times New Roman" w:hAnsi="Times New Roman"/>
                <w:sz w:val="12"/>
                <w:szCs w:val="12"/>
                <w:b w:val="1"/>
                <w:bCs w:val="1"/>
                <w:color w:val="auto"/>
                <w:w w:val="99"/>
              </w:rPr>
              <w:t>Assets</w:t>
            </w:r>
          </w:p>
        </w:tc>
        <w:tc>
          <w:tcPr>
            <w:tcW w:w="840" w:type="dxa"/>
            <w:vAlign w:val="bottom"/>
            <w:gridSpan w:val="2"/>
          </w:tcPr>
          <w:p>
            <w:pPr>
              <w:ind w:left="40"/>
              <w:spacing w:after="0"/>
              <w:rPr>
                <w:sz w:val="20"/>
                <w:szCs w:val="20"/>
                <w:color w:val="auto"/>
              </w:rPr>
            </w:pPr>
            <w:r>
              <w:rPr>
                <w:rFonts w:ascii="Times New Roman" w:cs="Times New Roman" w:eastAsia="Times New Roman" w:hAnsi="Times New Roman"/>
                <w:sz w:val="12"/>
                <w:szCs w:val="12"/>
                <w:b w:val="1"/>
                <w:bCs w:val="1"/>
                <w:color w:val="auto"/>
              </w:rPr>
              <w:t>Liabilities</w:t>
            </w:r>
          </w:p>
        </w:tc>
        <w:tc>
          <w:tcPr>
            <w:tcW w:w="160" w:type="dxa"/>
            <w:vAlign w:val="bottom"/>
          </w:tcPr>
          <w:p>
            <w:pPr>
              <w:spacing w:after="0"/>
              <w:rPr>
                <w:sz w:val="14"/>
                <w:szCs w:val="14"/>
                <w:color w:val="auto"/>
              </w:rPr>
            </w:pPr>
          </w:p>
        </w:tc>
        <w:tc>
          <w:tcPr>
            <w:tcW w:w="720" w:type="dxa"/>
            <w:vAlign w:val="bottom"/>
          </w:tcPr>
          <w:p>
            <w:pPr>
              <w:jc w:val="right"/>
              <w:ind w:right="152"/>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3"/>
          </w:tcPr>
          <w:p>
            <w:pPr>
              <w:jc w:val="center"/>
              <w:ind w:right="420"/>
              <w:spacing w:after="0"/>
              <w:rPr>
                <w:sz w:val="20"/>
                <w:szCs w:val="20"/>
                <w:color w:val="auto"/>
              </w:rPr>
            </w:pPr>
            <w:r>
              <w:rPr>
                <w:rFonts w:ascii="Times New Roman" w:cs="Times New Roman" w:eastAsia="Times New Roman" w:hAnsi="Times New Roman"/>
                <w:sz w:val="12"/>
                <w:szCs w:val="12"/>
                <w:b w:val="1"/>
                <w:bCs w:val="1"/>
                <w:color w:val="auto"/>
                <w:w w:val="99"/>
              </w:rPr>
              <w:t>Assets</w:t>
            </w:r>
          </w:p>
        </w:tc>
        <w:tc>
          <w:tcPr>
            <w:tcW w:w="740" w:type="dxa"/>
            <w:vAlign w:val="bottom"/>
          </w:tcPr>
          <w:p>
            <w:pPr>
              <w:jc w:val="right"/>
              <w:ind w:right="112"/>
              <w:spacing w:after="0"/>
              <w:rPr>
                <w:sz w:val="20"/>
                <w:szCs w:val="20"/>
                <w:color w:val="auto"/>
              </w:rPr>
            </w:pPr>
            <w:r>
              <w:rPr>
                <w:rFonts w:ascii="Times New Roman" w:cs="Times New Roman" w:eastAsia="Times New Roman" w:hAnsi="Times New Roman"/>
                <w:sz w:val="12"/>
                <w:szCs w:val="12"/>
                <w:b w:val="1"/>
                <w:bCs w:val="1"/>
                <w:color w:val="auto"/>
              </w:rPr>
              <w:t>Liabilities</w:t>
            </w:r>
          </w:p>
        </w:tc>
        <w:tc>
          <w:tcPr>
            <w:tcW w:w="0" w:type="dxa"/>
            <w:vAlign w:val="bottom"/>
          </w:tcPr>
          <w:p>
            <w:pPr>
              <w:spacing w:after="0"/>
              <w:rPr>
                <w:sz w:val="1"/>
                <w:szCs w:val="1"/>
                <w:color w:val="auto"/>
              </w:rPr>
            </w:pPr>
          </w:p>
        </w:tc>
      </w:tr>
      <w:tr>
        <w:trPr>
          <w:trHeight w:val="30"/>
        </w:trPr>
        <w:tc>
          <w:tcPr>
            <w:tcW w:w="3060" w:type="dxa"/>
            <w:vAlign w:val="bottom"/>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60"/>
        </w:trPr>
        <w:tc>
          <w:tcPr>
            <w:tcW w:w="306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20" w:type="dxa"/>
            <w:vAlign w:val="bottom"/>
            <w:gridSpan w:val="4"/>
          </w:tcPr>
          <w:p>
            <w:pPr>
              <w:jc w:val="right"/>
              <w:ind w:right="532"/>
              <w:spacing w:after="0"/>
              <w:rPr>
                <w:sz w:val="20"/>
                <w:szCs w:val="20"/>
                <w:color w:val="auto"/>
              </w:rPr>
            </w:pPr>
            <w:r>
              <w:rPr>
                <w:rFonts w:ascii="Times New Roman" w:cs="Times New Roman" w:eastAsia="Times New Roman" w:hAnsi="Times New Roman"/>
                <w:sz w:val="12"/>
                <w:szCs w:val="12"/>
                <w:b w:val="1"/>
                <w:bCs w:val="1"/>
                <w:color w:val="auto"/>
              </w:rPr>
              <w:t>(In millions)</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306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17"/>
        </w:trPr>
        <w:tc>
          <w:tcPr>
            <w:tcW w:w="3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Derivatives Designated as Hedging Instruments:</w:t>
            </w:r>
          </w:p>
        </w:tc>
        <w:tc>
          <w:tcPr>
            <w:tcW w:w="24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400"/>
        </w:trPr>
        <w:tc>
          <w:tcPr>
            <w:tcW w:w="3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flow hedges:</w:t>
            </w:r>
          </w:p>
        </w:tc>
        <w:tc>
          <w:tcPr>
            <w:tcW w:w="2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
        </w:trPr>
        <w:tc>
          <w:tcPr>
            <w:tcW w:w="3060" w:type="dxa"/>
            <w:vAlign w:val="bottom"/>
          </w:tcPr>
          <w:p>
            <w:pPr>
              <w:spacing w:after="0"/>
              <w:rPr>
                <w:sz w:val="3"/>
                <w:szCs w:val="3"/>
                <w:color w:val="auto"/>
              </w:rPr>
            </w:pPr>
          </w:p>
        </w:tc>
        <w:tc>
          <w:tcPr>
            <w:tcW w:w="2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7"/>
        </w:trPr>
        <w:tc>
          <w:tcPr>
            <w:tcW w:w="3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rate swaps</w:t>
            </w:r>
          </w:p>
        </w:tc>
        <w:tc>
          <w:tcPr>
            <w:tcW w:w="25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rate</w:t>
            </w:r>
          </w:p>
        </w:tc>
        <w:tc>
          <w:tcPr>
            <w:tcW w:w="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gridSpan w:val="3"/>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   $</w:t>
            </w:r>
          </w:p>
        </w:tc>
        <w:tc>
          <w:tcPr>
            <w:tcW w:w="840" w:type="dxa"/>
            <w:vAlign w:val="bottom"/>
            <w:tcBorders>
              <w:bottom w:val="single" w:sz="8" w:color="CCEEFF"/>
            </w:tcBorders>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gridSpan w:val="3"/>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   $</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400"/>
        </w:trPr>
        <w:tc>
          <w:tcPr>
            <w:tcW w:w="3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currency swaps</w:t>
            </w:r>
          </w:p>
        </w:tc>
        <w:tc>
          <w:tcPr>
            <w:tcW w:w="25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Foreign currency exchange rate</w:t>
            </w:r>
          </w:p>
        </w:tc>
        <w:tc>
          <w:tcPr>
            <w:tcW w:w="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3,697</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337</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58</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3,731</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266</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0" w:type="dxa"/>
            <w:vAlign w:val="bottom"/>
          </w:tcPr>
          <w:p>
            <w:pPr>
              <w:spacing w:after="0"/>
              <w:rPr>
                <w:sz w:val="1"/>
                <w:szCs w:val="1"/>
                <w:color w:val="auto"/>
              </w:rPr>
            </w:pPr>
          </w:p>
        </w:tc>
      </w:tr>
      <w:tr>
        <w:trPr>
          <w:trHeight w:val="38"/>
        </w:trPr>
        <w:tc>
          <w:tcPr>
            <w:tcW w:w="3060" w:type="dxa"/>
            <w:vAlign w:val="bottom"/>
            <w:tcBorders>
              <w:bottom w:val="single" w:sz="8" w:color="CCEEFF"/>
            </w:tcBorders>
          </w:tcPr>
          <w:p>
            <w:pPr>
              <w:spacing w:after="0"/>
              <w:rPr>
                <w:sz w:val="3"/>
                <w:szCs w:val="3"/>
                <w:color w:val="auto"/>
              </w:rPr>
            </w:pPr>
          </w:p>
        </w:tc>
        <w:tc>
          <w:tcPr>
            <w:tcW w:w="246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93"/>
        </w:trPr>
        <w:tc>
          <w:tcPr>
            <w:tcW w:w="3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Total qualifying hedges</w:t>
            </w:r>
          </w:p>
        </w:tc>
        <w:tc>
          <w:tcPr>
            <w:tcW w:w="24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4,197</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337</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58</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4,231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0" w:type="dxa"/>
            <w:vAlign w:val="bottom"/>
          </w:tcPr>
          <w:p>
            <w:pPr>
              <w:spacing w:after="0"/>
              <w:rPr>
                <w:sz w:val="1"/>
                <w:szCs w:val="1"/>
                <w:color w:val="auto"/>
              </w:rPr>
            </w:pPr>
          </w:p>
        </w:tc>
      </w:tr>
      <w:tr>
        <w:trPr>
          <w:trHeight w:val="38"/>
        </w:trPr>
        <w:tc>
          <w:tcPr>
            <w:tcW w:w="3060" w:type="dxa"/>
            <w:vAlign w:val="bottom"/>
            <w:shd w:val="clear" w:color="auto" w:fill="CCEEFF"/>
          </w:tcPr>
          <w:p>
            <w:pPr>
              <w:spacing w:after="0"/>
              <w:rPr>
                <w:sz w:val="3"/>
                <w:szCs w:val="3"/>
                <w:color w:val="auto"/>
              </w:rPr>
            </w:pPr>
          </w:p>
        </w:tc>
        <w:tc>
          <w:tcPr>
            <w:tcW w:w="24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0</wp:posOffset>
            </wp:positionV>
            <wp:extent cx="356743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567430" cy="825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4"/>
          <w:szCs w:val="14"/>
          <w:b w:val="1"/>
          <w:bCs w:val="1"/>
          <w:color w:val="auto"/>
        </w:rPr>
        <w:t>Derivatives Not Designated or Not Qualifying as Hedging Instruments: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417"/>
        </w:trPr>
        <w:tc>
          <w:tcPr>
            <w:tcW w:w="3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rate swaps</w:t>
            </w:r>
          </w:p>
        </w:tc>
        <w:tc>
          <w:tcPr>
            <w:tcW w:w="2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rate</w:t>
            </w:r>
          </w:p>
        </w:tc>
        <w:tc>
          <w:tcPr>
            <w:tcW w:w="24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25,442</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335</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18,366</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w:t>
            </w:r>
          </w:p>
        </w:tc>
      </w:tr>
      <w:tr>
        <w:trPr>
          <w:trHeight w:val="400"/>
        </w:trPr>
        <w:tc>
          <w:tcPr>
            <w:tcW w:w="3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rate floors</w:t>
            </w:r>
          </w:p>
        </w:tc>
        <w:tc>
          <w:tcPr>
            <w:tcW w:w="2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rate</w:t>
            </w:r>
          </w:p>
        </w:tc>
        <w:tc>
          <w:tcPr>
            <w:tcW w:w="2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5,500</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8,000</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w:t>
            </w:r>
          </w:p>
        </w:tc>
      </w:tr>
      <w:tr>
        <w:trPr>
          <w:trHeight w:val="37"/>
        </w:trPr>
        <w:tc>
          <w:tcPr>
            <w:tcW w:w="3060" w:type="dxa"/>
            <w:vAlign w:val="bottom"/>
          </w:tcPr>
          <w:p>
            <w:pPr>
              <w:spacing w:after="0"/>
              <w:rPr>
                <w:sz w:val="3"/>
                <w:szCs w:val="3"/>
                <w:color w:val="auto"/>
              </w:rPr>
            </w:pPr>
          </w:p>
        </w:tc>
        <w:tc>
          <w:tcPr>
            <w:tcW w:w="2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580" w:type="dxa"/>
            <w:vAlign w:val="bottom"/>
          </w:tcPr>
          <w:p>
            <w:pPr>
              <w:spacing w:after="0"/>
              <w:rPr>
                <w:sz w:val="3"/>
                <w:szCs w:val="3"/>
                <w:color w:val="auto"/>
              </w:rPr>
            </w:pPr>
          </w:p>
        </w:tc>
      </w:tr>
      <w:tr>
        <w:trPr>
          <w:trHeight w:val="417"/>
        </w:trPr>
        <w:tc>
          <w:tcPr>
            <w:tcW w:w="3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rate caps</w:t>
            </w:r>
          </w:p>
        </w:tc>
        <w:tc>
          <w:tcPr>
            <w:tcW w:w="2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rate</w:t>
            </w:r>
          </w:p>
        </w:tc>
        <w:tc>
          <w:tcPr>
            <w:tcW w:w="24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6,600</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6,100</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r>
      <w:tr>
        <w:trPr>
          <w:trHeight w:val="400"/>
        </w:trPr>
        <w:tc>
          <w:tcPr>
            <w:tcW w:w="3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rate options</w:t>
            </w:r>
          </w:p>
        </w:tc>
        <w:tc>
          <w:tcPr>
            <w:tcW w:w="2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rate</w:t>
            </w:r>
          </w:p>
        </w:tc>
        <w:tc>
          <w:tcPr>
            <w:tcW w:w="2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38,700</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26,800</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444</w:t>
            </w:r>
          </w:p>
        </w:tc>
      </w:tr>
      <w:tr>
        <w:trPr>
          <w:trHeight w:val="38"/>
        </w:trPr>
        <w:tc>
          <w:tcPr>
            <w:tcW w:w="3060" w:type="dxa"/>
            <w:vAlign w:val="bottom"/>
          </w:tcPr>
          <w:p>
            <w:pPr>
              <w:spacing w:after="0"/>
              <w:rPr>
                <w:sz w:val="3"/>
                <w:szCs w:val="3"/>
                <w:color w:val="auto"/>
              </w:rPr>
            </w:pPr>
          </w:p>
        </w:tc>
        <w:tc>
          <w:tcPr>
            <w:tcW w:w="2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580" w:type="dxa"/>
            <w:vAlign w:val="bottom"/>
          </w:tcPr>
          <w:p>
            <w:pPr>
              <w:spacing w:after="0"/>
              <w:rPr>
                <w:sz w:val="3"/>
                <w:szCs w:val="3"/>
                <w:color w:val="auto"/>
              </w:rPr>
            </w:pPr>
          </w:p>
        </w:tc>
      </w:tr>
      <w:tr>
        <w:trPr>
          <w:trHeight w:val="417"/>
        </w:trPr>
        <w:tc>
          <w:tcPr>
            <w:tcW w:w="3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rate forwards</w:t>
            </w:r>
          </w:p>
        </w:tc>
        <w:tc>
          <w:tcPr>
            <w:tcW w:w="2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rate</w:t>
            </w:r>
          </w:p>
        </w:tc>
        <w:tc>
          <w:tcPr>
            <w:tcW w:w="24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24,966</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1,322</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23,598</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1,317</w:t>
            </w:r>
          </w:p>
        </w:tc>
      </w:tr>
      <w:tr>
        <w:trPr>
          <w:trHeight w:val="400"/>
        </w:trPr>
        <w:tc>
          <w:tcPr>
            <w:tcW w:w="3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currency swaps</w:t>
            </w:r>
          </w:p>
        </w:tc>
        <w:tc>
          <w:tcPr>
            <w:tcW w:w="2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currency exchange rate</w:t>
            </w:r>
          </w:p>
        </w:tc>
        <w:tc>
          <w:tcPr>
            <w:tcW w:w="2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678</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587</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38"/>
        </w:trPr>
        <w:tc>
          <w:tcPr>
            <w:tcW w:w="3060" w:type="dxa"/>
            <w:vAlign w:val="bottom"/>
          </w:tcPr>
          <w:p>
            <w:pPr>
              <w:spacing w:after="0"/>
              <w:rPr>
                <w:sz w:val="3"/>
                <w:szCs w:val="3"/>
                <w:color w:val="auto"/>
              </w:rPr>
            </w:pPr>
          </w:p>
        </w:tc>
        <w:tc>
          <w:tcPr>
            <w:tcW w:w="2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580" w:type="dxa"/>
            <w:vAlign w:val="bottom"/>
          </w:tcPr>
          <w:p>
            <w:pPr>
              <w:spacing w:after="0"/>
              <w:rPr>
                <w:sz w:val="3"/>
                <w:szCs w:val="3"/>
                <w:color w:val="auto"/>
              </w:rPr>
            </w:pPr>
          </w:p>
        </w:tc>
      </w:tr>
      <w:tr>
        <w:trPr>
          <w:trHeight w:val="417"/>
        </w:trPr>
        <w:tc>
          <w:tcPr>
            <w:tcW w:w="3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currency forwards</w:t>
            </w:r>
          </w:p>
        </w:tc>
        <w:tc>
          <w:tcPr>
            <w:tcW w:w="2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currency exchange rate</w:t>
            </w:r>
          </w:p>
        </w:tc>
        <w:tc>
          <w:tcPr>
            <w:tcW w:w="24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400"/>
        </w:trPr>
        <w:tc>
          <w:tcPr>
            <w:tcW w:w="3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Credit default swaps — written</w:t>
            </w:r>
          </w:p>
        </w:tc>
        <w:tc>
          <w:tcPr>
            <w:tcW w:w="2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Credit</w:t>
            </w:r>
          </w:p>
        </w:tc>
        <w:tc>
          <w:tcPr>
            <w:tcW w:w="2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1,128</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468</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7"/>
        </w:trPr>
        <w:tc>
          <w:tcPr>
            <w:tcW w:w="3060" w:type="dxa"/>
            <w:vAlign w:val="bottom"/>
          </w:tcPr>
          <w:p>
            <w:pPr>
              <w:spacing w:after="0"/>
              <w:rPr>
                <w:sz w:val="3"/>
                <w:szCs w:val="3"/>
                <w:color w:val="auto"/>
              </w:rPr>
            </w:pPr>
          </w:p>
        </w:tc>
        <w:tc>
          <w:tcPr>
            <w:tcW w:w="2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580" w:type="dxa"/>
            <w:vAlign w:val="bottom"/>
          </w:tcPr>
          <w:p>
            <w:pPr>
              <w:spacing w:after="0"/>
              <w:rPr>
                <w:sz w:val="3"/>
                <w:szCs w:val="3"/>
                <w:color w:val="auto"/>
              </w:rPr>
            </w:pPr>
          </w:p>
        </w:tc>
      </w:tr>
      <w:tr>
        <w:trPr>
          <w:trHeight w:val="417"/>
        </w:trPr>
        <w:tc>
          <w:tcPr>
            <w:tcW w:w="3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futures</w:t>
            </w:r>
          </w:p>
        </w:tc>
        <w:tc>
          <w:tcPr>
            <w:tcW w:w="2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market</w:t>
            </w:r>
          </w:p>
        </w:tc>
        <w:tc>
          <w:tcPr>
            <w:tcW w:w="24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3,041</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1,414</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400"/>
        </w:trPr>
        <w:tc>
          <w:tcPr>
            <w:tcW w:w="3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 index options</w:t>
            </w:r>
          </w:p>
        </w:tc>
        <w:tc>
          <w:tcPr>
            <w:tcW w:w="2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 market</w:t>
            </w:r>
          </w:p>
        </w:tc>
        <w:tc>
          <w:tcPr>
            <w:tcW w:w="2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87,232</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3,466</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2,156</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69,495</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4,530</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1,362</w:t>
            </w:r>
          </w:p>
        </w:tc>
      </w:tr>
      <w:tr>
        <w:trPr>
          <w:trHeight w:val="38"/>
        </w:trPr>
        <w:tc>
          <w:tcPr>
            <w:tcW w:w="3060" w:type="dxa"/>
            <w:vAlign w:val="bottom"/>
          </w:tcPr>
          <w:p>
            <w:pPr>
              <w:spacing w:after="0"/>
              <w:rPr>
                <w:sz w:val="3"/>
                <w:szCs w:val="3"/>
                <w:color w:val="auto"/>
              </w:rPr>
            </w:pPr>
          </w:p>
        </w:tc>
        <w:tc>
          <w:tcPr>
            <w:tcW w:w="2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580" w:type="dxa"/>
            <w:vAlign w:val="bottom"/>
          </w:tcPr>
          <w:p>
            <w:pPr>
              <w:spacing w:after="0"/>
              <w:rPr>
                <w:sz w:val="3"/>
                <w:szCs w:val="3"/>
                <w:color w:val="auto"/>
              </w:rPr>
            </w:pPr>
          </w:p>
        </w:tc>
      </w:tr>
      <w:tr>
        <w:trPr>
          <w:trHeight w:val="437"/>
        </w:trPr>
        <w:tc>
          <w:tcPr>
            <w:tcW w:w="3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total return swaps</w:t>
            </w:r>
          </w:p>
        </w:tc>
        <w:tc>
          <w:tcPr>
            <w:tcW w:w="2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market</w:t>
            </w:r>
          </w:p>
        </w:tc>
        <w:tc>
          <w:tcPr>
            <w:tcW w:w="24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153,063</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4,204</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3,496</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145,209</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1,585</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1,698</w:t>
            </w:r>
          </w:p>
        </w:tc>
      </w:tr>
      <w:tr>
        <w:trPr>
          <w:trHeight w:val="406"/>
        </w:trPr>
        <w:tc>
          <w:tcPr>
            <w:tcW w:w="30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 non-designated or non-qualifying derivatives</w:t>
            </w:r>
          </w:p>
        </w:tc>
        <w:tc>
          <w:tcPr>
            <w:tcW w:w="256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346,622</w:t>
            </w: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8,102</w:t>
            </w:r>
          </w:p>
        </w:tc>
        <w:tc>
          <w:tcPr>
            <w:tcW w:w="12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7,805</w:t>
            </w: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300,340</w:t>
            </w: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6,505</w:t>
            </w:r>
          </w:p>
        </w:tc>
        <w:tc>
          <w:tcPr>
            <w:tcW w:w="12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5,146</w:t>
            </w:r>
          </w:p>
        </w:tc>
      </w:tr>
      <w:tr>
        <w:trPr>
          <w:trHeight w:val="24"/>
        </w:trPr>
        <w:tc>
          <w:tcPr>
            <w:tcW w:w="3060" w:type="dxa"/>
            <w:vAlign w:val="bottom"/>
            <w:tcBorders>
              <w:bottom w:val="single" w:sz="8" w:color="CCEEFF"/>
            </w:tcBorders>
          </w:tcPr>
          <w:p>
            <w:pPr>
              <w:spacing w:after="0"/>
              <w:rPr>
                <w:sz w:val="2"/>
                <w:szCs w:val="2"/>
                <w:color w:val="auto"/>
              </w:rPr>
            </w:pPr>
          </w:p>
        </w:tc>
        <w:tc>
          <w:tcPr>
            <w:tcW w:w="25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450"/>
        </w:trPr>
        <w:tc>
          <w:tcPr>
            <w:tcW w:w="30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Total</w:t>
            </w:r>
          </w:p>
        </w:tc>
        <w:tc>
          <w:tcPr>
            <w:tcW w:w="256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350,819</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8,439</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7,863</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304,571</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6,771</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5,234</w:t>
            </w:r>
          </w:p>
        </w:tc>
      </w:tr>
      <w:tr>
        <w:trPr>
          <w:trHeight w:val="20"/>
        </w:trPr>
        <w:tc>
          <w:tcPr>
            <w:tcW w:w="3060" w:type="dxa"/>
            <w:vAlign w:val="bottom"/>
            <w:tcBorders>
              <w:top w:val="single" w:sz="8" w:color="CCEEFF"/>
            </w:tcBorders>
          </w:tcPr>
          <w:p>
            <w:pPr>
              <w:spacing w:after="0" w:line="20" w:lineRule="exact"/>
              <w:rPr>
                <w:sz w:val="1"/>
                <w:szCs w:val="1"/>
                <w:color w:val="auto"/>
              </w:rPr>
            </w:pPr>
          </w:p>
        </w:tc>
        <w:tc>
          <w:tcPr>
            <w:tcW w:w="25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type w:val="continuous"/>
        </w:sectPr>
      </w:pPr>
    </w:p>
    <w:bookmarkStart w:id="42" w:name="page43"/>
    <w:bookmarkEnd w:id="42"/>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Brighthouse Life Insurance Company</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 Indirect Wholly-Owned Subsidiary of Brighthouse Financial, Inc.)</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Derivatives (continued)</w:t>
      </w:r>
    </w:p>
    <w:p>
      <w:pPr>
        <w:spacing w:after="0" w:line="200" w:lineRule="exact"/>
        <w:rPr>
          <w:sz w:val="20"/>
          <w:szCs w:val="20"/>
          <w:color w:val="auto"/>
        </w:rPr>
      </w:pPr>
    </w:p>
    <w:p>
      <w:pPr>
        <w:spacing w:after="0" w:line="364"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The amount and location of gains (losses), including earned income, recognized for derivatives and gains (losses) pertaining to hedged items reported in net derivative gains (losses) were as follows:</w:t>
      </w:r>
    </w:p>
    <w:p>
      <w:pPr>
        <w:sectPr>
          <w:pgSz w:w="11900" w:h="16838" w:orient="portrait"/>
          <w:cols w:equalWidth="0" w:num="1">
            <w:col w:w="11240"/>
          </w:cols>
          <w:pgMar w:left="320" w:top="230" w:right="33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172"/>
        </w:trPr>
        <w:tc>
          <w:tcPr>
            <w:tcW w:w="4140" w:type="dxa"/>
            <w:vAlign w:val="bottom"/>
          </w:tcPr>
          <w:p>
            <w:pPr>
              <w:spacing w:after="0"/>
              <w:rPr>
                <w:sz w:val="14"/>
                <w:szCs w:val="14"/>
                <w:color w:val="auto"/>
              </w:rPr>
            </w:pPr>
          </w:p>
        </w:tc>
        <w:tc>
          <w:tcPr>
            <w:tcW w:w="14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Net Derivative Gains</w:t>
            </w:r>
          </w:p>
        </w:tc>
        <w:tc>
          <w:tcPr>
            <w:tcW w:w="14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Net Derivative Gains</w:t>
            </w:r>
          </w:p>
        </w:tc>
        <w:tc>
          <w:tcPr>
            <w:tcW w:w="160" w:type="dxa"/>
            <w:vAlign w:val="bottom"/>
          </w:tcPr>
          <w:p>
            <w:pPr>
              <w:spacing w:after="0"/>
              <w:rPr>
                <w:sz w:val="14"/>
                <w:szCs w:val="14"/>
                <w:color w:val="auto"/>
              </w:rPr>
            </w:pPr>
          </w:p>
        </w:tc>
        <w:tc>
          <w:tcPr>
            <w:tcW w:w="12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Net Investment</w:t>
            </w:r>
          </w:p>
        </w:tc>
        <w:tc>
          <w:tcPr>
            <w:tcW w:w="14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Policyholder Benefits</w:t>
            </w:r>
          </w:p>
        </w:tc>
        <w:tc>
          <w:tcPr>
            <w:tcW w:w="140" w:type="dxa"/>
            <w:vAlign w:val="bottom"/>
          </w:tcPr>
          <w:p>
            <w:pPr>
              <w:spacing w:after="0"/>
              <w:rPr>
                <w:sz w:val="14"/>
                <w:szCs w:val="14"/>
                <w:color w:val="auto"/>
              </w:rPr>
            </w:pPr>
          </w:p>
        </w:tc>
        <w:tc>
          <w:tcPr>
            <w:tcW w:w="1200" w:type="dxa"/>
            <w:vAlign w:val="bottom"/>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rPr>
              <w:t>Amount of Gains</w:t>
            </w:r>
          </w:p>
        </w:tc>
        <w:tc>
          <w:tcPr>
            <w:tcW w:w="0" w:type="dxa"/>
            <w:vAlign w:val="bottom"/>
          </w:tcPr>
          <w:p>
            <w:pPr>
              <w:spacing w:after="0"/>
              <w:rPr>
                <w:sz w:val="1"/>
                <w:szCs w:val="1"/>
                <w:color w:val="auto"/>
              </w:rPr>
            </w:pPr>
          </w:p>
        </w:tc>
      </w:tr>
      <w:tr>
        <w:trPr>
          <w:trHeight w:val="159"/>
        </w:trPr>
        <w:tc>
          <w:tcPr>
            <w:tcW w:w="4140" w:type="dxa"/>
            <w:vAlign w:val="bottom"/>
          </w:tcPr>
          <w:p>
            <w:pPr>
              <w:spacing w:after="0"/>
              <w:rPr>
                <w:sz w:val="13"/>
                <w:szCs w:val="13"/>
                <w:color w:val="auto"/>
              </w:rPr>
            </w:pPr>
          </w:p>
        </w:tc>
        <w:tc>
          <w:tcPr>
            <w:tcW w:w="1440" w:type="dxa"/>
            <w:vAlign w:val="bottom"/>
            <w:gridSpan w:val="3"/>
          </w:tcPr>
          <w:p>
            <w:pPr>
              <w:jc w:val="center"/>
              <w:ind w:right="120"/>
              <w:spacing w:after="0" w:line="159" w:lineRule="exact"/>
              <w:rPr>
                <w:sz w:val="20"/>
                <w:szCs w:val="20"/>
                <w:color w:val="auto"/>
              </w:rPr>
            </w:pPr>
            <w:r>
              <w:rPr>
                <w:rFonts w:ascii="Times New Roman" w:cs="Times New Roman" w:eastAsia="Times New Roman" w:hAnsi="Times New Roman"/>
                <w:sz w:val="14"/>
                <w:szCs w:val="14"/>
                <w:b w:val="1"/>
                <w:bCs w:val="1"/>
                <w:color w:val="auto"/>
                <w:w w:val="99"/>
              </w:rPr>
              <w:t>(Losses) Recognized</w:t>
            </w:r>
          </w:p>
        </w:tc>
        <w:tc>
          <w:tcPr>
            <w:tcW w:w="1440" w:type="dxa"/>
            <w:vAlign w:val="bottom"/>
            <w:gridSpan w:val="3"/>
          </w:tcPr>
          <w:p>
            <w:pPr>
              <w:jc w:val="center"/>
              <w:ind w:right="120"/>
              <w:spacing w:after="0" w:line="159" w:lineRule="exact"/>
              <w:rPr>
                <w:sz w:val="20"/>
                <w:szCs w:val="20"/>
                <w:color w:val="auto"/>
              </w:rPr>
            </w:pPr>
            <w:r>
              <w:rPr>
                <w:rFonts w:ascii="Times New Roman" w:cs="Times New Roman" w:eastAsia="Times New Roman" w:hAnsi="Times New Roman"/>
                <w:sz w:val="14"/>
                <w:szCs w:val="14"/>
                <w:b w:val="1"/>
                <w:bCs w:val="1"/>
                <w:color w:val="auto"/>
                <w:w w:val="99"/>
              </w:rPr>
              <w:t>(Losses) Recognized</w:t>
            </w:r>
          </w:p>
        </w:tc>
        <w:tc>
          <w:tcPr>
            <w:tcW w:w="160" w:type="dxa"/>
            <w:vAlign w:val="bottom"/>
          </w:tcPr>
          <w:p>
            <w:pPr>
              <w:spacing w:after="0"/>
              <w:rPr>
                <w:sz w:val="13"/>
                <w:szCs w:val="13"/>
                <w:color w:val="auto"/>
              </w:rPr>
            </w:pPr>
          </w:p>
        </w:tc>
        <w:tc>
          <w:tcPr>
            <w:tcW w:w="1280" w:type="dxa"/>
            <w:vAlign w:val="bottom"/>
            <w:gridSpan w:val="2"/>
            <w:vMerge w:val="continue"/>
          </w:tcPr>
          <w:p>
            <w:pPr>
              <w:spacing w:after="0"/>
              <w:rPr>
                <w:sz w:val="13"/>
                <w:szCs w:val="13"/>
                <w:color w:val="auto"/>
              </w:rPr>
            </w:pPr>
          </w:p>
        </w:tc>
        <w:tc>
          <w:tcPr>
            <w:tcW w:w="1440" w:type="dxa"/>
            <w:vAlign w:val="bottom"/>
            <w:gridSpan w:val="3"/>
            <w:vMerge w:val="continue"/>
          </w:tcPr>
          <w:p>
            <w:pPr>
              <w:spacing w:after="0"/>
              <w:rPr>
                <w:sz w:val="13"/>
                <w:szCs w:val="13"/>
                <w:color w:val="auto"/>
              </w:rPr>
            </w:pPr>
          </w:p>
        </w:tc>
        <w:tc>
          <w:tcPr>
            <w:tcW w:w="1340" w:type="dxa"/>
            <w:vAlign w:val="bottom"/>
            <w:gridSpan w:val="2"/>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rPr>
              <w:t>(Losses) Deferred in</w:t>
            </w:r>
          </w:p>
        </w:tc>
        <w:tc>
          <w:tcPr>
            <w:tcW w:w="0" w:type="dxa"/>
            <w:vAlign w:val="bottom"/>
          </w:tcPr>
          <w:p>
            <w:pPr>
              <w:spacing w:after="0"/>
              <w:rPr>
                <w:sz w:val="1"/>
                <w:szCs w:val="1"/>
                <w:color w:val="auto"/>
              </w:rPr>
            </w:pPr>
          </w:p>
        </w:tc>
      </w:tr>
      <w:tr>
        <w:trPr>
          <w:trHeight w:val="199"/>
        </w:trPr>
        <w:tc>
          <w:tcPr>
            <w:tcW w:w="4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for Derivatives</w:t>
            </w:r>
          </w:p>
        </w:tc>
        <w:tc>
          <w:tcPr>
            <w:tcW w:w="120" w:type="dxa"/>
            <w:vAlign w:val="bottom"/>
          </w:tcPr>
          <w:p>
            <w:pPr>
              <w:spacing w:after="0"/>
              <w:rPr>
                <w:sz w:val="17"/>
                <w:szCs w:val="17"/>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for Hedged Items</w:t>
            </w:r>
          </w:p>
        </w:tc>
        <w:tc>
          <w:tcPr>
            <w:tcW w:w="160" w:type="dxa"/>
            <w:vAlign w:val="bottom"/>
          </w:tcPr>
          <w:p>
            <w:pPr>
              <w:spacing w:after="0"/>
              <w:rPr>
                <w:sz w:val="17"/>
                <w:szCs w:val="17"/>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Income</w:t>
            </w:r>
          </w:p>
        </w:tc>
        <w:tc>
          <w:tcPr>
            <w:tcW w:w="220" w:type="dxa"/>
            <w:vAlign w:val="bottom"/>
          </w:tcPr>
          <w:p>
            <w:pPr>
              <w:spacing w:after="0"/>
              <w:rPr>
                <w:sz w:val="17"/>
                <w:szCs w:val="17"/>
                <w:color w:val="auto"/>
              </w:rPr>
            </w:pPr>
          </w:p>
        </w:tc>
        <w:tc>
          <w:tcPr>
            <w:tcW w:w="12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and Claims</w:t>
            </w:r>
          </w:p>
        </w:tc>
        <w:tc>
          <w:tcPr>
            <w:tcW w:w="140" w:type="dxa"/>
            <w:vAlign w:val="bottom"/>
          </w:tcPr>
          <w:p>
            <w:pPr>
              <w:spacing w:after="0"/>
              <w:rPr>
                <w:sz w:val="17"/>
                <w:szCs w:val="17"/>
                <w:color w:val="auto"/>
              </w:rPr>
            </w:pPr>
          </w:p>
        </w:tc>
        <w:tc>
          <w:tcPr>
            <w:tcW w:w="1200" w:type="dxa"/>
            <w:vAlign w:val="bottom"/>
          </w:tcPr>
          <w:p>
            <w:pPr>
              <w:jc w:val="center"/>
              <w:ind w:right="69"/>
              <w:spacing w:after="0"/>
              <w:rPr>
                <w:sz w:val="20"/>
                <w:szCs w:val="20"/>
                <w:color w:val="auto"/>
              </w:rPr>
            </w:pPr>
            <w:r>
              <w:rPr>
                <w:rFonts w:ascii="Times New Roman" w:cs="Times New Roman" w:eastAsia="Times New Roman" w:hAnsi="Times New Roman"/>
                <w:sz w:val="14"/>
                <w:szCs w:val="14"/>
                <w:b w:val="1"/>
                <w:bCs w:val="1"/>
                <w:color w:val="auto"/>
              </w:rPr>
              <w:t>AOCI</w:t>
            </w:r>
          </w:p>
        </w:tc>
        <w:tc>
          <w:tcPr>
            <w:tcW w:w="0" w:type="dxa"/>
            <w:vAlign w:val="bottom"/>
          </w:tcPr>
          <w:p>
            <w:pPr>
              <w:spacing w:after="0"/>
              <w:rPr>
                <w:sz w:val="1"/>
                <w:szCs w:val="1"/>
                <w:color w:val="auto"/>
              </w:rPr>
            </w:pPr>
          </w:p>
        </w:tc>
      </w:tr>
      <w:tr>
        <w:trPr>
          <w:trHeight w:val="24"/>
        </w:trPr>
        <w:tc>
          <w:tcPr>
            <w:tcW w:w="4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93"/>
        </w:trPr>
        <w:tc>
          <w:tcPr>
            <w:tcW w:w="4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
        </w:trPr>
        <w:tc>
          <w:tcPr>
            <w:tcW w:w="4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7"/>
        </w:trPr>
        <w:tc>
          <w:tcPr>
            <w:tcW w:w="4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March 31, 2026</w:t>
            </w:r>
          </w:p>
        </w:tc>
        <w:tc>
          <w:tcPr>
            <w:tcW w:w="16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400"/>
        </w:trPr>
        <w:tc>
          <w:tcPr>
            <w:tcW w:w="414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Derivatives Designated as Hedging Instruments:</w:t>
            </w: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
        </w:trPr>
        <w:tc>
          <w:tcPr>
            <w:tcW w:w="4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7"/>
        </w:trPr>
        <w:tc>
          <w:tcPr>
            <w:tcW w:w="4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 hedges:</w:t>
            </w:r>
          </w:p>
        </w:tc>
        <w:tc>
          <w:tcPr>
            <w:tcW w:w="16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400"/>
        </w:trPr>
        <w:tc>
          <w:tcPr>
            <w:tcW w:w="4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rate</w:t>
            </w:r>
          </w:p>
        </w:tc>
        <w:tc>
          <w:tcPr>
            <w:tcW w:w="1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24"/>
                <w:szCs w:val="24"/>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38"/>
        </w:trPr>
        <w:tc>
          <w:tcPr>
            <w:tcW w:w="4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37"/>
        </w:trPr>
        <w:tc>
          <w:tcPr>
            <w:tcW w:w="4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currency exchange rate</w:t>
            </w:r>
          </w:p>
        </w:tc>
        <w:tc>
          <w:tcPr>
            <w:tcW w:w="16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0" w:type="dxa"/>
            <w:vAlign w:val="bottom"/>
          </w:tcPr>
          <w:p>
            <w:pPr>
              <w:spacing w:after="0"/>
              <w:rPr>
                <w:sz w:val="1"/>
                <w:szCs w:val="1"/>
                <w:color w:val="auto"/>
              </w:rPr>
            </w:pPr>
          </w:p>
        </w:tc>
      </w:tr>
      <w:tr>
        <w:trPr>
          <w:trHeight w:val="393"/>
        </w:trPr>
        <w:tc>
          <w:tcPr>
            <w:tcW w:w="41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Total cash flow hedges</w:t>
            </w:r>
          </w:p>
        </w:tc>
        <w:tc>
          <w:tcPr>
            <w:tcW w:w="16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0" w:type="dxa"/>
            <w:vAlign w:val="bottom"/>
          </w:tcPr>
          <w:p>
            <w:pPr>
              <w:spacing w:after="0"/>
              <w:rPr>
                <w:sz w:val="1"/>
                <w:szCs w:val="1"/>
                <w:color w:val="auto"/>
              </w:rPr>
            </w:pPr>
          </w:p>
        </w:tc>
      </w:tr>
      <w:tr>
        <w:trPr>
          <w:trHeight w:val="38"/>
        </w:trPr>
        <w:tc>
          <w:tcPr>
            <w:tcW w:w="414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4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b w:val="1"/>
                <w:bCs w:val="1"/>
                <w:color w:val="auto"/>
              </w:rPr>
              <w:t>Derivatives Not Designated or Not Qualifying as Hedging</w:t>
            </w:r>
          </w:p>
        </w:tc>
        <w:tc>
          <w:tcPr>
            <w:tcW w:w="16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1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16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00"/>
        </w:trPr>
        <w:tc>
          <w:tcPr>
            <w:tcW w:w="4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rate</w:t>
            </w:r>
          </w:p>
        </w:tc>
        <w:tc>
          <w:tcPr>
            <w:tcW w:w="1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4"/>
                <w:szCs w:val="24"/>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4"/>
                <w:szCs w:val="24"/>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8"/>
        </w:trPr>
        <w:tc>
          <w:tcPr>
            <w:tcW w:w="4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7"/>
        </w:trPr>
        <w:tc>
          <w:tcPr>
            <w:tcW w:w="4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currency exchange rate</w:t>
            </w:r>
          </w:p>
        </w:tc>
        <w:tc>
          <w:tcPr>
            <w:tcW w:w="16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400"/>
        </w:trPr>
        <w:tc>
          <w:tcPr>
            <w:tcW w:w="4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Credit</w:t>
            </w:r>
          </w:p>
        </w:tc>
        <w:tc>
          <w:tcPr>
            <w:tcW w:w="1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4"/>
                <w:szCs w:val="24"/>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4"/>
                <w:szCs w:val="24"/>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8"/>
        </w:trPr>
        <w:tc>
          <w:tcPr>
            <w:tcW w:w="4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7"/>
        </w:trPr>
        <w:tc>
          <w:tcPr>
            <w:tcW w:w="4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market</w:t>
            </w:r>
          </w:p>
        </w:tc>
        <w:tc>
          <w:tcPr>
            <w:tcW w:w="16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(1,151)</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400"/>
        </w:trPr>
        <w:tc>
          <w:tcPr>
            <w:tcW w:w="4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Embedded</w:t>
            </w:r>
          </w:p>
        </w:tc>
        <w:tc>
          <w:tcPr>
            <w:tcW w:w="1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812</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4"/>
                <w:szCs w:val="24"/>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4"/>
                <w:szCs w:val="24"/>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7"/>
        </w:trPr>
        <w:tc>
          <w:tcPr>
            <w:tcW w:w="414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431"/>
        </w:trPr>
        <w:tc>
          <w:tcPr>
            <w:tcW w:w="41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Total non-qualifying hedges</w:t>
            </w:r>
          </w:p>
        </w:tc>
        <w:tc>
          <w:tcPr>
            <w:tcW w:w="16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(505)</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425"/>
        </w:trPr>
        <w:tc>
          <w:tcPr>
            <w:tcW w:w="41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Total</w:t>
            </w:r>
          </w:p>
        </w:tc>
        <w:tc>
          <w:tcPr>
            <w:tcW w:w="16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(507)</w:t>
            </w:r>
          </w:p>
        </w:tc>
        <w:tc>
          <w:tcPr>
            <w:tcW w:w="120" w:type="dxa"/>
            <w:vAlign w:val="bottom"/>
          </w:tcPr>
          <w:p>
            <w:pPr>
              <w:spacing w:after="0"/>
              <w:rPr>
                <w:sz w:val="24"/>
                <w:szCs w:val="24"/>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24"/>
                <w:szCs w:val="24"/>
                <w:color w:val="auto"/>
              </w:rPr>
            </w:pPr>
          </w:p>
        </w:tc>
        <w:tc>
          <w:tcPr>
            <w:tcW w:w="22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0" w:type="dxa"/>
            <w:vAlign w:val="bottom"/>
          </w:tcPr>
          <w:p>
            <w:pPr>
              <w:spacing w:after="0"/>
              <w:rPr>
                <w:sz w:val="1"/>
                <w:szCs w:val="1"/>
                <w:color w:val="auto"/>
              </w:rPr>
            </w:pPr>
          </w:p>
        </w:tc>
      </w:tr>
      <w:tr>
        <w:trPr>
          <w:trHeight w:val="20"/>
        </w:trPr>
        <w:tc>
          <w:tcPr>
            <w:tcW w:w="41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9"/>
        </w:trPr>
        <w:tc>
          <w:tcPr>
            <w:tcW w:w="4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March 31, 2025</w:t>
            </w:r>
          </w:p>
        </w:tc>
        <w:tc>
          <w:tcPr>
            <w:tcW w:w="16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400"/>
        </w:trPr>
        <w:tc>
          <w:tcPr>
            <w:tcW w:w="414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Derivatives Designated as Hedging Instruments:</w:t>
            </w: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
        </w:trPr>
        <w:tc>
          <w:tcPr>
            <w:tcW w:w="4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7"/>
        </w:trPr>
        <w:tc>
          <w:tcPr>
            <w:tcW w:w="4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 hedges:</w:t>
            </w:r>
          </w:p>
        </w:tc>
        <w:tc>
          <w:tcPr>
            <w:tcW w:w="16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400"/>
        </w:trPr>
        <w:tc>
          <w:tcPr>
            <w:tcW w:w="4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rate</w:t>
            </w:r>
          </w:p>
        </w:tc>
        <w:tc>
          <w:tcPr>
            <w:tcW w:w="1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Pr>
          <w:p>
            <w:pPr>
              <w:spacing w:after="0"/>
              <w:rPr>
                <w:sz w:val="24"/>
                <w:szCs w:val="24"/>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24"/>
                <w:szCs w:val="24"/>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38"/>
        </w:trPr>
        <w:tc>
          <w:tcPr>
            <w:tcW w:w="4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37"/>
        </w:trPr>
        <w:tc>
          <w:tcPr>
            <w:tcW w:w="4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currency exchange rate</w:t>
            </w:r>
          </w:p>
        </w:tc>
        <w:tc>
          <w:tcPr>
            <w:tcW w:w="16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393"/>
        </w:trPr>
        <w:tc>
          <w:tcPr>
            <w:tcW w:w="41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Total cash flow hedges</w:t>
            </w:r>
          </w:p>
        </w:tc>
        <w:tc>
          <w:tcPr>
            <w:tcW w:w="16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38"/>
        </w:trPr>
        <w:tc>
          <w:tcPr>
            <w:tcW w:w="414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4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b w:val="1"/>
                <w:bCs w:val="1"/>
                <w:color w:val="auto"/>
              </w:rPr>
              <w:t>Derivatives Not Designated or Not Qualifying as Hedging</w:t>
            </w:r>
          </w:p>
        </w:tc>
        <w:tc>
          <w:tcPr>
            <w:tcW w:w="16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1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16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00"/>
        </w:trPr>
        <w:tc>
          <w:tcPr>
            <w:tcW w:w="4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rate</w:t>
            </w:r>
          </w:p>
        </w:tc>
        <w:tc>
          <w:tcPr>
            <w:tcW w:w="1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388</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4"/>
                <w:szCs w:val="24"/>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4"/>
                <w:szCs w:val="24"/>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8"/>
        </w:trPr>
        <w:tc>
          <w:tcPr>
            <w:tcW w:w="4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7"/>
        </w:trPr>
        <w:tc>
          <w:tcPr>
            <w:tcW w:w="4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currency exchange rate</w:t>
            </w:r>
          </w:p>
        </w:tc>
        <w:tc>
          <w:tcPr>
            <w:tcW w:w="16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400"/>
        </w:trPr>
        <w:tc>
          <w:tcPr>
            <w:tcW w:w="4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Credit</w:t>
            </w:r>
          </w:p>
        </w:tc>
        <w:tc>
          <w:tcPr>
            <w:tcW w:w="1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4"/>
                <w:szCs w:val="24"/>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4"/>
                <w:szCs w:val="24"/>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8"/>
        </w:trPr>
        <w:tc>
          <w:tcPr>
            <w:tcW w:w="4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7"/>
        </w:trPr>
        <w:tc>
          <w:tcPr>
            <w:tcW w:w="4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market</w:t>
            </w:r>
          </w:p>
        </w:tc>
        <w:tc>
          <w:tcPr>
            <w:tcW w:w="16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(1,242)</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400"/>
        </w:trPr>
        <w:tc>
          <w:tcPr>
            <w:tcW w:w="4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Embedded</w:t>
            </w:r>
          </w:p>
        </w:tc>
        <w:tc>
          <w:tcPr>
            <w:tcW w:w="1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1,177</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4"/>
                <w:szCs w:val="24"/>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4"/>
                <w:szCs w:val="24"/>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8"/>
        </w:trPr>
        <w:tc>
          <w:tcPr>
            <w:tcW w:w="414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430"/>
        </w:trPr>
        <w:tc>
          <w:tcPr>
            <w:tcW w:w="41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Total non-qualifying hedges</w:t>
            </w:r>
          </w:p>
        </w:tc>
        <w:tc>
          <w:tcPr>
            <w:tcW w:w="16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425"/>
        </w:trPr>
        <w:tc>
          <w:tcPr>
            <w:tcW w:w="41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Total</w:t>
            </w:r>
          </w:p>
        </w:tc>
        <w:tc>
          <w:tcPr>
            <w:tcW w:w="16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316</w:t>
            </w:r>
          </w:p>
        </w:tc>
        <w:tc>
          <w:tcPr>
            <w:tcW w:w="120" w:type="dxa"/>
            <w:vAlign w:val="bottom"/>
          </w:tcPr>
          <w:p>
            <w:pPr>
              <w:spacing w:after="0"/>
              <w:rPr>
                <w:sz w:val="24"/>
                <w:szCs w:val="24"/>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Pr>
          <w:p>
            <w:pPr>
              <w:spacing w:after="0"/>
              <w:rPr>
                <w:sz w:val="24"/>
                <w:szCs w:val="24"/>
                <w:color w:val="auto"/>
              </w:rPr>
            </w:pPr>
          </w:p>
        </w:tc>
        <w:tc>
          <w:tcPr>
            <w:tcW w:w="22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25"/>
        </w:trPr>
        <w:tc>
          <w:tcPr>
            <w:tcW w:w="4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33"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At March 31, 2026 and December 31, 2025, the Company held no qualified derivatives hedging exposure to future cash flows for forecasted asset purchases.</w:t>
      </w:r>
    </w:p>
    <w:p>
      <w:pPr>
        <w:spacing w:after="0" w:line="11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At March 31, 2026 and December 31, 2025, the balance in AOCI associated with cash flow hedges was $317 million and $219 million, respectively.</w:t>
      </w:r>
    </w:p>
    <w:p>
      <w:pPr>
        <w:sectPr>
          <w:pgSz w:w="11900" w:h="16838" w:orient="portrait"/>
          <w:cols w:equalWidth="0" w:num="1">
            <w:col w:w="11240"/>
          </w:cols>
          <w:pgMar w:left="320" w:top="380" w:right="339" w:bottom="16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80" w:right="339" w:bottom="164" w:gutter="0" w:footer="0" w:header="0"/>
          <w:type w:val="continuous"/>
        </w:sectPr>
      </w:pPr>
    </w:p>
    <w:bookmarkStart w:id="44" w:name="page45"/>
    <w:bookmarkEnd w:id="44"/>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Brighthouse Life Insurance Company</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 Indirect Wholly-Owned Subsidiary of Brighthouse Financial, Inc.)</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Derivatives (continued)</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Derivatives</w:t>
      </w:r>
    </w:p>
    <w:p>
      <w:pPr>
        <w:spacing w:after="0" w:line="11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In connection with synthetically created credit investment transactions, the Company writes credit default swaps for which it receives a premium to insure credit risk. If a credit event occurs, as defined by the contract, the contract may be cash settled or it may be settled gross by the Company paying the counterparty the specified swap notional amount in exchange for the delivery of par quantities of the referenced credit obligation.</w:t>
      </w:r>
    </w:p>
    <w:p>
      <w:pPr>
        <w:spacing w:after="0" w:line="7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estimated fair value, maximum amount of future payments and weighted average years to maturity of written credit default swaps were as follows at:</w:t>
      </w:r>
    </w:p>
    <w:p>
      <w:pPr>
        <w:sectPr>
          <w:pgSz w:w="11900" w:h="16838" w:orient="portrait"/>
          <w:cols w:equalWidth="0" w:num="1">
            <w:col w:w="11240"/>
          </w:cols>
          <w:pgMar w:left="320" w:top="2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20"/>
        <w:spacing w:after="0" w:line="293" w:lineRule="auto"/>
        <w:rPr>
          <w:sz w:val="20"/>
          <w:szCs w:val="20"/>
          <w:color w:val="auto"/>
        </w:rPr>
      </w:pPr>
      <w:r>
        <w:rPr>
          <w:rFonts w:ascii="Times New Roman" w:cs="Times New Roman" w:eastAsia="Times New Roman" w:hAnsi="Times New Roman"/>
          <w:sz w:val="14"/>
          <w:szCs w:val="14"/>
          <w:b w:val="1"/>
          <w:bCs w:val="1"/>
          <w:color w:val="auto"/>
        </w:rPr>
        <w:t>Rating Agency Designation of Referenced Credit Obligations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1905</wp:posOffset>
            </wp:positionV>
            <wp:extent cx="224663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24663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1000" w:type="dxa"/>
            <w:vAlign w:val="bottom"/>
          </w:tcPr>
          <w:p>
            <w:pPr>
              <w:spacing w:after="0"/>
              <w:rPr>
                <w:sz w:val="16"/>
                <w:szCs w:val="16"/>
                <w:color w:val="auto"/>
              </w:rPr>
            </w:pPr>
          </w:p>
        </w:tc>
        <w:tc>
          <w:tcPr>
            <w:tcW w:w="1580" w:type="dxa"/>
            <w:vAlign w:val="bottom"/>
          </w:tcPr>
          <w:p>
            <w:pPr>
              <w:ind w:left="42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140" w:type="dxa"/>
            <w:vAlign w:val="bottom"/>
          </w:tcPr>
          <w:p>
            <w:pPr>
              <w:spacing w:after="0"/>
              <w:rPr>
                <w:sz w:val="16"/>
                <w:szCs w:val="16"/>
                <w:color w:val="auto"/>
              </w:rPr>
            </w:pPr>
          </w:p>
        </w:tc>
      </w:tr>
      <w:tr>
        <w:trPr>
          <w:trHeight w:val="38"/>
        </w:trPr>
        <w:tc>
          <w:tcPr>
            <w:tcW w:w="100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379"/>
        </w:trPr>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 Fair</w:t>
            </w:r>
          </w:p>
        </w:tc>
        <w:tc>
          <w:tcPr>
            <w:tcW w:w="15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 Fair</w:t>
            </w:r>
          </w:p>
        </w:tc>
        <w:tc>
          <w:tcPr>
            <w:tcW w:w="15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72"/>
        </w:trPr>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Value of</w:t>
            </w: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 Amount of</w:t>
            </w:r>
          </w:p>
        </w:tc>
        <w:tc>
          <w:tcPr>
            <w:tcW w:w="130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9"/>
              </w:rPr>
              <w:t>Weighted Average</w:t>
            </w: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Value of</w:t>
            </w: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 Amount of</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Weighted</w:t>
            </w:r>
          </w:p>
        </w:tc>
      </w:tr>
      <w:tr>
        <w:trPr>
          <w:trHeight w:val="159"/>
        </w:trPr>
        <w:tc>
          <w:tcPr>
            <w:tcW w:w="100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rPr>
              <w:t>Credit Default</w:t>
            </w:r>
          </w:p>
        </w:tc>
        <w:tc>
          <w:tcPr>
            <w:tcW w:w="158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w w:val="99"/>
              </w:rPr>
              <w:t>Future Payments under</w:t>
            </w:r>
          </w:p>
        </w:tc>
        <w:tc>
          <w:tcPr>
            <w:tcW w:w="1300" w:type="dxa"/>
            <w:vAlign w:val="bottom"/>
            <w:gridSpan w:val="2"/>
          </w:tcPr>
          <w:p>
            <w:pPr>
              <w:jc w:val="center"/>
              <w:ind w:right="60"/>
              <w:spacing w:after="0" w:line="159" w:lineRule="exact"/>
              <w:rPr>
                <w:sz w:val="20"/>
                <w:szCs w:val="20"/>
                <w:color w:val="auto"/>
              </w:rPr>
            </w:pPr>
            <w:r>
              <w:rPr>
                <w:rFonts w:ascii="Times New Roman" w:cs="Times New Roman" w:eastAsia="Times New Roman" w:hAnsi="Times New Roman"/>
                <w:sz w:val="14"/>
                <w:szCs w:val="14"/>
                <w:b w:val="1"/>
                <w:bCs w:val="1"/>
                <w:color w:val="auto"/>
                <w:w w:val="95"/>
              </w:rPr>
              <w:t>Years to</w:t>
            </w:r>
          </w:p>
        </w:tc>
        <w:tc>
          <w:tcPr>
            <w:tcW w:w="100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w w:val="99"/>
              </w:rPr>
              <w:t>Credit Default</w:t>
            </w:r>
          </w:p>
        </w:tc>
        <w:tc>
          <w:tcPr>
            <w:tcW w:w="158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w w:val="99"/>
              </w:rPr>
              <w:t>Future Payments under</w:t>
            </w:r>
          </w:p>
        </w:tc>
        <w:tc>
          <w:tcPr>
            <w:tcW w:w="114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w w:val="96"/>
              </w:rPr>
              <w:t>Average Years to</w:t>
            </w:r>
          </w:p>
        </w:tc>
      </w:tr>
      <w:tr>
        <w:trPr>
          <w:trHeight w:val="199"/>
        </w:trPr>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Swaps</w:t>
            </w: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Credit Default Swaps</w:t>
            </w:r>
          </w:p>
        </w:tc>
        <w:tc>
          <w:tcPr>
            <w:tcW w:w="130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Maturity (2)</w:t>
            </w: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Swaps</w:t>
            </w: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Credit Default Swaps</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Maturity (2)</w:t>
            </w:r>
          </w:p>
        </w:tc>
      </w:tr>
      <w:tr>
        <w:trPr>
          <w:trHeight w:val="24"/>
        </w:trPr>
        <w:tc>
          <w:tcPr>
            <w:tcW w:w="10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2">
            <w:col w:w="2960" w:space="680"/>
            <w:col w:w="7600"/>
          </w:cols>
          <w:pgMar w:left="320" w:top="230" w:right="339" w:bottom="1440" w:gutter="0" w:footer="0" w:header="0"/>
          <w:type w:val="continuous"/>
        </w:sectPr>
      </w:pPr>
    </w:p>
    <w:p>
      <w:pPr>
        <w:spacing w:after="0" w:line="14"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4"/>
          <w:szCs w:val="14"/>
          <w:b w:val="1"/>
          <w:bCs w:val="1"/>
          <w:color w:val="auto"/>
        </w:rPr>
        <w:t>(Dollars in millions)</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450"/>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Aaa/Aa/A</w:t>
            </w:r>
          </w:p>
        </w:tc>
        <w:tc>
          <w:tcPr>
            <w:tcW w:w="420" w:type="dxa"/>
            <w:vAlign w:val="bottom"/>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40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136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1.6</w:t>
            </w:r>
          </w:p>
        </w:tc>
        <w:tc>
          <w:tcPr>
            <w:tcW w:w="420" w:type="dxa"/>
            <w:vAlign w:val="bottom"/>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441"/>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0" w:type="dxa"/>
            <w:vAlign w:val="bottom"/>
          </w:tcPr>
          <w:p>
            <w:pPr>
              <w:spacing w:after="0"/>
              <w:rPr>
                <w:sz w:val="1"/>
                <w:szCs w:val="1"/>
                <w:color w:val="auto"/>
              </w:rPr>
            </w:pPr>
          </w:p>
        </w:tc>
      </w:tr>
      <w:tr>
        <w:trPr>
          <w:trHeight w:val="441"/>
        </w:trPr>
        <w:tc>
          <w:tcPr>
            <w:tcW w:w="3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Baa</w:t>
            </w:r>
          </w:p>
        </w:tc>
        <w:tc>
          <w:tcPr>
            <w:tcW w:w="420" w:type="dxa"/>
            <w:vAlign w:val="bottom"/>
          </w:tcPr>
          <w:p>
            <w:pPr>
              <w:spacing w:after="0"/>
              <w:rPr>
                <w:sz w:val="24"/>
                <w:szCs w:val="24"/>
                <w:color w:val="auto"/>
              </w:rPr>
            </w:pPr>
          </w:p>
        </w:tc>
        <w:tc>
          <w:tcPr>
            <w:tcW w:w="5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1,010</w:t>
            </w:r>
          </w:p>
        </w:tc>
        <w:tc>
          <w:tcPr>
            <w:tcW w:w="136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4.9</w:t>
            </w:r>
          </w:p>
        </w:tc>
        <w:tc>
          <w:tcPr>
            <w:tcW w:w="42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0" w:type="dxa"/>
            <w:vAlign w:val="bottom"/>
          </w:tcPr>
          <w:p>
            <w:pPr>
              <w:spacing w:after="0"/>
              <w:rPr>
                <w:sz w:val="1"/>
                <w:szCs w:val="1"/>
                <w:color w:val="auto"/>
              </w:rPr>
            </w:pPr>
          </w:p>
        </w:tc>
      </w:tr>
      <w:tr>
        <w:trPr>
          <w:trHeight w:val="457"/>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w:t>
            </w:r>
          </w:p>
        </w:tc>
        <w:tc>
          <w:tcPr>
            <w:tcW w:w="420" w:type="dxa"/>
            <w:vAlign w:val="bottom"/>
            <w:shd w:val="clear" w:color="auto" w:fill="CCEEFF"/>
          </w:tcPr>
          <w:p>
            <w:pPr>
              <w:spacing w:after="0"/>
              <w:rPr>
                <w:sz w:val="24"/>
                <w:szCs w:val="24"/>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36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0.7</w:t>
            </w:r>
          </w:p>
        </w:tc>
        <w:tc>
          <w:tcPr>
            <w:tcW w:w="42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446"/>
        </w:trPr>
        <w:tc>
          <w:tcPr>
            <w:tcW w:w="36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w:t>
            </w:r>
          </w:p>
        </w:tc>
        <w:tc>
          <w:tcPr>
            <w:tcW w:w="420" w:type="dxa"/>
            <w:vAlign w:val="bottom"/>
            <w:tcBorders>
              <w:top w:val="single" w:sz="8" w:color="auto"/>
              <w:bottom w:val="single" w:sz="8" w:color="auto"/>
            </w:tcBorders>
          </w:tcPr>
          <w:p>
            <w:pPr>
              <w:jc w:val="right"/>
              <w:ind w:right="221"/>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Pr>
          <w:p>
            <w:pPr>
              <w:spacing w:after="0"/>
              <w:rPr>
                <w:sz w:val="24"/>
                <w:szCs w:val="24"/>
                <w:color w:val="auto"/>
              </w:rPr>
            </w:pPr>
          </w:p>
        </w:tc>
        <w:tc>
          <w:tcPr>
            <w:tcW w:w="580" w:type="dxa"/>
            <w:vAlign w:val="bottom"/>
            <w:tcBorders>
              <w:top w:val="single" w:sz="8" w:color="auto"/>
              <w:bottom w:val="single" w:sz="8" w:color="auto"/>
            </w:tcBorders>
          </w:tcPr>
          <w:p>
            <w:pPr>
              <w:jc w:val="right"/>
              <w:ind w:right="40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1,128</w:t>
            </w:r>
          </w:p>
        </w:tc>
        <w:tc>
          <w:tcPr>
            <w:tcW w:w="136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4.5</w:t>
            </w:r>
          </w:p>
        </w:tc>
        <w:tc>
          <w:tcPr>
            <w:tcW w:w="420" w:type="dxa"/>
            <w:vAlign w:val="bottom"/>
            <w:tcBorders>
              <w:top w:val="single" w:sz="8" w:color="auto"/>
              <w:bottom w:val="single" w:sz="8" w:color="auto"/>
            </w:tcBorders>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24"/>
                <w:szCs w:val="24"/>
                <w:color w:val="auto"/>
              </w:rPr>
            </w:pPr>
          </w:p>
        </w:tc>
        <w:tc>
          <w:tcPr>
            <w:tcW w:w="640" w:type="dxa"/>
            <w:vAlign w:val="bottom"/>
            <w:tcBorders>
              <w:top w:val="single" w:sz="8" w:color="auto"/>
              <w:bottom w:val="single" w:sz="8" w:color="auto"/>
            </w:tcBorders>
          </w:tcPr>
          <w:p>
            <w:pPr>
              <w:jc w:val="right"/>
              <w:ind w:right="441"/>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468</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0" w:type="dxa"/>
            <w:vAlign w:val="bottom"/>
          </w:tcPr>
          <w:p>
            <w:pPr>
              <w:spacing w:after="0"/>
              <w:rPr>
                <w:sz w:val="1"/>
                <w:szCs w:val="1"/>
                <w:color w:val="auto"/>
              </w:rPr>
            </w:pPr>
          </w:p>
        </w:tc>
      </w:tr>
      <w:tr>
        <w:trPr>
          <w:trHeight w:val="20"/>
        </w:trPr>
        <w:tc>
          <w:tcPr>
            <w:tcW w:w="36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_______________</w:t>
            </w:r>
          </w:p>
        </w:tc>
        <w:tc>
          <w:tcPr>
            <w:tcW w:w="4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3640" w:type="dxa"/>
            <w:vAlign w:val="bottom"/>
            <w:vMerge w:val="continue"/>
          </w:tcPr>
          <w:p>
            <w:pPr>
              <w:spacing w:after="0"/>
              <w:rPr>
                <w:sz w:val="21"/>
                <w:szCs w:val="21"/>
                <w:color w:val="auto"/>
              </w:rPr>
            </w:pPr>
          </w:p>
        </w:tc>
        <w:tc>
          <w:tcPr>
            <w:tcW w:w="4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320" w:hanging="314"/>
        <w:spacing w:after="0" w:line="274" w:lineRule="auto"/>
        <w:tabs>
          <w:tab w:leader="none" w:pos="31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written credit protection on index references. The rating agency designations are based on availability and the midpoint of the applicable ratings among Moody’s, S&amp;P and Fitch. If no rating is available from a rating agency, then an internally developed rating is used.</w:t>
      </w:r>
    </w:p>
    <w:p>
      <w:pPr>
        <w:spacing w:after="0" w:line="57" w:lineRule="exact"/>
        <w:rPr>
          <w:rFonts w:ascii="Times New Roman" w:cs="Times New Roman" w:eastAsia="Times New Roman" w:hAnsi="Times New Roman"/>
          <w:sz w:val="18"/>
          <w:szCs w:val="18"/>
          <w:color w:val="auto"/>
        </w:rPr>
      </w:pPr>
    </w:p>
    <w:p>
      <w:pPr>
        <w:ind w:left="320" w:hanging="314"/>
        <w:spacing w:after="0"/>
        <w:tabs>
          <w:tab w:leader="none" w:pos="3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weighted average years to maturity of the credit default swaps is calculated based on weighted average gross notional amounts.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Counterparty Credit Risk</w:t>
      </w:r>
    </w:p>
    <w:p>
      <w:pPr>
        <w:spacing w:after="0" w:line="115"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The Company may be exposed to credit-related losses in the event of counterparty nonperformance on derivative instruments. Generally, the credit exposure is the fair value at the reporting date less any collateral received from the counterparty.</w:t>
      </w:r>
    </w:p>
    <w:p>
      <w:pPr>
        <w:spacing w:after="0" w:line="5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Company manages its credit risk by: (i) entering into derivative transactions with creditworthy counterparties governed by master netting agreements;</w:t>
      </w:r>
    </w:p>
    <w:p>
      <w:pPr>
        <w:spacing w:after="0" w:line="36" w:lineRule="exact"/>
        <w:rPr>
          <w:sz w:val="20"/>
          <w:szCs w:val="20"/>
          <w:color w:val="auto"/>
        </w:rPr>
      </w:pPr>
    </w:p>
    <w:p>
      <w:pPr>
        <w:ind w:firstLine="6"/>
        <w:spacing w:after="0" w:line="251" w:lineRule="auto"/>
        <w:tabs>
          <w:tab w:leader="none" w:pos="27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through regulated exchanges and central clearing counterparties; (iii) obtaining collateral, such as cash and securities, when appropriate; and (iv) setting limits on single party credit exposures which are subject to periodic management review.</w:t>
      </w:r>
    </w:p>
    <w:p>
      <w:pPr>
        <w:spacing w:after="0" w:line="7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See Note 9 for a description of the impact of credit risk on the valuation of derivatives.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type w:val="continuous"/>
        </w:sectPr>
      </w:pPr>
    </w:p>
    <w:bookmarkStart w:id="45" w:name="page46"/>
    <w:bookmarkEnd w:id="45"/>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Life Insurance Company</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 Indirect Wholly-Owned Subsidiary of Brighthouse Financial, Inc.)</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Derivatives (continued)</w:t>
      </w:r>
    </w:p>
    <w:p>
      <w:pPr>
        <w:spacing w:after="0" w:line="200" w:lineRule="exact"/>
        <w:rPr>
          <w:sz w:val="20"/>
          <w:szCs w:val="20"/>
          <w:color w:val="auto"/>
        </w:rPr>
      </w:pPr>
    </w:p>
    <w:p>
      <w:pPr>
        <w:spacing w:after="0" w:line="311"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The estimated fair values of net derivative assets and net derivative liabilities after the application of master netting agreements and collateral were as follows at:</w:t>
      </w:r>
    </w:p>
    <w:p>
      <w:pPr>
        <w:spacing w:after="0" w:line="200" w:lineRule="exact"/>
        <w:rPr>
          <w:sz w:val="20"/>
          <w:szCs w:val="20"/>
          <w:color w:val="auto"/>
        </w:rPr>
      </w:pPr>
    </w:p>
    <w:p>
      <w:pPr>
        <w:spacing w:after="0" w:line="222" w:lineRule="exact"/>
        <w:rPr>
          <w:sz w:val="20"/>
          <w:szCs w:val="20"/>
          <w:color w:val="auto"/>
        </w:rPr>
      </w:pPr>
    </w:p>
    <w:p>
      <w:pPr>
        <w:jc w:val="center"/>
        <w:ind w:right="940"/>
        <w:spacing w:after="0"/>
        <w:rPr>
          <w:sz w:val="20"/>
          <w:szCs w:val="20"/>
          <w:color w:val="auto"/>
        </w:rPr>
      </w:pPr>
      <w:r>
        <w:rPr>
          <w:rFonts w:ascii="Times New Roman" w:cs="Times New Roman" w:eastAsia="Times New Roman" w:hAnsi="Times New Roman"/>
          <w:sz w:val="14"/>
          <w:szCs w:val="14"/>
          <w:b w:val="1"/>
          <w:bCs w:val="1"/>
          <w:color w:val="auto"/>
        </w:rPr>
        <w:t>Gross Amounts Not Offset on the Consolidated</w:t>
      </w:r>
    </w:p>
    <w:p>
      <w:pPr>
        <w:spacing w:after="0" w:line="25" w:lineRule="exact"/>
        <w:rPr>
          <w:sz w:val="20"/>
          <w:szCs w:val="20"/>
          <w:color w:val="auto"/>
        </w:rPr>
      </w:pPr>
    </w:p>
    <w:p>
      <w:pPr>
        <w:jc w:val="center"/>
        <w:ind w:right="940"/>
        <w:spacing w:after="0"/>
        <w:rPr>
          <w:sz w:val="20"/>
          <w:szCs w:val="20"/>
          <w:color w:val="auto"/>
        </w:rPr>
      </w:pPr>
      <w:r>
        <w:rPr>
          <w:rFonts w:ascii="Times New Roman" w:cs="Times New Roman" w:eastAsia="Times New Roman" w:hAnsi="Times New Roman"/>
          <w:sz w:val="14"/>
          <w:szCs w:val="14"/>
          <w:b w:val="1"/>
          <w:bCs w:val="1"/>
          <w:color w:val="auto"/>
        </w:rPr>
        <w:t>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2326005</wp:posOffset>
            </wp:positionH>
            <wp:positionV relativeFrom="paragraph">
              <wp:posOffset>31115</wp:posOffset>
            </wp:positionV>
            <wp:extent cx="18846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884680" cy="8255"/>
                    </a:xfrm>
                    <a:prstGeom prst="rect">
                      <a:avLst/>
                    </a:prstGeom>
                    <a:noFill/>
                  </pic:spPr>
                </pic:pic>
              </a:graphicData>
            </a:graphic>
          </wp:anchor>
        </w:drawing>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jc w:val="right"/>
              <w:ind w:right="243"/>
              <w:spacing w:after="0"/>
              <w:rPr>
                <w:sz w:val="20"/>
                <w:szCs w:val="20"/>
                <w:color w:val="auto"/>
              </w:rPr>
            </w:pPr>
            <w:r>
              <w:rPr>
                <w:rFonts w:ascii="Times New Roman" w:cs="Times New Roman" w:eastAsia="Times New Roman" w:hAnsi="Times New Roman"/>
                <w:sz w:val="14"/>
                <w:szCs w:val="14"/>
                <w:b w:val="1"/>
                <w:bCs w:val="1"/>
                <w:color w:val="auto"/>
              </w:rPr>
              <w:t>Gross Amount</w:t>
            </w:r>
          </w:p>
        </w:tc>
        <w:tc>
          <w:tcPr>
            <w:tcW w:w="1560" w:type="dxa"/>
            <w:vAlign w:val="bottom"/>
            <w:gridSpan w:val="2"/>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Financial Instruments</w:t>
            </w:r>
          </w:p>
        </w:tc>
        <w:tc>
          <w:tcPr>
            <w:tcW w:w="300" w:type="dxa"/>
            <w:vAlign w:val="bottom"/>
          </w:tcPr>
          <w:p>
            <w:pPr>
              <w:spacing w:after="0"/>
              <w:rPr>
                <w:sz w:val="14"/>
                <w:szCs w:val="14"/>
                <w:color w:val="auto"/>
              </w:rPr>
            </w:pPr>
          </w:p>
        </w:tc>
        <w:tc>
          <w:tcPr>
            <w:tcW w:w="1220" w:type="dxa"/>
            <w:vAlign w:val="bottom"/>
          </w:tcPr>
          <w:p>
            <w:pPr>
              <w:jc w:val="center"/>
              <w:ind w:right="223"/>
              <w:spacing w:after="0"/>
              <w:rPr>
                <w:sz w:val="20"/>
                <w:szCs w:val="20"/>
                <w:color w:val="auto"/>
              </w:rPr>
            </w:pPr>
            <w:r>
              <w:rPr>
                <w:rFonts w:ascii="Times New Roman" w:cs="Times New Roman" w:eastAsia="Times New Roman" w:hAnsi="Times New Roman"/>
                <w:sz w:val="14"/>
                <w:szCs w:val="14"/>
                <w:b w:val="1"/>
                <w:bCs w:val="1"/>
                <w:color w:val="auto"/>
              </w:rPr>
              <w:t>Collateral</w:t>
            </w:r>
          </w:p>
        </w:tc>
        <w:tc>
          <w:tcPr>
            <w:tcW w:w="3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540" w:type="dxa"/>
            <w:vAlign w:val="bottom"/>
            <w:gridSpan w:val="2"/>
          </w:tcPr>
          <w:p>
            <w:pPr>
              <w:jc w:val="right"/>
              <w:ind w:right="61"/>
              <w:spacing w:after="0"/>
              <w:rPr>
                <w:sz w:val="20"/>
                <w:szCs w:val="20"/>
                <w:color w:val="auto"/>
              </w:rPr>
            </w:pPr>
            <w:r>
              <w:rPr>
                <w:rFonts w:ascii="Times New Roman" w:cs="Times New Roman" w:eastAsia="Times New Roman" w:hAnsi="Times New Roman"/>
                <w:sz w:val="14"/>
                <w:szCs w:val="14"/>
                <w:b w:val="1"/>
                <w:bCs w:val="1"/>
                <w:color w:val="auto"/>
              </w:rPr>
              <w:t>Securities Collateral</w:t>
            </w:r>
          </w:p>
        </w:tc>
        <w:tc>
          <w:tcPr>
            <w:tcW w:w="160" w:type="dxa"/>
            <w:vAlign w:val="bottom"/>
          </w:tcPr>
          <w:p>
            <w:pPr>
              <w:spacing w:after="0"/>
              <w:rPr>
                <w:sz w:val="14"/>
                <w:szCs w:val="14"/>
                <w:color w:val="auto"/>
              </w:rPr>
            </w:pPr>
          </w:p>
        </w:tc>
        <w:tc>
          <w:tcPr>
            <w:tcW w:w="1340" w:type="dxa"/>
            <w:vAlign w:val="bottom"/>
          </w:tcPr>
          <w:p>
            <w:pPr>
              <w:jc w:val="right"/>
              <w:ind w:right="103"/>
              <w:spacing w:after="0"/>
              <w:rPr>
                <w:sz w:val="20"/>
                <w:szCs w:val="20"/>
                <w:color w:val="auto"/>
              </w:rPr>
            </w:pPr>
            <w:r>
              <w:rPr>
                <w:rFonts w:ascii="Times New Roman" w:cs="Times New Roman" w:eastAsia="Times New Roman" w:hAnsi="Times New Roman"/>
                <w:sz w:val="14"/>
                <w:szCs w:val="14"/>
                <w:b w:val="1"/>
                <w:bCs w:val="1"/>
                <w:color w:val="auto"/>
              </w:rPr>
              <w:t>Net Amount After</w:t>
            </w:r>
          </w:p>
        </w:tc>
      </w:tr>
      <w:tr>
        <w:trPr>
          <w:trHeight w:val="186"/>
        </w:trPr>
        <w:tc>
          <w:tcPr>
            <w:tcW w:w="2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ind w:right="343"/>
              <w:spacing w:after="0"/>
              <w:rPr>
                <w:sz w:val="20"/>
                <w:szCs w:val="20"/>
                <w:color w:val="auto"/>
              </w:rPr>
            </w:pPr>
            <w:r>
              <w:rPr>
                <w:rFonts w:ascii="Times New Roman" w:cs="Times New Roman" w:eastAsia="Times New Roman" w:hAnsi="Times New Roman"/>
                <w:sz w:val="14"/>
                <w:szCs w:val="14"/>
                <w:b w:val="1"/>
                <w:bCs w:val="1"/>
                <w:color w:val="auto"/>
              </w:rPr>
              <w:t>Recognized</w:t>
            </w:r>
          </w:p>
        </w:tc>
        <w:tc>
          <w:tcPr>
            <w:tcW w:w="440" w:type="dxa"/>
            <w:vAlign w:val="bottom"/>
          </w:tcPr>
          <w:p>
            <w:pPr>
              <w:spacing w:after="0"/>
              <w:rPr>
                <w:sz w:val="16"/>
                <w:szCs w:val="16"/>
                <w:color w:val="auto"/>
              </w:rPr>
            </w:pPr>
          </w:p>
        </w:tc>
        <w:tc>
          <w:tcPr>
            <w:tcW w:w="1120" w:type="dxa"/>
            <w:vAlign w:val="bottom"/>
          </w:tcPr>
          <w:p>
            <w:pPr>
              <w:jc w:val="right"/>
              <w:ind w:right="622"/>
              <w:spacing w:after="0"/>
              <w:rPr>
                <w:sz w:val="20"/>
                <w:szCs w:val="20"/>
                <w:color w:val="auto"/>
              </w:rPr>
            </w:pPr>
            <w:r>
              <w:rPr>
                <w:rFonts w:ascii="Times New Roman" w:cs="Times New Roman" w:eastAsia="Times New Roman" w:hAnsi="Times New Roman"/>
                <w:sz w:val="14"/>
                <w:szCs w:val="14"/>
                <w:b w:val="1"/>
                <w:bCs w:val="1"/>
                <w:color w:val="auto"/>
              </w:rPr>
              <w:t>(1)</w:t>
            </w:r>
          </w:p>
        </w:tc>
        <w:tc>
          <w:tcPr>
            <w:tcW w:w="15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Received/Pledged (2)</w:t>
            </w:r>
          </w:p>
        </w:tc>
        <w:tc>
          <w:tcPr>
            <w:tcW w:w="380" w:type="dxa"/>
            <w:vAlign w:val="bottom"/>
          </w:tcPr>
          <w:p>
            <w:pPr>
              <w:spacing w:after="0"/>
              <w:rPr>
                <w:sz w:val="16"/>
                <w:szCs w:val="16"/>
                <w:color w:val="auto"/>
              </w:rPr>
            </w:pPr>
          </w:p>
        </w:tc>
        <w:tc>
          <w:tcPr>
            <w:tcW w:w="1140" w:type="dxa"/>
            <w:vAlign w:val="bottom"/>
          </w:tcPr>
          <w:p>
            <w:pPr>
              <w:jc w:val="right"/>
              <w:ind w:right="302"/>
              <w:spacing w:after="0"/>
              <w:rPr>
                <w:sz w:val="20"/>
                <w:szCs w:val="20"/>
                <w:color w:val="auto"/>
              </w:rPr>
            </w:pPr>
            <w:r>
              <w:rPr>
                <w:rFonts w:ascii="Times New Roman" w:cs="Times New Roman" w:eastAsia="Times New Roman" w:hAnsi="Times New Roman"/>
                <w:sz w:val="14"/>
                <w:szCs w:val="14"/>
                <w:b w:val="1"/>
                <w:bCs w:val="1"/>
                <w:color w:val="auto"/>
              </w:rPr>
              <w:t>Net Amount</w:t>
            </w:r>
          </w:p>
        </w:tc>
        <w:tc>
          <w:tcPr>
            <w:tcW w:w="1540" w:type="dxa"/>
            <w:vAlign w:val="bottom"/>
            <w:gridSpan w:val="2"/>
          </w:tcPr>
          <w:p>
            <w:pPr>
              <w:jc w:val="right"/>
              <w:ind w:right="41"/>
              <w:spacing w:after="0"/>
              <w:rPr>
                <w:sz w:val="20"/>
                <w:szCs w:val="20"/>
                <w:color w:val="auto"/>
              </w:rPr>
            </w:pPr>
            <w:r>
              <w:rPr>
                <w:rFonts w:ascii="Times New Roman" w:cs="Times New Roman" w:eastAsia="Times New Roman" w:hAnsi="Times New Roman"/>
                <w:sz w:val="14"/>
                <w:szCs w:val="14"/>
                <w:b w:val="1"/>
                <w:bCs w:val="1"/>
                <w:color w:val="auto"/>
              </w:rPr>
              <w:t>Received/Pledged (3)</w:t>
            </w:r>
          </w:p>
        </w:tc>
        <w:tc>
          <w:tcPr>
            <w:tcW w:w="160" w:type="dxa"/>
            <w:vAlign w:val="bottom"/>
          </w:tcPr>
          <w:p>
            <w:pPr>
              <w:spacing w:after="0"/>
              <w:rPr>
                <w:sz w:val="16"/>
                <w:szCs w:val="16"/>
                <w:color w:val="auto"/>
              </w:rPr>
            </w:pPr>
          </w:p>
        </w:tc>
        <w:tc>
          <w:tcPr>
            <w:tcW w:w="1340" w:type="dxa"/>
            <w:vAlign w:val="bottom"/>
          </w:tcPr>
          <w:p>
            <w:pPr>
              <w:jc w:val="right"/>
              <w:ind w:right="23"/>
              <w:spacing w:after="0"/>
              <w:rPr>
                <w:sz w:val="20"/>
                <w:szCs w:val="20"/>
                <w:color w:val="auto"/>
              </w:rPr>
            </w:pPr>
            <w:r>
              <w:rPr>
                <w:rFonts w:ascii="Times New Roman" w:cs="Times New Roman" w:eastAsia="Times New Roman" w:hAnsi="Times New Roman"/>
                <w:sz w:val="14"/>
                <w:szCs w:val="14"/>
                <w:b w:val="1"/>
                <w:bCs w:val="1"/>
                <w:color w:val="auto"/>
              </w:rPr>
              <w:t>Securities Collateral</w:t>
            </w:r>
          </w:p>
        </w:tc>
      </w:tr>
      <w:tr>
        <w:trPr>
          <w:trHeight w:val="38"/>
        </w:trPr>
        <w:tc>
          <w:tcPr>
            <w:tcW w:w="212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gridSpan w:val="2"/>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r>
      <w:tr>
        <w:trPr>
          <w:trHeight w:val="393"/>
        </w:trPr>
        <w:tc>
          <w:tcPr>
            <w:tcW w:w="2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38"/>
        </w:trPr>
        <w:tc>
          <w:tcPr>
            <w:tcW w:w="2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40" w:type="dxa"/>
            <w:vAlign w:val="bottom"/>
          </w:tcPr>
          <w:p>
            <w:pPr>
              <w:spacing w:after="0"/>
              <w:rPr>
                <w:sz w:val="3"/>
                <w:szCs w:val="3"/>
                <w:color w:val="auto"/>
              </w:rPr>
            </w:pPr>
          </w:p>
        </w:tc>
      </w:tr>
      <w:tr>
        <w:trPr>
          <w:trHeight w:val="450"/>
        </w:trPr>
        <w:tc>
          <w:tcPr>
            <w:tcW w:w="2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r>
      <w:tr>
        <w:trPr>
          <w:trHeight w:val="441"/>
        </w:trPr>
        <w:tc>
          <w:tcPr>
            <w:tcW w:w="2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Derivative assets</w:t>
            </w:r>
          </w:p>
        </w:tc>
        <w:tc>
          <w:tcPr>
            <w:tcW w:w="2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8,799</w:t>
            </w:r>
          </w:p>
        </w:tc>
        <w:tc>
          <w:tcPr>
            <w:tcW w:w="440" w:type="dxa"/>
            <w:vAlign w:val="bottom"/>
          </w:tcPr>
          <w:p>
            <w:pPr>
              <w:jc w:val="right"/>
              <w:ind w:right="202"/>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(6,226)</w:t>
            </w:r>
          </w:p>
        </w:tc>
        <w:tc>
          <w:tcPr>
            <w:tcW w:w="30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(1,383)</w:t>
            </w:r>
          </w:p>
        </w:tc>
        <w:tc>
          <w:tcPr>
            <w:tcW w:w="38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1,190</w:t>
            </w:r>
          </w:p>
        </w:tc>
        <w:tc>
          <w:tcPr>
            <w:tcW w:w="600" w:type="dxa"/>
            <w:vAlign w:val="bottom"/>
          </w:tcPr>
          <w:p>
            <w:pPr>
              <w:jc w:val="right"/>
              <w:ind w:right="343"/>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(1,093)</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w:t>
            </w:r>
          </w:p>
        </w:tc>
      </w:tr>
      <w:tr>
        <w:trPr>
          <w:trHeight w:val="460"/>
        </w:trPr>
        <w:tc>
          <w:tcPr>
            <w:tcW w:w="2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Derivative liabilities</w:t>
            </w:r>
          </w:p>
        </w:tc>
        <w:tc>
          <w:tcPr>
            <w:tcW w:w="2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8,207</w:t>
            </w:r>
          </w:p>
        </w:tc>
        <w:tc>
          <w:tcPr>
            <w:tcW w:w="440" w:type="dxa"/>
            <w:vAlign w:val="bottom"/>
            <w:shd w:val="clear" w:color="auto" w:fill="CCEEFF"/>
          </w:tcPr>
          <w:p>
            <w:pPr>
              <w:jc w:val="right"/>
              <w:ind w:right="202"/>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(6,226)</w:t>
            </w:r>
          </w:p>
        </w:tc>
        <w:tc>
          <w:tcPr>
            <w:tcW w:w="30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1,981</w:t>
            </w:r>
          </w:p>
        </w:tc>
        <w:tc>
          <w:tcPr>
            <w:tcW w:w="600" w:type="dxa"/>
            <w:vAlign w:val="bottom"/>
            <w:shd w:val="clear" w:color="auto" w:fill="CCEEFF"/>
          </w:tcPr>
          <w:p>
            <w:pPr>
              <w:jc w:val="right"/>
              <w:ind w:right="343"/>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(1,981)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441"/>
        </w:trPr>
        <w:tc>
          <w:tcPr>
            <w:tcW w:w="21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460"/>
        </w:trPr>
        <w:tc>
          <w:tcPr>
            <w:tcW w:w="2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Derivative assets</w:t>
            </w:r>
          </w:p>
        </w:tc>
        <w:tc>
          <w:tcPr>
            <w:tcW w:w="2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6,568</w:t>
            </w:r>
          </w:p>
        </w:tc>
        <w:tc>
          <w:tcPr>
            <w:tcW w:w="440" w:type="dxa"/>
            <w:vAlign w:val="bottom"/>
            <w:shd w:val="clear" w:color="auto" w:fill="CCEEFF"/>
          </w:tcPr>
          <w:p>
            <w:pPr>
              <w:jc w:val="right"/>
              <w:ind w:right="202"/>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(3,861)</w:t>
            </w:r>
          </w:p>
        </w:tc>
        <w:tc>
          <w:tcPr>
            <w:tcW w:w="30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(1,374)</w:t>
            </w:r>
          </w:p>
        </w:tc>
        <w:tc>
          <w:tcPr>
            <w:tcW w:w="38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1,333</w:t>
            </w:r>
          </w:p>
        </w:tc>
        <w:tc>
          <w:tcPr>
            <w:tcW w:w="600" w:type="dxa"/>
            <w:vAlign w:val="bottom"/>
            <w:shd w:val="clear" w:color="auto" w:fill="CCEEFF"/>
          </w:tcPr>
          <w:p>
            <w:pPr>
              <w:jc w:val="right"/>
              <w:ind w:right="343"/>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(1,330)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432"/>
        </w:trPr>
        <w:tc>
          <w:tcPr>
            <w:tcW w:w="2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Derivative liabilities</w:t>
            </w:r>
          </w:p>
        </w:tc>
        <w:tc>
          <w:tcPr>
            <w:tcW w:w="2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5,099</w:t>
            </w:r>
          </w:p>
        </w:tc>
        <w:tc>
          <w:tcPr>
            <w:tcW w:w="440" w:type="dxa"/>
            <w:vAlign w:val="bottom"/>
          </w:tcPr>
          <w:p>
            <w:pPr>
              <w:jc w:val="right"/>
              <w:ind w:right="202"/>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(3,861)</w:t>
            </w:r>
          </w:p>
        </w:tc>
        <w:tc>
          <w:tcPr>
            <w:tcW w:w="30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1,238</w:t>
            </w:r>
          </w:p>
        </w:tc>
        <w:tc>
          <w:tcPr>
            <w:tcW w:w="600" w:type="dxa"/>
            <w:vAlign w:val="bottom"/>
          </w:tcPr>
          <w:p>
            <w:pPr>
              <w:jc w:val="right"/>
              <w:ind w:right="343"/>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(1,238)</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72"/>
        </w:trPr>
        <w:tc>
          <w:tcPr>
            <w:tcW w:w="2120" w:type="dxa"/>
            <w:vAlign w:val="bottom"/>
          </w:tcPr>
          <w:p>
            <w:pPr>
              <w:spacing w:after="0"/>
              <w:rPr>
                <w:sz w:val="20"/>
                <w:szCs w:val="20"/>
                <w:color w:val="auto"/>
              </w:rPr>
            </w:pPr>
            <w:r>
              <w:rPr>
                <w:rFonts w:ascii="Times New Roman" w:cs="Times New Roman" w:eastAsia="Times New Roman" w:hAnsi="Times New Roman"/>
                <w:sz w:val="14"/>
                <w:szCs w:val="14"/>
                <w:color w:val="auto"/>
              </w:rPr>
              <w:t>_______________</w:t>
            </w:r>
          </w:p>
        </w:tc>
        <w:tc>
          <w:tcPr>
            <w:tcW w:w="2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40" w:type="dxa"/>
            <w:vAlign w:val="bottom"/>
          </w:tcPr>
          <w:p>
            <w:pPr>
              <w:spacing w:after="0"/>
              <w:rPr>
                <w:sz w:val="23"/>
                <w:szCs w:val="23"/>
                <w:color w:val="auto"/>
              </w:rPr>
            </w:pPr>
          </w:p>
        </w:tc>
      </w:tr>
    </w:tbl>
    <w:p>
      <w:pPr>
        <w:spacing w:after="0" w:line="85" w:lineRule="exact"/>
        <w:rPr>
          <w:sz w:val="20"/>
          <w:szCs w:val="20"/>
          <w:color w:val="auto"/>
        </w:rPr>
      </w:pPr>
    </w:p>
    <w:p>
      <w:pPr>
        <w:ind w:left="320" w:hanging="314"/>
        <w:spacing w:after="0"/>
        <w:tabs>
          <w:tab w:leader="none" w:pos="3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amounts subject to an enforceable master netting agreement or similar agreement.</w:t>
      </w:r>
    </w:p>
    <w:p>
      <w:pPr>
        <w:spacing w:after="0" w:line="111" w:lineRule="exact"/>
        <w:rPr>
          <w:rFonts w:ascii="Times New Roman" w:cs="Times New Roman" w:eastAsia="Times New Roman" w:hAnsi="Times New Roman"/>
          <w:sz w:val="18"/>
          <w:szCs w:val="18"/>
          <w:color w:val="auto"/>
        </w:rPr>
      </w:pPr>
    </w:p>
    <w:p>
      <w:pPr>
        <w:ind w:left="320" w:hanging="314"/>
        <w:spacing w:after="0"/>
        <w:tabs>
          <w:tab w:leader="none" w:pos="3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cash collateral offset in the table above is limited to the net estimated fair value of derivatives after application of netting agreement.</w:t>
      </w:r>
    </w:p>
    <w:p>
      <w:pPr>
        <w:spacing w:after="0" w:line="111" w:lineRule="exact"/>
        <w:rPr>
          <w:rFonts w:ascii="Times New Roman" w:cs="Times New Roman" w:eastAsia="Times New Roman" w:hAnsi="Times New Roman"/>
          <w:sz w:val="18"/>
          <w:szCs w:val="18"/>
          <w:color w:val="auto"/>
        </w:rPr>
      </w:pPr>
    </w:p>
    <w:p>
      <w:pPr>
        <w:ind w:left="320" w:hanging="314"/>
        <w:spacing w:after="0" w:line="274" w:lineRule="auto"/>
        <w:tabs>
          <w:tab w:leader="none" w:pos="31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collateral received from counterparties is not reported on the consolidated balance sheets and may not be sold or re-pledged unless the counterparty is in default. Amounts do not include excess of collateral pledged or received.</w:t>
      </w:r>
    </w:p>
    <w:p>
      <w:pPr>
        <w:spacing w:after="0" w:line="5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Company does not offset recognized derivative assets and liabilities subject to master netting agreements on the consolidated balance sheets except for derivative instruments executed with the same counterparty but under different credit support annexes. As of March 31, 2026, $1.5 billion of recognized derivative assets were offset by $1.5 billion of recognized derivative liabilities on the consolidated balance sheets.</w:t>
      </w:r>
    </w:p>
    <w:p>
      <w:pPr>
        <w:spacing w:after="0" w:line="125"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 Company’s collateral arrangements generally require the counterparty in a net liability position, after considering the effect of netting agreements, to pledge collateral when the amount owed by that counterparty reaches a minimum transfer amount. Certain of these arrangements also include credit-contingent provisions which permit the party with positive fair value to terminate the derivative at the current fair value or demand immediate full collateralization from the party in a net liability position, in the event that the financial strength or credit rating of the party in a net liability position falls below a certain level.</w:t>
      </w:r>
    </w:p>
    <w:p>
      <w:pPr>
        <w:spacing w:after="0" w:line="79"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aggregate estimated fair values of derivatives in a net liability position containing such credit-contingent provisions and the aggregate estimated fair value of assets posted as collateral for such instruments were as follows at:</w:t>
      </w: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tcPr>
          <w:p>
            <w:pPr>
              <w:jc w:val="right"/>
              <w:ind w:right="326"/>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40" w:type="dxa"/>
            <w:vAlign w:val="bottom"/>
          </w:tcPr>
          <w:p>
            <w:pPr>
              <w:spacing w:after="0"/>
              <w:rPr>
                <w:sz w:val="16"/>
                <w:szCs w:val="16"/>
                <w:color w:val="auto"/>
              </w:rPr>
            </w:pPr>
          </w:p>
        </w:tc>
        <w:tc>
          <w:tcPr>
            <w:tcW w:w="1480" w:type="dxa"/>
            <w:vAlign w:val="bottom"/>
          </w:tcPr>
          <w:p>
            <w:pPr>
              <w:jc w:val="right"/>
              <w:ind w:right="185"/>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38"/>
        </w:trPr>
        <w:tc>
          <w:tcPr>
            <w:tcW w:w="782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3180" w:type="dxa"/>
            <w:vAlign w:val="bottom"/>
            <w:tcBorders>
              <w:bottom w:val="single" w:sz="8" w:color="auto"/>
            </w:tcBorders>
            <w:gridSpan w:val="3"/>
          </w:tcPr>
          <w:p>
            <w:pPr>
              <w:spacing w:after="0"/>
              <w:rPr>
                <w:sz w:val="3"/>
                <w:szCs w:val="3"/>
                <w:color w:val="auto"/>
              </w:rPr>
            </w:pPr>
          </w:p>
        </w:tc>
      </w:tr>
      <w:tr>
        <w:trPr>
          <w:trHeight w:val="393"/>
        </w:trPr>
        <w:tc>
          <w:tcPr>
            <w:tcW w:w="7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180" w:type="dxa"/>
            <w:vAlign w:val="bottom"/>
            <w:gridSpan w:val="3"/>
          </w:tcPr>
          <w:p>
            <w:pPr>
              <w:jc w:val="right"/>
              <w:ind w:right="1265"/>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38"/>
        </w:trPr>
        <w:tc>
          <w:tcPr>
            <w:tcW w:w="78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480" w:type="dxa"/>
            <w:vAlign w:val="bottom"/>
          </w:tcPr>
          <w:p>
            <w:pPr>
              <w:spacing w:after="0"/>
              <w:rPr>
                <w:sz w:val="3"/>
                <w:szCs w:val="3"/>
                <w:color w:val="auto"/>
              </w:rPr>
            </w:pPr>
          </w:p>
        </w:tc>
      </w:tr>
      <w:tr>
        <w:trPr>
          <w:trHeight w:val="450"/>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Estimated fair value of derivatives in a net liability position (1)</w:t>
            </w: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6"/>
                <w:szCs w:val="16"/>
                <w:color w:val="auto"/>
              </w:rPr>
              <w:t>1,981</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1,238</w:t>
            </w:r>
          </w:p>
        </w:tc>
      </w:tr>
    </w:tbl>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Estimated fair value of collateral provided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26670</wp:posOffset>
            </wp:positionV>
            <wp:extent cx="7134860" cy="2857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4860" cy="285750"/>
                    </a:xfrm>
                    <a:prstGeom prst="rect">
                      <a:avLst/>
                    </a:prstGeom>
                    <a:noFill/>
                  </pic:spPr>
                </pic:pic>
              </a:graphicData>
            </a:graphic>
          </wp:anchor>
        </w:drawing>
      </w:r>
    </w:p>
    <w:p>
      <w:pPr>
        <w:spacing w:after="0" w:line="247" w:lineRule="exact"/>
        <w:rPr>
          <w:sz w:val="20"/>
          <w:szCs w:val="20"/>
          <w:color w:val="auto"/>
        </w:rPr>
      </w:pPr>
    </w:p>
    <w:p>
      <w:pPr>
        <w:ind w:left="340"/>
        <w:spacing w:after="0"/>
        <w:tabs>
          <w:tab w:leader="none" w:pos="7840" w:val="left"/>
          <w:tab w:leader="none" w:pos="9040" w:val="left"/>
          <w:tab w:leader="none" w:pos="9600" w:val="left"/>
          <w:tab w:leader="none" w:pos="10800" w:val="left"/>
        </w:tabs>
        <w:rPr>
          <w:sz w:val="20"/>
          <w:szCs w:val="20"/>
          <w:color w:val="auto"/>
        </w:rPr>
      </w:pPr>
      <w:r>
        <w:rPr>
          <w:rFonts w:ascii="Times New Roman" w:cs="Times New Roman" w:eastAsia="Times New Roman" w:hAnsi="Times New Roman"/>
          <w:sz w:val="16"/>
          <w:szCs w:val="16"/>
          <w:color w:val="auto"/>
        </w:rPr>
        <w:t>Fixed maturity securities</w:t>
      </w:r>
      <w:r>
        <w:rPr>
          <w:sz w:val="20"/>
          <w:szCs w:val="20"/>
          <w:color w:val="auto"/>
        </w:rPr>
        <w:tab/>
      </w: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4,998</w:t>
        <w:tab/>
        <w:t>$</w:t>
      </w:r>
      <w:r>
        <w:rPr>
          <w:sz w:val="20"/>
          <w:szCs w:val="20"/>
          <w:color w:val="auto"/>
        </w:rPr>
        <w:tab/>
      </w:r>
      <w:r>
        <w:rPr>
          <w:rFonts w:ascii="Times New Roman" w:cs="Times New Roman" w:eastAsia="Times New Roman" w:hAnsi="Times New Roman"/>
          <w:sz w:val="16"/>
          <w:szCs w:val="16"/>
          <w:color w:val="auto"/>
        </w:rPr>
        <w:t>3,685</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w:t>
      </w:r>
    </w:p>
    <w:p>
      <w:pPr>
        <w:spacing w:after="0" w:line="121" w:lineRule="exact"/>
        <w:rPr>
          <w:sz w:val="20"/>
          <w:szCs w:val="20"/>
          <w:color w:val="auto"/>
        </w:rPr>
      </w:pPr>
    </w:p>
    <w:p>
      <w:pPr>
        <w:ind w:left="320" w:hanging="314"/>
        <w:spacing w:after="0"/>
        <w:tabs>
          <w:tab w:leader="none" w:pos="3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taking into consideration the existence of netting agreements.</w:t>
      </w:r>
    </w:p>
    <w:p>
      <w:pPr>
        <w:spacing w:after="0" w:line="111" w:lineRule="exact"/>
        <w:rPr>
          <w:rFonts w:ascii="Times New Roman" w:cs="Times New Roman" w:eastAsia="Times New Roman" w:hAnsi="Times New Roman"/>
          <w:sz w:val="18"/>
          <w:szCs w:val="18"/>
          <w:color w:val="auto"/>
        </w:rPr>
      </w:pPr>
    </w:p>
    <w:p>
      <w:pPr>
        <w:jc w:val="both"/>
        <w:ind w:left="320" w:hanging="314"/>
        <w:spacing w:after="0" w:line="255" w:lineRule="auto"/>
        <w:tabs>
          <w:tab w:leader="none" w:pos="31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Substantially all of the Company’s collateral arrangements provide for daily posting of collateral for the full value of the derivative contract. As a result, if the credit-contingent provisions of derivative contracts in a net liability position were triggered, minimal additional assets would be required to be posted as collateral or needed to settle the instruments immediately. Additionally, the Company is required to pledge initial margin for certain new OTC-bilateral derivative transactions to third-party custodians.</w:t>
      </w:r>
    </w:p>
    <w:p>
      <w:pPr>
        <w:sectPr>
          <w:pgSz w:w="11900" w:h="16838" w:orient="portrait"/>
          <w:cols w:equalWidth="0" w:num="1">
            <w:col w:w="11240"/>
          </w:cols>
          <w:pgMar w:left="320" w:top="230" w:right="339" w:bottom="27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30" w:right="339" w:bottom="270" w:gutter="0" w:footer="0" w:header="0"/>
          <w:type w:val="continuous"/>
        </w:sectPr>
      </w:pPr>
    </w:p>
    <w:bookmarkStart w:id="46" w:name="page47"/>
    <w:bookmarkEnd w:id="46"/>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Life Insurance Company</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 Indirect Wholly-Owned Subsidiary of Brighthouse Financial, Inc.)</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Fair Value</w:t>
      </w:r>
    </w:p>
    <w:p>
      <w:pPr>
        <w:spacing w:after="0" w:line="113"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Considerable judgment is often required in interpreting market data to develop estimates of fair value, and the use of different assumptions or valuation methodologies may have a material effect on the estimated fair value amounts.</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Recurring Fair Value Measurements</w:t>
      </w:r>
    </w:p>
    <w:p>
      <w:pPr>
        <w:spacing w:after="0" w:line="11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assets and liabilities measured at estimated fair value on a recurring basis and their corresponding placement in the fair value hierarchy are presented in the tables below. Investments that do not have a readily determinable fair value and are measured at net asset value (or equivalent) as a practical expedient to estimated fair value are excluded from the fair value hierarchy.</w:t>
      </w:r>
    </w:p>
    <w:p>
      <w:pPr>
        <w:sectPr>
          <w:pgSz w:w="11900" w:h="16838" w:orient="portrait"/>
          <w:cols w:equalWidth="0" w:num="1">
            <w:col w:w="11240"/>
          </w:cols>
          <w:pgMar w:left="320" w:top="230" w:right="33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186"/>
        </w:trPr>
        <w:tc>
          <w:tcPr>
            <w:tcW w:w="5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5100" w:type="dxa"/>
            <w:vAlign w:val="bottom"/>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gridSpan w:val="3"/>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93"/>
        </w:trPr>
        <w:tc>
          <w:tcPr>
            <w:tcW w:w="5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Fair Value Hierarchy</w:t>
            </w: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
        </w:trPr>
        <w:tc>
          <w:tcPr>
            <w:tcW w:w="5100" w:type="dxa"/>
            <w:vAlign w:val="bottom"/>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80" w:type="dxa"/>
            <w:vAlign w:val="bottom"/>
            <w:vMerge w:val="restart"/>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Total Estimated</w:t>
            </w:r>
          </w:p>
        </w:tc>
        <w:tc>
          <w:tcPr>
            <w:tcW w:w="0" w:type="dxa"/>
            <w:vAlign w:val="bottom"/>
          </w:tcPr>
          <w:p>
            <w:pPr>
              <w:spacing w:after="0"/>
              <w:rPr>
                <w:sz w:val="1"/>
                <w:szCs w:val="1"/>
                <w:color w:val="auto"/>
              </w:rPr>
            </w:pPr>
          </w:p>
        </w:tc>
      </w:tr>
      <w:tr>
        <w:trPr>
          <w:trHeight w:val="207"/>
        </w:trPr>
        <w:tc>
          <w:tcPr>
            <w:tcW w:w="5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5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460" w:type="dxa"/>
            <w:vAlign w:val="bottom"/>
          </w:tcPr>
          <w:p>
            <w:pPr>
              <w:spacing w:after="0"/>
              <w:rPr>
                <w:sz w:val="16"/>
                <w:szCs w:val="16"/>
                <w:color w:val="auto"/>
              </w:rPr>
            </w:pPr>
          </w:p>
        </w:tc>
        <w:tc>
          <w:tcPr>
            <w:tcW w:w="11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80" w:type="dxa"/>
            <w:vAlign w:val="bottom"/>
          </w:tcPr>
          <w:p>
            <w:pPr>
              <w:spacing w:after="0"/>
              <w:rPr>
                <w:sz w:val="16"/>
                <w:szCs w:val="16"/>
                <w:color w:val="auto"/>
              </w:rPr>
            </w:pPr>
          </w:p>
        </w:tc>
        <w:tc>
          <w:tcPr>
            <w:tcW w:w="1280" w:type="dxa"/>
            <w:vAlign w:val="bottom"/>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38"/>
        </w:trPr>
        <w:tc>
          <w:tcPr>
            <w:tcW w:w="5100" w:type="dxa"/>
            <w:vAlign w:val="bottom"/>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720" w:type="dxa"/>
            <w:vAlign w:val="bottom"/>
            <w:tcBorders>
              <w:bottom w:val="single" w:sz="8" w:color="auto"/>
            </w:tcBorders>
            <w:gridSpan w:val="3"/>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93"/>
        </w:trPr>
        <w:tc>
          <w:tcPr>
            <w:tcW w:w="5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20" w:type="dxa"/>
            <w:vAlign w:val="bottom"/>
            <w:gridSpan w:val="3"/>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
        </w:trPr>
        <w:tc>
          <w:tcPr>
            <w:tcW w:w="5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7"/>
        </w:trPr>
        <w:tc>
          <w:tcPr>
            <w:tcW w:w="5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00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400"/>
        </w:trPr>
        <w:tc>
          <w:tcPr>
            <w:tcW w:w="5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Fixed maturity securities:</w:t>
            </w:r>
          </w:p>
        </w:tc>
        <w:tc>
          <w:tcPr>
            <w:tcW w:w="10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
        </w:trPr>
        <w:tc>
          <w:tcPr>
            <w:tcW w:w="5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7"/>
        </w:trPr>
        <w:tc>
          <w:tcPr>
            <w:tcW w:w="5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U.S. corporate</w:t>
            </w:r>
          </w:p>
        </w:tc>
        <w:tc>
          <w:tcPr>
            <w:tcW w:w="1000" w:type="dxa"/>
            <w:vAlign w:val="bottom"/>
            <w:tcBorders>
              <w:bottom w:val="single" w:sz="8" w:color="CCEEFF"/>
            </w:tcBorders>
            <w:shd w:val="clear" w:color="auto" w:fill="CCEEFF"/>
          </w:tcPr>
          <w:p>
            <w:pPr>
              <w:jc w:val="right"/>
              <w:ind w:right="809"/>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CCEEFF"/>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37,077</w:t>
            </w:r>
          </w:p>
        </w:tc>
        <w:tc>
          <w:tcPr>
            <w:tcW w:w="10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768</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37,845</w:t>
            </w:r>
          </w:p>
        </w:tc>
        <w:tc>
          <w:tcPr>
            <w:tcW w:w="0" w:type="dxa"/>
            <w:vAlign w:val="bottom"/>
          </w:tcPr>
          <w:p>
            <w:pPr>
              <w:spacing w:after="0"/>
              <w:rPr>
                <w:sz w:val="1"/>
                <w:szCs w:val="1"/>
                <w:color w:val="auto"/>
              </w:rPr>
            </w:pPr>
          </w:p>
        </w:tc>
      </w:tr>
      <w:tr>
        <w:trPr>
          <w:trHeight w:val="400"/>
        </w:trPr>
        <w:tc>
          <w:tcPr>
            <w:tcW w:w="5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corporate</w:t>
            </w:r>
          </w:p>
        </w:tc>
        <w:tc>
          <w:tcPr>
            <w:tcW w:w="1000" w:type="dxa"/>
            <w:vAlign w:val="bottom"/>
          </w:tcPr>
          <w:p>
            <w:pPr>
              <w:spacing w:after="0"/>
              <w:rPr>
                <w:sz w:val="24"/>
                <w:szCs w:val="24"/>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10,920</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11,049</w:t>
            </w:r>
          </w:p>
        </w:tc>
        <w:tc>
          <w:tcPr>
            <w:tcW w:w="0" w:type="dxa"/>
            <w:vAlign w:val="bottom"/>
          </w:tcPr>
          <w:p>
            <w:pPr>
              <w:spacing w:after="0"/>
              <w:rPr>
                <w:sz w:val="1"/>
                <w:szCs w:val="1"/>
                <w:color w:val="auto"/>
              </w:rPr>
            </w:pPr>
          </w:p>
        </w:tc>
      </w:tr>
      <w:tr>
        <w:trPr>
          <w:trHeight w:val="38"/>
        </w:trPr>
        <w:tc>
          <w:tcPr>
            <w:tcW w:w="5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7"/>
        </w:trPr>
        <w:tc>
          <w:tcPr>
            <w:tcW w:w="5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RMBS</w:t>
            </w:r>
          </w:p>
        </w:tc>
        <w:tc>
          <w:tcPr>
            <w:tcW w:w="100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8,736</w:t>
            </w:r>
          </w:p>
        </w:tc>
        <w:tc>
          <w:tcPr>
            <w:tcW w:w="10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8,825</w:t>
            </w:r>
          </w:p>
        </w:tc>
        <w:tc>
          <w:tcPr>
            <w:tcW w:w="0" w:type="dxa"/>
            <w:vAlign w:val="bottom"/>
          </w:tcPr>
          <w:p>
            <w:pPr>
              <w:spacing w:after="0"/>
              <w:rPr>
                <w:sz w:val="1"/>
                <w:szCs w:val="1"/>
                <w:color w:val="auto"/>
              </w:rPr>
            </w:pPr>
          </w:p>
        </w:tc>
      </w:tr>
      <w:tr>
        <w:trPr>
          <w:trHeight w:val="400"/>
        </w:trPr>
        <w:tc>
          <w:tcPr>
            <w:tcW w:w="5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U.S. government and agency</w:t>
            </w:r>
          </w:p>
        </w:tc>
        <w:tc>
          <w:tcPr>
            <w:tcW w:w="1000" w:type="dxa"/>
            <w:vAlign w:val="bottom"/>
          </w:tcPr>
          <w:p>
            <w:pPr>
              <w:spacing w:after="0"/>
              <w:rPr>
                <w:sz w:val="24"/>
                <w:szCs w:val="24"/>
                <w:color w:val="auto"/>
              </w:rPr>
            </w:pPr>
          </w:p>
        </w:tc>
        <w:tc>
          <w:tcPr>
            <w:tcW w:w="4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2,197</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4,144</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6,341</w:t>
            </w:r>
          </w:p>
        </w:tc>
        <w:tc>
          <w:tcPr>
            <w:tcW w:w="0" w:type="dxa"/>
            <w:vAlign w:val="bottom"/>
          </w:tcPr>
          <w:p>
            <w:pPr>
              <w:spacing w:after="0"/>
              <w:rPr>
                <w:sz w:val="1"/>
                <w:szCs w:val="1"/>
                <w:color w:val="auto"/>
              </w:rPr>
            </w:pPr>
          </w:p>
        </w:tc>
      </w:tr>
      <w:tr>
        <w:trPr>
          <w:trHeight w:val="38"/>
        </w:trPr>
        <w:tc>
          <w:tcPr>
            <w:tcW w:w="5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7"/>
        </w:trPr>
        <w:tc>
          <w:tcPr>
            <w:tcW w:w="5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ABS</w:t>
            </w:r>
          </w:p>
        </w:tc>
        <w:tc>
          <w:tcPr>
            <w:tcW w:w="100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5,782</w:t>
            </w:r>
          </w:p>
        </w:tc>
        <w:tc>
          <w:tcPr>
            <w:tcW w:w="10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6,074</w:t>
            </w:r>
          </w:p>
        </w:tc>
        <w:tc>
          <w:tcPr>
            <w:tcW w:w="0" w:type="dxa"/>
            <w:vAlign w:val="bottom"/>
          </w:tcPr>
          <w:p>
            <w:pPr>
              <w:spacing w:after="0"/>
              <w:rPr>
                <w:sz w:val="1"/>
                <w:szCs w:val="1"/>
                <w:color w:val="auto"/>
              </w:rPr>
            </w:pPr>
          </w:p>
        </w:tc>
      </w:tr>
      <w:tr>
        <w:trPr>
          <w:trHeight w:val="400"/>
        </w:trPr>
        <w:tc>
          <w:tcPr>
            <w:tcW w:w="5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CMBS</w:t>
            </w:r>
          </w:p>
        </w:tc>
        <w:tc>
          <w:tcPr>
            <w:tcW w:w="1000" w:type="dxa"/>
            <w:vAlign w:val="bottom"/>
          </w:tcPr>
          <w:p>
            <w:pPr>
              <w:spacing w:after="0"/>
              <w:rPr>
                <w:sz w:val="24"/>
                <w:szCs w:val="24"/>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5,770</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5,770</w:t>
            </w:r>
          </w:p>
        </w:tc>
        <w:tc>
          <w:tcPr>
            <w:tcW w:w="0" w:type="dxa"/>
            <w:vAlign w:val="bottom"/>
          </w:tcPr>
          <w:p>
            <w:pPr>
              <w:spacing w:after="0"/>
              <w:rPr>
                <w:sz w:val="1"/>
                <w:szCs w:val="1"/>
                <w:color w:val="auto"/>
              </w:rPr>
            </w:pPr>
          </w:p>
        </w:tc>
      </w:tr>
      <w:tr>
        <w:trPr>
          <w:trHeight w:val="38"/>
        </w:trPr>
        <w:tc>
          <w:tcPr>
            <w:tcW w:w="5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7"/>
        </w:trPr>
        <w:tc>
          <w:tcPr>
            <w:tcW w:w="5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State and political subdivision</w:t>
            </w:r>
          </w:p>
        </w:tc>
        <w:tc>
          <w:tcPr>
            <w:tcW w:w="100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3,343</w:t>
            </w:r>
          </w:p>
        </w:tc>
        <w:tc>
          <w:tcPr>
            <w:tcW w:w="10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3,343</w:t>
            </w:r>
          </w:p>
        </w:tc>
        <w:tc>
          <w:tcPr>
            <w:tcW w:w="0" w:type="dxa"/>
            <w:vAlign w:val="bottom"/>
          </w:tcPr>
          <w:p>
            <w:pPr>
              <w:spacing w:after="0"/>
              <w:rPr>
                <w:sz w:val="1"/>
                <w:szCs w:val="1"/>
                <w:color w:val="auto"/>
              </w:rPr>
            </w:pPr>
          </w:p>
        </w:tc>
      </w:tr>
      <w:tr>
        <w:trPr>
          <w:trHeight w:val="400"/>
        </w:trPr>
        <w:tc>
          <w:tcPr>
            <w:tcW w:w="5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government</w:t>
            </w:r>
          </w:p>
        </w:tc>
        <w:tc>
          <w:tcPr>
            <w:tcW w:w="1000" w:type="dxa"/>
            <w:vAlign w:val="bottom"/>
          </w:tcPr>
          <w:p>
            <w:pPr>
              <w:spacing w:after="0"/>
              <w:rPr>
                <w:sz w:val="24"/>
                <w:szCs w:val="24"/>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872</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896</w:t>
            </w:r>
          </w:p>
        </w:tc>
        <w:tc>
          <w:tcPr>
            <w:tcW w:w="0" w:type="dxa"/>
            <w:vAlign w:val="bottom"/>
          </w:tcPr>
          <w:p>
            <w:pPr>
              <w:spacing w:after="0"/>
              <w:rPr>
                <w:sz w:val="1"/>
                <w:szCs w:val="1"/>
                <w:color w:val="auto"/>
              </w:rPr>
            </w:pPr>
          </w:p>
        </w:tc>
      </w:tr>
      <w:tr>
        <w:trPr>
          <w:trHeight w:val="38"/>
        </w:trPr>
        <w:tc>
          <w:tcPr>
            <w:tcW w:w="5100" w:type="dxa"/>
            <w:vAlign w:val="bottom"/>
            <w:tcBorders>
              <w:bottom w:val="single" w:sz="8" w:color="CCEEFF"/>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430"/>
        </w:trPr>
        <w:tc>
          <w:tcPr>
            <w:tcW w:w="51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fixed maturity securities</w:t>
            </w:r>
          </w:p>
        </w:tc>
        <w:tc>
          <w:tcPr>
            <w:tcW w:w="100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2,197</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76,644</w:t>
            </w:r>
          </w:p>
        </w:tc>
        <w:tc>
          <w:tcPr>
            <w:tcW w:w="10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1,302</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80,143</w:t>
            </w:r>
          </w:p>
        </w:tc>
        <w:tc>
          <w:tcPr>
            <w:tcW w:w="0" w:type="dxa"/>
            <w:vAlign w:val="bottom"/>
          </w:tcPr>
          <w:p>
            <w:pPr>
              <w:spacing w:after="0"/>
              <w:rPr>
                <w:sz w:val="1"/>
                <w:szCs w:val="1"/>
                <w:color w:val="auto"/>
              </w:rPr>
            </w:pPr>
          </w:p>
        </w:tc>
      </w:tr>
      <w:tr>
        <w:trPr>
          <w:trHeight w:val="393"/>
        </w:trPr>
        <w:tc>
          <w:tcPr>
            <w:tcW w:w="5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Trading securities</w:t>
            </w:r>
          </w:p>
        </w:tc>
        <w:tc>
          <w:tcPr>
            <w:tcW w:w="100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96</w:t>
            </w:r>
          </w:p>
        </w:tc>
        <w:tc>
          <w:tcPr>
            <w:tcW w:w="10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448</w:t>
            </w:r>
          </w:p>
        </w:tc>
        <w:tc>
          <w:tcPr>
            <w:tcW w:w="10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544</w:t>
            </w:r>
          </w:p>
        </w:tc>
        <w:tc>
          <w:tcPr>
            <w:tcW w:w="0" w:type="dxa"/>
            <w:vAlign w:val="bottom"/>
          </w:tcPr>
          <w:p>
            <w:pPr>
              <w:spacing w:after="0"/>
              <w:rPr>
                <w:sz w:val="1"/>
                <w:szCs w:val="1"/>
                <w:color w:val="auto"/>
              </w:rPr>
            </w:pPr>
          </w:p>
        </w:tc>
      </w:tr>
      <w:tr>
        <w:trPr>
          <w:trHeight w:val="38"/>
        </w:trPr>
        <w:tc>
          <w:tcPr>
            <w:tcW w:w="5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7"/>
        </w:trPr>
        <w:tc>
          <w:tcPr>
            <w:tcW w:w="5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securities</w:t>
            </w:r>
          </w:p>
        </w:tc>
        <w:tc>
          <w:tcPr>
            <w:tcW w:w="100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0" w:type="dxa"/>
            <w:vAlign w:val="bottom"/>
          </w:tcPr>
          <w:p>
            <w:pPr>
              <w:spacing w:after="0"/>
              <w:rPr>
                <w:sz w:val="1"/>
                <w:szCs w:val="1"/>
                <w:color w:val="auto"/>
              </w:rPr>
            </w:pPr>
          </w:p>
        </w:tc>
      </w:tr>
      <w:tr>
        <w:trPr>
          <w:trHeight w:val="400"/>
        </w:trPr>
        <w:tc>
          <w:tcPr>
            <w:tcW w:w="5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Short-term investments</w:t>
            </w:r>
          </w:p>
        </w:tc>
        <w:tc>
          <w:tcPr>
            <w:tcW w:w="1000" w:type="dxa"/>
            <w:vAlign w:val="bottom"/>
          </w:tcPr>
          <w:p>
            <w:pPr>
              <w:spacing w:after="0"/>
              <w:rPr>
                <w:sz w:val="24"/>
                <w:szCs w:val="24"/>
                <w:color w:val="auto"/>
              </w:rPr>
            </w:pPr>
          </w:p>
        </w:tc>
        <w:tc>
          <w:tcPr>
            <w:tcW w:w="4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686</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781</w:t>
            </w:r>
          </w:p>
        </w:tc>
        <w:tc>
          <w:tcPr>
            <w:tcW w:w="0" w:type="dxa"/>
            <w:vAlign w:val="bottom"/>
          </w:tcPr>
          <w:p>
            <w:pPr>
              <w:spacing w:after="0"/>
              <w:rPr>
                <w:sz w:val="1"/>
                <w:szCs w:val="1"/>
                <w:color w:val="auto"/>
              </w:rPr>
            </w:pPr>
          </w:p>
        </w:tc>
      </w:tr>
      <w:tr>
        <w:trPr>
          <w:trHeight w:val="37"/>
        </w:trPr>
        <w:tc>
          <w:tcPr>
            <w:tcW w:w="5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7"/>
        </w:trPr>
        <w:tc>
          <w:tcPr>
            <w:tcW w:w="5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Derivative assets: (1)</w:t>
            </w:r>
          </w:p>
        </w:tc>
        <w:tc>
          <w:tcPr>
            <w:tcW w:w="100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400"/>
        </w:trPr>
        <w:tc>
          <w:tcPr>
            <w:tcW w:w="5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rate</w:t>
            </w:r>
          </w:p>
        </w:tc>
        <w:tc>
          <w:tcPr>
            <w:tcW w:w="1000" w:type="dxa"/>
            <w:vAlign w:val="bottom"/>
          </w:tcPr>
          <w:p>
            <w:pPr>
              <w:spacing w:after="0"/>
              <w:rPr>
                <w:sz w:val="24"/>
                <w:szCs w:val="24"/>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278</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278</w:t>
            </w:r>
          </w:p>
        </w:tc>
        <w:tc>
          <w:tcPr>
            <w:tcW w:w="0" w:type="dxa"/>
            <w:vAlign w:val="bottom"/>
          </w:tcPr>
          <w:p>
            <w:pPr>
              <w:spacing w:after="0"/>
              <w:rPr>
                <w:sz w:val="1"/>
                <w:szCs w:val="1"/>
                <w:color w:val="auto"/>
              </w:rPr>
            </w:pPr>
          </w:p>
        </w:tc>
      </w:tr>
      <w:tr>
        <w:trPr>
          <w:trHeight w:val="38"/>
        </w:trPr>
        <w:tc>
          <w:tcPr>
            <w:tcW w:w="5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7"/>
        </w:trPr>
        <w:tc>
          <w:tcPr>
            <w:tcW w:w="5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currency exchange rate</w:t>
            </w:r>
          </w:p>
        </w:tc>
        <w:tc>
          <w:tcPr>
            <w:tcW w:w="100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421</w:t>
            </w:r>
          </w:p>
        </w:tc>
        <w:tc>
          <w:tcPr>
            <w:tcW w:w="10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427</w:t>
            </w:r>
          </w:p>
        </w:tc>
        <w:tc>
          <w:tcPr>
            <w:tcW w:w="0" w:type="dxa"/>
            <w:vAlign w:val="bottom"/>
          </w:tcPr>
          <w:p>
            <w:pPr>
              <w:spacing w:after="0"/>
              <w:rPr>
                <w:sz w:val="1"/>
                <w:szCs w:val="1"/>
                <w:color w:val="auto"/>
              </w:rPr>
            </w:pPr>
          </w:p>
        </w:tc>
      </w:tr>
      <w:tr>
        <w:trPr>
          <w:trHeight w:val="400"/>
        </w:trPr>
        <w:tc>
          <w:tcPr>
            <w:tcW w:w="5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Credit</w:t>
            </w:r>
          </w:p>
        </w:tc>
        <w:tc>
          <w:tcPr>
            <w:tcW w:w="1000" w:type="dxa"/>
            <w:vAlign w:val="bottom"/>
          </w:tcPr>
          <w:p>
            <w:pPr>
              <w:spacing w:after="0"/>
              <w:rPr>
                <w:sz w:val="24"/>
                <w:szCs w:val="24"/>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38"/>
        </w:trPr>
        <w:tc>
          <w:tcPr>
            <w:tcW w:w="5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37"/>
        </w:trPr>
        <w:tc>
          <w:tcPr>
            <w:tcW w:w="5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market</w:t>
            </w:r>
          </w:p>
        </w:tc>
        <w:tc>
          <w:tcPr>
            <w:tcW w:w="100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7,670</w:t>
            </w:r>
          </w:p>
        </w:tc>
        <w:tc>
          <w:tcPr>
            <w:tcW w:w="10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7,715</w:t>
            </w:r>
          </w:p>
        </w:tc>
        <w:tc>
          <w:tcPr>
            <w:tcW w:w="0" w:type="dxa"/>
            <w:vAlign w:val="bottom"/>
          </w:tcPr>
          <w:p>
            <w:pPr>
              <w:spacing w:after="0"/>
              <w:rPr>
                <w:sz w:val="1"/>
                <w:szCs w:val="1"/>
                <w:color w:val="auto"/>
              </w:rPr>
            </w:pPr>
          </w:p>
        </w:tc>
      </w:tr>
      <w:tr>
        <w:trPr>
          <w:trHeight w:val="406"/>
        </w:trPr>
        <w:tc>
          <w:tcPr>
            <w:tcW w:w="51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 derivative assets</w:t>
            </w:r>
          </w:p>
        </w:tc>
        <w:tc>
          <w:tcPr>
            <w:tcW w:w="100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8,387</w:t>
            </w:r>
          </w:p>
        </w:tc>
        <w:tc>
          <w:tcPr>
            <w:tcW w:w="10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8,439</w:t>
            </w:r>
          </w:p>
        </w:tc>
        <w:tc>
          <w:tcPr>
            <w:tcW w:w="0" w:type="dxa"/>
            <w:vAlign w:val="bottom"/>
          </w:tcPr>
          <w:p>
            <w:pPr>
              <w:spacing w:after="0"/>
              <w:rPr>
                <w:sz w:val="1"/>
                <w:szCs w:val="1"/>
                <w:color w:val="auto"/>
              </w:rPr>
            </w:pPr>
          </w:p>
        </w:tc>
      </w:tr>
      <w:tr>
        <w:trPr>
          <w:trHeight w:val="24"/>
        </w:trPr>
        <w:tc>
          <w:tcPr>
            <w:tcW w:w="5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10"/>
        </w:trPr>
        <w:tc>
          <w:tcPr>
            <w:tcW w:w="5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Embedded derivatives on index-linked annuities (2)</w:t>
            </w:r>
          </w:p>
        </w:tc>
        <w:tc>
          <w:tcPr>
            <w:tcW w:w="100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0" w:type="dxa"/>
            <w:vAlign w:val="bottom"/>
          </w:tcPr>
          <w:p>
            <w:pPr>
              <w:spacing w:after="0"/>
              <w:rPr>
                <w:sz w:val="1"/>
                <w:szCs w:val="1"/>
                <w:color w:val="auto"/>
              </w:rPr>
            </w:pPr>
          </w:p>
        </w:tc>
      </w:tr>
      <w:tr>
        <w:trPr>
          <w:trHeight w:val="400"/>
        </w:trPr>
        <w:tc>
          <w:tcPr>
            <w:tcW w:w="5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Market risk benefit assets</w:t>
            </w:r>
          </w:p>
        </w:tc>
        <w:tc>
          <w:tcPr>
            <w:tcW w:w="1000" w:type="dxa"/>
            <w:vAlign w:val="bottom"/>
          </w:tcPr>
          <w:p>
            <w:pPr>
              <w:spacing w:after="0"/>
              <w:rPr>
                <w:sz w:val="24"/>
                <w:szCs w:val="24"/>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24"/>
                <w:szCs w:val="24"/>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850</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850</w:t>
            </w:r>
          </w:p>
        </w:tc>
        <w:tc>
          <w:tcPr>
            <w:tcW w:w="0" w:type="dxa"/>
            <w:vAlign w:val="bottom"/>
          </w:tcPr>
          <w:p>
            <w:pPr>
              <w:spacing w:after="0"/>
              <w:rPr>
                <w:sz w:val="1"/>
                <w:szCs w:val="1"/>
                <w:color w:val="auto"/>
              </w:rPr>
            </w:pPr>
          </w:p>
        </w:tc>
      </w:tr>
      <w:tr>
        <w:trPr>
          <w:trHeight w:val="38"/>
        </w:trPr>
        <w:tc>
          <w:tcPr>
            <w:tcW w:w="5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37"/>
        </w:trPr>
        <w:tc>
          <w:tcPr>
            <w:tcW w:w="5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Separate account assets</w:t>
            </w:r>
          </w:p>
        </w:tc>
        <w:tc>
          <w:tcPr>
            <w:tcW w:w="100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74,532</w:t>
            </w:r>
          </w:p>
        </w:tc>
        <w:tc>
          <w:tcPr>
            <w:tcW w:w="10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74,551</w:t>
            </w:r>
          </w:p>
        </w:tc>
        <w:tc>
          <w:tcPr>
            <w:tcW w:w="0" w:type="dxa"/>
            <w:vAlign w:val="bottom"/>
          </w:tcPr>
          <w:p>
            <w:pPr>
              <w:spacing w:after="0"/>
              <w:rPr>
                <w:sz w:val="1"/>
                <w:szCs w:val="1"/>
                <w:color w:val="auto"/>
              </w:rPr>
            </w:pPr>
          </w:p>
        </w:tc>
      </w:tr>
      <w:tr>
        <w:trPr>
          <w:trHeight w:val="430"/>
        </w:trPr>
        <w:tc>
          <w:tcPr>
            <w:tcW w:w="51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 assets</w:t>
            </w:r>
          </w:p>
        </w:tc>
        <w:tc>
          <w:tcPr>
            <w:tcW w:w="1000" w:type="dxa"/>
            <w:vAlign w:val="bottom"/>
            <w:tcBorders>
              <w:top w:val="single" w:sz="8" w:color="auto"/>
              <w:bottom w:val="single" w:sz="8" w:color="auto"/>
            </w:tcBorders>
          </w:tcPr>
          <w:p>
            <w:pPr>
              <w:jc w:val="right"/>
              <w:ind w:right="809"/>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3,054</w:t>
            </w:r>
          </w:p>
        </w:tc>
        <w:tc>
          <w:tcPr>
            <w:tcW w:w="100" w:type="dxa"/>
            <w:vAlign w:val="bottom"/>
          </w:tcPr>
          <w:p>
            <w:pPr>
              <w:spacing w:after="0"/>
              <w:rPr>
                <w:sz w:val="24"/>
                <w:szCs w:val="24"/>
                <w:color w:val="auto"/>
              </w:rPr>
            </w:pPr>
          </w:p>
        </w:tc>
        <w:tc>
          <w:tcPr>
            <w:tcW w:w="300" w:type="dxa"/>
            <w:vAlign w:val="bottom"/>
            <w:tcBorders>
              <w:top w:val="single" w:sz="8" w:color="auto"/>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160,111</w:t>
            </w:r>
          </w:p>
        </w:tc>
        <w:tc>
          <w:tcPr>
            <w:tcW w:w="100" w:type="dxa"/>
            <w:vAlign w:val="bottom"/>
          </w:tcPr>
          <w:p>
            <w:pPr>
              <w:spacing w:after="0"/>
              <w:rPr>
                <w:sz w:val="24"/>
                <w:szCs w:val="24"/>
                <w:color w:val="auto"/>
              </w:rPr>
            </w:pPr>
          </w:p>
        </w:tc>
        <w:tc>
          <w:tcPr>
            <w:tcW w:w="460" w:type="dxa"/>
            <w:vAlign w:val="bottom"/>
            <w:tcBorders>
              <w:top w:val="single" w:sz="8" w:color="auto"/>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2,234</w:t>
            </w:r>
          </w:p>
        </w:tc>
        <w:tc>
          <w:tcPr>
            <w:tcW w:w="100" w:type="dxa"/>
            <w:vAlign w:val="bottom"/>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165,399</w:t>
            </w:r>
          </w:p>
        </w:tc>
        <w:tc>
          <w:tcPr>
            <w:tcW w:w="0" w:type="dxa"/>
            <w:vAlign w:val="bottom"/>
          </w:tcPr>
          <w:p>
            <w:pPr>
              <w:spacing w:after="0"/>
              <w:rPr>
                <w:sz w:val="1"/>
                <w:szCs w:val="1"/>
                <w:color w:val="auto"/>
              </w:rPr>
            </w:pPr>
          </w:p>
        </w:tc>
      </w:tr>
      <w:tr>
        <w:trPr>
          <w:trHeight w:val="20"/>
        </w:trPr>
        <w:tc>
          <w:tcPr>
            <w:tcW w:w="51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4"/>
        </w:trPr>
        <w:tc>
          <w:tcPr>
            <w:tcW w:w="5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00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400"/>
        </w:trPr>
        <w:tc>
          <w:tcPr>
            <w:tcW w:w="5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Market risk benefit liabilities</w:t>
            </w:r>
          </w:p>
        </w:tc>
        <w:tc>
          <w:tcPr>
            <w:tcW w:w="1000" w:type="dxa"/>
            <w:vAlign w:val="bottom"/>
          </w:tcPr>
          <w:p>
            <w:pPr>
              <w:jc w:val="right"/>
              <w:ind w:right="809"/>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8,579</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8,579</w:t>
            </w:r>
          </w:p>
        </w:tc>
        <w:tc>
          <w:tcPr>
            <w:tcW w:w="0" w:type="dxa"/>
            <w:vAlign w:val="bottom"/>
          </w:tcPr>
          <w:p>
            <w:pPr>
              <w:spacing w:after="0"/>
              <w:rPr>
                <w:sz w:val="1"/>
                <w:szCs w:val="1"/>
                <w:color w:val="auto"/>
              </w:rPr>
            </w:pPr>
          </w:p>
        </w:tc>
      </w:tr>
      <w:tr>
        <w:trPr>
          <w:trHeight w:val="37"/>
        </w:trPr>
        <w:tc>
          <w:tcPr>
            <w:tcW w:w="5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7"/>
        </w:trPr>
        <w:tc>
          <w:tcPr>
            <w:tcW w:w="5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Derivative liabilities: (1)</w:t>
            </w:r>
          </w:p>
        </w:tc>
        <w:tc>
          <w:tcPr>
            <w:tcW w:w="100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400"/>
        </w:trPr>
        <w:tc>
          <w:tcPr>
            <w:tcW w:w="5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rate</w:t>
            </w:r>
          </w:p>
        </w:tc>
        <w:tc>
          <w:tcPr>
            <w:tcW w:w="1000" w:type="dxa"/>
            <w:vAlign w:val="bottom"/>
          </w:tcPr>
          <w:p>
            <w:pPr>
              <w:spacing w:after="0"/>
              <w:rPr>
                <w:sz w:val="24"/>
                <w:szCs w:val="24"/>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2,109</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2,109</w:t>
            </w:r>
          </w:p>
        </w:tc>
        <w:tc>
          <w:tcPr>
            <w:tcW w:w="0" w:type="dxa"/>
            <w:vAlign w:val="bottom"/>
          </w:tcPr>
          <w:p>
            <w:pPr>
              <w:spacing w:after="0"/>
              <w:rPr>
                <w:sz w:val="1"/>
                <w:szCs w:val="1"/>
                <w:color w:val="auto"/>
              </w:rPr>
            </w:pPr>
          </w:p>
        </w:tc>
      </w:tr>
      <w:tr>
        <w:trPr>
          <w:trHeight w:val="37"/>
        </w:trPr>
        <w:tc>
          <w:tcPr>
            <w:tcW w:w="5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7"/>
        </w:trPr>
        <w:tc>
          <w:tcPr>
            <w:tcW w:w="5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currency exchange rate</w:t>
            </w:r>
          </w:p>
        </w:tc>
        <w:tc>
          <w:tcPr>
            <w:tcW w:w="100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10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0" w:type="dxa"/>
            <w:vAlign w:val="bottom"/>
          </w:tcPr>
          <w:p>
            <w:pPr>
              <w:spacing w:after="0"/>
              <w:rPr>
                <w:sz w:val="1"/>
                <w:szCs w:val="1"/>
                <w:color w:val="auto"/>
              </w:rPr>
            </w:pPr>
          </w:p>
        </w:tc>
      </w:tr>
      <w:tr>
        <w:trPr>
          <w:trHeight w:val="400"/>
        </w:trPr>
        <w:tc>
          <w:tcPr>
            <w:tcW w:w="5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 market</w:t>
            </w:r>
          </w:p>
        </w:tc>
        <w:tc>
          <w:tcPr>
            <w:tcW w:w="1000" w:type="dxa"/>
            <w:vAlign w:val="bottom"/>
          </w:tcPr>
          <w:p>
            <w:pPr>
              <w:spacing w:after="0"/>
              <w:rPr>
                <w:sz w:val="24"/>
                <w:szCs w:val="24"/>
                <w:color w:val="auto"/>
              </w:rPr>
            </w:pPr>
          </w:p>
        </w:tc>
        <w:tc>
          <w:tcPr>
            <w:tcW w:w="4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5,652</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5,694</w:t>
            </w:r>
          </w:p>
        </w:tc>
        <w:tc>
          <w:tcPr>
            <w:tcW w:w="0" w:type="dxa"/>
            <w:vAlign w:val="bottom"/>
          </w:tcPr>
          <w:p>
            <w:pPr>
              <w:spacing w:after="0"/>
              <w:rPr>
                <w:sz w:val="1"/>
                <w:szCs w:val="1"/>
                <w:color w:val="auto"/>
              </w:rPr>
            </w:pPr>
          </w:p>
        </w:tc>
      </w:tr>
      <w:tr>
        <w:trPr>
          <w:trHeight w:val="38"/>
        </w:trPr>
        <w:tc>
          <w:tcPr>
            <w:tcW w:w="5100" w:type="dxa"/>
            <w:vAlign w:val="bottom"/>
            <w:tcBorders>
              <w:bottom w:val="single" w:sz="8" w:color="CCEEFF"/>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430"/>
        </w:trPr>
        <w:tc>
          <w:tcPr>
            <w:tcW w:w="51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derivative liabilities</w:t>
            </w:r>
          </w:p>
        </w:tc>
        <w:tc>
          <w:tcPr>
            <w:tcW w:w="100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7,821</w:t>
            </w:r>
          </w:p>
        </w:tc>
        <w:tc>
          <w:tcPr>
            <w:tcW w:w="10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7,863</w:t>
            </w:r>
          </w:p>
        </w:tc>
        <w:tc>
          <w:tcPr>
            <w:tcW w:w="0" w:type="dxa"/>
            <w:vAlign w:val="bottom"/>
          </w:tcPr>
          <w:p>
            <w:pPr>
              <w:spacing w:after="0"/>
              <w:rPr>
                <w:sz w:val="1"/>
                <w:szCs w:val="1"/>
                <w:color w:val="auto"/>
              </w:rPr>
            </w:pPr>
          </w:p>
        </w:tc>
      </w:tr>
      <w:tr>
        <w:trPr>
          <w:trHeight w:val="393"/>
        </w:trPr>
        <w:tc>
          <w:tcPr>
            <w:tcW w:w="5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Embedded derivatives on index-linked annuities (2)</w:t>
            </w:r>
          </w:p>
        </w:tc>
        <w:tc>
          <w:tcPr>
            <w:tcW w:w="100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10,666</w:t>
            </w: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10,666</w:t>
            </w:r>
          </w:p>
        </w:tc>
        <w:tc>
          <w:tcPr>
            <w:tcW w:w="0" w:type="dxa"/>
            <w:vAlign w:val="bottom"/>
          </w:tcPr>
          <w:p>
            <w:pPr>
              <w:spacing w:after="0"/>
              <w:rPr>
                <w:sz w:val="1"/>
                <w:szCs w:val="1"/>
                <w:color w:val="auto"/>
              </w:rPr>
            </w:pPr>
          </w:p>
        </w:tc>
      </w:tr>
      <w:tr>
        <w:trPr>
          <w:trHeight w:val="38"/>
        </w:trPr>
        <w:tc>
          <w:tcPr>
            <w:tcW w:w="5100" w:type="dxa"/>
            <w:vAlign w:val="bottom"/>
            <w:tcBorders>
              <w:bottom w:val="single" w:sz="8" w:color="CCEEFF"/>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455"/>
        </w:trPr>
        <w:tc>
          <w:tcPr>
            <w:tcW w:w="51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liabilities</w:t>
            </w:r>
          </w:p>
        </w:tc>
        <w:tc>
          <w:tcPr>
            <w:tcW w:w="1000" w:type="dxa"/>
            <w:vAlign w:val="bottom"/>
            <w:tcBorders>
              <w:bottom w:val="single" w:sz="8" w:color="auto"/>
            </w:tcBorders>
            <w:shd w:val="clear" w:color="auto" w:fill="CCEEFF"/>
          </w:tcPr>
          <w:p>
            <w:pPr>
              <w:jc w:val="right"/>
              <w:ind w:right="809"/>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7,821</w:t>
            </w:r>
          </w:p>
        </w:tc>
        <w:tc>
          <w:tcPr>
            <w:tcW w:w="10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19,245</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27,108</w:t>
            </w: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380" w:right="339" w:bottom="0" w:gutter="0" w:footer="0" w:header="0"/>
        </w:sectPr>
      </w:pPr>
    </w:p>
    <w:bookmarkStart w:id="48" w:name="page49"/>
    <w:bookmarkEnd w:id="48"/>
    <w:p>
      <w:pPr>
        <w:jc w:val="center"/>
        <w:ind w:right="-32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69215</wp:posOffset>
            </wp:positionV>
            <wp:extent cx="716026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9019"/>
          </w:cols>
          <w:pgMar w:left="1440" w:top="810" w:right="1440"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Brighthouse Life Insurance Company</w:t>
      </w:r>
    </w:p>
    <w:p>
      <w:pPr>
        <w:spacing w:after="0" w:line="2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(An Indirect Wholly-Owned Subsidiary of Brighthouse Financial, Inc.)</w:t>
      </w:r>
    </w:p>
    <w:p>
      <w:pPr>
        <w:spacing w:after="0" w:line="90" w:lineRule="exact"/>
        <w:rPr>
          <w:sz w:val="20"/>
          <w:szCs w:val="20"/>
          <w:color w:val="auto"/>
        </w:rPr>
      </w:pPr>
    </w:p>
    <w:p>
      <w:pPr>
        <w:jc w:val="right"/>
        <w:ind w:right="1059"/>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Fair Value (continued)</w:t>
      </w:r>
    </w:p>
    <w:p>
      <w:pPr>
        <w:sectPr>
          <w:pgSz w:w="11900" w:h="16838" w:orient="portrait"/>
          <w:cols w:equalWidth="0" w:num="1">
            <w:col w:w="10139"/>
          </w:cols>
          <w:pgMar w:left="320" w:top="283" w:right="1440"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186"/>
        </w:trPr>
        <w:tc>
          <w:tcPr>
            <w:tcW w:w="5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40" w:type="dxa"/>
            <w:vAlign w:val="bottom"/>
            <w:gridSpan w:val="3"/>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5100" w:type="dxa"/>
            <w:vAlign w:val="bottom"/>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gridSpan w:val="3"/>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93"/>
        </w:trPr>
        <w:tc>
          <w:tcPr>
            <w:tcW w:w="5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Fair Value Hierarchy</w:t>
            </w:r>
          </w:p>
        </w:tc>
        <w:tc>
          <w:tcPr>
            <w:tcW w:w="9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
        </w:trPr>
        <w:tc>
          <w:tcPr>
            <w:tcW w:w="5100" w:type="dxa"/>
            <w:vAlign w:val="bottom"/>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60" w:type="dxa"/>
            <w:vAlign w:val="bottom"/>
            <w:gridSpan w:val="2"/>
            <w:vMerge w:val="restart"/>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Total Estimated Fair</w:t>
            </w:r>
          </w:p>
        </w:tc>
        <w:tc>
          <w:tcPr>
            <w:tcW w:w="0" w:type="dxa"/>
            <w:vAlign w:val="bottom"/>
          </w:tcPr>
          <w:p>
            <w:pPr>
              <w:spacing w:after="0"/>
              <w:rPr>
                <w:sz w:val="1"/>
                <w:szCs w:val="1"/>
                <w:color w:val="auto"/>
              </w:rPr>
            </w:pPr>
          </w:p>
        </w:tc>
      </w:tr>
      <w:tr>
        <w:trPr>
          <w:trHeight w:val="207"/>
        </w:trPr>
        <w:tc>
          <w:tcPr>
            <w:tcW w:w="5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5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38"/>
        </w:trPr>
        <w:tc>
          <w:tcPr>
            <w:tcW w:w="5100" w:type="dxa"/>
            <w:vAlign w:val="bottom"/>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2240" w:type="dxa"/>
            <w:vAlign w:val="bottom"/>
            <w:tcBorders>
              <w:bottom w:val="single" w:sz="8" w:color="auto"/>
            </w:tcBorders>
            <w:gridSpan w:val="3"/>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93"/>
        </w:trPr>
        <w:tc>
          <w:tcPr>
            <w:tcW w:w="5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40" w:type="dxa"/>
            <w:vAlign w:val="bottom"/>
            <w:gridSpan w:val="3"/>
          </w:tcPr>
          <w:p>
            <w:pPr>
              <w:jc w:val="right"/>
              <w:ind w:right="58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
        </w:trPr>
        <w:tc>
          <w:tcPr>
            <w:tcW w:w="5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7"/>
        </w:trPr>
        <w:tc>
          <w:tcPr>
            <w:tcW w:w="5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00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400"/>
        </w:trPr>
        <w:tc>
          <w:tcPr>
            <w:tcW w:w="5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Fixed maturity securities:</w:t>
            </w:r>
          </w:p>
        </w:tc>
        <w:tc>
          <w:tcPr>
            <w:tcW w:w="10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
        </w:trPr>
        <w:tc>
          <w:tcPr>
            <w:tcW w:w="5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7"/>
        </w:trPr>
        <w:tc>
          <w:tcPr>
            <w:tcW w:w="5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U.S. corporate</w:t>
            </w:r>
          </w:p>
        </w:tc>
        <w:tc>
          <w:tcPr>
            <w:tcW w:w="1000" w:type="dxa"/>
            <w:vAlign w:val="bottom"/>
            <w:tcBorders>
              <w:bottom w:val="single" w:sz="8" w:color="CCEEFF"/>
            </w:tcBorders>
            <w:shd w:val="clear" w:color="auto" w:fill="CCEEFF"/>
          </w:tcPr>
          <w:p>
            <w:pPr>
              <w:jc w:val="right"/>
              <w:ind w:right="809"/>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CCEEFF"/>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37,769</w:t>
            </w:r>
          </w:p>
        </w:tc>
        <w:tc>
          <w:tcPr>
            <w:tcW w:w="10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ind w:right="809"/>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640</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38,409</w:t>
            </w:r>
          </w:p>
        </w:tc>
        <w:tc>
          <w:tcPr>
            <w:tcW w:w="0" w:type="dxa"/>
            <w:vAlign w:val="bottom"/>
          </w:tcPr>
          <w:p>
            <w:pPr>
              <w:spacing w:after="0"/>
              <w:rPr>
                <w:sz w:val="1"/>
                <w:szCs w:val="1"/>
                <w:color w:val="auto"/>
              </w:rPr>
            </w:pPr>
          </w:p>
        </w:tc>
      </w:tr>
      <w:tr>
        <w:trPr>
          <w:trHeight w:val="413"/>
        </w:trPr>
        <w:tc>
          <w:tcPr>
            <w:tcW w:w="5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corporate</w:t>
            </w:r>
          </w:p>
        </w:tc>
        <w:tc>
          <w:tcPr>
            <w:tcW w:w="1000" w:type="dxa"/>
            <w:vAlign w:val="bottom"/>
          </w:tcPr>
          <w:p>
            <w:pPr>
              <w:spacing w:after="0"/>
              <w:rPr>
                <w:sz w:val="24"/>
                <w:szCs w:val="24"/>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11,276</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11,434</w:t>
            </w:r>
          </w:p>
        </w:tc>
        <w:tc>
          <w:tcPr>
            <w:tcW w:w="0" w:type="dxa"/>
            <w:vAlign w:val="bottom"/>
          </w:tcPr>
          <w:p>
            <w:pPr>
              <w:spacing w:after="0"/>
              <w:rPr>
                <w:sz w:val="1"/>
                <w:szCs w:val="1"/>
                <w:color w:val="auto"/>
              </w:rPr>
            </w:pPr>
          </w:p>
        </w:tc>
      </w:tr>
      <w:tr>
        <w:trPr>
          <w:trHeight w:val="24"/>
        </w:trPr>
        <w:tc>
          <w:tcPr>
            <w:tcW w:w="5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17"/>
        </w:trPr>
        <w:tc>
          <w:tcPr>
            <w:tcW w:w="5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RMBS</w:t>
            </w:r>
          </w:p>
        </w:tc>
        <w:tc>
          <w:tcPr>
            <w:tcW w:w="100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8,452</w:t>
            </w:r>
          </w:p>
        </w:tc>
        <w:tc>
          <w:tcPr>
            <w:tcW w:w="10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8,476</w:t>
            </w:r>
          </w:p>
        </w:tc>
        <w:tc>
          <w:tcPr>
            <w:tcW w:w="0" w:type="dxa"/>
            <w:vAlign w:val="bottom"/>
          </w:tcPr>
          <w:p>
            <w:pPr>
              <w:spacing w:after="0"/>
              <w:rPr>
                <w:sz w:val="1"/>
                <w:szCs w:val="1"/>
                <w:color w:val="auto"/>
              </w:rPr>
            </w:pPr>
          </w:p>
        </w:tc>
      </w:tr>
      <w:tr>
        <w:trPr>
          <w:trHeight w:val="400"/>
        </w:trPr>
        <w:tc>
          <w:tcPr>
            <w:tcW w:w="5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U.S. government and agency</w:t>
            </w:r>
          </w:p>
        </w:tc>
        <w:tc>
          <w:tcPr>
            <w:tcW w:w="1000" w:type="dxa"/>
            <w:vAlign w:val="bottom"/>
          </w:tcPr>
          <w:p>
            <w:pPr>
              <w:spacing w:after="0"/>
              <w:rPr>
                <w:sz w:val="24"/>
                <w:szCs w:val="24"/>
                <w:color w:val="auto"/>
              </w:rPr>
            </w:pPr>
          </w:p>
        </w:tc>
        <w:tc>
          <w:tcPr>
            <w:tcW w:w="4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2,249</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4,196</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6,445</w:t>
            </w:r>
          </w:p>
        </w:tc>
        <w:tc>
          <w:tcPr>
            <w:tcW w:w="0" w:type="dxa"/>
            <w:vAlign w:val="bottom"/>
          </w:tcPr>
          <w:p>
            <w:pPr>
              <w:spacing w:after="0"/>
              <w:rPr>
                <w:sz w:val="1"/>
                <w:szCs w:val="1"/>
                <w:color w:val="auto"/>
              </w:rPr>
            </w:pPr>
          </w:p>
        </w:tc>
      </w:tr>
      <w:tr>
        <w:trPr>
          <w:trHeight w:val="38"/>
        </w:trPr>
        <w:tc>
          <w:tcPr>
            <w:tcW w:w="5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7"/>
        </w:trPr>
        <w:tc>
          <w:tcPr>
            <w:tcW w:w="5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ABS</w:t>
            </w:r>
          </w:p>
        </w:tc>
        <w:tc>
          <w:tcPr>
            <w:tcW w:w="100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5,786</w:t>
            </w:r>
          </w:p>
        </w:tc>
        <w:tc>
          <w:tcPr>
            <w:tcW w:w="10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6,031</w:t>
            </w:r>
          </w:p>
        </w:tc>
        <w:tc>
          <w:tcPr>
            <w:tcW w:w="0" w:type="dxa"/>
            <w:vAlign w:val="bottom"/>
          </w:tcPr>
          <w:p>
            <w:pPr>
              <w:spacing w:after="0"/>
              <w:rPr>
                <w:sz w:val="1"/>
                <w:szCs w:val="1"/>
                <w:color w:val="auto"/>
              </w:rPr>
            </w:pPr>
          </w:p>
        </w:tc>
      </w:tr>
      <w:tr>
        <w:trPr>
          <w:trHeight w:val="400"/>
        </w:trPr>
        <w:tc>
          <w:tcPr>
            <w:tcW w:w="5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CMBS</w:t>
            </w:r>
          </w:p>
        </w:tc>
        <w:tc>
          <w:tcPr>
            <w:tcW w:w="1000" w:type="dxa"/>
            <w:vAlign w:val="bottom"/>
          </w:tcPr>
          <w:p>
            <w:pPr>
              <w:spacing w:after="0"/>
              <w:rPr>
                <w:sz w:val="24"/>
                <w:szCs w:val="24"/>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5,800</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5,800</w:t>
            </w:r>
          </w:p>
        </w:tc>
        <w:tc>
          <w:tcPr>
            <w:tcW w:w="0" w:type="dxa"/>
            <w:vAlign w:val="bottom"/>
          </w:tcPr>
          <w:p>
            <w:pPr>
              <w:spacing w:after="0"/>
              <w:rPr>
                <w:sz w:val="1"/>
                <w:szCs w:val="1"/>
                <w:color w:val="auto"/>
              </w:rPr>
            </w:pPr>
          </w:p>
        </w:tc>
      </w:tr>
      <w:tr>
        <w:trPr>
          <w:trHeight w:val="38"/>
        </w:trPr>
        <w:tc>
          <w:tcPr>
            <w:tcW w:w="5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7"/>
        </w:trPr>
        <w:tc>
          <w:tcPr>
            <w:tcW w:w="5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State and political subdivision</w:t>
            </w:r>
          </w:p>
        </w:tc>
        <w:tc>
          <w:tcPr>
            <w:tcW w:w="100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3,423</w:t>
            </w:r>
          </w:p>
        </w:tc>
        <w:tc>
          <w:tcPr>
            <w:tcW w:w="10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3,423</w:t>
            </w:r>
          </w:p>
        </w:tc>
        <w:tc>
          <w:tcPr>
            <w:tcW w:w="0" w:type="dxa"/>
            <w:vAlign w:val="bottom"/>
          </w:tcPr>
          <w:p>
            <w:pPr>
              <w:spacing w:after="0"/>
              <w:rPr>
                <w:sz w:val="1"/>
                <w:szCs w:val="1"/>
                <w:color w:val="auto"/>
              </w:rPr>
            </w:pPr>
          </w:p>
        </w:tc>
      </w:tr>
      <w:tr>
        <w:trPr>
          <w:trHeight w:val="400"/>
        </w:trPr>
        <w:tc>
          <w:tcPr>
            <w:tcW w:w="5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government</w:t>
            </w:r>
          </w:p>
        </w:tc>
        <w:tc>
          <w:tcPr>
            <w:tcW w:w="1000" w:type="dxa"/>
            <w:vAlign w:val="bottom"/>
          </w:tcPr>
          <w:p>
            <w:pPr>
              <w:spacing w:after="0"/>
              <w:rPr>
                <w:sz w:val="24"/>
                <w:szCs w:val="24"/>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918</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942</w:t>
            </w:r>
          </w:p>
        </w:tc>
        <w:tc>
          <w:tcPr>
            <w:tcW w:w="0" w:type="dxa"/>
            <w:vAlign w:val="bottom"/>
          </w:tcPr>
          <w:p>
            <w:pPr>
              <w:spacing w:after="0"/>
              <w:rPr>
                <w:sz w:val="1"/>
                <w:szCs w:val="1"/>
                <w:color w:val="auto"/>
              </w:rPr>
            </w:pPr>
          </w:p>
        </w:tc>
      </w:tr>
      <w:tr>
        <w:trPr>
          <w:trHeight w:val="38"/>
        </w:trPr>
        <w:tc>
          <w:tcPr>
            <w:tcW w:w="5100" w:type="dxa"/>
            <w:vAlign w:val="bottom"/>
            <w:tcBorders>
              <w:bottom w:val="single" w:sz="8" w:color="CCEEFF"/>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430"/>
        </w:trPr>
        <w:tc>
          <w:tcPr>
            <w:tcW w:w="51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fixed maturity securities</w:t>
            </w:r>
          </w:p>
        </w:tc>
        <w:tc>
          <w:tcPr>
            <w:tcW w:w="100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2,249</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77,620</w:t>
            </w:r>
          </w:p>
        </w:tc>
        <w:tc>
          <w:tcPr>
            <w:tcW w:w="10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1,091</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80,960</w:t>
            </w:r>
          </w:p>
        </w:tc>
        <w:tc>
          <w:tcPr>
            <w:tcW w:w="0" w:type="dxa"/>
            <w:vAlign w:val="bottom"/>
          </w:tcPr>
          <w:p>
            <w:pPr>
              <w:spacing w:after="0"/>
              <w:rPr>
                <w:sz w:val="1"/>
                <w:szCs w:val="1"/>
                <w:color w:val="auto"/>
              </w:rPr>
            </w:pPr>
          </w:p>
        </w:tc>
      </w:tr>
      <w:tr>
        <w:trPr>
          <w:trHeight w:val="406"/>
        </w:trPr>
        <w:tc>
          <w:tcPr>
            <w:tcW w:w="5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Trading securities</w:t>
            </w:r>
          </w:p>
        </w:tc>
        <w:tc>
          <w:tcPr>
            <w:tcW w:w="100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87</w:t>
            </w:r>
          </w:p>
        </w:tc>
        <w:tc>
          <w:tcPr>
            <w:tcW w:w="10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419</w:t>
            </w:r>
          </w:p>
        </w:tc>
        <w:tc>
          <w:tcPr>
            <w:tcW w:w="100" w:type="dxa"/>
            <w:vAlign w:val="bottom"/>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506</w:t>
            </w:r>
          </w:p>
        </w:tc>
        <w:tc>
          <w:tcPr>
            <w:tcW w:w="0" w:type="dxa"/>
            <w:vAlign w:val="bottom"/>
          </w:tcPr>
          <w:p>
            <w:pPr>
              <w:spacing w:after="0"/>
              <w:rPr>
                <w:sz w:val="1"/>
                <w:szCs w:val="1"/>
                <w:color w:val="auto"/>
              </w:rPr>
            </w:pPr>
          </w:p>
        </w:tc>
      </w:tr>
      <w:tr>
        <w:trPr>
          <w:trHeight w:val="24"/>
        </w:trPr>
        <w:tc>
          <w:tcPr>
            <w:tcW w:w="5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17"/>
        </w:trPr>
        <w:tc>
          <w:tcPr>
            <w:tcW w:w="5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securities</w:t>
            </w:r>
          </w:p>
        </w:tc>
        <w:tc>
          <w:tcPr>
            <w:tcW w:w="100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0" w:type="dxa"/>
            <w:vAlign w:val="bottom"/>
          </w:tcPr>
          <w:p>
            <w:pPr>
              <w:spacing w:after="0"/>
              <w:rPr>
                <w:sz w:val="1"/>
                <w:szCs w:val="1"/>
                <w:color w:val="auto"/>
              </w:rPr>
            </w:pPr>
          </w:p>
        </w:tc>
      </w:tr>
      <w:tr>
        <w:trPr>
          <w:trHeight w:val="400"/>
        </w:trPr>
        <w:tc>
          <w:tcPr>
            <w:tcW w:w="5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Short-term investments</w:t>
            </w:r>
          </w:p>
        </w:tc>
        <w:tc>
          <w:tcPr>
            <w:tcW w:w="1000" w:type="dxa"/>
            <w:vAlign w:val="bottom"/>
          </w:tcPr>
          <w:p>
            <w:pPr>
              <w:spacing w:after="0"/>
              <w:rPr>
                <w:sz w:val="24"/>
                <w:szCs w:val="24"/>
                <w:color w:val="auto"/>
              </w:rPr>
            </w:pPr>
          </w:p>
        </w:tc>
        <w:tc>
          <w:tcPr>
            <w:tcW w:w="4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559</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668</w:t>
            </w:r>
          </w:p>
        </w:tc>
        <w:tc>
          <w:tcPr>
            <w:tcW w:w="0" w:type="dxa"/>
            <w:vAlign w:val="bottom"/>
          </w:tcPr>
          <w:p>
            <w:pPr>
              <w:spacing w:after="0"/>
              <w:rPr>
                <w:sz w:val="1"/>
                <w:szCs w:val="1"/>
                <w:color w:val="auto"/>
              </w:rPr>
            </w:pPr>
          </w:p>
        </w:tc>
      </w:tr>
      <w:tr>
        <w:trPr>
          <w:trHeight w:val="38"/>
        </w:trPr>
        <w:tc>
          <w:tcPr>
            <w:tcW w:w="5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7"/>
        </w:trPr>
        <w:tc>
          <w:tcPr>
            <w:tcW w:w="5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Derivative assets: (1)</w:t>
            </w:r>
          </w:p>
        </w:tc>
        <w:tc>
          <w:tcPr>
            <w:tcW w:w="100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400"/>
        </w:trPr>
        <w:tc>
          <w:tcPr>
            <w:tcW w:w="5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rate</w:t>
            </w:r>
          </w:p>
        </w:tc>
        <w:tc>
          <w:tcPr>
            <w:tcW w:w="1000" w:type="dxa"/>
            <w:vAlign w:val="bottom"/>
          </w:tcPr>
          <w:p>
            <w:pPr>
              <w:spacing w:after="0"/>
              <w:rPr>
                <w:sz w:val="24"/>
                <w:szCs w:val="24"/>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297</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297</w:t>
            </w:r>
          </w:p>
        </w:tc>
        <w:tc>
          <w:tcPr>
            <w:tcW w:w="0" w:type="dxa"/>
            <w:vAlign w:val="bottom"/>
          </w:tcPr>
          <w:p>
            <w:pPr>
              <w:spacing w:after="0"/>
              <w:rPr>
                <w:sz w:val="1"/>
                <w:szCs w:val="1"/>
                <w:color w:val="auto"/>
              </w:rPr>
            </w:pPr>
          </w:p>
        </w:tc>
      </w:tr>
      <w:tr>
        <w:trPr>
          <w:trHeight w:val="38"/>
        </w:trPr>
        <w:tc>
          <w:tcPr>
            <w:tcW w:w="5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7"/>
        </w:trPr>
        <w:tc>
          <w:tcPr>
            <w:tcW w:w="5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currency exchange rate</w:t>
            </w:r>
          </w:p>
        </w:tc>
        <w:tc>
          <w:tcPr>
            <w:tcW w:w="100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338</w:t>
            </w:r>
          </w:p>
        </w:tc>
        <w:tc>
          <w:tcPr>
            <w:tcW w:w="10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342</w:t>
            </w:r>
          </w:p>
        </w:tc>
        <w:tc>
          <w:tcPr>
            <w:tcW w:w="0" w:type="dxa"/>
            <w:vAlign w:val="bottom"/>
          </w:tcPr>
          <w:p>
            <w:pPr>
              <w:spacing w:after="0"/>
              <w:rPr>
                <w:sz w:val="1"/>
                <w:szCs w:val="1"/>
                <w:color w:val="auto"/>
              </w:rPr>
            </w:pPr>
          </w:p>
        </w:tc>
      </w:tr>
      <w:tr>
        <w:trPr>
          <w:trHeight w:val="400"/>
        </w:trPr>
        <w:tc>
          <w:tcPr>
            <w:tcW w:w="5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Credit</w:t>
            </w:r>
          </w:p>
        </w:tc>
        <w:tc>
          <w:tcPr>
            <w:tcW w:w="1000" w:type="dxa"/>
            <w:vAlign w:val="bottom"/>
          </w:tcPr>
          <w:p>
            <w:pPr>
              <w:spacing w:after="0"/>
              <w:rPr>
                <w:sz w:val="24"/>
                <w:szCs w:val="24"/>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37"/>
        </w:trPr>
        <w:tc>
          <w:tcPr>
            <w:tcW w:w="5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37"/>
        </w:trPr>
        <w:tc>
          <w:tcPr>
            <w:tcW w:w="5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market</w:t>
            </w:r>
          </w:p>
        </w:tc>
        <w:tc>
          <w:tcPr>
            <w:tcW w:w="100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6,115</w:t>
            </w:r>
          </w:p>
        </w:tc>
        <w:tc>
          <w:tcPr>
            <w:tcW w:w="10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6,121</w:t>
            </w:r>
          </w:p>
        </w:tc>
        <w:tc>
          <w:tcPr>
            <w:tcW w:w="0" w:type="dxa"/>
            <w:vAlign w:val="bottom"/>
          </w:tcPr>
          <w:p>
            <w:pPr>
              <w:spacing w:after="0"/>
              <w:rPr>
                <w:sz w:val="1"/>
                <w:szCs w:val="1"/>
                <w:color w:val="auto"/>
              </w:rPr>
            </w:pPr>
          </w:p>
        </w:tc>
      </w:tr>
      <w:tr>
        <w:trPr>
          <w:trHeight w:val="406"/>
        </w:trPr>
        <w:tc>
          <w:tcPr>
            <w:tcW w:w="51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 derivative assets</w:t>
            </w:r>
          </w:p>
        </w:tc>
        <w:tc>
          <w:tcPr>
            <w:tcW w:w="100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6,759</w:t>
            </w:r>
          </w:p>
        </w:tc>
        <w:tc>
          <w:tcPr>
            <w:tcW w:w="100" w:type="dxa"/>
            <w:vAlign w:val="bottom"/>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6,771</w:t>
            </w:r>
          </w:p>
        </w:tc>
        <w:tc>
          <w:tcPr>
            <w:tcW w:w="0" w:type="dxa"/>
            <w:vAlign w:val="bottom"/>
          </w:tcPr>
          <w:p>
            <w:pPr>
              <w:spacing w:after="0"/>
              <w:rPr>
                <w:sz w:val="1"/>
                <w:szCs w:val="1"/>
                <w:color w:val="auto"/>
              </w:rPr>
            </w:pPr>
          </w:p>
        </w:tc>
      </w:tr>
      <w:tr>
        <w:trPr>
          <w:trHeight w:val="24"/>
        </w:trPr>
        <w:tc>
          <w:tcPr>
            <w:tcW w:w="5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10"/>
        </w:trPr>
        <w:tc>
          <w:tcPr>
            <w:tcW w:w="5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Embedded derivatives on index-linked annuities (2)</w:t>
            </w:r>
          </w:p>
        </w:tc>
        <w:tc>
          <w:tcPr>
            <w:tcW w:w="100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0" w:type="dxa"/>
            <w:vAlign w:val="bottom"/>
          </w:tcPr>
          <w:p>
            <w:pPr>
              <w:spacing w:after="0"/>
              <w:rPr>
                <w:sz w:val="1"/>
                <w:szCs w:val="1"/>
                <w:color w:val="auto"/>
              </w:rPr>
            </w:pPr>
          </w:p>
        </w:tc>
      </w:tr>
      <w:tr>
        <w:trPr>
          <w:trHeight w:val="400"/>
        </w:trPr>
        <w:tc>
          <w:tcPr>
            <w:tcW w:w="5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Market risk benefit assets</w:t>
            </w:r>
          </w:p>
        </w:tc>
        <w:tc>
          <w:tcPr>
            <w:tcW w:w="1000" w:type="dxa"/>
            <w:vAlign w:val="bottom"/>
          </w:tcPr>
          <w:p>
            <w:pPr>
              <w:spacing w:after="0"/>
              <w:rPr>
                <w:sz w:val="24"/>
                <w:szCs w:val="24"/>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24"/>
                <w:szCs w:val="24"/>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1,060</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1,060</w:t>
            </w:r>
          </w:p>
        </w:tc>
        <w:tc>
          <w:tcPr>
            <w:tcW w:w="0" w:type="dxa"/>
            <w:vAlign w:val="bottom"/>
          </w:tcPr>
          <w:p>
            <w:pPr>
              <w:spacing w:after="0"/>
              <w:rPr>
                <w:sz w:val="1"/>
                <w:szCs w:val="1"/>
                <w:color w:val="auto"/>
              </w:rPr>
            </w:pPr>
          </w:p>
        </w:tc>
      </w:tr>
      <w:tr>
        <w:trPr>
          <w:trHeight w:val="37"/>
        </w:trPr>
        <w:tc>
          <w:tcPr>
            <w:tcW w:w="5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37"/>
        </w:trPr>
        <w:tc>
          <w:tcPr>
            <w:tcW w:w="5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Separate account assets</w:t>
            </w:r>
          </w:p>
        </w:tc>
        <w:tc>
          <w:tcPr>
            <w:tcW w:w="100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78,815</w:t>
            </w:r>
          </w:p>
        </w:tc>
        <w:tc>
          <w:tcPr>
            <w:tcW w:w="10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78,825</w:t>
            </w:r>
          </w:p>
        </w:tc>
        <w:tc>
          <w:tcPr>
            <w:tcW w:w="0" w:type="dxa"/>
            <w:vAlign w:val="bottom"/>
          </w:tcPr>
          <w:p>
            <w:pPr>
              <w:spacing w:after="0"/>
              <w:rPr>
                <w:sz w:val="1"/>
                <w:szCs w:val="1"/>
                <w:color w:val="auto"/>
              </w:rPr>
            </w:pPr>
          </w:p>
        </w:tc>
      </w:tr>
      <w:tr>
        <w:trPr>
          <w:trHeight w:val="430"/>
        </w:trPr>
        <w:tc>
          <w:tcPr>
            <w:tcW w:w="51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 assets</w:t>
            </w:r>
          </w:p>
        </w:tc>
        <w:tc>
          <w:tcPr>
            <w:tcW w:w="1000" w:type="dxa"/>
            <w:vAlign w:val="bottom"/>
            <w:tcBorders>
              <w:top w:val="single" w:sz="8" w:color="auto"/>
              <w:bottom w:val="single" w:sz="8" w:color="auto"/>
            </w:tcBorders>
          </w:tcPr>
          <w:p>
            <w:pPr>
              <w:jc w:val="right"/>
              <w:ind w:right="809"/>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2,923</w:t>
            </w:r>
          </w:p>
        </w:tc>
        <w:tc>
          <w:tcPr>
            <w:tcW w:w="100" w:type="dxa"/>
            <w:vAlign w:val="bottom"/>
          </w:tcPr>
          <w:p>
            <w:pPr>
              <w:spacing w:after="0"/>
              <w:rPr>
                <w:sz w:val="24"/>
                <w:szCs w:val="24"/>
                <w:color w:val="auto"/>
              </w:rPr>
            </w:pPr>
          </w:p>
        </w:tc>
        <w:tc>
          <w:tcPr>
            <w:tcW w:w="300" w:type="dxa"/>
            <w:vAlign w:val="bottom"/>
            <w:tcBorders>
              <w:top w:val="single" w:sz="8" w:color="auto"/>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163,721</w:t>
            </w:r>
          </w:p>
        </w:tc>
        <w:tc>
          <w:tcPr>
            <w:tcW w:w="100" w:type="dxa"/>
            <w:vAlign w:val="bottom"/>
          </w:tcPr>
          <w:p>
            <w:pPr>
              <w:spacing w:after="0"/>
              <w:rPr>
                <w:sz w:val="24"/>
                <w:szCs w:val="24"/>
                <w:color w:val="auto"/>
              </w:rPr>
            </w:pPr>
          </w:p>
        </w:tc>
        <w:tc>
          <w:tcPr>
            <w:tcW w:w="980" w:type="dxa"/>
            <w:vAlign w:val="bottom"/>
            <w:tcBorders>
              <w:top w:val="single" w:sz="8" w:color="auto"/>
              <w:bottom w:val="single" w:sz="8" w:color="auto"/>
            </w:tcBorders>
          </w:tcPr>
          <w:p>
            <w:pPr>
              <w:jc w:val="right"/>
              <w:ind w:right="809"/>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2,248</w:t>
            </w:r>
          </w:p>
        </w:tc>
        <w:tc>
          <w:tcPr>
            <w:tcW w:w="100" w:type="dxa"/>
            <w:vAlign w:val="bottom"/>
          </w:tcPr>
          <w:p>
            <w:pPr>
              <w:spacing w:after="0"/>
              <w:rPr>
                <w:sz w:val="24"/>
                <w:szCs w:val="24"/>
                <w:color w:val="auto"/>
              </w:rPr>
            </w:pPr>
          </w:p>
        </w:tc>
        <w:tc>
          <w:tcPr>
            <w:tcW w:w="340" w:type="dxa"/>
            <w:vAlign w:val="bottom"/>
            <w:tcBorders>
              <w:top w:val="single" w:sz="8" w:color="auto"/>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168,892</w:t>
            </w:r>
          </w:p>
        </w:tc>
        <w:tc>
          <w:tcPr>
            <w:tcW w:w="0" w:type="dxa"/>
            <w:vAlign w:val="bottom"/>
          </w:tcPr>
          <w:p>
            <w:pPr>
              <w:spacing w:after="0"/>
              <w:rPr>
                <w:sz w:val="1"/>
                <w:szCs w:val="1"/>
                <w:color w:val="auto"/>
              </w:rPr>
            </w:pPr>
          </w:p>
        </w:tc>
      </w:tr>
      <w:tr>
        <w:trPr>
          <w:trHeight w:val="20"/>
        </w:trPr>
        <w:tc>
          <w:tcPr>
            <w:tcW w:w="51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4"/>
        </w:trPr>
        <w:tc>
          <w:tcPr>
            <w:tcW w:w="5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00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400"/>
        </w:trPr>
        <w:tc>
          <w:tcPr>
            <w:tcW w:w="5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Market risk benefit liabilities</w:t>
            </w:r>
          </w:p>
        </w:tc>
        <w:tc>
          <w:tcPr>
            <w:tcW w:w="1000" w:type="dxa"/>
            <w:vAlign w:val="bottom"/>
          </w:tcPr>
          <w:p>
            <w:pPr>
              <w:jc w:val="right"/>
              <w:ind w:right="809"/>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809"/>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8,079</w:t>
            </w:r>
          </w:p>
        </w:tc>
        <w:tc>
          <w:tcPr>
            <w:tcW w:w="100" w:type="dxa"/>
            <w:vAlign w:val="bottom"/>
          </w:tcPr>
          <w:p>
            <w:pPr>
              <w:spacing w:after="0"/>
              <w:rPr>
                <w:sz w:val="24"/>
                <w:szCs w:val="24"/>
                <w:color w:val="auto"/>
              </w:rPr>
            </w:pPr>
          </w:p>
        </w:tc>
        <w:tc>
          <w:tcPr>
            <w:tcW w:w="34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8,079</w:t>
            </w:r>
          </w:p>
        </w:tc>
        <w:tc>
          <w:tcPr>
            <w:tcW w:w="0" w:type="dxa"/>
            <w:vAlign w:val="bottom"/>
          </w:tcPr>
          <w:p>
            <w:pPr>
              <w:spacing w:after="0"/>
              <w:rPr>
                <w:sz w:val="1"/>
                <w:szCs w:val="1"/>
                <w:color w:val="auto"/>
              </w:rPr>
            </w:pPr>
          </w:p>
        </w:tc>
      </w:tr>
      <w:tr>
        <w:trPr>
          <w:trHeight w:val="38"/>
        </w:trPr>
        <w:tc>
          <w:tcPr>
            <w:tcW w:w="5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7"/>
        </w:trPr>
        <w:tc>
          <w:tcPr>
            <w:tcW w:w="5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Derivative liabilities: (1)</w:t>
            </w:r>
          </w:p>
        </w:tc>
        <w:tc>
          <w:tcPr>
            <w:tcW w:w="100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400"/>
        </w:trPr>
        <w:tc>
          <w:tcPr>
            <w:tcW w:w="5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rate</w:t>
            </w:r>
          </w:p>
        </w:tc>
        <w:tc>
          <w:tcPr>
            <w:tcW w:w="1000" w:type="dxa"/>
            <w:vAlign w:val="bottom"/>
          </w:tcPr>
          <w:p>
            <w:pPr>
              <w:spacing w:after="0"/>
              <w:rPr>
                <w:sz w:val="24"/>
                <w:szCs w:val="24"/>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2,082</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2,082</w:t>
            </w:r>
          </w:p>
        </w:tc>
        <w:tc>
          <w:tcPr>
            <w:tcW w:w="0" w:type="dxa"/>
            <w:vAlign w:val="bottom"/>
          </w:tcPr>
          <w:p>
            <w:pPr>
              <w:spacing w:after="0"/>
              <w:rPr>
                <w:sz w:val="1"/>
                <w:szCs w:val="1"/>
                <w:color w:val="auto"/>
              </w:rPr>
            </w:pPr>
          </w:p>
        </w:tc>
      </w:tr>
      <w:tr>
        <w:trPr>
          <w:trHeight w:val="37"/>
        </w:trPr>
        <w:tc>
          <w:tcPr>
            <w:tcW w:w="5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7"/>
        </w:trPr>
        <w:tc>
          <w:tcPr>
            <w:tcW w:w="5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currency exchange rate</w:t>
            </w:r>
          </w:p>
        </w:tc>
        <w:tc>
          <w:tcPr>
            <w:tcW w:w="100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10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0" w:type="dxa"/>
            <w:vAlign w:val="bottom"/>
          </w:tcPr>
          <w:p>
            <w:pPr>
              <w:spacing w:after="0"/>
              <w:rPr>
                <w:sz w:val="1"/>
                <w:szCs w:val="1"/>
                <w:color w:val="auto"/>
              </w:rPr>
            </w:pPr>
          </w:p>
        </w:tc>
      </w:tr>
      <w:tr>
        <w:trPr>
          <w:trHeight w:val="400"/>
        </w:trPr>
        <w:tc>
          <w:tcPr>
            <w:tcW w:w="5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 market</w:t>
            </w:r>
          </w:p>
        </w:tc>
        <w:tc>
          <w:tcPr>
            <w:tcW w:w="1000" w:type="dxa"/>
            <w:vAlign w:val="bottom"/>
          </w:tcPr>
          <w:p>
            <w:pPr>
              <w:spacing w:after="0"/>
              <w:rPr>
                <w:sz w:val="24"/>
                <w:szCs w:val="24"/>
                <w:color w:val="auto"/>
              </w:rPr>
            </w:pPr>
          </w:p>
        </w:tc>
        <w:tc>
          <w:tcPr>
            <w:tcW w:w="4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3,060</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3,064</w:t>
            </w:r>
          </w:p>
        </w:tc>
        <w:tc>
          <w:tcPr>
            <w:tcW w:w="0" w:type="dxa"/>
            <w:vAlign w:val="bottom"/>
          </w:tcPr>
          <w:p>
            <w:pPr>
              <w:spacing w:after="0"/>
              <w:rPr>
                <w:sz w:val="1"/>
                <w:szCs w:val="1"/>
                <w:color w:val="auto"/>
              </w:rPr>
            </w:pPr>
          </w:p>
        </w:tc>
      </w:tr>
      <w:tr>
        <w:trPr>
          <w:trHeight w:val="38"/>
        </w:trPr>
        <w:tc>
          <w:tcPr>
            <w:tcW w:w="5100" w:type="dxa"/>
            <w:vAlign w:val="bottom"/>
            <w:tcBorders>
              <w:bottom w:val="single" w:sz="8" w:color="CCEEFF"/>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430"/>
        </w:trPr>
        <w:tc>
          <w:tcPr>
            <w:tcW w:w="51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derivative liabilities</w:t>
            </w:r>
          </w:p>
        </w:tc>
        <w:tc>
          <w:tcPr>
            <w:tcW w:w="100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5,230</w:t>
            </w:r>
          </w:p>
        </w:tc>
        <w:tc>
          <w:tcPr>
            <w:tcW w:w="10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5,234</w:t>
            </w:r>
          </w:p>
        </w:tc>
        <w:tc>
          <w:tcPr>
            <w:tcW w:w="0" w:type="dxa"/>
            <w:vAlign w:val="bottom"/>
          </w:tcPr>
          <w:p>
            <w:pPr>
              <w:spacing w:after="0"/>
              <w:rPr>
                <w:sz w:val="1"/>
                <w:szCs w:val="1"/>
                <w:color w:val="auto"/>
              </w:rPr>
            </w:pPr>
          </w:p>
        </w:tc>
      </w:tr>
      <w:tr>
        <w:trPr>
          <w:trHeight w:val="393"/>
        </w:trPr>
        <w:tc>
          <w:tcPr>
            <w:tcW w:w="5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Embedded derivatives on index-linked annuities (2)</w:t>
            </w:r>
          </w:p>
        </w:tc>
        <w:tc>
          <w:tcPr>
            <w:tcW w:w="100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12,406</w:t>
            </w: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12,406</w:t>
            </w:r>
          </w:p>
        </w:tc>
        <w:tc>
          <w:tcPr>
            <w:tcW w:w="0" w:type="dxa"/>
            <w:vAlign w:val="bottom"/>
          </w:tcPr>
          <w:p>
            <w:pPr>
              <w:spacing w:after="0"/>
              <w:rPr>
                <w:sz w:val="1"/>
                <w:szCs w:val="1"/>
                <w:color w:val="auto"/>
              </w:rPr>
            </w:pPr>
          </w:p>
        </w:tc>
      </w:tr>
      <w:tr>
        <w:trPr>
          <w:trHeight w:val="38"/>
        </w:trPr>
        <w:tc>
          <w:tcPr>
            <w:tcW w:w="5100" w:type="dxa"/>
            <w:vAlign w:val="bottom"/>
            <w:tcBorders>
              <w:bottom w:val="single" w:sz="8" w:color="CCEEFF"/>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456"/>
        </w:trPr>
        <w:tc>
          <w:tcPr>
            <w:tcW w:w="51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liabilities</w:t>
            </w:r>
          </w:p>
        </w:tc>
        <w:tc>
          <w:tcPr>
            <w:tcW w:w="1000" w:type="dxa"/>
            <w:vAlign w:val="bottom"/>
            <w:tcBorders>
              <w:bottom w:val="single" w:sz="8" w:color="auto"/>
            </w:tcBorders>
            <w:shd w:val="clear" w:color="auto" w:fill="CCEEFF"/>
          </w:tcPr>
          <w:p>
            <w:pPr>
              <w:jc w:val="right"/>
              <w:ind w:right="809"/>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5,230</w:t>
            </w:r>
          </w:p>
        </w:tc>
        <w:tc>
          <w:tcPr>
            <w:tcW w:w="10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809"/>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20,485</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25,719</w:t>
            </w: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380" w:right="339" w:bottom="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color w:val="auto"/>
        </w:rPr>
        <w:t>_______________</w:t>
      </w:r>
    </w:p>
    <w:p>
      <w:pPr>
        <w:spacing w:after="0" w:line="121" w:lineRule="exact"/>
        <w:rPr>
          <w:sz w:val="20"/>
          <w:szCs w:val="20"/>
          <w:color w:val="auto"/>
        </w:rPr>
      </w:pPr>
    </w:p>
    <w:p>
      <w:pPr>
        <w:ind w:left="320" w:hanging="314"/>
        <w:spacing w:after="0" w:line="274" w:lineRule="auto"/>
        <w:tabs>
          <w:tab w:leader="none" w:pos="31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Derivative assets are reported in other invested assets and derivative liabilities are reported in other liabilities. The amounts are presented gross in the tables above to reflect the presentation on the consolidated balance sheets.</w:t>
      </w:r>
    </w:p>
    <w:p>
      <w:pPr>
        <w:spacing w:after="0" w:line="57" w:lineRule="exact"/>
        <w:rPr>
          <w:rFonts w:ascii="Times New Roman" w:cs="Times New Roman" w:eastAsia="Times New Roman" w:hAnsi="Times New Roman"/>
          <w:sz w:val="18"/>
          <w:szCs w:val="18"/>
          <w:color w:val="auto"/>
        </w:rPr>
      </w:pPr>
    </w:p>
    <w:p>
      <w:pPr>
        <w:ind w:left="320" w:hanging="314"/>
        <w:spacing w:after="0" w:line="274" w:lineRule="auto"/>
        <w:tabs>
          <w:tab w:leader="none" w:pos="31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Embedded derivative assets on index-linked annuities relate to reinsurance and are reported in premiums and other receivables. Embedded derivative liabilities on index-linked annuities are reported in policyholder account balances.</w:t>
      </w:r>
    </w:p>
    <w:p>
      <w:pPr>
        <w:spacing w:after="0" w:line="5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Valuation Controls and Procedures</w:t>
      </w:r>
    </w:p>
    <w:p>
      <w:pPr>
        <w:spacing w:after="0" w:line="115" w:lineRule="exact"/>
        <w:rPr>
          <w:sz w:val="20"/>
          <w:szCs w:val="20"/>
          <w:color w:val="auto"/>
        </w:rPr>
      </w:pPr>
    </w:p>
    <w:p>
      <w:pPr>
        <w:jc w:val="both"/>
        <w:ind w:left="160" w:firstLine="318"/>
        <w:spacing w:after="0" w:line="251" w:lineRule="auto"/>
        <w:rPr>
          <w:sz w:val="20"/>
          <w:szCs w:val="20"/>
          <w:color w:val="auto"/>
        </w:rPr>
      </w:pPr>
      <w:r>
        <w:rPr>
          <w:rFonts w:ascii="Times New Roman" w:cs="Times New Roman" w:eastAsia="Times New Roman" w:hAnsi="Times New Roman"/>
          <w:sz w:val="18"/>
          <w:szCs w:val="18"/>
          <w:color w:val="auto"/>
        </w:rPr>
        <w:t>The Company monitors and provides oversight of valuation controls and policies for securities, mortgage loans and derivatives, which are primarily executed by its valuation service providers. The valuation methodologies used to determine fair values prioritize the use of observable market prices and market-based parameters and determines that judgmental valuation adjustments, when applied, are based upon established policies and are applied consistently over time. The valuation methodologies for securities, mortgage loans and derivatives are reviewed on an ongoing basis and revised when necessary. In addition, the Chief Accounting Officer periodically reports to the Audit Committee of BHF’s Board of Directors regarding compliance with fair value accounting standards.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Life Insurance Company</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 Indirect Wholly-Owned Subsidiary of Brighthouse Financial, Inc.)</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Fair Value (continued)</w:t>
      </w:r>
    </w:p>
    <w:p>
      <w:pPr>
        <w:spacing w:after="0" w:line="200" w:lineRule="exact"/>
        <w:rPr>
          <w:sz w:val="20"/>
          <w:szCs w:val="20"/>
          <w:color w:val="auto"/>
        </w:rPr>
      </w:pPr>
    </w:p>
    <w:p>
      <w:pPr>
        <w:spacing w:after="0" w:line="311" w:lineRule="exact"/>
        <w:rPr>
          <w:sz w:val="20"/>
          <w:szCs w:val="20"/>
          <w:color w:val="auto"/>
        </w:rPr>
      </w:pPr>
    </w:p>
    <w:p>
      <w:pPr>
        <w:jc w:val="both"/>
        <w:ind w:left="160" w:firstLine="318"/>
        <w:spacing w:after="0" w:line="249" w:lineRule="auto"/>
        <w:rPr>
          <w:sz w:val="20"/>
          <w:szCs w:val="20"/>
          <w:color w:val="auto"/>
        </w:rPr>
      </w:pPr>
      <w:r>
        <w:rPr>
          <w:rFonts w:ascii="Times New Roman" w:cs="Times New Roman" w:eastAsia="Times New Roman" w:hAnsi="Times New Roman"/>
          <w:sz w:val="18"/>
          <w:szCs w:val="18"/>
          <w:color w:val="auto"/>
        </w:rPr>
        <w:t>The fair value of financial assets and financial liabilities is based on quoted market prices, where available. Prices received are assessed to determine if they represent a reasonable estimate of fair value. Several controls are performed, including certain monthly controls, which include, but are not limited to, analysis of portfolio returns to corresponding benchmark returns, comparing a sample of executed prices of securities sold to the fair value estimates, reviewing the bid/ask spreads to assess activity, comparing prices from multiple independent pricing services and ongoing due diligence to confirm that independent pricing services use market-based parameters. The process includes a determination of the observability of inputs used in estimated fair values received from independent pricing services or brokers by assessing whether these inputs can be corroborated by observable market data. Independent non-binding broker quotes, also referred to herein as “consensus pricing,” are used for a non-significant portion of the portfolio. Prices received from independent brokers are assessed to determine if they represent a reasonable estimate of fair value by considering such pricing relative to the current market dynamics and current pricing for similar financial instruments.</w:t>
      </w:r>
    </w:p>
    <w:p>
      <w:pPr>
        <w:spacing w:after="0" w:line="81" w:lineRule="exact"/>
        <w:rPr>
          <w:sz w:val="20"/>
          <w:szCs w:val="20"/>
          <w:color w:val="auto"/>
        </w:rPr>
      </w:pPr>
    </w:p>
    <w:p>
      <w:pPr>
        <w:jc w:val="both"/>
        <w:ind w:left="160" w:firstLine="318"/>
        <w:spacing w:after="0" w:line="255" w:lineRule="auto"/>
        <w:rPr>
          <w:sz w:val="20"/>
          <w:szCs w:val="20"/>
          <w:color w:val="auto"/>
        </w:rPr>
      </w:pPr>
      <w:r>
        <w:rPr>
          <w:rFonts w:ascii="Times New Roman" w:cs="Times New Roman" w:eastAsia="Times New Roman" w:hAnsi="Times New Roman"/>
          <w:sz w:val="18"/>
          <w:szCs w:val="18"/>
          <w:color w:val="auto"/>
        </w:rPr>
        <w:t>A formal process is also applied to challenge any prices received from independent pricing services that are not considered representative of estimated fair value. If prices received from independent pricing services are not considered reflective of market activity or representative of estimated fair value, independent non-binding broker quotations are obtained. If obtaining an independent non-binding broker quotation is unsuccessful, the last available price will be used.</w:t>
      </w:r>
    </w:p>
    <w:p>
      <w:pPr>
        <w:spacing w:after="0" w:line="74" w:lineRule="exact"/>
        <w:rPr>
          <w:sz w:val="20"/>
          <w:szCs w:val="20"/>
          <w:color w:val="auto"/>
        </w:rPr>
      </w:pPr>
    </w:p>
    <w:p>
      <w:pPr>
        <w:jc w:val="both"/>
        <w:ind w:left="160" w:firstLine="318"/>
        <w:spacing w:after="0" w:line="282" w:lineRule="auto"/>
        <w:rPr>
          <w:sz w:val="20"/>
          <w:szCs w:val="20"/>
          <w:color w:val="auto"/>
        </w:rPr>
      </w:pPr>
      <w:r>
        <w:rPr>
          <w:rFonts w:ascii="Times New Roman" w:cs="Times New Roman" w:eastAsia="Times New Roman" w:hAnsi="Times New Roman"/>
          <w:sz w:val="17"/>
          <w:szCs w:val="17"/>
          <w:color w:val="auto"/>
        </w:rPr>
        <w:t>Additional controls are performed, such as balance sheet analytics to assess reasonableness of period-to-period pricing changes, including any price adjustments. Price adjustments are applied if prices or quotes received from independent pricing services or brokers are not considered reflective of market activity or representative of estimated fair value. The Company did not have significant price adjustments during the three months ended March 31, 2026.</w:t>
      </w:r>
    </w:p>
    <w:p>
      <w:pPr>
        <w:spacing w:after="0" w:line="4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Determination of Fair Value</w:t>
      </w:r>
    </w:p>
    <w:p>
      <w:pPr>
        <w:spacing w:after="0" w:line="1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Fixed Maturity Securities</w:t>
      </w:r>
    </w:p>
    <w:p>
      <w:pPr>
        <w:spacing w:after="0" w:line="113" w:lineRule="exact"/>
        <w:rPr>
          <w:sz w:val="20"/>
          <w:szCs w:val="20"/>
          <w:color w:val="auto"/>
        </w:rPr>
      </w:pPr>
    </w:p>
    <w:p>
      <w:pPr>
        <w:jc w:val="both"/>
        <w:ind w:left="320" w:firstLine="318"/>
        <w:spacing w:after="0" w:line="259" w:lineRule="auto"/>
        <w:rPr>
          <w:sz w:val="20"/>
          <w:szCs w:val="20"/>
          <w:color w:val="auto"/>
        </w:rPr>
      </w:pPr>
      <w:r>
        <w:rPr>
          <w:rFonts w:ascii="Times New Roman" w:cs="Times New Roman" w:eastAsia="Times New Roman" w:hAnsi="Times New Roman"/>
          <w:sz w:val="18"/>
          <w:szCs w:val="18"/>
          <w:color w:val="auto"/>
        </w:rPr>
        <w:t>The fair values for actively traded marketable bonds designated as available-for-sale or trading securities, primarily U.S. government and agency securities, are determined using the quoted market prices and are classified as Level 1 assets. For securities classified as Level 2 assets, fair values are determined using either a market or income approach and are valued based on a variety of observable inputs as described below.</w:t>
      </w:r>
    </w:p>
    <w:p>
      <w:pPr>
        <w:spacing w:after="0" w:line="123" w:lineRule="exact"/>
        <w:rPr>
          <w:sz w:val="20"/>
          <w:szCs w:val="20"/>
          <w:color w:val="auto"/>
        </w:rPr>
      </w:pPr>
    </w:p>
    <w:p>
      <w:pPr>
        <w:jc w:val="both"/>
        <w:ind w:left="320" w:firstLine="31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U.S. corporate and foreign corporate securities: </w:t>
      </w:r>
      <w:r>
        <w:rPr>
          <w:rFonts w:ascii="Times New Roman" w:cs="Times New Roman" w:eastAsia="Times New Roman" w:hAnsi="Times New Roman"/>
          <w:sz w:val="18"/>
          <w:szCs w:val="18"/>
          <w:color w:val="auto"/>
        </w:rPr>
        <w:t>Fair value is determined using third-party commercial pricing services, with the primary inputs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being quoted prices in markets that are not active, benchmark yields, spreads off benchmark yields, new issuances, issuer rating, trades of identical or comparable securities, or duration. Privately-placed securities are valued using the additional key inputs: market yield curve, call provisions, observable prices and spreads for similar public or private securities that incorporate the credit quality and industry sector of the issuer, and delta spread adjustments to reflect specific credit-related issues.</w:t>
      </w:r>
    </w:p>
    <w:p>
      <w:pPr>
        <w:spacing w:after="0" w:line="128" w:lineRule="exact"/>
        <w:rPr>
          <w:sz w:val="20"/>
          <w:szCs w:val="20"/>
          <w:color w:val="auto"/>
        </w:rPr>
      </w:pPr>
    </w:p>
    <w:p>
      <w:pPr>
        <w:jc w:val="both"/>
        <w:ind w:left="320" w:firstLine="31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U.S. government and agency, state and political subdivision and foreign government securities: </w:t>
      </w:r>
      <w:r>
        <w:rPr>
          <w:rFonts w:ascii="Times New Roman" w:cs="Times New Roman" w:eastAsia="Times New Roman" w:hAnsi="Times New Roman"/>
          <w:sz w:val="18"/>
          <w:szCs w:val="18"/>
          <w:color w:val="auto"/>
        </w:rPr>
        <w:t>Fair value is determined using third-party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commercial pricing services, with the primary inputs being quoted prices in markets that are not active, benchmark U.S. Treasury yield or other yields, spread off the U.S. Treasury yield curve for the identical security, issuer ratings and issuer spreads, broker-dealer quotes, and comparable securities that are actively traded.</w:t>
      </w:r>
    </w:p>
    <w:p>
      <w:pPr>
        <w:spacing w:after="0" w:line="124" w:lineRule="exact"/>
        <w:rPr>
          <w:sz w:val="20"/>
          <w:szCs w:val="20"/>
          <w:color w:val="auto"/>
        </w:rPr>
      </w:pPr>
    </w:p>
    <w:p>
      <w:pPr>
        <w:jc w:val="both"/>
        <w:ind w:left="320" w:firstLine="31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Structured Securities: </w:t>
      </w:r>
      <w:r>
        <w:rPr>
          <w:rFonts w:ascii="Times New Roman" w:cs="Times New Roman" w:eastAsia="Times New Roman" w:hAnsi="Times New Roman"/>
          <w:sz w:val="18"/>
          <w:szCs w:val="18"/>
          <w:color w:val="auto"/>
        </w:rPr>
        <w:t>Fair value is determined using third-party commercial pricing services, with the primary inputs being quoted prices in markets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are not active, spreads for actively traded securities, spreads off benchmark yields, expected prepayment speeds and volumes, current and forecasted loss severity, ratings, geographic region, weighted average coupon and weighted average maturity, average delinquency rates and debt-service coverage ratios. Other issuance-specific information is also used, including, but not limited to, collateral type, structure of the security, vintage of the loans, payment terms of the underlying asset, payment priority within tranche, and deal performance.</w:t>
      </w:r>
    </w:p>
    <w:p>
      <w:pPr>
        <w:spacing w:after="0" w:line="7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Equity Securities and Short-term Investments</w:t>
      </w:r>
    </w:p>
    <w:p>
      <w:pPr>
        <w:spacing w:after="0" w:line="113" w:lineRule="exact"/>
        <w:rPr>
          <w:sz w:val="20"/>
          <w:szCs w:val="20"/>
          <w:color w:val="auto"/>
        </w:rPr>
      </w:pPr>
    </w:p>
    <w:p>
      <w:pPr>
        <w:jc w:val="both"/>
        <w:ind w:left="320" w:firstLine="318"/>
        <w:spacing w:after="0" w:line="259" w:lineRule="auto"/>
        <w:rPr>
          <w:sz w:val="20"/>
          <w:szCs w:val="20"/>
          <w:color w:val="auto"/>
        </w:rPr>
      </w:pPr>
      <w:r>
        <w:rPr>
          <w:rFonts w:ascii="Times New Roman" w:cs="Times New Roman" w:eastAsia="Times New Roman" w:hAnsi="Times New Roman"/>
          <w:sz w:val="18"/>
          <w:szCs w:val="18"/>
          <w:color w:val="auto"/>
        </w:rPr>
        <w:t>The fair value for actively traded equity securities and short-term investments are determined using quoted market prices and are classified as Level 1 assets. For financial instruments classified as Level 2 assets, fair values are determined using a market approach and are valued based on a variety of observable inputs as described below.</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Life Insurance Company</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 Indirect Wholly-Owned Subsidiary of Brighthouse Financial, Inc.)</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Fair Value (continued)</w:t>
      </w:r>
    </w:p>
    <w:p>
      <w:pPr>
        <w:spacing w:after="0" w:line="200" w:lineRule="exact"/>
        <w:rPr>
          <w:sz w:val="20"/>
          <w:szCs w:val="20"/>
          <w:color w:val="auto"/>
        </w:rPr>
      </w:pPr>
    </w:p>
    <w:p>
      <w:pPr>
        <w:spacing w:after="0" w:line="362" w:lineRule="exact"/>
        <w:rPr>
          <w:sz w:val="20"/>
          <w:szCs w:val="20"/>
          <w:color w:val="auto"/>
        </w:rPr>
      </w:pPr>
    </w:p>
    <w:p>
      <w:pPr>
        <w:jc w:val="both"/>
        <w:ind w:left="320" w:firstLine="318"/>
        <w:spacing w:after="0" w:line="276" w:lineRule="auto"/>
        <w:rPr>
          <w:sz w:val="20"/>
          <w:szCs w:val="20"/>
          <w:color w:val="auto"/>
        </w:rPr>
      </w:pPr>
      <w:r>
        <w:rPr>
          <w:rFonts w:ascii="Times New Roman" w:cs="Times New Roman" w:eastAsia="Times New Roman" w:hAnsi="Times New Roman"/>
          <w:sz w:val="18"/>
          <w:szCs w:val="18"/>
          <w:i w:val="1"/>
          <w:iCs w:val="1"/>
          <w:color w:val="auto"/>
        </w:rPr>
        <w:t xml:space="preserve">Equity securities and short-term investments: </w:t>
      </w:r>
      <w:r>
        <w:rPr>
          <w:rFonts w:ascii="Times New Roman" w:cs="Times New Roman" w:eastAsia="Times New Roman" w:hAnsi="Times New Roman"/>
          <w:sz w:val="18"/>
          <w:szCs w:val="18"/>
          <w:color w:val="auto"/>
        </w:rPr>
        <w:t>Fair value is determined using third-party commercial pricing services, with the primary input being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quoted prices in markets that are not active.</w:t>
      </w:r>
    </w:p>
    <w:p>
      <w:pPr>
        <w:spacing w:after="0" w:line="5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Derivatives</w:t>
      </w:r>
    </w:p>
    <w:p>
      <w:pPr>
        <w:spacing w:after="0" w:line="113" w:lineRule="exact"/>
        <w:rPr>
          <w:sz w:val="20"/>
          <w:szCs w:val="20"/>
          <w:color w:val="auto"/>
        </w:rPr>
      </w:pPr>
    </w:p>
    <w:p>
      <w:pPr>
        <w:jc w:val="both"/>
        <w:ind w:left="320" w:firstLine="318"/>
        <w:spacing w:after="0" w:line="255" w:lineRule="auto"/>
        <w:rPr>
          <w:sz w:val="20"/>
          <w:szCs w:val="20"/>
          <w:color w:val="auto"/>
        </w:rPr>
      </w:pPr>
      <w:r>
        <w:rPr>
          <w:rFonts w:ascii="Times New Roman" w:cs="Times New Roman" w:eastAsia="Times New Roman" w:hAnsi="Times New Roman"/>
          <w:sz w:val="18"/>
          <w:szCs w:val="18"/>
          <w:color w:val="auto"/>
        </w:rPr>
        <w:t>The fair values for exchange-traded derivatives are determined using the quoted market prices and are classified as Level 1 assets or liabilities. For OTC-bilateral derivatives and OTC-cleared derivatives classified as Level 2 assets or liabilities, fair values are determined using the income approach. Valuations of non-option-based derivatives utilize present value techniques, whereas valuations of option-based derivatives utilize option pricing models which are based on market standard valuation methodologies and a variety of observable inputs.</w:t>
      </w:r>
    </w:p>
    <w:p>
      <w:pPr>
        <w:spacing w:after="0" w:line="74" w:lineRule="exact"/>
        <w:rPr>
          <w:sz w:val="20"/>
          <w:szCs w:val="20"/>
          <w:color w:val="auto"/>
        </w:rPr>
      </w:pPr>
    </w:p>
    <w:p>
      <w:pPr>
        <w:jc w:val="both"/>
        <w:ind w:left="320" w:firstLine="318"/>
        <w:spacing w:after="0" w:line="251" w:lineRule="auto"/>
        <w:rPr>
          <w:sz w:val="20"/>
          <w:szCs w:val="20"/>
          <w:color w:val="auto"/>
        </w:rPr>
      </w:pPr>
      <w:r>
        <w:rPr>
          <w:rFonts w:ascii="Times New Roman" w:cs="Times New Roman" w:eastAsia="Times New Roman" w:hAnsi="Times New Roman"/>
          <w:sz w:val="18"/>
          <w:szCs w:val="18"/>
          <w:color w:val="auto"/>
        </w:rPr>
        <w:t>The significant inputs to the pricing models for most OTC-bilateral and OTC-cleared derivatives are inputs that are observable in the market or can be derived principally from, or corroborated by, observable market data. Certain OTC-bilateral and OTC-cleared derivatives may rely on inputs that are significant to the estimated fair value that are not observable in the market or cannot be derived principally from, or corroborated by, observable market data. These unobservable inputs may involve significant management judgment or estimation. Even though unobservable, these inputs are based on assumptions deemed appropriate given the circumstances and management believes they are consistent with what other market participants would use when pricing such instruments.</w:t>
      </w:r>
    </w:p>
    <w:p>
      <w:pPr>
        <w:spacing w:after="0" w:line="79" w:lineRule="exact"/>
        <w:rPr>
          <w:sz w:val="20"/>
          <w:szCs w:val="20"/>
          <w:color w:val="auto"/>
        </w:rPr>
      </w:pPr>
    </w:p>
    <w:p>
      <w:pPr>
        <w:jc w:val="both"/>
        <w:ind w:left="320" w:firstLine="318"/>
        <w:spacing w:after="0" w:line="259" w:lineRule="auto"/>
        <w:rPr>
          <w:sz w:val="20"/>
          <w:szCs w:val="20"/>
          <w:color w:val="auto"/>
        </w:rPr>
      </w:pPr>
      <w:r>
        <w:rPr>
          <w:rFonts w:ascii="Times New Roman" w:cs="Times New Roman" w:eastAsia="Times New Roman" w:hAnsi="Times New Roman"/>
          <w:sz w:val="18"/>
          <w:szCs w:val="18"/>
          <w:color w:val="auto"/>
        </w:rPr>
        <w:t>Most inputs for OTC-bilateral and OTC-cleared derivatives are mid-market inputs but, in certain cases, liquidity adjustments are made when they are deemed more representative of exit value. Market liquidity, as well as the use of different methodologies, assumptions and inputs, may have a material effect on the estimated fair values of the Company’s derivatives and could materially affect net income.</w:t>
      </w:r>
    </w:p>
    <w:p>
      <w:pPr>
        <w:spacing w:after="0" w:line="72" w:lineRule="exact"/>
        <w:rPr>
          <w:sz w:val="20"/>
          <w:szCs w:val="20"/>
          <w:color w:val="auto"/>
        </w:rPr>
      </w:pPr>
    </w:p>
    <w:p>
      <w:pPr>
        <w:jc w:val="both"/>
        <w:ind w:left="320" w:firstLine="318"/>
        <w:spacing w:after="0" w:line="249" w:lineRule="auto"/>
        <w:rPr>
          <w:sz w:val="20"/>
          <w:szCs w:val="20"/>
          <w:color w:val="auto"/>
        </w:rPr>
      </w:pPr>
      <w:r>
        <w:rPr>
          <w:rFonts w:ascii="Times New Roman" w:cs="Times New Roman" w:eastAsia="Times New Roman" w:hAnsi="Times New Roman"/>
          <w:sz w:val="18"/>
          <w:szCs w:val="18"/>
          <w:color w:val="auto"/>
        </w:rPr>
        <w:t>The credit risk of both the counterparty and the Company are considered in determining the estimated fair value for all OTC-bilateral and OTC-cleared derivatives, and any potential credit adjustment is based on the net exposure by counterparty after taking into account the effects of netting agreements and collateral arrangements. The Company values its OTC-bilateral and OTC-cleared derivatives using standard swap curves which may include a spread to the risk-free rate, depending upon specific collateral arrangements. This credit spread is appropriate for those parties that execute trades at pricing levels consistent with similar collateral arrangements. As the Company and its significant derivative counterparties generally execute trades at such pricing levels and hold sufficient collateral, additional credit risk adjustments are not currently required in the valuation process. The Company’s ability to consistently execute at such pricing levels is in part due to the netting agreements and collateral arrangements that are in place with all of its significant derivative counterparties. An evaluation of the requirement to make additional credit risk adjustments is performed by the Company each reporting period.</w:t>
      </w:r>
    </w:p>
    <w:p>
      <w:pPr>
        <w:spacing w:after="0" w:line="7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Market Risk Benefits</w:t>
      </w:r>
    </w:p>
    <w:p>
      <w:pPr>
        <w:spacing w:after="0" w:line="11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MRBs principally include guaranteed minimum benefits on variable annuity contracts including benefits reinsured related to these guarantees.</w:t>
      </w:r>
    </w:p>
    <w:p>
      <w:pPr>
        <w:spacing w:after="0" w:line="111" w:lineRule="exact"/>
        <w:rPr>
          <w:sz w:val="20"/>
          <w:szCs w:val="20"/>
          <w:color w:val="auto"/>
        </w:rPr>
      </w:pPr>
    </w:p>
    <w:p>
      <w:pPr>
        <w:jc w:val="both"/>
        <w:ind w:left="320" w:firstLine="318"/>
        <w:spacing w:after="0" w:line="250" w:lineRule="auto"/>
        <w:rPr>
          <w:sz w:val="20"/>
          <w:szCs w:val="20"/>
          <w:color w:val="auto"/>
        </w:rPr>
      </w:pPr>
      <w:r>
        <w:rPr>
          <w:rFonts w:ascii="Times New Roman" w:cs="Times New Roman" w:eastAsia="Times New Roman" w:hAnsi="Times New Roman"/>
          <w:sz w:val="18"/>
          <w:szCs w:val="18"/>
          <w:color w:val="auto"/>
        </w:rPr>
        <w:t>The estimated fair value of variable annuity guarantees accounted for as MRBs is determined based on the present value of projected future benefits less the present value of projected future fees attributable to the guarantees. At policy inception, the Company determines an attributed fee ratio by solving for a percentage of projected future rider fees to be collected from the policyholder equal to the present value of projected future guaranteed benefits. To the extent the rider fees are insufficient, the Company may also include fees related to mortality and expense charges in the attributed fee ratio, provided the total fees included in the calculation do not exceed total contract fees and assessments collected from the contract holder. Any additional fees not included in the attributed fee ratio are considered revenue and reported in universal life and investment-type product policy fees. The attributed fee ratio is not updated in subsequent periods.</w:t>
      </w:r>
    </w:p>
    <w:p>
      <w:pPr>
        <w:spacing w:after="0" w:line="81" w:lineRule="exact"/>
        <w:rPr>
          <w:sz w:val="20"/>
          <w:szCs w:val="20"/>
          <w:color w:val="auto"/>
        </w:rPr>
      </w:pPr>
    </w:p>
    <w:p>
      <w:pPr>
        <w:jc w:val="both"/>
        <w:ind w:left="320" w:firstLine="318"/>
        <w:spacing w:after="0" w:line="252" w:lineRule="auto"/>
        <w:rPr>
          <w:sz w:val="20"/>
          <w:szCs w:val="20"/>
          <w:color w:val="auto"/>
        </w:rPr>
      </w:pPr>
      <w:r>
        <w:rPr>
          <w:rFonts w:ascii="Times New Roman" w:cs="Times New Roman" w:eastAsia="Times New Roman" w:hAnsi="Times New Roman"/>
          <w:sz w:val="18"/>
          <w:szCs w:val="18"/>
          <w:color w:val="auto"/>
        </w:rPr>
        <w:t>The Company updates the estimated fair value of variable annuity guarantees in subsequent periods by projecting future benefits using capital markets inputs and actuarial assumptions including expectations of policyholder behavior. A risk neutral valuation methodology is used to project the cash flows from the guarantees under multiple capital markets scenarios. The reported estimated fair value is then determined by taking the present value of these cash flows using a discount rate that incorporates a spread over the risk-free rate to reflect the Company’s nonperformance risk and adding a risk margin.</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Life Insurance Company</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 Indirect Wholly-Owned Subsidiary of Brighthouse Financial, Inc.)</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Fair Value (continued)</w:t>
      </w:r>
    </w:p>
    <w:p>
      <w:pPr>
        <w:spacing w:after="0" w:line="200" w:lineRule="exact"/>
        <w:rPr>
          <w:sz w:val="20"/>
          <w:szCs w:val="20"/>
          <w:color w:val="auto"/>
        </w:rPr>
      </w:pPr>
    </w:p>
    <w:p>
      <w:pPr>
        <w:spacing w:after="0" w:line="311" w:lineRule="exact"/>
        <w:rPr>
          <w:sz w:val="20"/>
          <w:szCs w:val="20"/>
          <w:color w:val="auto"/>
        </w:rPr>
      </w:pPr>
    </w:p>
    <w:p>
      <w:pPr>
        <w:jc w:val="both"/>
        <w:ind w:left="320" w:firstLine="318"/>
        <w:spacing w:after="0" w:line="252" w:lineRule="auto"/>
        <w:rPr>
          <w:sz w:val="20"/>
          <w:szCs w:val="20"/>
          <w:color w:val="auto"/>
        </w:rPr>
      </w:pPr>
      <w:r>
        <w:rPr>
          <w:rFonts w:ascii="Times New Roman" w:cs="Times New Roman" w:eastAsia="Times New Roman" w:hAnsi="Times New Roman"/>
          <w:sz w:val="18"/>
          <w:szCs w:val="18"/>
          <w:color w:val="auto"/>
        </w:rPr>
        <w:t>The valuation of MRBs includes an adjustment for the risk that the Company fails to satisfy its obligations, which is referred to as nonperformance risk. The nonperformance risk adjustment is captured as an additional spread applied to the risk-free rate in determining the rate to discount the cash flows of the liability. The spread over the risk-free rate is based on the Company’s creditworthiness taking into consideration publicly available information relating to spreads in the secondary market for Brighthouse Financial’s debt. These observable spreads are then adjusted, as necessary, to reflect the financial strength ratings of the issuing insurance subsidiaries as compared to the credit rating of Brighthouse Financial.</w:t>
      </w:r>
    </w:p>
    <w:p>
      <w:pPr>
        <w:spacing w:after="0" w:line="79" w:lineRule="exact"/>
        <w:rPr>
          <w:sz w:val="20"/>
          <w:szCs w:val="20"/>
          <w:color w:val="auto"/>
        </w:rPr>
      </w:pPr>
    </w:p>
    <w:p>
      <w:pPr>
        <w:jc w:val="both"/>
        <w:ind w:left="320" w:firstLine="318"/>
        <w:spacing w:after="0" w:line="259" w:lineRule="auto"/>
        <w:rPr>
          <w:sz w:val="20"/>
          <w:szCs w:val="20"/>
          <w:color w:val="auto"/>
        </w:rPr>
      </w:pPr>
      <w:r>
        <w:rPr>
          <w:rFonts w:ascii="Times New Roman" w:cs="Times New Roman" w:eastAsia="Times New Roman" w:hAnsi="Times New Roman"/>
          <w:sz w:val="18"/>
          <w:szCs w:val="18"/>
          <w:color w:val="auto"/>
        </w:rPr>
        <w:t>Risk margins are established to capture the non-capital markets risks of the instrument which represent the additional compensation a market participant would require to assume the risks related to the uncertainties in certain actuarial assumptions. The establishment of risk margins requires the use of significant actuarial judgment, including assumptions of the amount needed to cover the guarantees.</w:t>
      </w:r>
    </w:p>
    <w:p>
      <w:pPr>
        <w:spacing w:after="0" w:line="72" w:lineRule="exact"/>
        <w:rPr>
          <w:sz w:val="20"/>
          <w:szCs w:val="20"/>
          <w:color w:val="auto"/>
        </w:rPr>
      </w:pPr>
    </w:p>
    <w:p>
      <w:pPr>
        <w:jc w:val="both"/>
        <w:ind w:left="320" w:firstLine="318"/>
        <w:spacing w:after="0" w:line="259" w:lineRule="auto"/>
        <w:rPr>
          <w:sz w:val="20"/>
          <w:szCs w:val="20"/>
          <w:color w:val="auto"/>
        </w:rPr>
      </w:pPr>
      <w:r>
        <w:rPr>
          <w:rFonts w:ascii="Times New Roman" w:cs="Times New Roman" w:eastAsia="Times New Roman" w:hAnsi="Times New Roman"/>
          <w:sz w:val="18"/>
          <w:szCs w:val="18"/>
          <w:color w:val="auto"/>
        </w:rPr>
        <w:t>Actuarial assumptions are reviewed at least annually, and if they change significantly, the estimated fair value is adjusted through net income. Capital market inputs used in the measurement of variable annuity guarantees are updated quarterly through net income, except for the change attributable to the Company’s nonperformance risk, which is reported in OCI.</w:t>
      </w:r>
    </w:p>
    <w:p>
      <w:pPr>
        <w:spacing w:after="0" w:line="7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Embedded Derivatives</w:t>
      </w:r>
    </w:p>
    <w:p>
      <w:pPr>
        <w:spacing w:after="0" w:line="113" w:lineRule="exact"/>
        <w:rPr>
          <w:sz w:val="20"/>
          <w:szCs w:val="20"/>
          <w:color w:val="auto"/>
        </w:rPr>
      </w:pPr>
    </w:p>
    <w:p>
      <w:pPr>
        <w:jc w:val="both"/>
        <w:ind w:left="320" w:firstLine="318"/>
        <w:spacing w:after="0" w:line="274" w:lineRule="auto"/>
        <w:rPr>
          <w:sz w:val="20"/>
          <w:szCs w:val="20"/>
          <w:color w:val="auto"/>
        </w:rPr>
      </w:pPr>
      <w:r>
        <w:rPr>
          <w:rFonts w:ascii="Times New Roman" w:cs="Times New Roman" w:eastAsia="Times New Roman" w:hAnsi="Times New Roman"/>
          <w:sz w:val="18"/>
          <w:szCs w:val="18"/>
          <w:color w:val="auto"/>
        </w:rPr>
        <w:t>Embedded derivatives include crediting rates associated with index-linked annuity contracts. Embedded derivatives are recorded at estimated fair value with changes in estimated fair value reported in net income.</w:t>
      </w:r>
    </w:p>
    <w:p>
      <w:pPr>
        <w:spacing w:after="0" w:line="57" w:lineRule="exact"/>
        <w:rPr>
          <w:sz w:val="20"/>
          <w:szCs w:val="20"/>
          <w:color w:val="auto"/>
        </w:rPr>
      </w:pPr>
    </w:p>
    <w:p>
      <w:pPr>
        <w:jc w:val="both"/>
        <w:ind w:left="320" w:firstLine="318"/>
        <w:spacing w:after="0" w:line="274" w:lineRule="auto"/>
        <w:rPr>
          <w:sz w:val="20"/>
          <w:szCs w:val="20"/>
          <w:color w:val="auto"/>
        </w:rPr>
      </w:pPr>
      <w:r>
        <w:rPr>
          <w:rFonts w:ascii="Times New Roman" w:cs="Times New Roman" w:eastAsia="Times New Roman" w:hAnsi="Times New Roman"/>
          <w:sz w:val="18"/>
          <w:szCs w:val="18"/>
          <w:color w:val="auto"/>
        </w:rPr>
        <w:t>The crediting rates associated with these features are embedded derivatives which are measured at estimated fair value separately from the host fixed annuity contract. These embedded derivatives are classified within policyholder account balances on the consolidated balance sheets.</w:t>
      </w:r>
    </w:p>
    <w:p>
      <w:pPr>
        <w:spacing w:after="0" w:line="57" w:lineRule="exact"/>
        <w:rPr>
          <w:sz w:val="20"/>
          <w:szCs w:val="20"/>
          <w:color w:val="auto"/>
        </w:rPr>
      </w:pPr>
    </w:p>
    <w:p>
      <w:pPr>
        <w:jc w:val="both"/>
        <w:ind w:left="320" w:firstLine="318"/>
        <w:spacing w:after="0" w:line="259" w:lineRule="auto"/>
        <w:rPr>
          <w:sz w:val="20"/>
          <w:szCs w:val="20"/>
          <w:color w:val="auto"/>
        </w:rPr>
      </w:pPr>
      <w:r>
        <w:rPr>
          <w:rFonts w:ascii="Times New Roman" w:cs="Times New Roman" w:eastAsia="Times New Roman" w:hAnsi="Times New Roman"/>
          <w:sz w:val="18"/>
          <w:szCs w:val="18"/>
          <w:color w:val="auto"/>
        </w:rPr>
        <w:t>The estimated fair value of crediting rates associated with index-linked annuities is determined using a combination of an option pricing model and an option-budget approach. The valuation of these embedded derivatives also includes the establishment of a risk margin, as well as changes in nonperformance risk.</w:t>
      </w:r>
    </w:p>
    <w:p>
      <w:pPr>
        <w:spacing w:after="0" w:line="72" w:lineRule="exact"/>
        <w:rPr>
          <w:sz w:val="20"/>
          <w:szCs w:val="20"/>
          <w:color w:val="auto"/>
        </w:rPr>
      </w:pPr>
    </w:p>
    <w:p>
      <w:pPr>
        <w:jc w:val="both"/>
        <w:ind w:left="320" w:firstLine="318"/>
        <w:spacing w:after="0" w:line="259" w:lineRule="auto"/>
        <w:rPr>
          <w:sz w:val="20"/>
          <w:szCs w:val="20"/>
          <w:color w:val="auto"/>
        </w:rPr>
      </w:pPr>
      <w:r>
        <w:rPr>
          <w:rFonts w:ascii="Times New Roman" w:cs="Times New Roman" w:eastAsia="Times New Roman" w:hAnsi="Times New Roman"/>
          <w:sz w:val="18"/>
          <w:szCs w:val="18"/>
          <w:color w:val="auto"/>
        </w:rPr>
        <w:t>Actuarial assumptions including policyholder behavior and expectations for renewals at the end of the term period are reviewed at least annually, and if they change significantly, the estimated fair value is adjusted through net income. Capital market inputs used in the measurement of crediting rate embedded derivatives are updated quarterly through net income.</w:t>
      </w:r>
    </w:p>
    <w:p>
      <w:pPr>
        <w:spacing w:after="0" w:line="7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Transfers Into or Out of Level 3:</w:t>
      </w:r>
    </w:p>
    <w:p>
      <w:pPr>
        <w:spacing w:after="0" w:line="113" w:lineRule="exact"/>
        <w:rPr>
          <w:sz w:val="20"/>
          <w:szCs w:val="20"/>
          <w:color w:val="auto"/>
        </w:rPr>
      </w:pPr>
    </w:p>
    <w:p>
      <w:pPr>
        <w:jc w:val="both"/>
        <w:ind w:left="320" w:firstLine="318"/>
        <w:spacing w:after="0" w:line="252" w:lineRule="auto"/>
        <w:rPr>
          <w:sz w:val="20"/>
          <w:szCs w:val="20"/>
          <w:color w:val="auto"/>
        </w:rPr>
      </w:pPr>
      <w:r>
        <w:rPr>
          <w:rFonts w:ascii="Times New Roman" w:cs="Times New Roman" w:eastAsia="Times New Roman" w:hAnsi="Times New Roman"/>
          <w:sz w:val="18"/>
          <w:szCs w:val="18"/>
          <w:color w:val="auto"/>
        </w:rPr>
        <w:t>Assets and liabilities are transferred into Level 3 when a significant input cannot be corroborated with market observable data. This occurs when market activity decreases significantly and underlying inputs cannot be observed, current prices are not available, and/or when there are significant variances in quoted prices, thereby affecting transparency. Assets and liabilities are transferred out of Level 3 when circumstances change such that a significant input can be corroborated with market observable data. This may be due to a significant increase in market activity, a specific event, or one or more significant input(s) becoming observable.</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Life Insurance Company</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 Indirect Wholly-Owned Subsidiary of Brighthouse Financial, Inc.)</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Fair Value (continued)</w:t>
      </w:r>
    </w:p>
    <w:p>
      <w:pPr>
        <w:spacing w:after="0" w:line="200" w:lineRule="exact"/>
        <w:rPr>
          <w:sz w:val="20"/>
          <w:szCs w:val="20"/>
          <w:color w:val="auto"/>
        </w:rPr>
      </w:pPr>
    </w:p>
    <w:p>
      <w:pPr>
        <w:spacing w:after="0" w:line="30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Assets and Liabilities Measured at Fair Value Using Significant Unobservable Inputs (Level 3)</w:t>
      </w:r>
    </w:p>
    <w:p>
      <w:pPr>
        <w:spacing w:after="0" w:line="115" w:lineRule="exact"/>
        <w:rPr>
          <w:sz w:val="20"/>
          <w:szCs w:val="20"/>
          <w:color w:val="auto"/>
        </w:rPr>
      </w:pPr>
    </w:p>
    <w:p>
      <w:pPr>
        <w:jc w:val="both"/>
        <w:ind w:left="160" w:firstLine="318"/>
        <w:spacing w:after="0" w:line="259" w:lineRule="auto"/>
        <w:rPr>
          <w:sz w:val="20"/>
          <w:szCs w:val="20"/>
          <w:color w:val="auto"/>
        </w:rPr>
      </w:pPr>
      <w:r>
        <w:rPr>
          <w:rFonts w:ascii="Times New Roman" w:cs="Times New Roman" w:eastAsia="Times New Roman" w:hAnsi="Times New Roman"/>
          <w:sz w:val="18"/>
          <w:szCs w:val="18"/>
          <w:color w:val="auto"/>
        </w:rPr>
        <w:t>Certain quantitative information about the significant unobservable inputs used in the fair value measurement, and the sensitivity of the estimated fair value to changes in those inputs, for the more significant asset and liability classes measured at fair value on a recurring basis using significant unobservable inputs (Level 3) were as follows at:</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4"/>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March 31, 2026</w:t>
            </w:r>
          </w:p>
        </w:tc>
        <w:tc>
          <w:tcPr>
            <w:tcW w:w="1800" w:type="dxa"/>
            <w:vAlign w:val="bottom"/>
            <w:gridSpan w:val="3"/>
          </w:tcPr>
          <w:p>
            <w:pPr>
              <w:jc w:val="center"/>
              <w:spacing w:after="0"/>
              <w:rPr>
                <w:sz w:val="20"/>
                <w:szCs w:val="20"/>
                <w:color w:val="auto"/>
              </w:rPr>
            </w:pPr>
            <w:r>
              <w:rPr>
                <w:rFonts w:ascii="Times New Roman" w:cs="Times New Roman" w:eastAsia="Times New Roman" w:hAnsi="Times New Roman"/>
                <w:sz w:val="12"/>
                <w:szCs w:val="12"/>
                <w:b w:val="1"/>
                <w:bCs w:val="1"/>
                <w:color w:val="auto"/>
              </w:rPr>
              <w:t>December 31, 2025</w:t>
            </w:r>
          </w:p>
        </w:tc>
        <w:tc>
          <w:tcPr>
            <w:tcW w:w="120" w:type="dxa"/>
            <w:vAlign w:val="bottom"/>
          </w:tcPr>
          <w:p>
            <w:pPr>
              <w:spacing w:after="0"/>
              <w:rPr>
                <w:sz w:val="14"/>
                <w:szCs w:val="14"/>
                <w:color w:val="auto"/>
              </w:rPr>
            </w:pPr>
          </w:p>
        </w:tc>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rPr>
              <w:t>Impact of</w:t>
            </w:r>
          </w:p>
        </w:tc>
        <w:tc>
          <w:tcPr>
            <w:tcW w:w="0" w:type="dxa"/>
            <w:vAlign w:val="bottom"/>
          </w:tcPr>
          <w:p>
            <w:pPr>
              <w:spacing w:after="0"/>
              <w:rPr>
                <w:sz w:val="1"/>
                <w:szCs w:val="1"/>
                <w:color w:val="auto"/>
              </w:rPr>
            </w:pPr>
          </w:p>
        </w:tc>
      </w:tr>
      <w:tr>
        <w:trPr>
          <w:trHeight w:val="30"/>
        </w:trPr>
        <w:tc>
          <w:tcPr>
            <w:tcW w:w="2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53"/>
        </w:trPr>
        <w:tc>
          <w:tcPr>
            <w:tcW w:w="2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48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48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6"/>
        </w:trPr>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Increase in Input on</w:t>
            </w:r>
          </w:p>
        </w:tc>
        <w:tc>
          <w:tcPr>
            <w:tcW w:w="0" w:type="dxa"/>
            <w:vAlign w:val="bottom"/>
          </w:tcPr>
          <w:p>
            <w:pPr>
              <w:spacing w:after="0"/>
              <w:rPr>
                <w:sz w:val="1"/>
                <w:szCs w:val="1"/>
                <w:color w:val="auto"/>
              </w:rPr>
            </w:pPr>
          </w:p>
        </w:tc>
      </w:tr>
      <w:tr>
        <w:trPr>
          <w:trHeight w:val="175"/>
        </w:trPr>
        <w:tc>
          <w:tcPr>
            <w:tcW w:w="2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Valuation Techniques</w:t>
            </w:r>
          </w:p>
        </w:tc>
        <w:tc>
          <w:tcPr>
            <w:tcW w:w="1860" w:type="dxa"/>
            <w:vAlign w:val="bottom"/>
            <w:gridSpan w:val="3"/>
          </w:tcPr>
          <w:p>
            <w:pPr>
              <w:ind w:left="20"/>
              <w:spacing w:after="0"/>
              <w:rPr>
                <w:sz w:val="20"/>
                <w:szCs w:val="20"/>
                <w:color w:val="auto"/>
              </w:rPr>
            </w:pPr>
            <w:r>
              <w:rPr>
                <w:rFonts w:ascii="Times New Roman" w:cs="Times New Roman" w:eastAsia="Times New Roman" w:hAnsi="Times New Roman"/>
                <w:sz w:val="12"/>
                <w:szCs w:val="12"/>
                <w:b w:val="1"/>
                <w:bCs w:val="1"/>
                <w:color w:val="auto"/>
              </w:rPr>
              <w:t>Significant Unobservable Inputs</w:t>
            </w:r>
          </w:p>
        </w:tc>
        <w:tc>
          <w:tcPr>
            <w:tcW w:w="660" w:type="dxa"/>
            <w:vAlign w:val="bottom"/>
          </w:tcPr>
          <w:p>
            <w:pPr>
              <w:spacing w:after="0"/>
              <w:rPr>
                <w:sz w:val="15"/>
                <w:szCs w:val="15"/>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Range</w:t>
            </w: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Range</w:t>
            </w: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Estimated Fair Value</w:t>
            </w:r>
          </w:p>
        </w:tc>
        <w:tc>
          <w:tcPr>
            <w:tcW w:w="0" w:type="dxa"/>
            <w:vAlign w:val="bottom"/>
          </w:tcPr>
          <w:p>
            <w:pPr>
              <w:spacing w:after="0"/>
              <w:rPr>
                <w:sz w:val="1"/>
                <w:szCs w:val="1"/>
                <w:color w:val="auto"/>
              </w:rPr>
            </w:pPr>
          </w:p>
        </w:tc>
      </w:tr>
      <w:tr>
        <w:trPr>
          <w:trHeight w:val="30"/>
        </w:trPr>
        <w:tc>
          <w:tcPr>
            <w:tcW w:w="25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71"/>
        </w:trPr>
        <w:tc>
          <w:tcPr>
            <w:tcW w:w="2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Market Risk Benefits</w:t>
            </w:r>
          </w:p>
        </w:tc>
        <w:tc>
          <w:tcPr>
            <w:tcW w:w="12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6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42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402"/>
        </w:trPr>
        <w:tc>
          <w:tcPr>
            <w:tcW w:w="25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Variable annuity guaranteed minimum benefits</w:t>
            </w:r>
          </w:p>
        </w:tc>
        <w:tc>
          <w:tcPr>
            <w:tcW w:w="1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48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auto"/>
              </w:rPr>
              <w:t>Discounted cash flows</w:t>
            </w:r>
          </w:p>
        </w:tc>
        <w:tc>
          <w:tcPr>
            <w:tcW w:w="1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7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Mortality rates</w:t>
            </w:r>
          </w:p>
        </w:tc>
        <w:tc>
          <w:tcPr>
            <w:tcW w:w="660" w:type="dxa"/>
            <w:vAlign w:val="bottom"/>
          </w:tcPr>
          <w:p>
            <w:pPr>
              <w:jc w:val="center"/>
              <w:ind w:left="118"/>
              <w:spacing w:after="0"/>
              <w:rPr>
                <w:sz w:val="20"/>
                <w:szCs w:val="20"/>
                <w:color w:val="auto"/>
              </w:rPr>
            </w:pPr>
            <w:r>
              <w:rPr>
                <w:rFonts w:ascii="Times New Roman" w:cs="Times New Roman" w:eastAsia="Times New Roman" w:hAnsi="Times New Roman"/>
                <w:sz w:val="12"/>
                <w:szCs w:val="12"/>
                <w:color w:val="auto"/>
              </w:rPr>
              <w:t>0.04%</w:t>
            </w:r>
          </w:p>
        </w:tc>
        <w:tc>
          <w:tcPr>
            <w:tcW w:w="4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w:t>
            </w:r>
          </w:p>
        </w:tc>
        <w:tc>
          <w:tcPr>
            <w:tcW w:w="660" w:type="dxa"/>
            <w:vAlign w:val="bottom"/>
          </w:tcPr>
          <w:p>
            <w:pPr>
              <w:jc w:val="center"/>
              <w:ind w:right="98"/>
              <w:spacing w:after="0"/>
              <w:rPr>
                <w:sz w:val="20"/>
                <w:szCs w:val="20"/>
                <w:color w:val="auto"/>
              </w:rPr>
            </w:pPr>
            <w:r>
              <w:rPr>
                <w:rFonts w:ascii="Times New Roman" w:cs="Times New Roman" w:eastAsia="Times New Roman" w:hAnsi="Times New Roman"/>
                <w:sz w:val="12"/>
                <w:szCs w:val="12"/>
                <w:color w:val="auto"/>
              </w:rPr>
              <w:t>12.90%</w:t>
            </w:r>
          </w:p>
        </w:tc>
        <w:tc>
          <w:tcPr>
            <w:tcW w:w="100" w:type="dxa"/>
            <w:vAlign w:val="bottom"/>
          </w:tcPr>
          <w:p>
            <w:pPr>
              <w:spacing w:after="0"/>
              <w:rPr>
                <w:sz w:val="24"/>
                <w:szCs w:val="24"/>
                <w:color w:val="auto"/>
              </w:rPr>
            </w:pPr>
          </w:p>
        </w:tc>
        <w:tc>
          <w:tcPr>
            <w:tcW w:w="660" w:type="dxa"/>
            <w:vAlign w:val="bottom"/>
          </w:tcPr>
          <w:p>
            <w:pPr>
              <w:jc w:val="center"/>
              <w:ind w:left="78"/>
              <w:spacing w:after="0"/>
              <w:rPr>
                <w:sz w:val="20"/>
                <w:szCs w:val="20"/>
                <w:color w:val="auto"/>
              </w:rPr>
            </w:pPr>
            <w:r>
              <w:rPr>
                <w:rFonts w:ascii="Times New Roman" w:cs="Times New Roman" w:eastAsia="Times New Roman" w:hAnsi="Times New Roman"/>
                <w:sz w:val="12"/>
                <w:szCs w:val="12"/>
                <w:color w:val="auto"/>
              </w:rPr>
              <w:t>0.04%</w:t>
            </w:r>
          </w:p>
        </w:tc>
        <w:tc>
          <w:tcPr>
            <w:tcW w:w="4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w:t>
            </w:r>
          </w:p>
        </w:tc>
        <w:tc>
          <w:tcPr>
            <w:tcW w:w="660" w:type="dxa"/>
            <w:vAlign w:val="bottom"/>
          </w:tcPr>
          <w:p>
            <w:pPr>
              <w:jc w:val="center"/>
              <w:ind w:right="98"/>
              <w:spacing w:after="0"/>
              <w:rPr>
                <w:sz w:val="20"/>
                <w:szCs w:val="20"/>
                <w:color w:val="auto"/>
              </w:rPr>
            </w:pPr>
            <w:r>
              <w:rPr>
                <w:rFonts w:ascii="Times New Roman" w:cs="Times New Roman" w:eastAsia="Times New Roman" w:hAnsi="Times New Roman"/>
                <w:sz w:val="12"/>
                <w:szCs w:val="12"/>
                <w:color w:val="auto"/>
              </w:rPr>
              <w:t>12.90%</w:t>
            </w:r>
          </w:p>
        </w:tc>
        <w:tc>
          <w:tcPr>
            <w:tcW w:w="12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Decrease (1)</w:t>
            </w:r>
          </w:p>
        </w:tc>
        <w:tc>
          <w:tcPr>
            <w:tcW w:w="0" w:type="dxa"/>
            <w:vAlign w:val="bottom"/>
          </w:tcPr>
          <w:p>
            <w:pPr>
              <w:spacing w:after="0"/>
              <w:rPr>
                <w:sz w:val="1"/>
                <w:szCs w:val="1"/>
                <w:color w:val="auto"/>
              </w:rPr>
            </w:pPr>
          </w:p>
        </w:tc>
      </w:tr>
      <w:tr>
        <w:trPr>
          <w:trHeight w:val="419"/>
        </w:trPr>
        <w:tc>
          <w:tcPr>
            <w:tcW w:w="2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7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Lapse rates</w:t>
            </w:r>
          </w:p>
        </w:tc>
        <w:tc>
          <w:tcPr>
            <w:tcW w:w="660" w:type="dxa"/>
            <w:vAlign w:val="bottom"/>
            <w:shd w:val="clear" w:color="auto" w:fill="CCEEFF"/>
          </w:tcPr>
          <w:p>
            <w:pPr>
              <w:jc w:val="center"/>
              <w:ind w:left="118"/>
              <w:spacing w:after="0"/>
              <w:rPr>
                <w:sz w:val="20"/>
                <w:szCs w:val="20"/>
                <w:color w:val="auto"/>
              </w:rPr>
            </w:pPr>
            <w:r>
              <w:rPr>
                <w:rFonts w:ascii="Times New Roman" w:cs="Times New Roman" w:eastAsia="Times New Roman" w:hAnsi="Times New Roman"/>
                <w:sz w:val="12"/>
                <w:szCs w:val="12"/>
                <w:color w:val="auto"/>
              </w:rPr>
              <w:t>1.00%</w:t>
            </w: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8"/>
              </w:rPr>
              <w:t>-</w:t>
            </w:r>
          </w:p>
        </w:tc>
        <w:tc>
          <w:tcPr>
            <w:tcW w:w="660" w:type="dxa"/>
            <w:vAlign w:val="bottom"/>
            <w:shd w:val="clear" w:color="auto" w:fill="CCEEFF"/>
          </w:tcPr>
          <w:p>
            <w:pPr>
              <w:jc w:val="center"/>
              <w:ind w:right="98"/>
              <w:spacing w:after="0"/>
              <w:rPr>
                <w:sz w:val="20"/>
                <w:szCs w:val="20"/>
                <w:color w:val="auto"/>
              </w:rPr>
            </w:pPr>
            <w:r>
              <w:rPr>
                <w:rFonts w:ascii="Times New Roman" w:cs="Times New Roman" w:eastAsia="Times New Roman" w:hAnsi="Times New Roman"/>
                <w:sz w:val="12"/>
                <w:szCs w:val="12"/>
                <w:color w:val="auto"/>
              </w:rPr>
              <w:t>15.90%</w:t>
            </w: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jc w:val="center"/>
              <w:ind w:left="78"/>
              <w:spacing w:after="0"/>
              <w:rPr>
                <w:sz w:val="20"/>
                <w:szCs w:val="20"/>
                <w:color w:val="auto"/>
              </w:rPr>
            </w:pPr>
            <w:r>
              <w:rPr>
                <w:rFonts w:ascii="Times New Roman" w:cs="Times New Roman" w:eastAsia="Times New Roman" w:hAnsi="Times New Roman"/>
                <w:sz w:val="12"/>
                <w:szCs w:val="12"/>
                <w:color w:val="auto"/>
              </w:rPr>
              <w:t>1.00%</w:t>
            </w: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8"/>
              </w:rPr>
              <w:t>-</w:t>
            </w:r>
          </w:p>
        </w:tc>
        <w:tc>
          <w:tcPr>
            <w:tcW w:w="660" w:type="dxa"/>
            <w:vAlign w:val="bottom"/>
            <w:shd w:val="clear" w:color="auto" w:fill="CCEEFF"/>
          </w:tcPr>
          <w:p>
            <w:pPr>
              <w:jc w:val="center"/>
              <w:ind w:right="98"/>
              <w:spacing w:after="0"/>
              <w:rPr>
                <w:sz w:val="20"/>
                <w:szCs w:val="20"/>
                <w:color w:val="auto"/>
              </w:rPr>
            </w:pPr>
            <w:r>
              <w:rPr>
                <w:rFonts w:ascii="Times New Roman" w:cs="Times New Roman" w:eastAsia="Times New Roman" w:hAnsi="Times New Roman"/>
                <w:sz w:val="12"/>
                <w:szCs w:val="12"/>
                <w:color w:val="auto"/>
              </w:rPr>
              <w:t>15.90%</w:t>
            </w:r>
          </w:p>
        </w:tc>
        <w:tc>
          <w:tcPr>
            <w:tcW w:w="120" w:type="dxa"/>
            <w:vAlign w:val="bottom"/>
            <w:shd w:val="clear" w:color="auto" w:fill="CCEEFF"/>
          </w:tcPr>
          <w:p>
            <w:pPr>
              <w:spacing w:after="0"/>
              <w:rPr>
                <w:sz w:val="24"/>
                <w:szCs w:val="24"/>
                <w:color w:val="auto"/>
              </w:rPr>
            </w:pP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Decrease (2)</w:t>
            </w:r>
          </w:p>
        </w:tc>
        <w:tc>
          <w:tcPr>
            <w:tcW w:w="0" w:type="dxa"/>
            <w:vAlign w:val="bottom"/>
          </w:tcPr>
          <w:p>
            <w:pPr>
              <w:spacing w:after="0"/>
              <w:rPr>
                <w:sz w:val="1"/>
                <w:szCs w:val="1"/>
                <w:color w:val="auto"/>
              </w:rPr>
            </w:pPr>
          </w:p>
        </w:tc>
      </w:tr>
      <w:tr>
        <w:trPr>
          <w:trHeight w:val="402"/>
        </w:trPr>
        <w:tc>
          <w:tcPr>
            <w:tcW w:w="2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7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Utilization rates</w:t>
            </w:r>
          </w:p>
        </w:tc>
        <w:tc>
          <w:tcPr>
            <w:tcW w:w="660" w:type="dxa"/>
            <w:vAlign w:val="bottom"/>
          </w:tcPr>
          <w:p>
            <w:pPr>
              <w:jc w:val="center"/>
              <w:ind w:left="118"/>
              <w:spacing w:after="0"/>
              <w:rPr>
                <w:sz w:val="20"/>
                <w:szCs w:val="20"/>
                <w:color w:val="auto"/>
              </w:rPr>
            </w:pPr>
            <w:r>
              <w:rPr>
                <w:rFonts w:ascii="Times New Roman" w:cs="Times New Roman" w:eastAsia="Times New Roman" w:hAnsi="Times New Roman"/>
                <w:sz w:val="12"/>
                <w:szCs w:val="12"/>
                <w:color w:val="auto"/>
              </w:rPr>
              <w:t>0.00%</w:t>
            </w:r>
          </w:p>
        </w:tc>
        <w:tc>
          <w:tcPr>
            <w:tcW w:w="4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w:t>
            </w:r>
          </w:p>
        </w:tc>
        <w:tc>
          <w:tcPr>
            <w:tcW w:w="660" w:type="dxa"/>
            <w:vAlign w:val="bottom"/>
          </w:tcPr>
          <w:p>
            <w:pPr>
              <w:jc w:val="center"/>
              <w:ind w:right="98"/>
              <w:spacing w:after="0"/>
              <w:rPr>
                <w:sz w:val="20"/>
                <w:szCs w:val="20"/>
                <w:color w:val="auto"/>
              </w:rPr>
            </w:pPr>
            <w:r>
              <w:rPr>
                <w:rFonts w:ascii="Times New Roman" w:cs="Times New Roman" w:eastAsia="Times New Roman" w:hAnsi="Times New Roman"/>
                <w:sz w:val="12"/>
                <w:szCs w:val="12"/>
                <w:color w:val="auto"/>
              </w:rPr>
              <w:t>25.00%</w:t>
            </w:r>
          </w:p>
        </w:tc>
        <w:tc>
          <w:tcPr>
            <w:tcW w:w="100" w:type="dxa"/>
            <w:vAlign w:val="bottom"/>
          </w:tcPr>
          <w:p>
            <w:pPr>
              <w:spacing w:after="0"/>
              <w:rPr>
                <w:sz w:val="24"/>
                <w:szCs w:val="24"/>
                <w:color w:val="auto"/>
              </w:rPr>
            </w:pPr>
          </w:p>
        </w:tc>
        <w:tc>
          <w:tcPr>
            <w:tcW w:w="660" w:type="dxa"/>
            <w:vAlign w:val="bottom"/>
          </w:tcPr>
          <w:p>
            <w:pPr>
              <w:jc w:val="center"/>
              <w:ind w:left="78"/>
              <w:spacing w:after="0"/>
              <w:rPr>
                <w:sz w:val="20"/>
                <w:szCs w:val="20"/>
                <w:color w:val="auto"/>
              </w:rPr>
            </w:pPr>
            <w:r>
              <w:rPr>
                <w:rFonts w:ascii="Times New Roman" w:cs="Times New Roman" w:eastAsia="Times New Roman" w:hAnsi="Times New Roman"/>
                <w:sz w:val="12"/>
                <w:szCs w:val="12"/>
                <w:color w:val="auto"/>
              </w:rPr>
              <w:t>0.00%</w:t>
            </w:r>
          </w:p>
        </w:tc>
        <w:tc>
          <w:tcPr>
            <w:tcW w:w="4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w:t>
            </w:r>
          </w:p>
        </w:tc>
        <w:tc>
          <w:tcPr>
            <w:tcW w:w="660" w:type="dxa"/>
            <w:vAlign w:val="bottom"/>
          </w:tcPr>
          <w:p>
            <w:pPr>
              <w:jc w:val="center"/>
              <w:ind w:right="98"/>
              <w:spacing w:after="0"/>
              <w:rPr>
                <w:sz w:val="20"/>
                <w:szCs w:val="20"/>
                <w:color w:val="auto"/>
              </w:rPr>
            </w:pPr>
            <w:r>
              <w:rPr>
                <w:rFonts w:ascii="Times New Roman" w:cs="Times New Roman" w:eastAsia="Times New Roman" w:hAnsi="Times New Roman"/>
                <w:sz w:val="12"/>
                <w:szCs w:val="12"/>
                <w:color w:val="auto"/>
              </w:rPr>
              <w:t>25.00%</w:t>
            </w:r>
          </w:p>
        </w:tc>
        <w:tc>
          <w:tcPr>
            <w:tcW w:w="12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Increase (3)</w:t>
            </w:r>
          </w:p>
        </w:tc>
        <w:tc>
          <w:tcPr>
            <w:tcW w:w="0" w:type="dxa"/>
            <w:vAlign w:val="bottom"/>
          </w:tcPr>
          <w:p>
            <w:pPr>
              <w:spacing w:after="0"/>
              <w:rPr>
                <w:sz w:val="1"/>
                <w:szCs w:val="1"/>
                <w:color w:val="auto"/>
              </w:rPr>
            </w:pPr>
          </w:p>
        </w:tc>
      </w:tr>
      <w:tr>
        <w:trPr>
          <w:trHeight w:val="419"/>
        </w:trPr>
        <w:tc>
          <w:tcPr>
            <w:tcW w:w="2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7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Withdrawal rates</w:t>
            </w:r>
          </w:p>
        </w:tc>
        <w:tc>
          <w:tcPr>
            <w:tcW w:w="660" w:type="dxa"/>
            <w:vAlign w:val="bottom"/>
            <w:shd w:val="clear" w:color="auto" w:fill="CCEEFF"/>
          </w:tcPr>
          <w:p>
            <w:pPr>
              <w:jc w:val="center"/>
              <w:ind w:left="118"/>
              <w:spacing w:after="0"/>
              <w:rPr>
                <w:sz w:val="20"/>
                <w:szCs w:val="20"/>
                <w:color w:val="auto"/>
              </w:rPr>
            </w:pPr>
            <w:r>
              <w:rPr>
                <w:rFonts w:ascii="Times New Roman" w:cs="Times New Roman" w:eastAsia="Times New Roman" w:hAnsi="Times New Roman"/>
                <w:sz w:val="12"/>
                <w:szCs w:val="12"/>
                <w:color w:val="auto"/>
              </w:rPr>
              <w:t>0.00%</w:t>
            </w: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8"/>
              </w:rPr>
              <w:t>-</w:t>
            </w:r>
          </w:p>
        </w:tc>
        <w:tc>
          <w:tcPr>
            <w:tcW w:w="660" w:type="dxa"/>
            <w:vAlign w:val="bottom"/>
            <w:shd w:val="clear" w:color="auto" w:fill="CCEEFF"/>
          </w:tcPr>
          <w:p>
            <w:pPr>
              <w:jc w:val="center"/>
              <w:ind w:right="98"/>
              <w:spacing w:after="0"/>
              <w:rPr>
                <w:sz w:val="20"/>
                <w:szCs w:val="20"/>
                <w:color w:val="auto"/>
              </w:rPr>
            </w:pPr>
            <w:r>
              <w:rPr>
                <w:rFonts w:ascii="Times New Roman" w:cs="Times New Roman" w:eastAsia="Times New Roman" w:hAnsi="Times New Roman"/>
                <w:sz w:val="12"/>
                <w:szCs w:val="12"/>
                <w:color w:val="auto"/>
              </w:rPr>
              <w:t>10.00%</w:t>
            </w: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jc w:val="center"/>
              <w:ind w:left="78"/>
              <w:spacing w:after="0"/>
              <w:rPr>
                <w:sz w:val="20"/>
                <w:szCs w:val="20"/>
                <w:color w:val="auto"/>
              </w:rPr>
            </w:pPr>
            <w:r>
              <w:rPr>
                <w:rFonts w:ascii="Times New Roman" w:cs="Times New Roman" w:eastAsia="Times New Roman" w:hAnsi="Times New Roman"/>
                <w:sz w:val="12"/>
                <w:szCs w:val="12"/>
                <w:color w:val="auto"/>
              </w:rPr>
              <w:t>0.00%</w:t>
            </w: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8"/>
              </w:rPr>
              <w:t>-</w:t>
            </w:r>
          </w:p>
        </w:tc>
        <w:tc>
          <w:tcPr>
            <w:tcW w:w="660" w:type="dxa"/>
            <w:vAlign w:val="bottom"/>
            <w:shd w:val="clear" w:color="auto" w:fill="CCEEFF"/>
          </w:tcPr>
          <w:p>
            <w:pPr>
              <w:jc w:val="center"/>
              <w:ind w:right="98"/>
              <w:spacing w:after="0"/>
              <w:rPr>
                <w:sz w:val="20"/>
                <w:szCs w:val="20"/>
                <w:color w:val="auto"/>
              </w:rPr>
            </w:pPr>
            <w:r>
              <w:rPr>
                <w:rFonts w:ascii="Times New Roman" w:cs="Times New Roman" w:eastAsia="Times New Roman" w:hAnsi="Times New Roman"/>
                <w:sz w:val="12"/>
                <w:szCs w:val="12"/>
                <w:color w:val="auto"/>
              </w:rPr>
              <w:t>10.00%</w:t>
            </w:r>
          </w:p>
        </w:tc>
        <w:tc>
          <w:tcPr>
            <w:tcW w:w="1540" w:type="dxa"/>
            <w:vAlign w:val="bottom"/>
            <w:gridSpan w:val="2"/>
            <w:shd w:val="clear" w:color="auto" w:fill="CCEEFF"/>
          </w:tcPr>
          <w:p>
            <w:pPr>
              <w:jc w:val="center"/>
              <w:ind w:left="58"/>
              <w:spacing w:after="0"/>
              <w:rPr>
                <w:sz w:val="20"/>
                <w:szCs w:val="20"/>
                <w:color w:val="auto"/>
              </w:rPr>
            </w:pPr>
            <w:r>
              <w:rPr>
                <w:rFonts w:ascii="Times New Roman" w:cs="Times New Roman" w:eastAsia="Times New Roman" w:hAnsi="Times New Roman"/>
                <w:sz w:val="12"/>
                <w:szCs w:val="12"/>
                <w:color w:val="auto"/>
                <w:w w:val="99"/>
              </w:rPr>
              <w:t>(4)</w:t>
            </w:r>
          </w:p>
        </w:tc>
        <w:tc>
          <w:tcPr>
            <w:tcW w:w="0" w:type="dxa"/>
            <w:vAlign w:val="bottom"/>
          </w:tcPr>
          <w:p>
            <w:pPr>
              <w:spacing w:after="0"/>
              <w:rPr>
                <w:sz w:val="1"/>
                <w:szCs w:val="1"/>
                <w:color w:val="auto"/>
              </w:rPr>
            </w:pPr>
          </w:p>
        </w:tc>
      </w:tr>
      <w:tr>
        <w:trPr>
          <w:trHeight w:val="160"/>
        </w:trPr>
        <w:tc>
          <w:tcPr>
            <w:tcW w:w="2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Long-term equity volatilities</w:t>
            </w:r>
          </w:p>
        </w:tc>
        <w:tc>
          <w:tcPr>
            <w:tcW w:w="6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2"/>
        </w:trPr>
        <w:tc>
          <w:tcPr>
            <w:tcW w:w="2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jc w:val="center"/>
              <w:ind w:left="98"/>
              <w:spacing w:after="0"/>
              <w:rPr>
                <w:sz w:val="20"/>
                <w:szCs w:val="20"/>
                <w:color w:val="auto"/>
              </w:rPr>
            </w:pPr>
            <w:r>
              <w:rPr>
                <w:rFonts w:ascii="Times New Roman" w:cs="Times New Roman" w:eastAsia="Times New Roman" w:hAnsi="Times New Roman"/>
                <w:sz w:val="12"/>
                <w:szCs w:val="12"/>
                <w:color w:val="auto"/>
              </w:rPr>
              <w:t>11.82%</w:t>
            </w:r>
          </w:p>
        </w:tc>
        <w:tc>
          <w:tcPr>
            <w:tcW w:w="4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w:t>
            </w:r>
          </w:p>
        </w:tc>
        <w:tc>
          <w:tcPr>
            <w:tcW w:w="660" w:type="dxa"/>
            <w:vAlign w:val="bottom"/>
          </w:tcPr>
          <w:p>
            <w:pPr>
              <w:jc w:val="center"/>
              <w:ind w:right="98"/>
              <w:spacing w:after="0"/>
              <w:rPr>
                <w:sz w:val="20"/>
                <w:szCs w:val="20"/>
                <w:color w:val="auto"/>
              </w:rPr>
            </w:pPr>
            <w:r>
              <w:rPr>
                <w:rFonts w:ascii="Times New Roman" w:cs="Times New Roman" w:eastAsia="Times New Roman" w:hAnsi="Times New Roman"/>
                <w:sz w:val="12"/>
                <w:szCs w:val="12"/>
                <w:color w:val="auto"/>
              </w:rPr>
              <w:t>29.80%</w:t>
            </w:r>
          </w:p>
        </w:tc>
        <w:tc>
          <w:tcPr>
            <w:tcW w:w="100" w:type="dxa"/>
            <w:vAlign w:val="bottom"/>
          </w:tcPr>
          <w:p>
            <w:pPr>
              <w:spacing w:after="0"/>
              <w:rPr>
                <w:sz w:val="21"/>
                <w:szCs w:val="21"/>
                <w:color w:val="auto"/>
              </w:rPr>
            </w:pPr>
          </w:p>
        </w:tc>
        <w:tc>
          <w:tcPr>
            <w:tcW w:w="660" w:type="dxa"/>
            <w:vAlign w:val="bottom"/>
          </w:tcPr>
          <w:p>
            <w:pPr>
              <w:jc w:val="center"/>
              <w:ind w:left="98"/>
              <w:spacing w:after="0"/>
              <w:rPr>
                <w:sz w:val="20"/>
                <w:szCs w:val="20"/>
                <w:color w:val="auto"/>
              </w:rPr>
            </w:pPr>
            <w:r>
              <w:rPr>
                <w:rFonts w:ascii="Times New Roman" w:cs="Times New Roman" w:eastAsia="Times New Roman" w:hAnsi="Times New Roman"/>
                <w:sz w:val="12"/>
                <w:szCs w:val="12"/>
                <w:color w:val="auto"/>
              </w:rPr>
              <w:t>11.56%</w:t>
            </w:r>
          </w:p>
        </w:tc>
        <w:tc>
          <w:tcPr>
            <w:tcW w:w="4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w:t>
            </w:r>
          </w:p>
        </w:tc>
        <w:tc>
          <w:tcPr>
            <w:tcW w:w="660" w:type="dxa"/>
            <w:vAlign w:val="bottom"/>
          </w:tcPr>
          <w:p>
            <w:pPr>
              <w:jc w:val="center"/>
              <w:ind w:right="98"/>
              <w:spacing w:after="0"/>
              <w:rPr>
                <w:sz w:val="20"/>
                <w:szCs w:val="20"/>
                <w:color w:val="auto"/>
              </w:rPr>
            </w:pPr>
            <w:r>
              <w:rPr>
                <w:rFonts w:ascii="Times New Roman" w:cs="Times New Roman" w:eastAsia="Times New Roman" w:hAnsi="Times New Roman"/>
                <w:sz w:val="12"/>
                <w:szCs w:val="12"/>
                <w:color w:val="auto"/>
              </w:rPr>
              <w:t>33.62%</w:t>
            </w:r>
          </w:p>
        </w:tc>
        <w:tc>
          <w:tcPr>
            <w:tcW w:w="120" w:type="dxa"/>
            <w:vAlign w:val="bottom"/>
          </w:tcPr>
          <w:p>
            <w:pPr>
              <w:spacing w:after="0"/>
              <w:rPr>
                <w:sz w:val="21"/>
                <w:szCs w:val="21"/>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Increase (5)</w:t>
            </w:r>
          </w:p>
        </w:tc>
        <w:tc>
          <w:tcPr>
            <w:tcW w:w="0" w:type="dxa"/>
            <w:vAlign w:val="bottom"/>
          </w:tcPr>
          <w:p>
            <w:pPr>
              <w:spacing w:after="0"/>
              <w:rPr>
                <w:sz w:val="1"/>
                <w:szCs w:val="1"/>
                <w:color w:val="auto"/>
              </w:rPr>
            </w:pPr>
          </w:p>
        </w:tc>
      </w:tr>
      <w:tr>
        <w:trPr>
          <w:trHeight w:val="169"/>
        </w:trPr>
        <w:tc>
          <w:tcPr>
            <w:tcW w:w="2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7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Nonperformance risk spread</w:t>
            </w:r>
          </w:p>
        </w:tc>
        <w:tc>
          <w:tcPr>
            <w:tcW w:w="6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51"/>
        </w:trPr>
        <w:tc>
          <w:tcPr>
            <w:tcW w:w="25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6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60" w:type="dxa"/>
            <w:vAlign w:val="bottom"/>
            <w:shd w:val="clear" w:color="auto" w:fill="CCEEFF"/>
          </w:tcPr>
          <w:p>
            <w:pPr>
              <w:jc w:val="center"/>
              <w:ind w:left="118"/>
              <w:spacing w:after="0"/>
              <w:rPr>
                <w:sz w:val="20"/>
                <w:szCs w:val="20"/>
                <w:color w:val="auto"/>
              </w:rPr>
            </w:pPr>
            <w:r>
              <w:rPr>
                <w:rFonts w:ascii="Times New Roman" w:cs="Times New Roman" w:eastAsia="Times New Roman" w:hAnsi="Times New Roman"/>
                <w:sz w:val="12"/>
                <w:szCs w:val="12"/>
                <w:color w:val="auto"/>
              </w:rPr>
              <w:t>0.64%</w:t>
            </w: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8"/>
              </w:rPr>
              <w:t>-</w:t>
            </w:r>
          </w:p>
        </w:tc>
        <w:tc>
          <w:tcPr>
            <w:tcW w:w="660" w:type="dxa"/>
            <w:vAlign w:val="bottom"/>
            <w:shd w:val="clear" w:color="auto" w:fill="CCEEFF"/>
          </w:tcPr>
          <w:p>
            <w:pPr>
              <w:jc w:val="center"/>
              <w:ind w:right="78"/>
              <w:spacing w:after="0"/>
              <w:rPr>
                <w:sz w:val="20"/>
                <w:szCs w:val="20"/>
                <w:color w:val="auto"/>
              </w:rPr>
            </w:pPr>
            <w:r>
              <w:rPr>
                <w:rFonts w:ascii="Times New Roman" w:cs="Times New Roman" w:eastAsia="Times New Roman" w:hAnsi="Times New Roman"/>
                <w:sz w:val="12"/>
                <w:szCs w:val="12"/>
                <w:color w:val="auto"/>
              </w:rPr>
              <w:t>1.43%</w:t>
            </w:r>
          </w:p>
        </w:tc>
        <w:tc>
          <w:tcPr>
            <w:tcW w:w="100" w:type="dxa"/>
            <w:vAlign w:val="bottom"/>
            <w:shd w:val="clear" w:color="auto" w:fill="CCEEFF"/>
          </w:tcPr>
          <w:p>
            <w:pPr>
              <w:spacing w:after="0"/>
              <w:rPr>
                <w:sz w:val="21"/>
                <w:szCs w:val="21"/>
                <w:color w:val="auto"/>
              </w:rPr>
            </w:pPr>
          </w:p>
        </w:tc>
        <w:tc>
          <w:tcPr>
            <w:tcW w:w="660" w:type="dxa"/>
            <w:vAlign w:val="bottom"/>
            <w:shd w:val="clear" w:color="auto" w:fill="CCEEFF"/>
          </w:tcPr>
          <w:p>
            <w:pPr>
              <w:jc w:val="center"/>
              <w:ind w:left="78"/>
              <w:spacing w:after="0"/>
              <w:rPr>
                <w:sz w:val="20"/>
                <w:szCs w:val="20"/>
                <w:color w:val="auto"/>
              </w:rPr>
            </w:pPr>
            <w:r>
              <w:rPr>
                <w:rFonts w:ascii="Times New Roman" w:cs="Times New Roman" w:eastAsia="Times New Roman" w:hAnsi="Times New Roman"/>
                <w:sz w:val="12"/>
                <w:szCs w:val="12"/>
                <w:color w:val="auto"/>
              </w:rPr>
              <w:t>0.45%</w:t>
            </w: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8"/>
              </w:rPr>
              <w:t>-</w:t>
            </w:r>
          </w:p>
        </w:tc>
        <w:tc>
          <w:tcPr>
            <w:tcW w:w="660" w:type="dxa"/>
            <w:vAlign w:val="bottom"/>
            <w:shd w:val="clear" w:color="auto" w:fill="CCEEFF"/>
          </w:tcPr>
          <w:p>
            <w:pPr>
              <w:jc w:val="center"/>
              <w:ind w:right="78"/>
              <w:spacing w:after="0"/>
              <w:rPr>
                <w:sz w:val="20"/>
                <w:szCs w:val="20"/>
                <w:color w:val="auto"/>
              </w:rPr>
            </w:pPr>
            <w:r>
              <w:rPr>
                <w:rFonts w:ascii="Times New Roman" w:cs="Times New Roman" w:eastAsia="Times New Roman" w:hAnsi="Times New Roman"/>
                <w:sz w:val="12"/>
                <w:szCs w:val="12"/>
                <w:color w:val="auto"/>
              </w:rPr>
              <w:t>1.02%</w:t>
            </w:r>
          </w:p>
        </w:tc>
        <w:tc>
          <w:tcPr>
            <w:tcW w:w="120" w:type="dxa"/>
            <w:vAlign w:val="bottom"/>
            <w:shd w:val="clear" w:color="auto" w:fill="CCEEFF"/>
          </w:tcPr>
          <w:p>
            <w:pPr>
              <w:spacing w:after="0"/>
              <w:rPr>
                <w:sz w:val="21"/>
                <w:szCs w:val="21"/>
                <w:color w:val="auto"/>
              </w:rPr>
            </w:pP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Decrease (6)</w:t>
            </w:r>
          </w:p>
        </w:tc>
        <w:tc>
          <w:tcPr>
            <w:tcW w:w="0" w:type="dxa"/>
            <w:vAlign w:val="bottom"/>
          </w:tcPr>
          <w:p>
            <w:pPr>
              <w:spacing w:after="0"/>
              <w:rPr>
                <w:sz w:val="1"/>
                <w:szCs w:val="1"/>
                <w:color w:val="auto"/>
              </w:rPr>
            </w:pPr>
          </w:p>
        </w:tc>
      </w:tr>
      <w:tr>
        <w:trPr>
          <w:trHeight w:val="380"/>
        </w:trPr>
        <w:tc>
          <w:tcPr>
            <w:tcW w:w="254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Embedded Derivatives</w:t>
            </w: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4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4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Option pricing</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5"/>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Registered index-linked annuity crediting rates</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4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techniques</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7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Mortality rates</w:t>
            </w:r>
          </w:p>
        </w:tc>
        <w:tc>
          <w:tcPr>
            <w:tcW w:w="660" w:type="dxa"/>
            <w:vAlign w:val="bottom"/>
            <w:shd w:val="clear" w:color="auto" w:fill="CCEEFF"/>
          </w:tcPr>
          <w:p>
            <w:pPr>
              <w:jc w:val="center"/>
              <w:ind w:left="118"/>
              <w:spacing w:after="0"/>
              <w:rPr>
                <w:sz w:val="20"/>
                <w:szCs w:val="20"/>
                <w:color w:val="auto"/>
              </w:rPr>
            </w:pPr>
            <w:r>
              <w:rPr>
                <w:rFonts w:ascii="Times New Roman" w:cs="Times New Roman" w:eastAsia="Times New Roman" w:hAnsi="Times New Roman"/>
                <w:sz w:val="12"/>
                <w:szCs w:val="12"/>
                <w:color w:val="auto"/>
              </w:rPr>
              <w:t>0.03%</w:t>
            </w: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8"/>
              </w:rPr>
              <w:t>-</w:t>
            </w:r>
          </w:p>
        </w:tc>
        <w:tc>
          <w:tcPr>
            <w:tcW w:w="660" w:type="dxa"/>
            <w:vAlign w:val="bottom"/>
            <w:shd w:val="clear" w:color="auto" w:fill="CCEEFF"/>
          </w:tcPr>
          <w:p>
            <w:pPr>
              <w:jc w:val="center"/>
              <w:ind w:right="78"/>
              <w:spacing w:after="0"/>
              <w:rPr>
                <w:sz w:val="20"/>
                <w:szCs w:val="20"/>
                <w:color w:val="auto"/>
              </w:rPr>
            </w:pPr>
            <w:r>
              <w:rPr>
                <w:rFonts w:ascii="Times New Roman" w:cs="Times New Roman" w:eastAsia="Times New Roman" w:hAnsi="Times New Roman"/>
                <w:sz w:val="12"/>
                <w:szCs w:val="12"/>
                <w:color w:val="auto"/>
              </w:rPr>
              <w:t>7.86%</w:t>
            </w: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jc w:val="center"/>
              <w:ind w:left="78"/>
              <w:spacing w:after="0"/>
              <w:rPr>
                <w:sz w:val="20"/>
                <w:szCs w:val="20"/>
                <w:color w:val="auto"/>
              </w:rPr>
            </w:pPr>
            <w:r>
              <w:rPr>
                <w:rFonts w:ascii="Times New Roman" w:cs="Times New Roman" w:eastAsia="Times New Roman" w:hAnsi="Times New Roman"/>
                <w:sz w:val="12"/>
                <w:szCs w:val="12"/>
                <w:color w:val="auto"/>
              </w:rPr>
              <w:t>0.03%</w:t>
            </w: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8"/>
              </w:rPr>
              <w:t>-</w:t>
            </w:r>
          </w:p>
        </w:tc>
        <w:tc>
          <w:tcPr>
            <w:tcW w:w="660" w:type="dxa"/>
            <w:vAlign w:val="bottom"/>
            <w:shd w:val="clear" w:color="auto" w:fill="CCEEFF"/>
          </w:tcPr>
          <w:p>
            <w:pPr>
              <w:jc w:val="center"/>
              <w:ind w:right="78"/>
              <w:spacing w:after="0"/>
              <w:rPr>
                <w:sz w:val="20"/>
                <w:szCs w:val="20"/>
                <w:color w:val="auto"/>
              </w:rPr>
            </w:pPr>
            <w:r>
              <w:rPr>
                <w:rFonts w:ascii="Times New Roman" w:cs="Times New Roman" w:eastAsia="Times New Roman" w:hAnsi="Times New Roman"/>
                <w:sz w:val="12"/>
                <w:szCs w:val="12"/>
                <w:color w:val="auto"/>
              </w:rPr>
              <w:t>7.86%</w:t>
            </w:r>
          </w:p>
        </w:tc>
        <w:tc>
          <w:tcPr>
            <w:tcW w:w="120" w:type="dxa"/>
            <w:vAlign w:val="bottom"/>
            <w:shd w:val="clear" w:color="auto" w:fill="CCEEFF"/>
          </w:tcPr>
          <w:p>
            <w:pPr>
              <w:spacing w:after="0"/>
              <w:rPr>
                <w:sz w:val="16"/>
                <w:szCs w:val="16"/>
                <w:color w:val="auto"/>
              </w:rPr>
            </w:pP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Decrease (1)</w:t>
            </w:r>
          </w:p>
        </w:tc>
        <w:tc>
          <w:tcPr>
            <w:tcW w:w="0" w:type="dxa"/>
            <w:vAlign w:val="bottom"/>
          </w:tcPr>
          <w:p>
            <w:pPr>
              <w:spacing w:after="0"/>
              <w:rPr>
                <w:sz w:val="1"/>
                <w:szCs w:val="1"/>
                <w:color w:val="auto"/>
              </w:rPr>
            </w:pPr>
          </w:p>
        </w:tc>
      </w:tr>
      <w:tr>
        <w:trPr>
          <w:trHeight w:val="160"/>
        </w:trPr>
        <w:tc>
          <w:tcPr>
            <w:tcW w:w="2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2"/>
        </w:trPr>
        <w:tc>
          <w:tcPr>
            <w:tcW w:w="2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Lapse rates</w:t>
            </w:r>
          </w:p>
        </w:tc>
        <w:tc>
          <w:tcPr>
            <w:tcW w:w="660" w:type="dxa"/>
            <w:vAlign w:val="bottom"/>
          </w:tcPr>
          <w:p>
            <w:pPr>
              <w:jc w:val="center"/>
              <w:ind w:left="118"/>
              <w:spacing w:after="0"/>
              <w:rPr>
                <w:sz w:val="20"/>
                <w:szCs w:val="20"/>
                <w:color w:val="auto"/>
              </w:rPr>
            </w:pPr>
            <w:r>
              <w:rPr>
                <w:rFonts w:ascii="Times New Roman" w:cs="Times New Roman" w:eastAsia="Times New Roman" w:hAnsi="Times New Roman"/>
                <w:sz w:val="12"/>
                <w:szCs w:val="12"/>
                <w:color w:val="auto"/>
              </w:rPr>
              <w:t>0.40%</w:t>
            </w:r>
          </w:p>
        </w:tc>
        <w:tc>
          <w:tcPr>
            <w:tcW w:w="4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w:t>
            </w:r>
          </w:p>
        </w:tc>
        <w:tc>
          <w:tcPr>
            <w:tcW w:w="660" w:type="dxa"/>
            <w:vAlign w:val="bottom"/>
          </w:tcPr>
          <w:p>
            <w:pPr>
              <w:jc w:val="center"/>
              <w:ind w:right="98"/>
              <w:spacing w:after="0"/>
              <w:rPr>
                <w:sz w:val="20"/>
                <w:szCs w:val="20"/>
                <w:color w:val="auto"/>
              </w:rPr>
            </w:pPr>
            <w:r>
              <w:rPr>
                <w:rFonts w:ascii="Times New Roman" w:cs="Times New Roman" w:eastAsia="Times New Roman" w:hAnsi="Times New Roman"/>
                <w:sz w:val="12"/>
                <w:szCs w:val="12"/>
                <w:color w:val="auto"/>
              </w:rPr>
              <w:t>75.00%</w:t>
            </w:r>
          </w:p>
        </w:tc>
        <w:tc>
          <w:tcPr>
            <w:tcW w:w="100" w:type="dxa"/>
            <w:vAlign w:val="bottom"/>
          </w:tcPr>
          <w:p>
            <w:pPr>
              <w:spacing w:after="0"/>
              <w:rPr>
                <w:sz w:val="21"/>
                <w:szCs w:val="21"/>
                <w:color w:val="auto"/>
              </w:rPr>
            </w:pPr>
          </w:p>
        </w:tc>
        <w:tc>
          <w:tcPr>
            <w:tcW w:w="660" w:type="dxa"/>
            <w:vAlign w:val="bottom"/>
          </w:tcPr>
          <w:p>
            <w:pPr>
              <w:jc w:val="center"/>
              <w:ind w:left="78"/>
              <w:spacing w:after="0"/>
              <w:rPr>
                <w:sz w:val="20"/>
                <w:szCs w:val="20"/>
                <w:color w:val="auto"/>
              </w:rPr>
            </w:pPr>
            <w:r>
              <w:rPr>
                <w:rFonts w:ascii="Times New Roman" w:cs="Times New Roman" w:eastAsia="Times New Roman" w:hAnsi="Times New Roman"/>
                <w:sz w:val="12"/>
                <w:szCs w:val="12"/>
                <w:color w:val="auto"/>
              </w:rPr>
              <w:t>0.40%</w:t>
            </w:r>
          </w:p>
        </w:tc>
        <w:tc>
          <w:tcPr>
            <w:tcW w:w="4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w:t>
            </w:r>
          </w:p>
        </w:tc>
        <w:tc>
          <w:tcPr>
            <w:tcW w:w="660" w:type="dxa"/>
            <w:vAlign w:val="bottom"/>
          </w:tcPr>
          <w:p>
            <w:pPr>
              <w:jc w:val="center"/>
              <w:ind w:right="98"/>
              <w:spacing w:after="0"/>
              <w:rPr>
                <w:sz w:val="20"/>
                <w:szCs w:val="20"/>
                <w:color w:val="auto"/>
              </w:rPr>
            </w:pPr>
            <w:r>
              <w:rPr>
                <w:rFonts w:ascii="Times New Roman" w:cs="Times New Roman" w:eastAsia="Times New Roman" w:hAnsi="Times New Roman"/>
                <w:sz w:val="12"/>
                <w:szCs w:val="12"/>
                <w:color w:val="auto"/>
              </w:rPr>
              <w:t>75.00%</w:t>
            </w:r>
          </w:p>
        </w:tc>
        <w:tc>
          <w:tcPr>
            <w:tcW w:w="120" w:type="dxa"/>
            <w:vAlign w:val="bottom"/>
          </w:tcPr>
          <w:p>
            <w:pPr>
              <w:spacing w:after="0"/>
              <w:rPr>
                <w:sz w:val="21"/>
                <w:szCs w:val="21"/>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Decrease (2)</w:t>
            </w:r>
          </w:p>
        </w:tc>
        <w:tc>
          <w:tcPr>
            <w:tcW w:w="0" w:type="dxa"/>
            <w:vAlign w:val="bottom"/>
          </w:tcPr>
          <w:p>
            <w:pPr>
              <w:spacing w:after="0"/>
              <w:rPr>
                <w:sz w:val="1"/>
                <w:szCs w:val="1"/>
                <w:color w:val="auto"/>
              </w:rPr>
            </w:pPr>
          </w:p>
        </w:tc>
      </w:tr>
      <w:tr>
        <w:trPr>
          <w:trHeight w:val="169"/>
        </w:trPr>
        <w:tc>
          <w:tcPr>
            <w:tcW w:w="2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7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Withdrawal rates</w:t>
            </w:r>
          </w:p>
        </w:tc>
        <w:tc>
          <w:tcPr>
            <w:tcW w:w="6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51"/>
        </w:trPr>
        <w:tc>
          <w:tcPr>
            <w:tcW w:w="25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60" w:type="dxa"/>
            <w:vAlign w:val="bottom"/>
            <w:shd w:val="clear" w:color="auto" w:fill="CCEEFF"/>
          </w:tcPr>
          <w:p>
            <w:pPr>
              <w:jc w:val="center"/>
              <w:ind w:left="118"/>
              <w:spacing w:after="0"/>
              <w:rPr>
                <w:sz w:val="20"/>
                <w:szCs w:val="20"/>
                <w:color w:val="auto"/>
              </w:rPr>
            </w:pPr>
            <w:r>
              <w:rPr>
                <w:rFonts w:ascii="Times New Roman" w:cs="Times New Roman" w:eastAsia="Times New Roman" w:hAnsi="Times New Roman"/>
                <w:sz w:val="12"/>
                <w:szCs w:val="12"/>
                <w:color w:val="auto"/>
              </w:rPr>
              <w:t>0.50%</w:t>
            </w: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8"/>
              </w:rPr>
              <w:t>-</w:t>
            </w:r>
          </w:p>
        </w:tc>
        <w:tc>
          <w:tcPr>
            <w:tcW w:w="660" w:type="dxa"/>
            <w:vAlign w:val="bottom"/>
            <w:shd w:val="clear" w:color="auto" w:fill="CCEEFF"/>
          </w:tcPr>
          <w:p>
            <w:pPr>
              <w:jc w:val="center"/>
              <w:ind w:right="98"/>
              <w:spacing w:after="0"/>
              <w:rPr>
                <w:sz w:val="20"/>
                <w:szCs w:val="20"/>
                <w:color w:val="auto"/>
              </w:rPr>
            </w:pPr>
            <w:r>
              <w:rPr>
                <w:rFonts w:ascii="Times New Roman" w:cs="Times New Roman" w:eastAsia="Times New Roman" w:hAnsi="Times New Roman"/>
                <w:sz w:val="12"/>
                <w:szCs w:val="12"/>
                <w:color w:val="auto"/>
              </w:rPr>
              <w:t>14.90%</w:t>
            </w:r>
          </w:p>
        </w:tc>
        <w:tc>
          <w:tcPr>
            <w:tcW w:w="100" w:type="dxa"/>
            <w:vAlign w:val="bottom"/>
            <w:shd w:val="clear" w:color="auto" w:fill="CCEEFF"/>
          </w:tcPr>
          <w:p>
            <w:pPr>
              <w:spacing w:after="0"/>
              <w:rPr>
                <w:sz w:val="21"/>
                <w:szCs w:val="21"/>
                <w:color w:val="auto"/>
              </w:rPr>
            </w:pPr>
          </w:p>
        </w:tc>
        <w:tc>
          <w:tcPr>
            <w:tcW w:w="660" w:type="dxa"/>
            <w:vAlign w:val="bottom"/>
            <w:shd w:val="clear" w:color="auto" w:fill="CCEEFF"/>
          </w:tcPr>
          <w:p>
            <w:pPr>
              <w:jc w:val="center"/>
              <w:ind w:left="78"/>
              <w:spacing w:after="0"/>
              <w:rPr>
                <w:sz w:val="20"/>
                <w:szCs w:val="20"/>
                <w:color w:val="auto"/>
              </w:rPr>
            </w:pPr>
            <w:r>
              <w:rPr>
                <w:rFonts w:ascii="Times New Roman" w:cs="Times New Roman" w:eastAsia="Times New Roman" w:hAnsi="Times New Roman"/>
                <w:sz w:val="12"/>
                <w:szCs w:val="12"/>
                <w:color w:val="auto"/>
              </w:rPr>
              <w:t>0.50%</w:t>
            </w: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8"/>
              </w:rPr>
              <w:t>-</w:t>
            </w:r>
          </w:p>
        </w:tc>
        <w:tc>
          <w:tcPr>
            <w:tcW w:w="660" w:type="dxa"/>
            <w:vAlign w:val="bottom"/>
            <w:shd w:val="clear" w:color="auto" w:fill="CCEEFF"/>
          </w:tcPr>
          <w:p>
            <w:pPr>
              <w:jc w:val="center"/>
              <w:ind w:right="98"/>
              <w:spacing w:after="0"/>
              <w:rPr>
                <w:sz w:val="20"/>
                <w:szCs w:val="20"/>
                <w:color w:val="auto"/>
              </w:rPr>
            </w:pPr>
            <w:r>
              <w:rPr>
                <w:rFonts w:ascii="Times New Roman" w:cs="Times New Roman" w:eastAsia="Times New Roman" w:hAnsi="Times New Roman"/>
                <w:sz w:val="12"/>
                <w:szCs w:val="12"/>
                <w:color w:val="auto"/>
              </w:rPr>
              <w:t>14.90%</w:t>
            </w:r>
          </w:p>
        </w:tc>
        <w:tc>
          <w:tcPr>
            <w:tcW w:w="1540" w:type="dxa"/>
            <w:vAlign w:val="bottom"/>
            <w:gridSpan w:val="2"/>
            <w:shd w:val="clear" w:color="auto" w:fill="CCEEFF"/>
          </w:tcPr>
          <w:p>
            <w:pPr>
              <w:jc w:val="center"/>
              <w:ind w:left="58"/>
              <w:spacing w:after="0"/>
              <w:rPr>
                <w:sz w:val="20"/>
                <w:szCs w:val="20"/>
                <w:color w:val="auto"/>
              </w:rPr>
            </w:pPr>
            <w:r>
              <w:rPr>
                <w:rFonts w:ascii="Times New Roman" w:cs="Times New Roman" w:eastAsia="Times New Roman" w:hAnsi="Times New Roman"/>
                <w:sz w:val="12"/>
                <w:szCs w:val="12"/>
                <w:color w:val="auto"/>
                <w:w w:val="99"/>
              </w:rPr>
              <w:t>(4)</w:t>
            </w:r>
          </w:p>
        </w:tc>
        <w:tc>
          <w:tcPr>
            <w:tcW w:w="0" w:type="dxa"/>
            <w:vAlign w:val="bottom"/>
          </w:tcPr>
          <w:p>
            <w:pPr>
              <w:spacing w:after="0"/>
              <w:rPr>
                <w:sz w:val="1"/>
                <w:szCs w:val="1"/>
                <w:color w:val="auto"/>
              </w:rPr>
            </w:pPr>
          </w:p>
        </w:tc>
      </w:tr>
      <w:tr>
        <w:trPr>
          <w:trHeight w:val="160"/>
        </w:trPr>
        <w:tc>
          <w:tcPr>
            <w:tcW w:w="2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7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Nonperformance risk spread</w:t>
            </w:r>
          </w:p>
        </w:tc>
        <w:tc>
          <w:tcPr>
            <w:tcW w:w="6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2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center"/>
              <w:ind w:left="118"/>
              <w:spacing w:after="0"/>
              <w:rPr>
                <w:sz w:val="20"/>
                <w:szCs w:val="20"/>
                <w:color w:val="auto"/>
              </w:rPr>
            </w:pPr>
            <w:r>
              <w:rPr>
                <w:rFonts w:ascii="Times New Roman" w:cs="Times New Roman" w:eastAsia="Times New Roman" w:hAnsi="Times New Roman"/>
                <w:sz w:val="12"/>
                <w:szCs w:val="12"/>
                <w:color w:val="auto"/>
              </w:rPr>
              <w:t>0.70%</w:t>
            </w:r>
          </w:p>
        </w:tc>
        <w:tc>
          <w:tcPr>
            <w:tcW w:w="4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w:t>
            </w:r>
          </w:p>
        </w:tc>
        <w:tc>
          <w:tcPr>
            <w:tcW w:w="660" w:type="dxa"/>
            <w:vAlign w:val="bottom"/>
          </w:tcPr>
          <w:p>
            <w:pPr>
              <w:jc w:val="center"/>
              <w:ind w:right="78"/>
              <w:spacing w:after="0"/>
              <w:rPr>
                <w:sz w:val="20"/>
                <w:szCs w:val="20"/>
                <w:color w:val="auto"/>
              </w:rPr>
            </w:pPr>
            <w:r>
              <w:rPr>
                <w:rFonts w:ascii="Times New Roman" w:cs="Times New Roman" w:eastAsia="Times New Roman" w:hAnsi="Times New Roman"/>
                <w:sz w:val="12"/>
                <w:szCs w:val="12"/>
                <w:color w:val="auto"/>
              </w:rPr>
              <w:t>1.98%</w:t>
            </w:r>
          </w:p>
        </w:tc>
        <w:tc>
          <w:tcPr>
            <w:tcW w:w="100" w:type="dxa"/>
            <w:vAlign w:val="bottom"/>
          </w:tcPr>
          <w:p>
            <w:pPr>
              <w:spacing w:after="0"/>
              <w:rPr>
                <w:sz w:val="20"/>
                <w:szCs w:val="20"/>
                <w:color w:val="auto"/>
              </w:rPr>
            </w:pPr>
          </w:p>
        </w:tc>
        <w:tc>
          <w:tcPr>
            <w:tcW w:w="660" w:type="dxa"/>
            <w:vAlign w:val="bottom"/>
          </w:tcPr>
          <w:p>
            <w:pPr>
              <w:jc w:val="center"/>
              <w:ind w:left="78"/>
              <w:spacing w:after="0"/>
              <w:rPr>
                <w:sz w:val="20"/>
                <w:szCs w:val="20"/>
                <w:color w:val="auto"/>
              </w:rPr>
            </w:pPr>
            <w:r>
              <w:rPr>
                <w:rFonts w:ascii="Times New Roman" w:cs="Times New Roman" w:eastAsia="Times New Roman" w:hAnsi="Times New Roman"/>
                <w:sz w:val="12"/>
                <w:szCs w:val="12"/>
                <w:color w:val="auto"/>
              </w:rPr>
              <w:t>0.37%</w:t>
            </w:r>
          </w:p>
        </w:tc>
        <w:tc>
          <w:tcPr>
            <w:tcW w:w="4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w:t>
            </w:r>
          </w:p>
        </w:tc>
        <w:tc>
          <w:tcPr>
            <w:tcW w:w="660" w:type="dxa"/>
            <w:vAlign w:val="bottom"/>
          </w:tcPr>
          <w:p>
            <w:pPr>
              <w:jc w:val="center"/>
              <w:ind w:right="78"/>
              <w:spacing w:after="0"/>
              <w:rPr>
                <w:sz w:val="20"/>
                <w:szCs w:val="20"/>
                <w:color w:val="auto"/>
              </w:rPr>
            </w:pPr>
            <w:r>
              <w:rPr>
                <w:rFonts w:ascii="Times New Roman" w:cs="Times New Roman" w:eastAsia="Times New Roman" w:hAnsi="Times New Roman"/>
                <w:sz w:val="12"/>
                <w:szCs w:val="12"/>
                <w:color w:val="auto"/>
              </w:rPr>
              <w:t>1.80%</w:t>
            </w:r>
          </w:p>
        </w:tc>
        <w:tc>
          <w:tcPr>
            <w:tcW w:w="120" w:type="dxa"/>
            <w:vAlign w:val="bottom"/>
          </w:tcPr>
          <w:p>
            <w:pPr>
              <w:spacing w:after="0"/>
              <w:rPr>
                <w:sz w:val="20"/>
                <w:szCs w:val="20"/>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Decrease (6)</w:t>
            </w:r>
          </w:p>
        </w:tc>
        <w:tc>
          <w:tcPr>
            <w:tcW w:w="0" w:type="dxa"/>
            <w:vAlign w:val="bottom"/>
          </w:tcPr>
          <w:p>
            <w:pPr>
              <w:spacing w:after="0"/>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w:t>
      </w:r>
    </w:p>
    <w:p>
      <w:pPr>
        <w:spacing w:after="0" w:line="121" w:lineRule="exact"/>
        <w:rPr>
          <w:sz w:val="20"/>
          <w:szCs w:val="20"/>
          <w:color w:val="auto"/>
        </w:rPr>
      </w:pPr>
    </w:p>
    <w:p>
      <w:pPr>
        <w:ind w:left="320" w:hanging="314"/>
        <w:spacing w:after="0" w:line="274" w:lineRule="auto"/>
        <w:tabs>
          <w:tab w:leader="none" w:pos="31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Mortality rates vary by age and by demographic characteristics such as gender. The range shown reflects the mortality rate for policyholders between 35 and 90 years old. Mortality rate assumptions are set based on company experience and include an assumption for mortality improvement.</w:t>
      </w:r>
    </w:p>
    <w:p>
      <w:pPr>
        <w:spacing w:after="0" w:line="57" w:lineRule="exact"/>
        <w:rPr>
          <w:rFonts w:ascii="Times New Roman" w:cs="Times New Roman" w:eastAsia="Times New Roman" w:hAnsi="Times New Roman"/>
          <w:sz w:val="18"/>
          <w:szCs w:val="18"/>
          <w:color w:val="auto"/>
        </w:rPr>
      </w:pPr>
    </w:p>
    <w:p>
      <w:pPr>
        <w:jc w:val="both"/>
        <w:ind w:left="320" w:hanging="314"/>
        <w:spacing w:after="0" w:line="252" w:lineRule="auto"/>
        <w:tabs>
          <w:tab w:leader="none" w:pos="31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lapse rate range reflects base lapse rates for major product categories for duration 1-20. Base lapse rates are adjusted at the contract level based on a comparison of the actuarially calculated guaranteed values and the current policyholder account value, as well as other factors, such as the applicability of any surrender charges. For variable annuity guarantees, a dynamic lapse function reduces the base lapse rate when the guaranteed amount is greater than the account value as in-the-money contracts are less likely to lapse. Lapse rates are also generally assumed to be lower in periods when a surrender charge applies.</w:t>
      </w:r>
    </w:p>
    <w:p>
      <w:pPr>
        <w:spacing w:after="0" w:line="79" w:lineRule="exact"/>
        <w:rPr>
          <w:rFonts w:ascii="Times New Roman" w:cs="Times New Roman" w:eastAsia="Times New Roman" w:hAnsi="Times New Roman"/>
          <w:sz w:val="18"/>
          <w:szCs w:val="18"/>
          <w:color w:val="auto"/>
        </w:rPr>
      </w:pPr>
    </w:p>
    <w:p>
      <w:pPr>
        <w:jc w:val="both"/>
        <w:ind w:left="320" w:hanging="314"/>
        <w:spacing w:after="0" w:line="251" w:lineRule="auto"/>
        <w:tabs>
          <w:tab w:leader="none" w:pos="31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utilization rate assumption for variable annuity guarantees estimates the percentage of contract holders with a guaranteed minimum income benefit (“GMIB”) or lifetime withdrawal benefit who will elect to utilize the benefit upon becoming eligible in a given year. The range shown represents the floor and cap of the GMIB dynamic election rates across varying levels of in-the-money. For lifetime withdrawal guarantee riders, the assumption is that everyone will begin withdrawals once account value reaches zero which is equivalent to a 100% utilization rate. Utilization rates may vary by the type of guarantee, the amount by which the guaranteed amount is greater than the account value, the contract’s withdrawal history and by the age of the policyholder.</w:t>
      </w:r>
    </w:p>
    <w:p>
      <w:pPr>
        <w:spacing w:after="0" w:line="79" w:lineRule="exact"/>
        <w:rPr>
          <w:rFonts w:ascii="Times New Roman" w:cs="Times New Roman" w:eastAsia="Times New Roman" w:hAnsi="Times New Roman"/>
          <w:sz w:val="18"/>
          <w:szCs w:val="18"/>
          <w:color w:val="auto"/>
        </w:rPr>
      </w:pPr>
    </w:p>
    <w:p>
      <w:pPr>
        <w:jc w:val="both"/>
        <w:ind w:left="320" w:hanging="314"/>
        <w:spacing w:after="0" w:line="251" w:lineRule="auto"/>
        <w:tabs>
          <w:tab w:leader="none" w:pos="31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withdrawal rate represents the percentage of account balance that any given policyholder will elect to withdraw from the contract each year. The withdrawal rate assumption varies by age and duration of the contract, and also by other factors such as benefit type. For any given contract, withdrawal rates vary throughout the period over which cash flows are projected for purposes of valuing the embedded derivative. For variable annuity guaranteed minimum withdrawal benefits, any increase (decrease) in withdrawal rates results in an increase (decrease) in the estimated fair value of the guarantees. For variable annuity guaranteed minimum accumulation benefits and GMIBs, any increase (decrease) in withdrawal rates results in a decrease (increase) in the estimated fair value.</w:t>
      </w:r>
    </w:p>
    <w:p>
      <w:pPr>
        <w:spacing w:after="0" w:line="79" w:lineRule="exact"/>
        <w:rPr>
          <w:rFonts w:ascii="Times New Roman" w:cs="Times New Roman" w:eastAsia="Times New Roman" w:hAnsi="Times New Roman"/>
          <w:sz w:val="18"/>
          <w:szCs w:val="18"/>
          <w:color w:val="auto"/>
        </w:rPr>
      </w:pPr>
    </w:p>
    <w:p>
      <w:pPr>
        <w:ind w:left="320" w:hanging="314"/>
        <w:spacing w:after="0" w:line="274" w:lineRule="auto"/>
        <w:tabs>
          <w:tab w:leader="none" w:pos="31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Long-term equity volatilities represent equity volatility beyond the period for which observable equity volatilities are available. For any given contract, long-term equity volatility rates vary throughout the period over which cash flows are projected for purposes of valuing MRBs.</w:t>
      </w:r>
    </w:p>
    <w:p>
      <w:pPr>
        <w:sectPr>
          <w:pgSz w:w="11900" w:h="16838" w:orient="portrait"/>
          <w:cols w:equalWidth="0" w:num="1">
            <w:col w:w="11240"/>
          </w:cols>
          <w:pgMar w:left="320" w:top="283" w:right="339" w:bottom="101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83" w:right="339" w:bottom="1012" w:gutter="0" w:footer="0" w:header="0"/>
          <w:type w:val="continuous"/>
        </w:sectPr>
      </w:pPr>
    </w:p>
    <w:bookmarkStart w:id="56" w:name="page57"/>
    <w:bookmarkEnd w:id="56"/>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Brighthouse Life Insurance Company</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 Indirect Wholly-Owned Subsidiary of Brighthouse Financial, Inc.)</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Fair Value (continued)</w:t>
      </w:r>
    </w:p>
    <w:p>
      <w:pPr>
        <w:spacing w:after="0" w:line="200" w:lineRule="exact"/>
        <w:rPr>
          <w:sz w:val="20"/>
          <w:szCs w:val="20"/>
          <w:color w:val="auto"/>
        </w:rPr>
      </w:pPr>
    </w:p>
    <w:p>
      <w:pPr>
        <w:spacing w:after="0" w:line="311" w:lineRule="exact"/>
        <w:rPr>
          <w:sz w:val="20"/>
          <w:szCs w:val="20"/>
          <w:color w:val="auto"/>
        </w:rPr>
      </w:pPr>
    </w:p>
    <w:p>
      <w:pPr>
        <w:ind w:left="320" w:hanging="314"/>
        <w:spacing w:after="0" w:line="274" w:lineRule="auto"/>
        <w:tabs>
          <w:tab w:leader="none" w:pos="31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Nonperformance risk spread varies by duration. For any given contract, multiple nonperformance risk spreads will apply, depending on the duration of the cash flow being discounted for purposes of valuing the MRB or embedded derivative.</w:t>
      </w:r>
    </w:p>
    <w:p>
      <w:pPr>
        <w:spacing w:after="0" w:line="57" w:lineRule="exact"/>
        <w:rPr>
          <w:sz w:val="20"/>
          <w:szCs w:val="20"/>
          <w:color w:val="auto"/>
        </w:rPr>
      </w:pPr>
    </w:p>
    <w:p>
      <w:pPr>
        <w:jc w:val="both"/>
        <w:ind w:left="160" w:firstLine="318"/>
        <w:spacing w:after="0" w:line="274" w:lineRule="auto"/>
        <w:rPr>
          <w:sz w:val="20"/>
          <w:szCs w:val="20"/>
          <w:color w:val="auto"/>
        </w:rPr>
      </w:pPr>
      <w:r>
        <w:rPr>
          <w:rFonts w:ascii="Times New Roman" w:cs="Times New Roman" w:eastAsia="Times New Roman" w:hAnsi="Times New Roman"/>
          <w:sz w:val="17"/>
          <w:szCs w:val="17"/>
          <w:color w:val="auto"/>
        </w:rPr>
        <w:t>The Company does not develop unobservable inputs used in measuring fair value for all other assets and liabilities classified within Level 3; therefore, these are not included in the table above. The other Level 3 assets and liabilities primarily included fixed maturity securities and derivatives. For fixed maturity securities valued based on non-binding broker quotes, an increase (decrease) in credit spreads would result in a (lower) higher fair value. For derivatives valued based on third-party pricing models, an increase (decrease) in credit spreads would generally result in a (lower) higher fair value.</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57" w:name="page58"/>
    <w:bookmarkEnd w:id="57"/>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Life Insurance Company</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 Indirect Wholly-Owned Subsidiary of Brighthouse Financial, Inc.)</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Fair Value (continued)</w:t>
      </w:r>
    </w:p>
    <w:p>
      <w:pPr>
        <w:spacing w:after="0" w:line="200" w:lineRule="exact"/>
        <w:rPr>
          <w:sz w:val="20"/>
          <w:szCs w:val="20"/>
          <w:color w:val="auto"/>
        </w:rPr>
      </w:pPr>
    </w:p>
    <w:p>
      <w:pPr>
        <w:spacing w:after="0" w:line="311" w:lineRule="exact"/>
        <w:rPr>
          <w:sz w:val="20"/>
          <w:szCs w:val="20"/>
          <w:color w:val="auto"/>
        </w:rPr>
      </w:pPr>
    </w:p>
    <w:p>
      <w:pPr>
        <w:ind w:left="160" w:firstLine="318"/>
        <w:spacing w:after="0" w:line="274" w:lineRule="auto"/>
        <w:rPr>
          <w:sz w:val="20"/>
          <w:szCs w:val="20"/>
          <w:color w:val="auto"/>
        </w:rPr>
      </w:pPr>
      <w:r>
        <w:rPr>
          <w:rFonts w:ascii="Times New Roman" w:cs="Times New Roman" w:eastAsia="Times New Roman" w:hAnsi="Times New Roman"/>
          <w:sz w:val="18"/>
          <w:szCs w:val="18"/>
          <w:color w:val="auto"/>
        </w:rPr>
        <w:t>The changes in assets and (liabilities) measured at estimated fair value on a recurring basis using significant unobservable inputs (excluding MRBs disclosed in Note 4) were summarized as follows:</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560" w:type="dxa"/>
            <w:vAlign w:val="bottom"/>
            <w:gridSpan w:val="11"/>
          </w:tcPr>
          <w:p>
            <w:pPr>
              <w:jc w:val="right"/>
              <w:ind w:right="498"/>
              <w:spacing w:after="0"/>
              <w:rPr>
                <w:sz w:val="20"/>
                <w:szCs w:val="20"/>
                <w:color w:val="auto"/>
              </w:rPr>
            </w:pPr>
            <w:r>
              <w:rPr>
                <w:rFonts w:ascii="Times New Roman" w:cs="Times New Roman" w:eastAsia="Times New Roman" w:hAnsi="Times New Roman"/>
                <w:sz w:val="12"/>
                <w:szCs w:val="12"/>
                <w:b w:val="1"/>
                <w:bCs w:val="1"/>
                <w:color w:val="auto"/>
              </w:rPr>
              <w:t>Fair Value Measurements Using Significant Unobservable Inputs (Level 3)</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30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gridSpan w:val="6"/>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74"/>
        </w:trPr>
        <w:tc>
          <w:tcPr>
            <w:tcW w:w="3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60" w:type="dxa"/>
            <w:vAlign w:val="bottom"/>
            <w:gridSpan w:val="6"/>
          </w:tcPr>
          <w:p>
            <w:pPr>
              <w:jc w:val="right"/>
              <w:spacing w:after="0"/>
              <w:rPr>
                <w:sz w:val="20"/>
                <w:szCs w:val="20"/>
                <w:color w:val="auto"/>
              </w:rPr>
            </w:pPr>
            <w:r>
              <w:rPr>
                <w:rFonts w:ascii="Times New Roman" w:cs="Times New Roman" w:eastAsia="Times New Roman" w:hAnsi="Times New Roman"/>
                <w:sz w:val="12"/>
                <w:szCs w:val="12"/>
                <w:b w:val="1"/>
                <w:bCs w:val="1"/>
                <w:color w:val="auto"/>
              </w:rPr>
              <w:t>Fixed Maturity Securities</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30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rPr>
              <w:t>Embedded Derivatives</w:t>
            </w:r>
          </w:p>
        </w:tc>
        <w:tc>
          <w:tcPr>
            <w:tcW w:w="0" w:type="dxa"/>
            <w:vAlign w:val="bottom"/>
          </w:tcPr>
          <w:p>
            <w:pPr>
              <w:spacing w:after="0"/>
              <w:rPr>
                <w:sz w:val="1"/>
                <w:szCs w:val="1"/>
                <w:color w:val="auto"/>
              </w:rPr>
            </w:pPr>
          </w:p>
        </w:tc>
      </w:tr>
      <w:tr>
        <w:trPr>
          <w:trHeight w:val="344"/>
        </w:trPr>
        <w:tc>
          <w:tcPr>
            <w:tcW w:w="3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3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right"/>
              <w:ind w:right="118"/>
              <w:spacing w:after="0"/>
              <w:rPr>
                <w:sz w:val="20"/>
                <w:szCs w:val="20"/>
                <w:color w:val="auto"/>
              </w:rPr>
            </w:pPr>
            <w:r>
              <w:rPr>
                <w:rFonts w:ascii="Times New Roman" w:cs="Times New Roman" w:eastAsia="Times New Roman" w:hAnsi="Times New Roman"/>
                <w:sz w:val="12"/>
                <w:szCs w:val="12"/>
                <w:b w:val="1"/>
                <w:bCs w:val="1"/>
                <w:color w:val="auto"/>
              </w:rPr>
              <w:t>Structured</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9"/>
              </w:rPr>
              <w:t>Foreign</w:t>
            </w: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Short-term</w:t>
            </w:r>
          </w:p>
        </w:tc>
        <w:tc>
          <w:tcPr>
            <w:tcW w:w="1040" w:type="dxa"/>
            <w:vAlign w:val="bottom"/>
          </w:tcPr>
          <w:p>
            <w:pPr>
              <w:jc w:val="right"/>
              <w:ind w:right="258"/>
              <w:spacing w:after="0"/>
              <w:rPr>
                <w:sz w:val="20"/>
                <w:szCs w:val="20"/>
                <w:color w:val="auto"/>
              </w:rPr>
            </w:pPr>
            <w:r>
              <w:rPr>
                <w:rFonts w:ascii="Times New Roman" w:cs="Times New Roman" w:eastAsia="Times New Roman" w:hAnsi="Times New Roman"/>
                <w:sz w:val="12"/>
                <w:szCs w:val="12"/>
                <w:b w:val="1"/>
                <w:bCs w:val="1"/>
                <w:color w:val="auto"/>
              </w:rPr>
              <w:t>Net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jc w:val="center"/>
              <w:ind w:right="78"/>
              <w:spacing w:after="0"/>
              <w:rPr>
                <w:sz w:val="20"/>
                <w:szCs w:val="20"/>
                <w:color w:val="auto"/>
              </w:rPr>
            </w:pPr>
            <w:r>
              <w:rPr>
                <w:rFonts w:ascii="Times New Roman" w:cs="Times New Roman" w:eastAsia="Times New Roman" w:hAnsi="Times New Roman"/>
                <w:sz w:val="12"/>
                <w:szCs w:val="12"/>
                <w:b w:val="1"/>
                <w:bCs w:val="1"/>
                <w:color w:val="auto"/>
              </w:rPr>
              <w:t>on Index-Linked</w:t>
            </w:r>
          </w:p>
        </w:tc>
        <w:tc>
          <w:tcPr>
            <w:tcW w:w="0" w:type="dxa"/>
            <w:vAlign w:val="bottom"/>
          </w:tcPr>
          <w:p>
            <w:pPr>
              <w:spacing w:after="0"/>
              <w:rPr>
                <w:sz w:val="1"/>
                <w:szCs w:val="1"/>
                <w:color w:val="auto"/>
              </w:rPr>
            </w:pPr>
          </w:p>
        </w:tc>
      </w:tr>
      <w:tr>
        <w:trPr>
          <w:trHeight w:val="199"/>
        </w:trPr>
        <w:tc>
          <w:tcPr>
            <w:tcW w:w="30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Corporate (1)</w:t>
            </w: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12"/>
                <w:szCs w:val="12"/>
                <w:b w:val="1"/>
                <w:bCs w:val="1"/>
                <w:color w:val="auto"/>
              </w:rPr>
              <w:t>Securities</w:t>
            </w: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Government</w:t>
            </w:r>
          </w:p>
        </w:tc>
        <w:tc>
          <w:tcPr>
            <w:tcW w:w="110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2"/>
                <w:szCs w:val="12"/>
                <w:b w:val="1"/>
                <w:bCs w:val="1"/>
                <w:color w:val="auto"/>
              </w:rPr>
              <w:t>Equity Securities</w:t>
            </w:r>
          </w:p>
        </w:tc>
        <w:tc>
          <w:tcPr>
            <w:tcW w:w="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Investments</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Derivatives (2)</w:t>
            </w:r>
          </w:p>
        </w:tc>
        <w:tc>
          <w:tcPr>
            <w:tcW w:w="2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78"/>
              <w:spacing w:after="0"/>
              <w:rPr>
                <w:sz w:val="20"/>
                <w:szCs w:val="20"/>
                <w:color w:val="auto"/>
              </w:rPr>
            </w:pPr>
            <w:r>
              <w:rPr>
                <w:rFonts w:ascii="Times New Roman" w:cs="Times New Roman" w:eastAsia="Times New Roman" w:hAnsi="Times New Roman"/>
                <w:sz w:val="12"/>
                <w:szCs w:val="12"/>
                <w:b w:val="1"/>
                <w:bCs w:val="1"/>
                <w:color w:val="auto"/>
              </w:rPr>
              <w:t>Annuities</w:t>
            </w:r>
          </w:p>
        </w:tc>
        <w:tc>
          <w:tcPr>
            <w:tcW w:w="0" w:type="dxa"/>
            <w:vAlign w:val="bottom"/>
          </w:tcPr>
          <w:p>
            <w:pPr>
              <w:spacing w:after="0"/>
              <w:rPr>
                <w:sz w:val="1"/>
                <w:szCs w:val="1"/>
                <w:color w:val="auto"/>
              </w:rPr>
            </w:pPr>
          </w:p>
        </w:tc>
      </w:tr>
      <w:tr>
        <w:trPr>
          <w:trHeight w:val="380"/>
        </w:trPr>
        <w:tc>
          <w:tcPr>
            <w:tcW w:w="3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gridSpan w:val="3"/>
          </w:tcPr>
          <w:p>
            <w:pPr>
              <w:jc w:val="right"/>
              <w:ind w:right="38"/>
              <w:spacing w:after="0"/>
              <w:rPr>
                <w:sz w:val="20"/>
                <w:szCs w:val="20"/>
                <w:color w:val="auto"/>
              </w:rPr>
            </w:pPr>
            <w:r>
              <w:rPr>
                <w:rFonts w:ascii="Times New Roman" w:cs="Times New Roman" w:eastAsia="Times New Roman" w:hAnsi="Times New Roman"/>
                <w:sz w:val="12"/>
                <w:szCs w:val="12"/>
                <w:b w:val="1"/>
                <w:bCs w:val="1"/>
                <w:color w:val="auto"/>
              </w:rPr>
              <w:t>(In millions)</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3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Three Months Ended March 31, 2026</w:t>
            </w: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402"/>
        </w:trPr>
        <w:tc>
          <w:tcPr>
            <w:tcW w:w="30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Balance, beginning of period</w:t>
            </w: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798</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269</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w:t>
            </w:r>
          </w:p>
        </w:tc>
        <w:tc>
          <w:tcPr>
            <w:tcW w:w="100" w:type="dxa"/>
            <w:vAlign w:val="bottom"/>
          </w:tcPr>
          <w:p>
            <w:pPr>
              <w:spacing w:after="0"/>
              <w:rPr>
                <w:sz w:val="24"/>
                <w:szCs w:val="24"/>
                <w:color w:val="auto"/>
              </w:rPr>
            </w:pPr>
          </w:p>
        </w:tc>
        <w:tc>
          <w:tcPr>
            <w:tcW w:w="32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w:t>
            </w:r>
          </w:p>
        </w:tc>
        <w:tc>
          <w:tcPr>
            <w:tcW w:w="100" w:type="dxa"/>
            <w:vAlign w:val="bottom"/>
          </w:tcPr>
          <w:p>
            <w:pPr>
              <w:spacing w:after="0"/>
              <w:rPr>
                <w:sz w:val="24"/>
                <w:szCs w:val="24"/>
                <w:color w:val="auto"/>
              </w:rPr>
            </w:pPr>
          </w:p>
        </w:tc>
        <w:tc>
          <w:tcPr>
            <w:tcW w:w="1040" w:type="dxa"/>
            <w:vAlign w:val="bottom"/>
          </w:tcPr>
          <w:p>
            <w:pPr>
              <w:jc w:val="right"/>
              <w:ind w:right="858"/>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(12,327)</w:t>
            </w:r>
          </w:p>
        </w:tc>
        <w:tc>
          <w:tcPr>
            <w:tcW w:w="0" w:type="dxa"/>
            <w:vAlign w:val="bottom"/>
          </w:tcPr>
          <w:p>
            <w:pPr>
              <w:spacing w:after="0"/>
              <w:rPr>
                <w:sz w:val="1"/>
                <w:szCs w:val="1"/>
                <w:color w:val="auto"/>
              </w:rPr>
            </w:pPr>
          </w:p>
        </w:tc>
      </w:tr>
      <w:tr>
        <w:trPr>
          <w:trHeight w:val="234"/>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Total realized/unrealized gains (losses) included in net</w:t>
            </w:r>
          </w:p>
        </w:tc>
        <w:tc>
          <w:tcPr>
            <w:tcW w:w="120" w:type="dxa"/>
            <w:vAlign w:val="bottom"/>
            <w:shd w:val="clear" w:color="auto" w:fill="CCEEFF"/>
          </w:tcPr>
          <w:p>
            <w:pPr>
              <w:spacing w:after="0"/>
              <w:rPr>
                <w:sz w:val="20"/>
                <w:szCs w:val="20"/>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shd w:val="clear" w:color="auto" w:fill="CCEEFF"/>
          </w:tcPr>
          <w:p>
            <w:pPr>
              <w:spacing w:after="0"/>
              <w:rPr>
                <w:sz w:val="20"/>
                <w:szCs w:val="20"/>
                <w:color w:val="auto"/>
              </w:rPr>
            </w:pPr>
          </w:p>
        </w:tc>
        <w:tc>
          <w:tcPr>
            <w:tcW w:w="7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20"/>
                <w:szCs w:val="20"/>
                <w:color w:val="auto"/>
              </w:rPr>
            </w:pPr>
          </w:p>
        </w:tc>
        <w:tc>
          <w:tcPr>
            <w:tcW w:w="10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40" w:type="dxa"/>
            <w:vAlign w:val="bottom"/>
            <w:shd w:val="clear" w:color="auto" w:fill="CCEEFF"/>
          </w:tcPr>
          <w:p>
            <w:pPr>
              <w:spacing w:after="0"/>
              <w:rPr>
                <w:sz w:val="20"/>
                <w:szCs w:val="20"/>
                <w:color w:val="auto"/>
              </w:rPr>
            </w:pPr>
          </w:p>
        </w:tc>
        <w:tc>
          <w:tcPr>
            <w:tcW w:w="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812</w:t>
            </w:r>
          </w:p>
        </w:tc>
        <w:tc>
          <w:tcPr>
            <w:tcW w:w="0" w:type="dxa"/>
            <w:vAlign w:val="bottom"/>
          </w:tcPr>
          <w:p>
            <w:pPr>
              <w:spacing w:after="0"/>
              <w:rPr>
                <w:sz w:val="1"/>
                <w:szCs w:val="1"/>
                <w:color w:val="auto"/>
              </w:rPr>
            </w:pPr>
          </w:p>
        </w:tc>
      </w:tr>
      <w:tr>
        <w:trPr>
          <w:trHeight w:val="166"/>
        </w:trPr>
        <w:tc>
          <w:tcPr>
            <w:tcW w:w="3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income (loss) (3) (4)</w:t>
            </w:r>
          </w:p>
        </w:tc>
        <w:tc>
          <w:tcPr>
            <w:tcW w:w="12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gridSpan w:val="2"/>
            <w:vMerge w:val="continue"/>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gridSpan w:val="2"/>
            <w:vMerge w:val="continue"/>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1060" w:type="dxa"/>
            <w:vAlign w:val="bottom"/>
            <w:tcBorders>
              <w:bottom w:val="single" w:sz="8" w:color="CCEEFF"/>
            </w:tcBorders>
            <w:gridSpan w:val="2"/>
            <w:vMerge w:val="continue"/>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100" w:type="dxa"/>
            <w:vAlign w:val="bottom"/>
            <w:tcBorders>
              <w:bottom w:val="single" w:sz="8" w:color="CCEEFF"/>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402"/>
        </w:trPr>
        <w:tc>
          <w:tcPr>
            <w:tcW w:w="30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Total realized/unrealized gains (losses) included in AOCI</w:t>
            </w:r>
          </w:p>
        </w:tc>
        <w:tc>
          <w:tcPr>
            <w:tcW w:w="1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24"/>
                <w:szCs w:val="24"/>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24"/>
                <w:szCs w:val="24"/>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40" w:type="dxa"/>
            <w:vAlign w:val="bottom"/>
          </w:tcPr>
          <w:p>
            <w:pPr>
              <w:spacing w:after="0"/>
              <w:rPr>
                <w:sz w:val="24"/>
                <w:szCs w:val="24"/>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399"/>
        </w:trPr>
        <w:tc>
          <w:tcPr>
            <w:tcW w:w="3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Purchases (5)</w:t>
            </w:r>
          </w:p>
        </w:tc>
        <w:tc>
          <w:tcPr>
            <w:tcW w:w="12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151</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183</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4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380"/>
        </w:trPr>
        <w:tc>
          <w:tcPr>
            <w:tcW w:w="30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Sales (5)</w:t>
            </w:r>
          </w:p>
        </w:tc>
        <w:tc>
          <w:tcPr>
            <w:tcW w:w="1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(62)</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24"/>
                <w:szCs w:val="24"/>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30"/>
        </w:trPr>
        <w:tc>
          <w:tcPr>
            <w:tcW w:w="3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91"/>
        </w:trPr>
        <w:tc>
          <w:tcPr>
            <w:tcW w:w="3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Issuances (5)</w:t>
            </w:r>
          </w:p>
        </w:tc>
        <w:tc>
          <w:tcPr>
            <w:tcW w:w="12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4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380"/>
        </w:trPr>
        <w:tc>
          <w:tcPr>
            <w:tcW w:w="30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Settlements (5)</w:t>
            </w:r>
          </w:p>
        </w:tc>
        <w:tc>
          <w:tcPr>
            <w:tcW w:w="120" w:type="dxa"/>
            <w:vAlign w:val="bottom"/>
          </w:tcPr>
          <w:p>
            <w:pPr>
              <w:spacing w:after="0"/>
              <w:rPr>
                <w:sz w:val="24"/>
                <w:szCs w:val="24"/>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24"/>
                <w:szCs w:val="24"/>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24"/>
                <w:szCs w:val="24"/>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40" w:type="dxa"/>
            <w:vAlign w:val="bottom"/>
          </w:tcPr>
          <w:p>
            <w:pPr>
              <w:spacing w:after="0"/>
              <w:rPr>
                <w:sz w:val="24"/>
                <w:szCs w:val="24"/>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918</w:t>
            </w:r>
          </w:p>
        </w:tc>
        <w:tc>
          <w:tcPr>
            <w:tcW w:w="0" w:type="dxa"/>
            <w:vAlign w:val="bottom"/>
          </w:tcPr>
          <w:p>
            <w:pPr>
              <w:spacing w:after="0"/>
              <w:rPr>
                <w:sz w:val="1"/>
                <w:szCs w:val="1"/>
                <w:color w:val="auto"/>
              </w:rPr>
            </w:pPr>
          </w:p>
        </w:tc>
      </w:tr>
      <w:tr>
        <w:trPr>
          <w:trHeight w:val="30"/>
        </w:trPr>
        <w:tc>
          <w:tcPr>
            <w:tcW w:w="3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91"/>
        </w:trPr>
        <w:tc>
          <w:tcPr>
            <w:tcW w:w="3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Transfers into Level 3 (6)</w:t>
            </w:r>
          </w:p>
        </w:tc>
        <w:tc>
          <w:tcPr>
            <w:tcW w:w="12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4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380"/>
        </w:trPr>
        <w:tc>
          <w:tcPr>
            <w:tcW w:w="30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Transfers out of Level 3 (6)</w:t>
            </w:r>
          </w:p>
        </w:tc>
        <w:tc>
          <w:tcPr>
            <w:tcW w:w="1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24"/>
                <w:szCs w:val="24"/>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24"/>
                <w:szCs w:val="24"/>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40" w:type="dxa"/>
            <w:vAlign w:val="bottom"/>
          </w:tcPr>
          <w:p>
            <w:pPr>
              <w:spacing w:after="0"/>
              <w:rPr>
                <w:sz w:val="24"/>
                <w:szCs w:val="24"/>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30"/>
        </w:trPr>
        <w:tc>
          <w:tcPr>
            <w:tcW w:w="30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22"/>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Balance, end of period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897</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381</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40" w:type="dxa"/>
            <w:vAlign w:val="bottom"/>
            <w:shd w:val="clear" w:color="auto" w:fill="CCEEFF"/>
          </w:tcPr>
          <w:p>
            <w:pPr>
              <w:jc w:val="right"/>
              <w:ind w:right="858"/>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(10,597)</w:t>
            </w:r>
          </w:p>
        </w:tc>
        <w:tc>
          <w:tcPr>
            <w:tcW w:w="0" w:type="dxa"/>
            <w:vAlign w:val="bottom"/>
          </w:tcPr>
          <w:p>
            <w:pPr>
              <w:spacing w:after="0"/>
              <w:rPr>
                <w:sz w:val="1"/>
                <w:szCs w:val="1"/>
                <w:color w:val="auto"/>
              </w:rPr>
            </w:pPr>
          </w:p>
        </w:tc>
      </w:tr>
      <w:tr>
        <w:trPr>
          <w:trHeight w:val="20"/>
        </w:trPr>
        <w:tc>
          <w:tcPr>
            <w:tcW w:w="30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2"/>
                <w:szCs w:val="12"/>
                <w:b w:val="1"/>
                <w:bCs w:val="1"/>
                <w:color w:val="auto"/>
              </w:rPr>
              <w:t>Three Months Ended March 31, 2025</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308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16"/>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Balance, beginning of period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1,092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365</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858"/>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(11,493)</w:t>
            </w:r>
          </w:p>
        </w:tc>
        <w:tc>
          <w:tcPr>
            <w:tcW w:w="0" w:type="dxa"/>
            <w:vAlign w:val="bottom"/>
          </w:tcPr>
          <w:p>
            <w:pPr>
              <w:spacing w:after="0"/>
              <w:rPr>
                <w:sz w:val="1"/>
                <w:szCs w:val="1"/>
                <w:color w:val="auto"/>
              </w:rPr>
            </w:pPr>
          </w:p>
        </w:tc>
      </w:tr>
      <w:tr>
        <w:trPr>
          <w:trHeight w:val="225"/>
        </w:trPr>
        <w:tc>
          <w:tcPr>
            <w:tcW w:w="30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Total realized/unrealized gains (losses) included in net</w:t>
            </w:r>
          </w:p>
        </w:tc>
        <w:tc>
          <w:tcPr>
            <w:tcW w:w="120" w:type="dxa"/>
            <w:vAlign w:val="bottom"/>
          </w:tcPr>
          <w:p>
            <w:pPr>
              <w:spacing w:after="0"/>
              <w:rPr>
                <w:sz w:val="19"/>
                <w:szCs w:val="19"/>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19"/>
                <w:szCs w:val="19"/>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40" w:type="dxa"/>
            <w:vAlign w:val="bottom"/>
          </w:tcPr>
          <w:p>
            <w:pPr>
              <w:spacing w:after="0"/>
              <w:rPr>
                <w:sz w:val="19"/>
                <w:szCs w:val="19"/>
                <w:color w:val="auto"/>
              </w:rPr>
            </w:pPr>
          </w:p>
        </w:tc>
        <w:tc>
          <w:tcPr>
            <w:tcW w:w="3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9"/>
                <w:szCs w:val="19"/>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1,177</w:t>
            </w:r>
          </w:p>
        </w:tc>
        <w:tc>
          <w:tcPr>
            <w:tcW w:w="0" w:type="dxa"/>
            <w:vAlign w:val="bottom"/>
          </w:tcPr>
          <w:p>
            <w:pPr>
              <w:spacing w:after="0"/>
              <w:rPr>
                <w:sz w:val="1"/>
                <w:szCs w:val="1"/>
                <w:color w:val="auto"/>
              </w:rPr>
            </w:pPr>
          </w:p>
        </w:tc>
      </w:tr>
      <w:tr>
        <w:trPr>
          <w:trHeight w:val="160"/>
        </w:trPr>
        <w:tc>
          <w:tcPr>
            <w:tcW w:w="308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income (loss) (3) (4)</w:t>
            </w:r>
          </w:p>
        </w:tc>
        <w:tc>
          <w:tcPr>
            <w:tcW w:w="120" w:type="dxa"/>
            <w:vAlign w:val="bottom"/>
          </w:tcPr>
          <w:p>
            <w:pPr>
              <w:spacing w:after="0"/>
              <w:rPr>
                <w:sz w:val="13"/>
                <w:szCs w:val="13"/>
                <w:color w:val="auto"/>
              </w:rPr>
            </w:pPr>
          </w:p>
        </w:tc>
        <w:tc>
          <w:tcPr>
            <w:tcW w:w="8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gridSpan w:val="2"/>
            <w:vMerge w:val="continue"/>
          </w:tcPr>
          <w:p>
            <w:pPr>
              <w:spacing w:after="0"/>
              <w:rPr>
                <w:sz w:val="13"/>
                <w:szCs w:val="13"/>
                <w:color w:val="auto"/>
              </w:rPr>
            </w:pPr>
          </w:p>
        </w:tc>
        <w:tc>
          <w:tcPr>
            <w:tcW w:w="1040" w:type="dxa"/>
            <w:vAlign w:val="bottom"/>
          </w:tcPr>
          <w:p>
            <w:pPr>
              <w:spacing w:after="0"/>
              <w:rPr>
                <w:sz w:val="13"/>
                <w:szCs w:val="13"/>
                <w:color w:val="auto"/>
              </w:rPr>
            </w:pPr>
          </w:p>
        </w:tc>
        <w:tc>
          <w:tcPr>
            <w:tcW w:w="32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5"/>
        </w:trPr>
        <w:tc>
          <w:tcPr>
            <w:tcW w:w="3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11"/>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Total realized/unrealized gains (losses) included in AOCI</w:t>
            </w: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40" w:type="dxa"/>
            <w:vAlign w:val="bottom"/>
            <w:shd w:val="clear" w:color="auto" w:fill="CCEEFF"/>
          </w:tcPr>
          <w:p>
            <w:pPr>
              <w:spacing w:after="0"/>
              <w:rPr>
                <w:sz w:val="24"/>
                <w:szCs w:val="24"/>
                <w:color w:val="auto"/>
              </w:rPr>
            </w:pP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380"/>
        </w:trPr>
        <w:tc>
          <w:tcPr>
            <w:tcW w:w="30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Purchases (5)</w:t>
            </w:r>
          </w:p>
        </w:tc>
        <w:tc>
          <w:tcPr>
            <w:tcW w:w="1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69</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24"/>
                <w:szCs w:val="24"/>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24"/>
                <w:szCs w:val="24"/>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40" w:type="dxa"/>
            <w:vAlign w:val="bottom"/>
          </w:tcPr>
          <w:p>
            <w:pPr>
              <w:spacing w:after="0"/>
              <w:rPr>
                <w:sz w:val="24"/>
                <w:szCs w:val="24"/>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30"/>
        </w:trPr>
        <w:tc>
          <w:tcPr>
            <w:tcW w:w="3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91"/>
        </w:trPr>
        <w:tc>
          <w:tcPr>
            <w:tcW w:w="3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Sales (5)</w:t>
            </w:r>
          </w:p>
        </w:tc>
        <w:tc>
          <w:tcPr>
            <w:tcW w:w="12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4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380"/>
        </w:trPr>
        <w:tc>
          <w:tcPr>
            <w:tcW w:w="30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Issuances (5)</w:t>
            </w:r>
          </w:p>
        </w:tc>
        <w:tc>
          <w:tcPr>
            <w:tcW w:w="120" w:type="dxa"/>
            <w:vAlign w:val="bottom"/>
          </w:tcPr>
          <w:p>
            <w:pPr>
              <w:spacing w:after="0"/>
              <w:rPr>
                <w:sz w:val="24"/>
                <w:szCs w:val="24"/>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24"/>
                <w:szCs w:val="24"/>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24"/>
                <w:szCs w:val="24"/>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40" w:type="dxa"/>
            <w:vAlign w:val="bottom"/>
          </w:tcPr>
          <w:p>
            <w:pPr>
              <w:spacing w:after="0"/>
              <w:rPr>
                <w:sz w:val="24"/>
                <w:szCs w:val="24"/>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30"/>
        </w:trPr>
        <w:tc>
          <w:tcPr>
            <w:tcW w:w="3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91"/>
        </w:trPr>
        <w:tc>
          <w:tcPr>
            <w:tcW w:w="3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Settlements (5)</w:t>
            </w:r>
          </w:p>
        </w:tc>
        <w:tc>
          <w:tcPr>
            <w:tcW w:w="12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4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391</w:t>
            </w:r>
          </w:p>
        </w:tc>
        <w:tc>
          <w:tcPr>
            <w:tcW w:w="0" w:type="dxa"/>
            <w:vAlign w:val="bottom"/>
          </w:tcPr>
          <w:p>
            <w:pPr>
              <w:spacing w:after="0"/>
              <w:rPr>
                <w:sz w:val="1"/>
                <w:szCs w:val="1"/>
                <w:color w:val="auto"/>
              </w:rPr>
            </w:pPr>
          </w:p>
        </w:tc>
      </w:tr>
      <w:tr>
        <w:trPr>
          <w:trHeight w:val="381"/>
        </w:trPr>
        <w:tc>
          <w:tcPr>
            <w:tcW w:w="30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Transfers into Level 3 (6)</w:t>
            </w:r>
          </w:p>
        </w:tc>
        <w:tc>
          <w:tcPr>
            <w:tcW w:w="1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24"/>
                <w:szCs w:val="24"/>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24"/>
                <w:szCs w:val="24"/>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40" w:type="dxa"/>
            <w:vAlign w:val="bottom"/>
          </w:tcPr>
          <w:p>
            <w:pPr>
              <w:spacing w:after="0"/>
              <w:rPr>
                <w:sz w:val="24"/>
                <w:szCs w:val="24"/>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30"/>
        </w:trPr>
        <w:tc>
          <w:tcPr>
            <w:tcW w:w="3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11"/>
        </w:trPr>
        <w:tc>
          <w:tcPr>
            <w:tcW w:w="3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Transfers out of Level 3 (6)</w:t>
            </w:r>
          </w:p>
        </w:tc>
        <w:tc>
          <w:tcPr>
            <w:tcW w:w="12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(446)</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(61)</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4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402"/>
        </w:trPr>
        <w:tc>
          <w:tcPr>
            <w:tcW w:w="30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Balance, end of period</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666</w:t>
            </w:r>
          </w:p>
        </w:tc>
        <w:tc>
          <w:tcPr>
            <w:tcW w:w="120" w:type="dxa"/>
            <w:vAlign w:val="bottom"/>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340</w:t>
            </w:r>
          </w:p>
        </w:tc>
        <w:tc>
          <w:tcPr>
            <w:tcW w:w="100" w:type="dxa"/>
            <w:vAlign w:val="bottom"/>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22</w:t>
            </w:r>
          </w:p>
        </w:tc>
        <w:tc>
          <w:tcPr>
            <w:tcW w:w="100" w:type="dxa"/>
            <w:vAlign w:val="bottom"/>
          </w:tcPr>
          <w:p>
            <w:pPr>
              <w:spacing w:after="0"/>
              <w:rPr>
                <w:sz w:val="24"/>
                <w:szCs w:val="24"/>
                <w:color w:val="auto"/>
              </w:rPr>
            </w:pPr>
          </w:p>
        </w:tc>
        <w:tc>
          <w:tcPr>
            <w:tcW w:w="32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14</w:t>
            </w:r>
          </w:p>
        </w:tc>
        <w:tc>
          <w:tcPr>
            <w:tcW w:w="120" w:type="dxa"/>
            <w:vAlign w:val="bottom"/>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100" w:type="dxa"/>
            <w:vAlign w:val="bottom"/>
          </w:tcPr>
          <w:p>
            <w:pPr>
              <w:spacing w:after="0"/>
              <w:rPr>
                <w:sz w:val="24"/>
                <w:szCs w:val="24"/>
                <w:color w:val="auto"/>
              </w:rPr>
            </w:pPr>
          </w:p>
        </w:tc>
        <w:tc>
          <w:tcPr>
            <w:tcW w:w="1040" w:type="dxa"/>
            <w:vAlign w:val="bottom"/>
            <w:tcBorders>
              <w:top w:val="single" w:sz="8" w:color="auto"/>
              <w:bottom w:val="single" w:sz="8" w:color="auto"/>
            </w:tcBorders>
          </w:tcPr>
          <w:p>
            <w:pPr>
              <w:jc w:val="right"/>
              <w:ind w:right="858"/>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w:t>
            </w:r>
          </w:p>
        </w:tc>
        <w:tc>
          <w:tcPr>
            <w:tcW w:w="100" w:type="dxa"/>
            <w:vAlign w:val="bottom"/>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(9,925)</w:t>
            </w:r>
          </w:p>
        </w:tc>
        <w:tc>
          <w:tcPr>
            <w:tcW w:w="0" w:type="dxa"/>
            <w:vAlign w:val="bottom"/>
          </w:tcPr>
          <w:p>
            <w:pPr>
              <w:spacing w:after="0"/>
              <w:rPr>
                <w:sz w:val="1"/>
                <w:szCs w:val="1"/>
                <w:color w:val="auto"/>
              </w:rPr>
            </w:pPr>
          </w:p>
        </w:tc>
      </w:tr>
      <w:tr>
        <w:trPr>
          <w:trHeight w:val="20"/>
        </w:trPr>
        <w:tc>
          <w:tcPr>
            <w:tcW w:w="30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3080" w:type="dxa"/>
            <w:vAlign w:val="bottom"/>
            <w:shd w:val="clear" w:color="auto" w:fill="CCEEFF"/>
          </w:tcPr>
          <w:p>
            <w:pPr>
              <w:ind w:left="20"/>
              <w:spacing w:after="0" w:line="128" w:lineRule="exact"/>
              <w:rPr>
                <w:sz w:val="20"/>
                <w:szCs w:val="20"/>
                <w:color w:val="auto"/>
              </w:rPr>
            </w:pPr>
            <w:r>
              <w:rPr>
                <w:rFonts w:ascii="Times New Roman" w:cs="Times New Roman" w:eastAsia="Times New Roman" w:hAnsi="Times New Roman"/>
                <w:sz w:val="12"/>
                <w:szCs w:val="12"/>
                <w:color w:val="auto"/>
              </w:rPr>
              <w:t>Changes in unrealized gains (losses) included in net</w:t>
            </w: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080" w:type="dxa"/>
            <w:vAlign w:val="bottom"/>
            <w:shd w:val="clear" w:color="auto" w:fill="CCEEFF"/>
          </w:tcPr>
          <w:p>
            <w:pPr>
              <w:ind w:left="180"/>
              <w:spacing w:after="0" w:line="128" w:lineRule="exact"/>
              <w:rPr>
                <w:sz w:val="20"/>
                <w:szCs w:val="20"/>
                <w:color w:val="auto"/>
              </w:rPr>
            </w:pPr>
            <w:r>
              <w:rPr>
                <w:rFonts w:ascii="Times New Roman" w:cs="Times New Roman" w:eastAsia="Times New Roman" w:hAnsi="Times New Roman"/>
                <w:sz w:val="12"/>
                <w:szCs w:val="12"/>
                <w:color w:val="auto"/>
              </w:rPr>
              <w:t>income (loss) for the instruments still held at March 31,</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w:t>
            </w:r>
          </w:p>
        </w:tc>
        <w:tc>
          <w:tcPr>
            <w:tcW w:w="120" w:type="dxa"/>
            <w:vAlign w:val="bottom"/>
            <w:shd w:val="clear" w:color="auto" w:fill="CCEEFF"/>
          </w:tcPr>
          <w:p>
            <w:pPr>
              <w:spacing w:after="0"/>
              <w:rPr>
                <w:sz w:val="11"/>
                <w:szCs w:val="11"/>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w:t>
            </w:r>
          </w:p>
        </w:tc>
        <w:tc>
          <w:tcPr>
            <w:tcW w:w="2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40" w:type="dxa"/>
            <w:vAlign w:val="bottom"/>
            <w:vMerge w:val="restart"/>
            <w:shd w:val="clear" w:color="auto" w:fill="CCEEFF"/>
          </w:tcPr>
          <w:p>
            <w:pPr>
              <w:jc w:val="right"/>
              <w:ind w:right="858"/>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00" w:type="dxa"/>
            <w:vAlign w:val="bottom"/>
            <w:shd w:val="clear" w:color="auto" w:fill="CCEEFF"/>
          </w:tcPr>
          <w:p>
            <w:pPr>
              <w:spacing w:after="0"/>
              <w:rPr>
                <w:sz w:val="11"/>
                <w:szCs w:val="11"/>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436</w:t>
            </w:r>
          </w:p>
        </w:tc>
        <w:tc>
          <w:tcPr>
            <w:tcW w:w="0" w:type="dxa"/>
            <w:vAlign w:val="bottom"/>
          </w:tcPr>
          <w:p>
            <w:pPr>
              <w:spacing w:after="0"/>
              <w:rPr>
                <w:sz w:val="1"/>
                <w:szCs w:val="1"/>
                <w:color w:val="auto"/>
              </w:rPr>
            </w:pPr>
          </w:p>
        </w:tc>
      </w:tr>
      <w:tr>
        <w:trPr>
          <w:trHeight w:val="171"/>
        </w:trPr>
        <w:tc>
          <w:tcPr>
            <w:tcW w:w="3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2026 (7)</w:t>
            </w:r>
          </w:p>
        </w:tc>
        <w:tc>
          <w:tcPr>
            <w:tcW w:w="120" w:type="dxa"/>
            <w:vAlign w:val="bottom"/>
            <w:vMerge w:val="continue"/>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240" w:type="dxa"/>
            <w:vAlign w:val="bottom"/>
            <w:gridSpan w:val="2"/>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320" w:type="dxa"/>
            <w:vAlign w:val="bottom"/>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160" w:type="dxa"/>
            <w:vAlign w:val="bottom"/>
            <w:vMerge w:val="continue"/>
            <w:shd w:val="clear" w:color="auto" w:fill="CCEEFF"/>
          </w:tcPr>
          <w:p>
            <w:pPr>
              <w:spacing w:after="0"/>
              <w:rPr>
                <w:sz w:val="14"/>
                <w:szCs w:val="14"/>
                <w:color w:val="auto"/>
              </w:rPr>
            </w:pPr>
          </w:p>
        </w:tc>
        <w:tc>
          <w:tcPr>
            <w:tcW w:w="1060" w:type="dxa"/>
            <w:vAlign w:val="bottom"/>
            <w:gridSpan w:val="2"/>
            <w:vMerge w:val="continue"/>
            <w:shd w:val="clear" w:color="auto" w:fill="CCEEFF"/>
          </w:tcPr>
          <w:p>
            <w:pPr>
              <w:spacing w:after="0"/>
              <w:rPr>
                <w:sz w:val="14"/>
                <w:szCs w:val="14"/>
                <w:color w:val="auto"/>
              </w:rPr>
            </w:pPr>
          </w:p>
        </w:tc>
        <w:tc>
          <w:tcPr>
            <w:tcW w:w="1040" w:type="dxa"/>
            <w:vAlign w:val="bottom"/>
            <w:vMerge w:val="continue"/>
            <w:shd w:val="clear" w:color="auto" w:fill="CCEEFF"/>
          </w:tcPr>
          <w:p>
            <w:pPr>
              <w:spacing w:after="0"/>
              <w:rPr>
                <w:sz w:val="14"/>
                <w:szCs w:val="14"/>
                <w:color w:val="auto"/>
              </w:rPr>
            </w:pPr>
          </w:p>
        </w:tc>
        <w:tc>
          <w:tcPr>
            <w:tcW w:w="2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11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0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2"/>
                <w:szCs w:val="12"/>
                <w:color w:val="auto"/>
              </w:rPr>
              <w:t>Changes in unrealized gains (losses) included in OCI for</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3080" w:type="dxa"/>
            <w:vAlign w:val="bottom"/>
            <w:vMerge w:val="continue"/>
          </w:tcPr>
          <w:p>
            <w:pPr>
              <w:spacing w:after="0"/>
              <w:rPr>
                <w:sz w:val="19"/>
                <w:szCs w:val="19"/>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120" w:type="dxa"/>
            <w:vAlign w:val="bottom"/>
          </w:tcPr>
          <w:p>
            <w:pPr>
              <w:spacing w:after="0"/>
              <w:rPr>
                <w:sz w:val="19"/>
                <w:szCs w:val="19"/>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8</w:t>
            </w:r>
          </w:p>
        </w:tc>
        <w:tc>
          <w:tcPr>
            <w:tcW w:w="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40" w:type="dxa"/>
            <w:vAlign w:val="bottom"/>
            <w:vMerge w:val="restart"/>
          </w:tcPr>
          <w:p>
            <w:pPr>
              <w:jc w:val="right"/>
              <w:ind w:right="858"/>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9"/>
        </w:trPr>
        <w:tc>
          <w:tcPr>
            <w:tcW w:w="308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the instruments still held as of March 31, 2026 (7)</w:t>
            </w:r>
          </w:p>
        </w:tc>
        <w:tc>
          <w:tcPr>
            <w:tcW w:w="120" w:type="dxa"/>
            <w:vAlign w:val="bottom"/>
            <w:vMerge w:val="continue"/>
          </w:tcPr>
          <w:p>
            <w:pPr>
              <w:spacing w:after="0"/>
              <w:rPr>
                <w:sz w:val="13"/>
                <w:szCs w:val="13"/>
                <w:color w:val="auto"/>
              </w:rPr>
            </w:pPr>
          </w:p>
        </w:tc>
        <w:tc>
          <w:tcPr>
            <w:tcW w:w="8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vMerge w:val="continue"/>
          </w:tcPr>
          <w:p>
            <w:pPr>
              <w:spacing w:after="0"/>
              <w:rPr>
                <w:sz w:val="13"/>
                <w:szCs w:val="13"/>
                <w:color w:val="auto"/>
              </w:rPr>
            </w:pPr>
          </w:p>
        </w:tc>
        <w:tc>
          <w:tcPr>
            <w:tcW w:w="780" w:type="dxa"/>
            <w:vAlign w:val="bottom"/>
            <w:vMerge w:val="continue"/>
          </w:tcPr>
          <w:p>
            <w:pPr>
              <w:spacing w:after="0"/>
              <w:rPr>
                <w:sz w:val="13"/>
                <w:szCs w:val="13"/>
                <w:color w:val="auto"/>
              </w:rPr>
            </w:pPr>
          </w:p>
        </w:tc>
        <w:tc>
          <w:tcPr>
            <w:tcW w:w="240" w:type="dxa"/>
            <w:vAlign w:val="bottom"/>
            <w:gridSpan w:val="2"/>
            <w:vMerge w:val="continue"/>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320" w:type="dxa"/>
            <w:vAlign w:val="bottom"/>
            <w:vMerge w:val="continue"/>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1060" w:type="dxa"/>
            <w:vAlign w:val="bottom"/>
            <w:gridSpan w:val="2"/>
            <w:vMerge w:val="continue"/>
          </w:tcPr>
          <w:p>
            <w:pPr>
              <w:spacing w:after="0"/>
              <w:rPr>
                <w:sz w:val="13"/>
                <w:szCs w:val="13"/>
                <w:color w:val="auto"/>
              </w:rPr>
            </w:pPr>
          </w:p>
        </w:tc>
        <w:tc>
          <w:tcPr>
            <w:tcW w:w="1040" w:type="dxa"/>
            <w:vAlign w:val="bottom"/>
            <w:vMerge w:val="continue"/>
          </w:tcPr>
          <w:p>
            <w:pPr>
              <w:spacing w:after="0"/>
              <w:rPr>
                <w:sz w:val="13"/>
                <w:szCs w:val="13"/>
                <w:color w:val="auto"/>
              </w:rPr>
            </w:pPr>
          </w:p>
        </w:tc>
        <w:tc>
          <w:tcPr>
            <w:tcW w:w="320" w:type="dxa"/>
            <w:vAlign w:val="bottom"/>
            <w:gridSpan w:val="2"/>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1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08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3080" w:type="dxa"/>
            <w:vAlign w:val="bottom"/>
            <w:shd w:val="clear" w:color="auto" w:fill="CCEEFF"/>
          </w:tcPr>
          <w:p>
            <w:pPr>
              <w:ind w:left="20"/>
              <w:spacing w:after="0" w:line="126" w:lineRule="exact"/>
              <w:rPr>
                <w:sz w:val="20"/>
                <w:szCs w:val="20"/>
                <w:color w:val="auto"/>
              </w:rPr>
            </w:pPr>
            <w:r>
              <w:rPr>
                <w:rFonts w:ascii="Times New Roman" w:cs="Times New Roman" w:eastAsia="Times New Roman" w:hAnsi="Times New Roman"/>
                <w:sz w:val="12"/>
                <w:szCs w:val="12"/>
                <w:color w:val="auto"/>
              </w:rPr>
              <w:t>Changes in unrealized gains (losses) included in net</w:t>
            </w:r>
          </w:p>
        </w:tc>
        <w:tc>
          <w:tcPr>
            <w:tcW w:w="12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3080" w:type="dxa"/>
            <w:vAlign w:val="bottom"/>
            <w:shd w:val="clear" w:color="auto" w:fill="CCEEFF"/>
          </w:tcPr>
          <w:p>
            <w:pPr>
              <w:ind w:left="180"/>
              <w:spacing w:after="0" w:line="128" w:lineRule="exact"/>
              <w:rPr>
                <w:sz w:val="20"/>
                <w:szCs w:val="20"/>
                <w:color w:val="auto"/>
              </w:rPr>
            </w:pPr>
            <w:r>
              <w:rPr>
                <w:rFonts w:ascii="Times New Roman" w:cs="Times New Roman" w:eastAsia="Times New Roman" w:hAnsi="Times New Roman"/>
                <w:sz w:val="12"/>
                <w:szCs w:val="12"/>
                <w:color w:val="auto"/>
              </w:rPr>
              <w:t>income (loss) for the instruments still held at March 31,</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w:t>
            </w:r>
          </w:p>
        </w:tc>
        <w:tc>
          <w:tcPr>
            <w:tcW w:w="120" w:type="dxa"/>
            <w:vAlign w:val="bottom"/>
            <w:shd w:val="clear" w:color="auto" w:fill="CCEEFF"/>
          </w:tcPr>
          <w:p>
            <w:pPr>
              <w:spacing w:after="0"/>
              <w:rPr>
                <w:sz w:val="11"/>
                <w:szCs w:val="11"/>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20" w:type="dxa"/>
            <w:vAlign w:val="bottom"/>
            <w:shd w:val="clear" w:color="auto" w:fill="CCEEFF"/>
          </w:tcPr>
          <w:p>
            <w:pPr>
              <w:spacing w:after="0"/>
              <w:rPr>
                <w:sz w:val="11"/>
                <w:szCs w:val="11"/>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40" w:type="dxa"/>
            <w:vAlign w:val="bottom"/>
            <w:vMerge w:val="restart"/>
            <w:shd w:val="clear" w:color="auto" w:fill="CCEEFF"/>
          </w:tcPr>
          <w:p>
            <w:pPr>
              <w:jc w:val="right"/>
              <w:ind w:right="858"/>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950</w:t>
            </w:r>
          </w:p>
        </w:tc>
        <w:tc>
          <w:tcPr>
            <w:tcW w:w="0" w:type="dxa"/>
            <w:vAlign w:val="bottom"/>
          </w:tcPr>
          <w:p>
            <w:pPr>
              <w:spacing w:after="0"/>
              <w:rPr>
                <w:sz w:val="1"/>
                <w:szCs w:val="1"/>
                <w:color w:val="auto"/>
              </w:rPr>
            </w:pPr>
          </w:p>
        </w:tc>
      </w:tr>
      <w:tr>
        <w:trPr>
          <w:trHeight w:val="171"/>
        </w:trPr>
        <w:tc>
          <w:tcPr>
            <w:tcW w:w="3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2025 (7)</w:t>
            </w:r>
          </w:p>
        </w:tc>
        <w:tc>
          <w:tcPr>
            <w:tcW w:w="120" w:type="dxa"/>
            <w:vAlign w:val="bottom"/>
            <w:vMerge w:val="continue"/>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240" w:type="dxa"/>
            <w:vAlign w:val="bottom"/>
            <w:gridSpan w:val="2"/>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320" w:type="dxa"/>
            <w:vAlign w:val="bottom"/>
            <w:vMerge w:val="continue"/>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vMerge w:val="continue"/>
            <w:shd w:val="clear" w:color="auto" w:fill="CCEEFF"/>
          </w:tcPr>
          <w:p>
            <w:pPr>
              <w:spacing w:after="0"/>
              <w:rPr>
                <w:sz w:val="14"/>
                <w:szCs w:val="14"/>
                <w:color w:val="auto"/>
              </w:rPr>
            </w:pPr>
          </w:p>
        </w:tc>
        <w:tc>
          <w:tcPr>
            <w:tcW w:w="1060" w:type="dxa"/>
            <w:vAlign w:val="bottom"/>
            <w:gridSpan w:val="2"/>
            <w:vMerge w:val="continue"/>
            <w:shd w:val="clear" w:color="auto" w:fill="CCEEFF"/>
          </w:tcPr>
          <w:p>
            <w:pPr>
              <w:spacing w:after="0"/>
              <w:rPr>
                <w:sz w:val="14"/>
                <w:szCs w:val="14"/>
                <w:color w:val="auto"/>
              </w:rPr>
            </w:pPr>
          </w:p>
        </w:tc>
        <w:tc>
          <w:tcPr>
            <w:tcW w:w="1040" w:type="dxa"/>
            <w:vAlign w:val="bottom"/>
            <w:vMerge w:val="continue"/>
            <w:shd w:val="clear" w:color="auto" w:fill="CCEEFF"/>
          </w:tcPr>
          <w:p>
            <w:pPr>
              <w:spacing w:after="0"/>
              <w:rPr>
                <w:sz w:val="14"/>
                <w:szCs w:val="14"/>
                <w:color w:val="auto"/>
              </w:rPr>
            </w:pPr>
          </w:p>
        </w:tc>
        <w:tc>
          <w:tcPr>
            <w:tcW w:w="320" w:type="dxa"/>
            <w:vAlign w:val="bottom"/>
            <w:gridSpan w:val="2"/>
            <w:vMerge w:val="continue"/>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11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0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2"/>
                <w:szCs w:val="12"/>
                <w:color w:val="auto"/>
              </w:rPr>
              <w:t>Changes in unrealized gains (losses) included in OCI for</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3080" w:type="dxa"/>
            <w:vAlign w:val="bottom"/>
            <w:vMerge w:val="continue"/>
          </w:tcPr>
          <w:p>
            <w:pPr>
              <w:spacing w:after="0"/>
              <w:rPr>
                <w:sz w:val="19"/>
                <w:szCs w:val="19"/>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(19)</w:t>
            </w:r>
          </w:p>
        </w:tc>
        <w:tc>
          <w:tcPr>
            <w:tcW w:w="120" w:type="dxa"/>
            <w:vAlign w:val="bottom"/>
          </w:tcPr>
          <w:p>
            <w:pPr>
              <w:spacing w:after="0"/>
              <w:rPr>
                <w:sz w:val="19"/>
                <w:szCs w:val="19"/>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00" w:type="dxa"/>
            <w:vAlign w:val="bottom"/>
          </w:tcPr>
          <w:p>
            <w:pPr>
              <w:spacing w:after="0"/>
              <w:rPr>
                <w:sz w:val="19"/>
                <w:szCs w:val="19"/>
                <w:color w:val="auto"/>
              </w:rPr>
            </w:pPr>
          </w:p>
        </w:tc>
        <w:tc>
          <w:tcPr>
            <w:tcW w:w="32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40" w:type="dxa"/>
            <w:vAlign w:val="bottom"/>
            <w:vMerge w:val="restart"/>
          </w:tcPr>
          <w:p>
            <w:pPr>
              <w:jc w:val="right"/>
              <w:ind w:right="858"/>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9"/>
        </w:trPr>
        <w:tc>
          <w:tcPr>
            <w:tcW w:w="308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the instruments still held as of March 31, 2025 (7)</w:t>
            </w:r>
          </w:p>
        </w:tc>
        <w:tc>
          <w:tcPr>
            <w:tcW w:w="120" w:type="dxa"/>
            <w:vAlign w:val="bottom"/>
            <w:vMerge w:val="continue"/>
          </w:tcPr>
          <w:p>
            <w:pPr>
              <w:spacing w:after="0"/>
              <w:rPr>
                <w:sz w:val="13"/>
                <w:szCs w:val="13"/>
                <w:color w:val="auto"/>
              </w:rPr>
            </w:pPr>
          </w:p>
        </w:tc>
        <w:tc>
          <w:tcPr>
            <w:tcW w:w="8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vMerge w:val="continue"/>
          </w:tcPr>
          <w:p>
            <w:pPr>
              <w:spacing w:after="0"/>
              <w:rPr>
                <w:sz w:val="13"/>
                <w:szCs w:val="13"/>
                <w:color w:val="auto"/>
              </w:rPr>
            </w:pPr>
          </w:p>
        </w:tc>
        <w:tc>
          <w:tcPr>
            <w:tcW w:w="780" w:type="dxa"/>
            <w:vAlign w:val="bottom"/>
            <w:vMerge w:val="continue"/>
          </w:tcPr>
          <w:p>
            <w:pPr>
              <w:spacing w:after="0"/>
              <w:rPr>
                <w:sz w:val="13"/>
                <w:szCs w:val="13"/>
                <w:color w:val="auto"/>
              </w:rPr>
            </w:pPr>
          </w:p>
        </w:tc>
        <w:tc>
          <w:tcPr>
            <w:tcW w:w="240" w:type="dxa"/>
            <w:vAlign w:val="bottom"/>
            <w:gridSpan w:val="2"/>
            <w:vMerge w:val="continue"/>
          </w:tcPr>
          <w:p>
            <w:pPr>
              <w:spacing w:after="0"/>
              <w:rPr>
                <w:sz w:val="13"/>
                <w:szCs w:val="13"/>
                <w:color w:val="auto"/>
              </w:rPr>
            </w:pPr>
          </w:p>
        </w:tc>
        <w:tc>
          <w:tcPr>
            <w:tcW w:w="8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vMerge w:val="continue"/>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1060" w:type="dxa"/>
            <w:vAlign w:val="bottom"/>
            <w:gridSpan w:val="2"/>
            <w:vMerge w:val="continue"/>
          </w:tcPr>
          <w:p>
            <w:pPr>
              <w:spacing w:after="0"/>
              <w:rPr>
                <w:sz w:val="13"/>
                <w:szCs w:val="13"/>
                <w:color w:val="auto"/>
              </w:rPr>
            </w:pPr>
          </w:p>
        </w:tc>
        <w:tc>
          <w:tcPr>
            <w:tcW w:w="1040" w:type="dxa"/>
            <w:vAlign w:val="bottom"/>
            <w:vMerge w:val="continue"/>
          </w:tcPr>
          <w:p>
            <w:pPr>
              <w:spacing w:after="0"/>
              <w:rPr>
                <w:sz w:val="13"/>
                <w:szCs w:val="13"/>
                <w:color w:val="auto"/>
              </w:rPr>
            </w:pPr>
          </w:p>
        </w:tc>
        <w:tc>
          <w:tcPr>
            <w:tcW w:w="320" w:type="dxa"/>
            <w:vAlign w:val="bottom"/>
            <w:gridSpan w:val="2"/>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1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w:t>
      </w:r>
    </w:p>
    <w:p>
      <w:pPr>
        <w:spacing w:after="0" w:line="108" w:lineRule="exact"/>
        <w:rPr>
          <w:sz w:val="20"/>
          <w:szCs w:val="20"/>
          <w:color w:val="auto"/>
        </w:rPr>
      </w:pPr>
    </w:p>
    <w:p>
      <w:pPr>
        <w:ind w:left="320" w:hanging="314"/>
        <w:spacing w:after="0"/>
        <w:tabs>
          <w:tab w:leader="none" w:pos="3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Comprised of U.S. and foreign corporate securities.</w:t>
      </w:r>
    </w:p>
    <w:p>
      <w:pPr>
        <w:spacing w:after="0" w:line="111" w:lineRule="exact"/>
        <w:rPr>
          <w:rFonts w:ascii="Times New Roman" w:cs="Times New Roman" w:eastAsia="Times New Roman" w:hAnsi="Times New Roman"/>
          <w:sz w:val="18"/>
          <w:szCs w:val="18"/>
          <w:color w:val="auto"/>
        </w:rPr>
      </w:pPr>
    </w:p>
    <w:p>
      <w:pPr>
        <w:ind w:left="320" w:hanging="314"/>
        <w:spacing w:after="0"/>
        <w:tabs>
          <w:tab w:leader="none" w:pos="3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Freestanding derivative assets and liabilities are reported net for purposes of the rollforward.</w:t>
      </w:r>
    </w:p>
    <w:p>
      <w:pPr>
        <w:spacing w:after="0" w:line="111" w:lineRule="exact"/>
        <w:rPr>
          <w:rFonts w:ascii="Times New Roman" w:cs="Times New Roman" w:eastAsia="Times New Roman" w:hAnsi="Times New Roman"/>
          <w:sz w:val="18"/>
          <w:szCs w:val="18"/>
          <w:color w:val="auto"/>
        </w:rPr>
      </w:pPr>
    </w:p>
    <w:p>
      <w:pPr>
        <w:jc w:val="both"/>
        <w:ind w:left="320" w:hanging="314"/>
        <w:spacing w:after="0" w:line="304" w:lineRule="auto"/>
        <w:tabs>
          <w:tab w:leader="none" w:pos="314"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Amortization of premium/accretion of discount is included in net investment income. Changes in the allowance for credit losses and direct write-offs are charged to net income (loss) on securities are included in net investment gains (losses). Lapses associated with net embedded derivatives are included in</w:t>
      </w:r>
    </w:p>
    <w:p>
      <w:pPr>
        <w:sectPr>
          <w:pgSz w:w="11900" w:h="16955" w:orient="portrait"/>
          <w:cols w:equalWidth="0" w:num="1">
            <w:col w:w="11240"/>
          </w:cols>
          <w:pgMar w:left="320" w:top="283" w:right="339" w:bottom="0" w:gutter="0" w:footer="0" w:header="0"/>
        </w:sectPr>
      </w:pPr>
    </w:p>
    <w:bookmarkStart w:id="58" w:name="page59"/>
    <w:bookmarkEnd w:id="58"/>
    <w:p>
      <w:pPr>
        <w:ind w:left="314"/>
        <w:spacing w:after="0" w:line="274" w:lineRule="auto"/>
        <w:rPr>
          <w:sz w:val="20"/>
          <w:szCs w:val="20"/>
          <w:color w:val="auto"/>
        </w:rPr>
      </w:pPr>
      <w:r>
        <w:rPr>
          <w:rFonts w:ascii="Times New Roman" w:cs="Times New Roman" w:eastAsia="Times New Roman" w:hAnsi="Times New Roman"/>
          <w:sz w:val="18"/>
          <w:szCs w:val="18"/>
          <w:color w:val="auto"/>
        </w:rPr>
        <w:t>net derivative gains (losses). Substantially all realized/unrealized gains (losses) included in net income (loss) for net derivatives and net embedded derivatives are reported in net derivative gains (losses).</w:t>
      </w:r>
    </w:p>
    <w:p>
      <w:pPr>
        <w:spacing w:after="0" w:line="57" w:lineRule="exact"/>
        <w:rPr>
          <w:sz w:val="20"/>
          <w:szCs w:val="20"/>
          <w:color w:val="auto"/>
        </w:rPr>
      </w:pPr>
    </w:p>
    <w:p>
      <w:pPr>
        <w:ind w:left="314" w:hanging="314"/>
        <w:spacing w:after="0"/>
        <w:tabs>
          <w:tab w:leader="none" w:pos="31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and dividend accruals, as well as cash interest coupons and dividends received, are excluded from the rollforward.</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47" w:lineRule="exact"/>
        <w:rPr>
          <w:rFonts w:ascii="Times New Roman" w:cs="Times New Roman" w:eastAsia="Times New Roman" w:hAnsi="Times New Roman"/>
          <w:sz w:val="18"/>
          <w:szCs w:val="18"/>
          <w:color w:val="auto"/>
        </w:rPr>
      </w:pPr>
    </w:p>
    <w:p>
      <w:pPr>
        <w:ind w:left="569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69215</wp:posOffset>
            </wp:positionV>
            <wp:extent cx="716026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34"/>
          </w:cols>
          <w:pgMar w:left="326" w:top="121"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Life Insurance Company</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 Indirect Wholly-Owned Subsidiary of Brighthouse Financial, Inc.)</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Fair Value (continued)</w:t>
      </w:r>
    </w:p>
    <w:p>
      <w:pPr>
        <w:spacing w:after="0" w:line="200" w:lineRule="exact"/>
        <w:rPr>
          <w:sz w:val="20"/>
          <w:szCs w:val="20"/>
          <w:color w:val="auto"/>
        </w:rPr>
      </w:pPr>
    </w:p>
    <w:p>
      <w:pPr>
        <w:spacing w:after="0" w:line="311" w:lineRule="exact"/>
        <w:rPr>
          <w:sz w:val="20"/>
          <w:szCs w:val="20"/>
          <w:color w:val="auto"/>
        </w:rPr>
      </w:pPr>
    </w:p>
    <w:p>
      <w:pPr>
        <w:ind w:left="320" w:hanging="314"/>
        <w:spacing w:after="0" w:line="274" w:lineRule="auto"/>
        <w:tabs>
          <w:tab w:leader="none" w:pos="31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Items purchased/issued and then sold/settled in the same period are excluded from the rollforward. Fees attributed to embedded derivatives are included in settlements.</w:t>
      </w:r>
    </w:p>
    <w:p>
      <w:pPr>
        <w:spacing w:after="0" w:line="57" w:lineRule="exact"/>
        <w:rPr>
          <w:rFonts w:ascii="Times New Roman" w:cs="Times New Roman" w:eastAsia="Times New Roman" w:hAnsi="Times New Roman"/>
          <w:sz w:val="18"/>
          <w:szCs w:val="18"/>
          <w:color w:val="auto"/>
        </w:rPr>
      </w:pPr>
    </w:p>
    <w:p>
      <w:pPr>
        <w:ind w:left="320" w:hanging="314"/>
        <w:spacing w:after="0" w:line="274" w:lineRule="auto"/>
        <w:tabs>
          <w:tab w:leader="none" w:pos="31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Gains and losses, in net income (loss) and OCI, are calculated assuming transfers into and/or out of Level 3 occurred at the beginning of the period. Items transferred into and out of Level 3 in the same period are excluded from the rollforward.</w:t>
      </w:r>
    </w:p>
    <w:p>
      <w:pPr>
        <w:spacing w:after="0" w:line="57" w:lineRule="exact"/>
        <w:rPr>
          <w:rFonts w:ascii="Times New Roman" w:cs="Times New Roman" w:eastAsia="Times New Roman" w:hAnsi="Times New Roman"/>
          <w:sz w:val="18"/>
          <w:szCs w:val="18"/>
          <w:color w:val="auto"/>
        </w:rPr>
      </w:pPr>
    </w:p>
    <w:p>
      <w:pPr>
        <w:jc w:val="both"/>
        <w:ind w:left="320" w:hanging="314"/>
        <w:spacing w:after="0" w:line="259" w:lineRule="auto"/>
        <w:tabs>
          <w:tab w:leader="none" w:pos="31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unrealized gains (losses) included in net income (loss) for fixed maturities are reported in either net investment income or net investment gains (losses). Substantially all changes in unrealized gains (losses) included in net income (loss) for net derivatives and net embedded derivatives are reported in net derivative gains (losses).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 Carried at Other Than Fair Value</w:t>
      </w:r>
    </w:p>
    <w:p>
      <w:pPr>
        <w:spacing w:after="0" w:line="115"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 following tables provide fair value information for financial instruments that are carried on the balance sheet at amounts other than fair value. These tables exclude the following financial instruments: cash and cash equivalents, accrued investment income and payables for collateral under securities loaned and other transactions. The estimated fair value of the excluded financial instruments, which are primarily classified in Level 2, approximates carrying value as they are short-term in nature such that the Company believes there is minimal risk of material changes in interest rates or credit quality. All remaining balance sheet amounts excluded from the tables below are not considered financial instruments subject to this disclosure.</w:t>
      </w:r>
    </w:p>
    <w:p>
      <w:pPr>
        <w:spacing w:after="0" w:line="79"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carrying values and estimated fair values for such financial instruments, and their corresponding placement in the fair value hierarchy, are summarized as follows at:</w:t>
      </w: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jc w:val="center"/>
              <w:ind w:right="123"/>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472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gridSpan w:val="2"/>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93"/>
        </w:trPr>
        <w:tc>
          <w:tcPr>
            <w:tcW w:w="4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Fair Value Hierarchy</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
        </w:trPr>
        <w:tc>
          <w:tcPr>
            <w:tcW w:w="4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1100" w:type="dxa"/>
            <w:vAlign w:val="bottom"/>
            <w:vMerge w:val="restart"/>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w w:val="99"/>
              </w:rPr>
              <w:t>Total Estimated</w:t>
            </w:r>
          </w:p>
        </w:tc>
        <w:tc>
          <w:tcPr>
            <w:tcW w:w="0" w:type="dxa"/>
            <w:vAlign w:val="bottom"/>
          </w:tcPr>
          <w:p>
            <w:pPr>
              <w:spacing w:after="0"/>
              <w:rPr>
                <w:sz w:val="1"/>
                <w:szCs w:val="1"/>
                <w:color w:val="auto"/>
              </w:rPr>
            </w:pPr>
          </w:p>
        </w:tc>
      </w:tr>
      <w:tr>
        <w:trPr>
          <w:trHeight w:val="366"/>
        </w:trPr>
        <w:tc>
          <w:tcPr>
            <w:tcW w:w="4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4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260" w:type="dxa"/>
            <w:vAlign w:val="bottom"/>
          </w:tcPr>
          <w:p>
            <w:pPr>
              <w:spacing w:after="0"/>
              <w:rPr>
                <w:sz w:val="16"/>
                <w:szCs w:val="16"/>
                <w:color w:val="auto"/>
              </w:rPr>
            </w:pPr>
          </w:p>
        </w:tc>
        <w:tc>
          <w:tcPr>
            <w:tcW w:w="98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Pr>
          <w:p>
            <w:pPr>
              <w:spacing w:after="0"/>
              <w:rPr>
                <w:sz w:val="16"/>
                <w:szCs w:val="16"/>
                <w:color w:val="auto"/>
              </w:rPr>
            </w:pPr>
          </w:p>
        </w:tc>
        <w:tc>
          <w:tcPr>
            <w:tcW w:w="1180" w:type="dxa"/>
            <w:vAlign w:val="bottom"/>
          </w:tcPr>
          <w:p>
            <w:pPr>
              <w:jc w:val="center"/>
              <w:ind w:right="143"/>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60" w:type="dxa"/>
            <w:vAlign w:val="bottom"/>
          </w:tcPr>
          <w:p>
            <w:pPr>
              <w:spacing w:after="0"/>
              <w:rPr>
                <w:sz w:val="16"/>
                <w:szCs w:val="16"/>
                <w:color w:val="auto"/>
              </w:rPr>
            </w:pPr>
          </w:p>
        </w:tc>
        <w:tc>
          <w:tcPr>
            <w:tcW w:w="980" w:type="dxa"/>
            <w:vAlign w:val="bottom"/>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20" w:type="dxa"/>
            <w:vAlign w:val="bottom"/>
          </w:tcPr>
          <w:p>
            <w:pPr>
              <w:spacing w:after="0"/>
              <w:rPr>
                <w:sz w:val="16"/>
                <w:szCs w:val="16"/>
                <w:color w:val="auto"/>
              </w:rPr>
            </w:pPr>
          </w:p>
        </w:tc>
        <w:tc>
          <w:tcPr>
            <w:tcW w:w="1100" w:type="dxa"/>
            <w:vAlign w:val="bottom"/>
          </w:tcPr>
          <w:p>
            <w:pPr>
              <w:jc w:val="right"/>
              <w:ind w:right="22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38"/>
        </w:trPr>
        <w:tc>
          <w:tcPr>
            <w:tcW w:w="472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93"/>
        </w:trPr>
        <w:tc>
          <w:tcPr>
            <w:tcW w:w="4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jc w:val="center"/>
              <w:ind w:right="123"/>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
        </w:trPr>
        <w:tc>
          <w:tcPr>
            <w:tcW w:w="4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260" w:type="dxa"/>
            <w:vAlign w:val="bottom"/>
          </w:tcPr>
          <w:p>
            <w:pPr>
              <w:spacing w:after="0"/>
              <w:rPr>
                <w:sz w:val="3"/>
                <w:szCs w:val="3"/>
                <w:color w:val="auto"/>
              </w:rPr>
            </w:pPr>
          </w:p>
        </w:tc>
        <w:tc>
          <w:tcPr>
            <w:tcW w:w="9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60" w:type="dxa"/>
            <w:vAlign w:val="bottom"/>
          </w:tcPr>
          <w:p>
            <w:pPr>
              <w:spacing w:after="0"/>
              <w:rPr>
                <w:sz w:val="3"/>
                <w:szCs w:val="3"/>
                <w:color w:val="auto"/>
              </w:rPr>
            </w:pPr>
          </w:p>
        </w:tc>
        <w:tc>
          <w:tcPr>
            <w:tcW w:w="9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0"/>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2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4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Mortgage loans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22,595</w:t>
            </w:r>
          </w:p>
        </w:tc>
        <w:tc>
          <w:tcPr>
            <w:tcW w:w="26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ind w:right="83"/>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21,462</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21,462</w:t>
            </w:r>
          </w:p>
        </w:tc>
        <w:tc>
          <w:tcPr>
            <w:tcW w:w="0" w:type="dxa"/>
            <w:vAlign w:val="bottom"/>
          </w:tcPr>
          <w:p>
            <w:pPr>
              <w:spacing w:after="0"/>
              <w:rPr>
                <w:sz w:val="1"/>
                <w:szCs w:val="1"/>
                <w:color w:val="auto"/>
              </w:rPr>
            </w:pPr>
          </w:p>
        </w:tc>
      </w:tr>
      <w:tr>
        <w:trPr>
          <w:trHeight w:val="460"/>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Policy loans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1,059</w:t>
            </w:r>
          </w:p>
        </w:tc>
        <w:tc>
          <w:tcPr>
            <w:tcW w:w="26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6"/>
                <w:szCs w:val="16"/>
                <w:color w:val="auto"/>
              </w:rPr>
              <w:t>519</w:t>
            </w:r>
          </w:p>
        </w:tc>
        <w:tc>
          <w:tcPr>
            <w:tcW w:w="26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526</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1,045</w:t>
            </w:r>
          </w:p>
        </w:tc>
        <w:tc>
          <w:tcPr>
            <w:tcW w:w="0" w:type="dxa"/>
            <w:vAlign w:val="bottom"/>
          </w:tcPr>
          <w:p>
            <w:pPr>
              <w:spacing w:after="0"/>
              <w:rPr>
                <w:sz w:val="1"/>
                <w:szCs w:val="1"/>
                <w:color w:val="auto"/>
              </w:rPr>
            </w:pPr>
          </w:p>
        </w:tc>
      </w:tr>
      <w:tr>
        <w:trPr>
          <w:trHeight w:val="441"/>
        </w:trPr>
        <w:tc>
          <w:tcPr>
            <w:tcW w:w="4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invested assets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231</w:t>
            </w:r>
          </w:p>
        </w:tc>
        <w:tc>
          <w:tcPr>
            <w:tcW w:w="26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ind w:right="83"/>
              <w:spacing w:after="0"/>
              <w:rPr>
                <w:sz w:val="20"/>
                <w:szCs w:val="20"/>
                <w:color w:val="auto"/>
              </w:rPr>
            </w:pPr>
            <w:r>
              <w:rPr>
                <w:rFonts w:ascii="Times New Roman" w:cs="Times New Roman" w:eastAsia="Times New Roman" w:hAnsi="Times New Roman"/>
                <w:sz w:val="16"/>
                <w:szCs w:val="16"/>
                <w:color w:val="auto"/>
              </w:rPr>
              <w:t>217</w:t>
            </w:r>
          </w:p>
        </w:tc>
        <w:tc>
          <w:tcPr>
            <w:tcW w:w="26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w:t>
            </w:r>
          </w:p>
        </w:tc>
        <w:tc>
          <w:tcPr>
            <w:tcW w:w="0" w:type="dxa"/>
            <w:vAlign w:val="bottom"/>
          </w:tcPr>
          <w:p>
            <w:pPr>
              <w:spacing w:after="0"/>
              <w:rPr>
                <w:sz w:val="1"/>
                <w:szCs w:val="1"/>
                <w:color w:val="auto"/>
              </w:rPr>
            </w:pPr>
          </w:p>
        </w:tc>
      </w:tr>
      <w:tr>
        <w:trPr>
          <w:trHeight w:val="460"/>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Premiums, reinsurance and other receivables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7,862</w:t>
            </w:r>
          </w:p>
        </w:tc>
        <w:tc>
          <w:tcPr>
            <w:tcW w:w="26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6"/>
                <w:szCs w:val="16"/>
                <w:color w:val="auto"/>
              </w:rPr>
              <w:t>63</w:t>
            </w:r>
          </w:p>
        </w:tc>
        <w:tc>
          <w:tcPr>
            <w:tcW w:w="26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7,849</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7,912</w:t>
            </w:r>
          </w:p>
        </w:tc>
        <w:tc>
          <w:tcPr>
            <w:tcW w:w="0" w:type="dxa"/>
            <w:vAlign w:val="bottom"/>
          </w:tcPr>
          <w:p>
            <w:pPr>
              <w:spacing w:after="0"/>
              <w:rPr>
                <w:sz w:val="1"/>
                <w:szCs w:val="1"/>
                <w:color w:val="auto"/>
              </w:rPr>
            </w:pPr>
          </w:p>
        </w:tc>
      </w:tr>
      <w:tr>
        <w:trPr>
          <w:trHeight w:val="441"/>
        </w:trPr>
        <w:tc>
          <w:tcPr>
            <w:tcW w:w="47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Policyholder account balances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28,149</w:t>
            </w:r>
          </w:p>
        </w:tc>
        <w:tc>
          <w:tcPr>
            <w:tcW w:w="26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28,013</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28,013</w:t>
            </w:r>
          </w:p>
        </w:tc>
        <w:tc>
          <w:tcPr>
            <w:tcW w:w="0" w:type="dxa"/>
            <w:vAlign w:val="bottom"/>
          </w:tcPr>
          <w:p>
            <w:pPr>
              <w:spacing w:after="0"/>
              <w:rPr>
                <w:sz w:val="1"/>
                <w:szCs w:val="1"/>
                <w:color w:val="auto"/>
              </w:rPr>
            </w:pPr>
          </w:p>
        </w:tc>
      </w:tr>
      <w:tr>
        <w:trPr>
          <w:trHeight w:val="441"/>
        </w:trPr>
        <w:tc>
          <w:tcPr>
            <w:tcW w:w="4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debt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831</w:t>
            </w:r>
          </w:p>
        </w:tc>
        <w:tc>
          <w:tcPr>
            <w:tcW w:w="26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ind w:right="83"/>
              <w:spacing w:after="0"/>
              <w:rPr>
                <w:sz w:val="20"/>
                <w:szCs w:val="20"/>
                <w:color w:val="auto"/>
              </w:rPr>
            </w:pPr>
            <w:r>
              <w:rPr>
                <w:rFonts w:ascii="Times New Roman" w:cs="Times New Roman" w:eastAsia="Times New Roman" w:hAnsi="Times New Roman"/>
                <w:sz w:val="16"/>
                <w:szCs w:val="16"/>
                <w:color w:val="auto"/>
              </w:rPr>
              <w:t>20</w:t>
            </w:r>
          </w:p>
        </w:tc>
        <w:tc>
          <w:tcPr>
            <w:tcW w:w="26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698</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718</w:t>
            </w:r>
          </w:p>
        </w:tc>
        <w:tc>
          <w:tcPr>
            <w:tcW w:w="0" w:type="dxa"/>
            <w:vAlign w:val="bottom"/>
          </w:tcPr>
          <w:p>
            <w:pPr>
              <w:spacing w:after="0"/>
              <w:rPr>
                <w:sz w:val="1"/>
                <w:szCs w:val="1"/>
                <w:color w:val="auto"/>
              </w:rPr>
            </w:pPr>
          </w:p>
        </w:tc>
      </w:tr>
      <w:tr>
        <w:trPr>
          <w:trHeight w:val="460"/>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liabilities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1,294</w:t>
            </w:r>
          </w:p>
        </w:tc>
        <w:tc>
          <w:tcPr>
            <w:tcW w:w="26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6"/>
                <w:szCs w:val="16"/>
                <w:color w:val="auto"/>
              </w:rPr>
              <w:t>644</w:t>
            </w:r>
          </w:p>
        </w:tc>
        <w:tc>
          <w:tcPr>
            <w:tcW w:w="26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1,294</w:t>
            </w:r>
          </w:p>
        </w:tc>
        <w:tc>
          <w:tcPr>
            <w:tcW w:w="0" w:type="dxa"/>
            <w:vAlign w:val="bottom"/>
          </w:tcPr>
          <w:p>
            <w:pPr>
              <w:spacing w:after="0"/>
              <w:rPr>
                <w:sz w:val="1"/>
                <w:szCs w:val="1"/>
                <w:color w:val="auto"/>
              </w:rPr>
            </w:pPr>
          </w:p>
        </w:tc>
      </w:tr>
      <w:tr>
        <w:trPr>
          <w:trHeight w:val="432"/>
        </w:trPr>
        <w:tc>
          <w:tcPr>
            <w:tcW w:w="4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Separate account liabilities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1,179</w:t>
            </w:r>
          </w:p>
        </w:tc>
        <w:tc>
          <w:tcPr>
            <w:tcW w:w="26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ind w:right="83"/>
              <w:spacing w:after="0"/>
              <w:rPr>
                <w:sz w:val="20"/>
                <w:szCs w:val="20"/>
                <w:color w:val="auto"/>
              </w:rPr>
            </w:pPr>
            <w:r>
              <w:rPr>
                <w:rFonts w:ascii="Times New Roman" w:cs="Times New Roman" w:eastAsia="Times New Roman" w:hAnsi="Times New Roman"/>
                <w:sz w:val="16"/>
                <w:szCs w:val="16"/>
                <w:color w:val="auto"/>
              </w:rPr>
              <w:t>1,179</w:t>
            </w:r>
          </w:p>
        </w:tc>
        <w:tc>
          <w:tcPr>
            <w:tcW w:w="26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1,179</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8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type w:val="continuous"/>
        </w:sectPr>
      </w:pPr>
    </w:p>
    <w:bookmarkStart w:id="60" w:name="page61"/>
    <w:bookmarkEnd w:id="60"/>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Life Insurance Company</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 Indirect Wholly-Owned Subsidiary of Brighthouse Financial, Inc.)</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Fair Value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474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gridSpan w:val="2"/>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93"/>
        </w:trPr>
        <w:tc>
          <w:tcPr>
            <w:tcW w:w="4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Fair Value Hierarchy</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
        </w:trPr>
        <w:tc>
          <w:tcPr>
            <w:tcW w:w="4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1100" w:type="dxa"/>
            <w:vAlign w:val="bottom"/>
            <w:vMerge w:val="restart"/>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w w:val="99"/>
              </w:rPr>
              <w:t>Total Estimated</w:t>
            </w:r>
          </w:p>
        </w:tc>
        <w:tc>
          <w:tcPr>
            <w:tcW w:w="0" w:type="dxa"/>
            <w:vAlign w:val="bottom"/>
          </w:tcPr>
          <w:p>
            <w:pPr>
              <w:spacing w:after="0"/>
              <w:rPr>
                <w:sz w:val="1"/>
                <w:szCs w:val="1"/>
                <w:color w:val="auto"/>
              </w:rPr>
            </w:pPr>
          </w:p>
        </w:tc>
      </w:tr>
      <w:tr>
        <w:trPr>
          <w:trHeight w:val="366"/>
        </w:trPr>
        <w:tc>
          <w:tcPr>
            <w:tcW w:w="4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4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260" w:type="dxa"/>
            <w:vAlign w:val="bottom"/>
          </w:tcPr>
          <w:p>
            <w:pPr>
              <w:spacing w:after="0"/>
              <w:rPr>
                <w:sz w:val="16"/>
                <w:szCs w:val="16"/>
                <w:color w:val="auto"/>
              </w:rPr>
            </w:pPr>
          </w:p>
        </w:tc>
        <w:tc>
          <w:tcPr>
            <w:tcW w:w="98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60" w:type="dxa"/>
            <w:vAlign w:val="bottom"/>
          </w:tcPr>
          <w:p>
            <w:pPr>
              <w:spacing w:after="0"/>
              <w:rPr>
                <w:sz w:val="16"/>
                <w:szCs w:val="16"/>
                <w:color w:val="auto"/>
              </w:rPr>
            </w:pPr>
          </w:p>
        </w:tc>
        <w:tc>
          <w:tcPr>
            <w:tcW w:w="1140" w:type="dxa"/>
            <w:vAlign w:val="bottom"/>
          </w:tcPr>
          <w:p>
            <w:pPr>
              <w:jc w:val="center"/>
              <w:ind w:right="182"/>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60" w:type="dxa"/>
            <w:vAlign w:val="bottom"/>
          </w:tcPr>
          <w:p>
            <w:pPr>
              <w:spacing w:after="0"/>
              <w:rPr>
                <w:sz w:val="16"/>
                <w:szCs w:val="16"/>
                <w:color w:val="auto"/>
              </w:rPr>
            </w:pPr>
          </w:p>
        </w:tc>
        <w:tc>
          <w:tcPr>
            <w:tcW w:w="980" w:type="dxa"/>
            <w:vAlign w:val="bottom"/>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20" w:type="dxa"/>
            <w:vAlign w:val="bottom"/>
          </w:tcPr>
          <w:p>
            <w:pPr>
              <w:spacing w:after="0"/>
              <w:rPr>
                <w:sz w:val="16"/>
                <w:szCs w:val="16"/>
                <w:color w:val="auto"/>
              </w:rPr>
            </w:pPr>
          </w:p>
        </w:tc>
        <w:tc>
          <w:tcPr>
            <w:tcW w:w="1100" w:type="dxa"/>
            <w:vAlign w:val="bottom"/>
          </w:tcPr>
          <w:p>
            <w:pPr>
              <w:jc w:val="right"/>
              <w:ind w:right="22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38"/>
        </w:trPr>
        <w:tc>
          <w:tcPr>
            <w:tcW w:w="474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93"/>
        </w:trPr>
        <w:tc>
          <w:tcPr>
            <w:tcW w:w="4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jc w:val="center"/>
              <w:ind w:right="162"/>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
        </w:trPr>
        <w:tc>
          <w:tcPr>
            <w:tcW w:w="4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60" w:type="dxa"/>
            <w:vAlign w:val="bottom"/>
          </w:tcPr>
          <w:p>
            <w:pPr>
              <w:spacing w:after="0"/>
              <w:rPr>
                <w:sz w:val="3"/>
                <w:szCs w:val="3"/>
                <w:color w:val="auto"/>
              </w:rPr>
            </w:pPr>
          </w:p>
        </w:tc>
        <w:tc>
          <w:tcPr>
            <w:tcW w:w="9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60" w:type="dxa"/>
            <w:vAlign w:val="bottom"/>
          </w:tcPr>
          <w:p>
            <w:pPr>
              <w:spacing w:after="0"/>
              <w:rPr>
                <w:sz w:val="3"/>
                <w:szCs w:val="3"/>
                <w:color w:val="auto"/>
              </w:rPr>
            </w:pPr>
          </w:p>
        </w:tc>
        <w:tc>
          <w:tcPr>
            <w:tcW w:w="9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1"/>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2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Mortgage loans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22,726</w:t>
            </w:r>
          </w:p>
        </w:tc>
        <w:tc>
          <w:tcPr>
            <w:tcW w:w="26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21,705</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21,705</w:t>
            </w:r>
          </w:p>
        </w:tc>
        <w:tc>
          <w:tcPr>
            <w:tcW w:w="0" w:type="dxa"/>
            <w:vAlign w:val="bottom"/>
          </w:tcPr>
          <w:p>
            <w:pPr>
              <w:spacing w:after="0"/>
              <w:rPr>
                <w:sz w:val="1"/>
                <w:szCs w:val="1"/>
                <w:color w:val="auto"/>
              </w:rPr>
            </w:pPr>
          </w:p>
        </w:tc>
      </w:tr>
      <w:tr>
        <w:trPr>
          <w:trHeight w:val="460"/>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Policy loans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1,047</w:t>
            </w:r>
          </w:p>
        </w:tc>
        <w:tc>
          <w:tcPr>
            <w:tcW w:w="26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512</w:t>
            </w:r>
          </w:p>
        </w:tc>
        <w:tc>
          <w:tcPr>
            <w:tcW w:w="26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1,072</w:t>
            </w:r>
          </w:p>
        </w:tc>
        <w:tc>
          <w:tcPr>
            <w:tcW w:w="0" w:type="dxa"/>
            <w:vAlign w:val="bottom"/>
          </w:tcPr>
          <w:p>
            <w:pPr>
              <w:spacing w:after="0"/>
              <w:rPr>
                <w:sz w:val="1"/>
                <w:szCs w:val="1"/>
                <w:color w:val="auto"/>
              </w:rPr>
            </w:pPr>
          </w:p>
        </w:tc>
      </w:tr>
      <w:tr>
        <w:trPr>
          <w:trHeight w:val="441"/>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invested assets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231</w:t>
            </w:r>
          </w:p>
        </w:tc>
        <w:tc>
          <w:tcPr>
            <w:tcW w:w="26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217</w:t>
            </w:r>
          </w:p>
        </w:tc>
        <w:tc>
          <w:tcPr>
            <w:tcW w:w="26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w:t>
            </w:r>
          </w:p>
        </w:tc>
        <w:tc>
          <w:tcPr>
            <w:tcW w:w="0" w:type="dxa"/>
            <w:vAlign w:val="bottom"/>
          </w:tcPr>
          <w:p>
            <w:pPr>
              <w:spacing w:after="0"/>
              <w:rPr>
                <w:sz w:val="1"/>
                <w:szCs w:val="1"/>
                <w:color w:val="auto"/>
              </w:rPr>
            </w:pPr>
          </w:p>
        </w:tc>
      </w:tr>
      <w:tr>
        <w:trPr>
          <w:trHeight w:val="460"/>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Premiums, reinsurance and other receivables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7,978</w:t>
            </w:r>
          </w:p>
        </w:tc>
        <w:tc>
          <w:tcPr>
            <w:tcW w:w="26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87</w:t>
            </w:r>
          </w:p>
        </w:tc>
        <w:tc>
          <w:tcPr>
            <w:tcW w:w="26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7,943</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8,030</w:t>
            </w:r>
          </w:p>
        </w:tc>
        <w:tc>
          <w:tcPr>
            <w:tcW w:w="0" w:type="dxa"/>
            <w:vAlign w:val="bottom"/>
          </w:tcPr>
          <w:p>
            <w:pPr>
              <w:spacing w:after="0"/>
              <w:rPr>
                <w:sz w:val="1"/>
                <w:szCs w:val="1"/>
                <w:color w:val="auto"/>
              </w:rPr>
            </w:pPr>
          </w:p>
        </w:tc>
      </w:tr>
      <w:tr>
        <w:trPr>
          <w:trHeight w:val="441"/>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Policyholder account balances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28,701</w:t>
            </w:r>
          </w:p>
        </w:tc>
        <w:tc>
          <w:tcPr>
            <w:tcW w:w="26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28,644</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28,644</w:t>
            </w:r>
          </w:p>
        </w:tc>
        <w:tc>
          <w:tcPr>
            <w:tcW w:w="0" w:type="dxa"/>
            <w:vAlign w:val="bottom"/>
          </w:tcPr>
          <w:p>
            <w:pPr>
              <w:spacing w:after="0"/>
              <w:rPr>
                <w:sz w:val="1"/>
                <w:szCs w:val="1"/>
                <w:color w:val="auto"/>
              </w:rPr>
            </w:pPr>
          </w:p>
        </w:tc>
      </w:tr>
      <w:tr>
        <w:trPr>
          <w:trHeight w:val="441"/>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debt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832</w:t>
            </w:r>
          </w:p>
        </w:tc>
        <w:tc>
          <w:tcPr>
            <w:tcW w:w="26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21</w:t>
            </w:r>
          </w:p>
        </w:tc>
        <w:tc>
          <w:tcPr>
            <w:tcW w:w="26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747</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768</w:t>
            </w:r>
          </w:p>
        </w:tc>
        <w:tc>
          <w:tcPr>
            <w:tcW w:w="0" w:type="dxa"/>
            <w:vAlign w:val="bottom"/>
          </w:tcPr>
          <w:p>
            <w:pPr>
              <w:spacing w:after="0"/>
              <w:rPr>
                <w:sz w:val="1"/>
                <w:szCs w:val="1"/>
                <w:color w:val="auto"/>
              </w:rPr>
            </w:pPr>
          </w:p>
        </w:tc>
      </w:tr>
      <w:tr>
        <w:trPr>
          <w:trHeight w:val="460"/>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liabilities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1,249</w:t>
            </w:r>
          </w:p>
        </w:tc>
        <w:tc>
          <w:tcPr>
            <w:tcW w:w="26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583</w:t>
            </w:r>
          </w:p>
        </w:tc>
        <w:tc>
          <w:tcPr>
            <w:tcW w:w="26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666</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1,249</w:t>
            </w:r>
          </w:p>
        </w:tc>
        <w:tc>
          <w:tcPr>
            <w:tcW w:w="0" w:type="dxa"/>
            <w:vAlign w:val="bottom"/>
          </w:tcPr>
          <w:p>
            <w:pPr>
              <w:spacing w:after="0"/>
              <w:rPr>
                <w:sz w:val="1"/>
                <w:szCs w:val="1"/>
                <w:color w:val="auto"/>
              </w:rPr>
            </w:pPr>
          </w:p>
        </w:tc>
      </w:tr>
      <w:tr>
        <w:trPr>
          <w:trHeight w:val="432"/>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Separate account liabilities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1,260</w:t>
            </w:r>
          </w:p>
        </w:tc>
        <w:tc>
          <w:tcPr>
            <w:tcW w:w="26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1,260</w:t>
            </w:r>
          </w:p>
        </w:tc>
        <w:tc>
          <w:tcPr>
            <w:tcW w:w="26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1,260</w:t>
            </w:r>
          </w:p>
        </w:tc>
        <w:tc>
          <w:tcPr>
            <w:tcW w:w="0" w:type="dxa"/>
            <w:vAlign w:val="bottom"/>
          </w:tcPr>
          <w:p>
            <w:pPr>
              <w:spacing w:after="0"/>
              <w:rPr>
                <w:sz w:val="1"/>
                <w:szCs w:val="1"/>
                <w:color w:val="auto"/>
              </w:rPr>
            </w:pPr>
          </w:p>
        </w:tc>
      </w:tr>
    </w:tbl>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Equity</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Contribution</w:t>
      </w:r>
    </w:p>
    <w:p>
      <w:pPr>
        <w:spacing w:after="0" w:line="1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On February 11, 2025, Brighthouse Life Insurance Company received a $100 million capital contribution from BH Holdings.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Accumulated Other Comprehensive Income (Loss)</w:t>
      </w:r>
    </w:p>
    <w:p>
      <w:pPr>
        <w:spacing w:after="0" w:line="1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Information regarding changes in the balances of each component of AOCI was as follows:</w:t>
      </w: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60" w:type="dxa"/>
            <w:vAlign w:val="bottom"/>
            <w:gridSpan w:val="5"/>
          </w:tcPr>
          <w:p>
            <w:pPr>
              <w:ind w:left="20"/>
              <w:spacing w:after="0"/>
              <w:rPr>
                <w:sz w:val="20"/>
                <w:szCs w:val="20"/>
                <w:color w:val="auto"/>
              </w:rPr>
            </w:pPr>
            <w:r>
              <w:rPr>
                <w:rFonts w:ascii="Times New Roman" w:cs="Times New Roman" w:eastAsia="Times New Roman" w:hAnsi="Times New Roman"/>
                <w:sz w:val="12"/>
                <w:szCs w:val="12"/>
                <w:b w:val="1"/>
                <w:bCs w:val="1"/>
                <w:color w:val="auto"/>
              </w:rPr>
              <w:t>Three Months Ended March 31, 2026</w:t>
            </w: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30"/>
        </w:trPr>
        <w:tc>
          <w:tcPr>
            <w:tcW w:w="40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357"/>
        </w:trPr>
        <w:tc>
          <w:tcPr>
            <w:tcW w:w="4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Changes in</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46"/>
        </w:trPr>
        <w:tc>
          <w:tcPr>
            <w:tcW w:w="4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Unrealized</w:t>
            </w: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Changes in</w:t>
            </w:r>
          </w:p>
        </w:tc>
        <w:tc>
          <w:tcPr>
            <w:tcW w:w="1140" w:type="dxa"/>
            <w:vAlign w:val="bottom"/>
            <w:gridSpan w:val="3"/>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Discount Rates on</w:t>
            </w: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46"/>
        </w:trPr>
        <w:tc>
          <w:tcPr>
            <w:tcW w:w="4060" w:type="dxa"/>
            <w:vAlign w:val="bottom"/>
          </w:tcPr>
          <w:p>
            <w:pPr>
              <w:spacing w:after="0"/>
              <w:rPr>
                <w:sz w:val="12"/>
                <w:szCs w:val="12"/>
                <w:color w:val="auto"/>
              </w:rPr>
            </w:pP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Investment Gains</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Unrealized Gains</w:t>
            </w:r>
          </w:p>
        </w:tc>
        <w:tc>
          <w:tcPr>
            <w:tcW w:w="1360" w:type="dxa"/>
            <w:vAlign w:val="bottom"/>
            <w:gridSpan w:val="3"/>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Nonperformance Risk</w:t>
            </w:r>
          </w:p>
        </w:tc>
        <w:tc>
          <w:tcPr>
            <w:tcW w:w="1140" w:type="dxa"/>
            <w:vAlign w:val="bottom"/>
            <w:gridSpan w:val="3"/>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the Liability for</w:t>
            </w:r>
          </w:p>
        </w:tc>
        <w:tc>
          <w:tcPr>
            <w:tcW w:w="1240" w:type="dxa"/>
            <w:vAlign w:val="bottom"/>
            <w:gridSpan w:val="3"/>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Foreign Currency</w:t>
            </w: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46"/>
        </w:trPr>
        <w:tc>
          <w:tcPr>
            <w:tcW w:w="4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(Losses), Net of</w:t>
            </w:r>
          </w:p>
        </w:tc>
        <w:tc>
          <w:tcPr>
            <w:tcW w:w="180" w:type="dxa"/>
            <w:vAlign w:val="bottom"/>
          </w:tcPr>
          <w:p>
            <w:pPr>
              <w:spacing w:after="0"/>
              <w:rPr>
                <w:sz w:val="12"/>
                <w:szCs w:val="12"/>
                <w:color w:val="auto"/>
              </w:rPr>
            </w:pP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12"/>
                <w:szCs w:val="12"/>
                <w:b w:val="1"/>
                <w:bCs w:val="1"/>
                <w:color w:val="auto"/>
              </w:rPr>
              <w:t>(Losses) on</w:t>
            </w:r>
          </w:p>
        </w:tc>
        <w:tc>
          <w:tcPr>
            <w:tcW w:w="140" w:type="dxa"/>
            <w:vAlign w:val="bottom"/>
          </w:tcPr>
          <w:p>
            <w:pPr>
              <w:spacing w:after="0"/>
              <w:rPr>
                <w:sz w:val="12"/>
                <w:szCs w:val="12"/>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on Market Risk</w:t>
            </w:r>
          </w:p>
        </w:tc>
        <w:tc>
          <w:tcPr>
            <w:tcW w:w="140" w:type="dxa"/>
            <w:vAlign w:val="bottom"/>
          </w:tcPr>
          <w:p>
            <w:pPr>
              <w:spacing w:after="0"/>
              <w:rPr>
                <w:sz w:val="12"/>
                <w:szCs w:val="12"/>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Future Policy</w:t>
            </w:r>
          </w:p>
        </w:tc>
        <w:tc>
          <w:tcPr>
            <w:tcW w:w="160" w:type="dxa"/>
            <w:vAlign w:val="bottom"/>
          </w:tcPr>
          <w:p>
            <w:pPr>
              <w:spacing w:after="0"/>
              <w:rPr>
                <w:sz w:val="12"/>
                <w:szCs w:val="12"/>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Translation</w:t>
            </w: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75"/>
        </w:trPr>
        <w:tc>
          <w:tcPr>
            <w:tcW w:w="4060" w:type="dxa"/>
            <w:vAlign w:val="bottom"/>
          </w:tcPr>
          <w:p>
            <w:pPr>
              <w:spacing w:after="0"/>
              <w:rPr>
                <w:sz w:val="15"/>
                <w:szCs w:val="15"/>
                <w:color w:val="auto"/>
              </w:rPr>
            </w:pPr>
          </w:p>
        </w:tc>
        <w:tc>
          <w:tcPr>
            <w:tcW w:w="1220" w:type="dxa"/>
            <w:vAlign w:val="bottom"/>
            <w:gridSpan w:val="3"/>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rPr>
              <w:t>Related Offsets (1)</w:t>
            </w:r>
          </w:p>
        </w:tc>
        <w:tc>
          <w:tcPr>
            <w:tcW w:w="180" w:type="dxa"/>
            <w:vAlign w:val="bottom"/>
          </w:tcPr>
          <w:p>
            <w:pPr>
              <w:spacing w:after="0"/>
              <w:rPr>
                <w:sz w:val="15"/>
                <w:szCs w:val="15"/>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rPr>
              <w:t>Derivatives</w:t>
            </w:r>
          </w:p>
        </w:tc>
        <w:tc>
          <w:tcPr>
            <w:tcW w:w="140" w:type="dxa"/>
            <w:vAlign w:val="bottom"/>
          </w:tcPr>
          <w:p>
            <w:pPr>
              <w:spacing w:after="0"/>
              <w:rPr>
                <w:sz w:val="15"/>
                <w:szCs w:val="15"/>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Benefits</w:t>
            </w:r>
          </w:p>
        </w:tc>
        <w:tc>
          <w:tcPr>
            <w:tcW w:w="140" w:type="dxa"/>
            <w:vAlign w:val="bottom"/>
          </w:tcPr>
          <w:p>
            <w:pPr>
              <w:spacing w:after="0"/>
              <w:rPr>
                <w:sz w:val="15"/>
                <w:szCs w:val="15"/>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Benefits</w:t>
            </w:r>
          </w:p>
        </w:tc>
        <w:tc>
          <w:tcPr>
            <w:tcW w:w="160" w:type="dxa"/>
            <w:vAlign w:val="bottom"/>
          </w:tcPr>
          <w:p>
            <w:pPr>
              <w:spacing w:after="0"/>
              <w:rPr>
                <w:sz w:val="15"/>
                <w:szCs w:val="15"/>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rPr>
              <w:t>Adjustments</w:t>
            </w:r>
          </w:p>
        </w:tc>
        <w:tc>
          <w:tcPr>
            <w:tcW w:w="240" w:type="dxa"/>
            <w:vAlign w:val="bottom"/>
          </w:tcPr>
          <w:p>
            <w:pPr>
              <w:spacing w:after="0"/>
              <w:rPr>
                <w:sz w:val="15"/>
                <w:szCs w:val="15"/>
                <w:color w:val="auto"/>
              </w:rPr>
            </w:pPr>
          </w:p>
        </w:tc>
        <w:tc>
          <w:tcPr>
            <w:tcW w:w="760" w:type="dxa"/>
            <w:vAlign w:val="bottom"/>
          </w:tcPr>
          <w:p>
            <w:pPr>
              <w:jc w:val="right"/>
              <w:ind w:right="290"/>
              <w:spacing w:after="0"/>
              <w:rPr>
                <w:sz w:val="20"/>
                <w:szCs w:val="20"/>
                <w:color w:val="auto"/>
              </w:rPr>
            </w:pPr>
            <w:r>
              <w:rPr>
                <w:rFonts w:ascii="Times New Roman" w:cs="Times New Roman" w:eastAsia="Times New Roman" w:hAnsi="Times New Roman"/>
                <w:sz w:val="12"/>
                <w:szCs w:val="12"/>
                <w:b w:val="1"/>
                <w:bCs w:val="1"/>
                <w:color w:val="auto"/>
              </w:rPr>
              <w:t>Total</w:t>
            </w:r>
          </w:p>
        </w:tc>
      </w:tr>
      <w:tr>
        <w:trPr>
          <w:trHeight w:val="30"/>
        </w:trPr>
        <w:tc>
          <w:tcPr>
            <w:tcW w:w="40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374"/>
        </w:trPr>
        <w:tc>
          <w:tcPr>
            <w:tcW w:w="4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rPr>
              <w:t>(In millions)</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30"/>
        </w:trPr>
        <w:tc>
          <w:tcPr>
            <w:tcW w:w="4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417"/>
        </w:trPr>
        <w:tc>
          <w:tcPr>
            <w:tcW w:w="4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December 31, 2025</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(3,414)</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(1,255)</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885</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(3,602)</w:t>
            </w:r>
          </w:p>
        </w:tc>
      </w:tr>
      <w:tr>
        <w:trPr>
          <w:trHeight w:val="413"/>
        </w:trPr>
        <w:tc>
          <w:tcPr>
            <w:tcW w:w="4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OCI before reclassifications</w:t>
            </w: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(944)</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(545)</w:t>
            </w:r>
          </w:p>
        </w:tc>
      </w:tr>
      <w:tr>
        <w:trPr>
          <w:trHeight w:val="24"/>
        </w:trPr>
        <w:tc>
          <w:tcPr>
            <w:tcW w:w="4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437"/>
        </w:trPr>
        <w:tc>
          <w:tcPr>
            <w:tcW w:w="4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income tax benefit (expense) (2)</w:t>
            </w:r>
          </w:p>
        </w:tc>
        <w:tc>
          <w:tcPr>
            <w:tcW w:w="14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w:t>
            </w:r>
          </w:p>
        </w:tc>
      </w:tr>
      <w:tr>
        <w:trPr>
          <w:trHeight w:val="406"/>
        </w:trPr>
        <w:tc>
          <w:tcPr>
            <w:tcW w:w="40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AOCI before reclassifications, net of income tax</w:t>
            </w:r>
          </w:p>
        </w:tc>
        <w:tc>
          <w:tcPr>
            <w:tcW w:w="14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(4,160)</w:t>
            </w: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(1,168)</w:t>
            </w: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1,043</w:t>
            </w: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(4,032)</w:t>
            </w:r>
          </w:p>
        </w:tc>
      </w:tr>
      <w:tr>
        <w:trPr>
          <w:trHeight w:val="24"/>
        </w:trPr>
        <w:tc>
          <w:tcPr>
            <w:tcW w:w="4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417"/>
        </w:trPr>
        <w:tc>
          <w:tcPr>
            <w:tcW w:w="4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Amounts reclassified from AOCI</w:t>
            </w:r>
          </w:p>
        </w:tc>
        <w:tc>
          <w:tcPr>
            <w:tcW w:w="14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r>
      <w:tr>
        <w:trPr>
          <w:trHeight w:val="413"/>
        </w:trPr>
        <w:tc>
          <w:tcPr>
            <w:tcW w:w="4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income tax benefit (expense) (2)</w:t>
            </w: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4"/>
                <w:szCs w:val="24"/>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24"/>
        </w:trPr>
        <w:tc>
          <w:tcPr>
            <w:tcW w:w="40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430"/>
        </w:trPr>
        <w:tc>
          <w:tcPr>
            <w:tcW w:w="4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Amounts reclassified from AOCI, net of income tax</w:t>
            </w:r>
          </w:p>
        </w:tc>
        <w:tc>
          <w:tcPr>
            <w:tcW w:w="14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r>
      <w:tr>
        <w:trPr>
          <w:trHeight w:val="425"/>
        </w:trPr>
        <w:tc>
          <w:tcPr>
            <w:tcW w:w="4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March 31, 2026</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(4,143)</w:t>
            </w:r>
          </w:p>
        </w:tc>
        <w:tc>
          <w:tcPr>
            <w:tcW w:w="100" w:type="dxa"/>
            <w:vAlign w:val="bottom"/>
          </w:tcPr>
          <w:p>
            <w:pPr>
              <w:spacing w:after="0"/>
              <w:rPr>
                <w:sz w:val="24"/>
                <w:szCs w:val="24"/>
                <w:color w:val="auto"/>
              </w:rPr>
            </w:pPr>
          </w:p>
        </w:tc>
        <w:tc>
          <w:tcPr>
            <w:tcW w:w="18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251</w:t>
            </w:r>
          </w:p>
        </w:tc>
        <w:tc>
          <w:tcPr>
            <w:tcW w:w="100" w:type="dxa"/>
            <w:vAlign w:val="bottom"/>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(1,168)</w:t>
            </w:r>
          </w:p>
        </w:tc>
        <w:tc>
          <w:tcPr>
            <w:tcW w:w="100" w:type="dxa"/>
            <w:vAlign w:val="bottom"/>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1,043</w:t>
            </w:r>
          </w:p>
        </w:tc>
        <w:tc>
          <w:tcPr>
            <w:tcW w:w="100" w:type="dxa"/>
            <w:vAlign w:val="bottom"/>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Pr>
          <w:p>
            <w:pPr>
              <w:spacing w:after="0"/>
              <w:rPr>
                <w:sz w:val="24"/>
                <w:szCs w:val="24"/>
                <w:color w:val="auto"/>
              </w:rPr>
            </w:pPr>
          </w:p>
        </w:tc>
        <w:tc>
          <w:tcPr>
            <w:tcW w:w="240" w:type="dxa"/>
            <w:vAlign w:val="bottom"/>
            <w:tcBorders>
              <w:top w:val="single" w:sz="8" w:color="auto"/>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(4,014)</w:t>
            </w:r>
          </w:p>
        </w:tc>
      </w:tr>
      <w:tr>
        <w:trPr>
          <w:trHeight w:val="25"/>
        </w:trPr>
        <w:tc>
          <w:tcPr>
            <w:tcW w:w="40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bl>
    <w:p>
      <w:pPr>
        <w:sectPr>
          <w:pgSz w:w="11900" w:h="16838" w:orient="portrait"/>
          <w:cols w:equalWidth="0" w:num="1">
            <w:col w:w="11240"/>
          </w:cols>
          <w:pgMar w:left="320" w:top="283" w:right="339" w:bottom="115" w:gutter="0" w:footer="0" w:header="0"/>
        </w:sectPr>
      </w:pPr>
    </w:p>
    <w:bookmarkStart w:id="61" w:name="page62"/>
    <w:bookmarkEnd w:id="61"/>
    <w:p>
      <w:pPr>
        <w:jc w:val="center"/>
        <w:ind w:right="-320"/>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69215</wp:posOffset>
            </wp:positionV>
            <wp:extent cx="7160260"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9019"/>
          </w:cols>
          <w:pgMar w:left="1440" w:top="386" w:right="1440"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Life Insurance Company</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 Indirect Wholly-Owned Subsidiary of Brighthouse Financial, Inc.)</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Interim Condensed Consolidated Financial Statements (Unaudited) (continued)</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Equity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2"/>
          <w:szCs w:val="12"/>
          <w:b w:val="1"/>
          <w:bCs w:val="1"/>
          <w:color w:val="auto"/>
        </w:rPr>
        <w:t>Three Months Ended March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2569845</wp:posOffset>
            </wp:positionH>
            <wp:positionV relativeFrom="paragraph">
              <wp:posOffset>34290</wp:posOffset>
            </wp:positionV>
            <wp:extent cx="456882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4568825" cy="8255"/>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p>
      <w:pPr>
        <w:spacing w:after="0" w:line="286" w:lineRule="exact"/>
        <w:rPr>
          <w:sz w:val="20"/>
          <w:szCs w:val="20"/>
          <w:color w:val="auto"/>
        </w:rPr>
      </w:pPr>
    </w:p>
    <w:tbl>
      <w:tblPr>
        <w:tblLayout w:type="fixed"/>
        <w:tblInd w:w="4120" w:type="dxa"/>
        <w:tblCellMar>
          <w:top w:w="0" w:type="dxa"/>
          <w:left w:w="0" w:type="dxa"/>
          <w:bottom w:w="0" w:type="dxa"/>
          <w:right w:w="0" w:type="dxa"/>
        </w:tblCellMar>
      </w:tblPr>
      <w:tr>
        <w:trPr>
          <w:trHeight w:val="146"/>
        </w:trPr>
        <w:tc>
          <w:tcPr>
            <w:tcW w:w="1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60" w:type="dxa"/>
            <w:vAlign w:val="bottom"/>
          </w:tcPr>
          <w:p>
            <w:pPr>
              <w:jc w:val="center"/>
              <w:ind w:left="18"/>
              <w:spacing w:after="0"/>
              <w:rPr>
                <w:sz w:val="20"/>
                <w:szCs w:val="20"/>
                <w:color w:val="auto"/>
              </w:rPr>
            </w:pPr>
            <w:r>
              <w:rPr>
                <w:rFonts w:ascii="Times New Roman" w:cs="Times New Roman" w:eastAsia="Times New Roman" w:hAnsi="Times New Roman"/>
                <w:sz w:val="12"/>
                <w:szCs w:val="12"/>
                <w:b w:val="1"/>
                <w:bCs w:val="1"/>
                <w:color w:val="auto"/>
              </w:rPr>
              <w:t>Changes in</w:t>
            </w:r>
          </w:p>
        </w:tc>
      </w:tr>
      <w:tr>
        <w:trPr>
          <w:trHeight w:val="146"/>
        </w:trPr>
        <w:tc>
          <w:tcPr>
            <w:tcW w:w="1120" w:type="dxa"/>
            <w:vAlign w:val="bottom"/>
          </w:tcPr>
          <w:p>
            <w:pPr>
              <w:jc w:val="center"/>
              <w:ind w:right="78"/>
              <w:spacing w:after="0"/>
              <w:rPr>
                <w:sz w:val="20"/>
                <w:szCs w:val="20"/>
                <w:color w:val="auto"/>
              </w:rPr>
            </w:pPr>
            <w:r>
              <w:rPr>
                <w:rFonts w:ascii="Times New Roman" w:cs="Times New Roman" w:eastAsia="Times New Roman" w:hAnsi="Times New Roman"/>
                <w:sz w:val="12"/>
                <w:szCs w:val="12"/>
                <w:b w:val="1"/>
                <w:bCs w:val="1"/>
                <w:color w:val="auto"/>
              </w:rPr>
              <w:t>Unrealized</w:t>
            </w:r>
          </w:p>
        </w:tc>
        <w:tc>
          <w:tcPr>
            <w:tcW w:w="1160" w:type="dxa"/>
            <w:vAlign w:val="bottom"/>
          </w:tcPr>
          <w:p>
            <w:pPr>
              <w:spacing w:after="0"/>
              <w:rPr>
                <w:sz w:val="12"/>
                <w:szCs w:val="12"/>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Changes in</w:t>
            </w:r>
          </w:p>
        </w:tc>
        <w:tc>
          <w:tcPr>
            <w:tcW w:w="1060" w:type="dxa"/>
            <w:vAlign w:val="bottom"/>
          </w:tcPr>
          <w:p>
            <w:pPr>
              <w:jc w:val="center"/>
              <w:ind w:left="38"/>
              <w:spacing w:after="0"/>
              <w:rPr>
                <w:sz w:val="20"/>
                <w:szCs w:val="20"/>
                <w:color w:val="auto"/>
              </w:rPr>
            </w:pPr>
            <w:r>
              <w:rPr>
                <w:rFonts w:ascii="Times New Roman" w:cs="Times New Roman" w:eastAsia="Times New Roman" w:hAnsi="Times New Roman"/>
                <w:sz w:val="12"/>
                <w:szCs w:val="12"/>
                <w:b w:val="1"/>
                <w:bCs w:val="1"/>
                <w:color w:val="auto"/>
              </w:rPr>
              <w:t>Discount Rates on</w:t>
            </w:r>
          </w:p>
        </w:tc>
      </w:tr>
      <w:tr>
        <w:trPr>
          <w:trHeight w:val="146"/>
        </w:trPr>
        <w:tc>
          <w:tcPr>
            <w:tcW w:w="1120" w:type="dxa"/>
            <w:vAlign w:val="bottom"/>
          </w:tcPr>
          <w:p>
            <w:pPr>
              <w:jc w:val="center"/>
              <w:ind w:right="98"/>
              <w:spacing w:after="0"/>
              <w:rPr>
                <w:sz w:val="20"/>
                <w:szCs w:val="20"/>
                <w:color w:val="auto"/>
              </w:rPr>
            </w:pPr>
            <w:r>
              <w:rPr>
                <w:rFonts w:ascii="Times New Roman" w:cs="Times New Roman" w:eastAsia="Times New Roman" w:hAnsi="Times New Roman"/>
                <w:sz w:val="12"/>
                <w:szCs w:val="12"/>
                <w:b w:val="1"/>
                <w:bCs w:val="1"/>
                <w:color w:val="auto"/>
              </w:rPr>
              <w:t>Investment Gains</w:t>
            </w:r>
          </w:p>
        </w:tc>
        <w:tc>
          <w:tcPr>
            <w:tcW w:w="11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Unrealized Gains</w:t>
            </w:r>
          </w:p>
        </w:tc>
        <w:tc>
          <w:tcPr>
            <w:tcW w:w="14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Nonperformance Risk</w:t>
            </w:r>
          </w:p>
        </w:tc>
        <w:tc>
          <w:tcPr>
            <w:tcW w:w="1060" w:type="dxa"/>
            <w:vAlign w:val="bottom"/>
          </w:tcPr>
          <w:p>
            <w:pPr>
              <w:jc w:val="center"/>
              <w:ind w:left="38"/>
              <w:spacing w:after="0"/>
              <w:rPr>
                <w:sz w:val="20"/>
                <w:szCs w:val="20"/>
                <w:color w:val="auto"/>
              </w:rPr>
            </w:pPr>
            <w:r>
              <w:rPr>
                <w:rFonts w:ascii="Times New Roman" w:cs="Times New Roman" w:eastAsia="Times New Roman" w:hAnsi="Times New Roman"/>
                <w:sz w:val="12"/>
                <w:szCs w:val="12"/>
                <w:b w:val="1"/>
                <w:bCs w:val="1"/>
                <w:color w:val="auto"/>
              </w:rPr>
              <w:t>the Liability for</w:t>
            </w:r>
          </w:p>
        </w:tc>
      </w:tr>
      <w:tr>
        <w:trPr>
          <w:trHeight w:val="146"/>
        </w:trPr>
        <w:tc>
          <w:tcPr>
            <w:tcW w:w="1120" w:type="dxa"/>
            <w:vAlign w:val="bottom"/>
          </w:tcPr>
          <w:p>
            <w:pPr>
              <w:jc w:val="center"/>
              <w:ind w:right="98"/>
              <w:spacing w:after="0"/>
              <w:rPr>
                <w:sz w:val="20"/>
                <w:szCs w:val="20"/>
                <w:color w:val="auto"/>
              </w:rPr>
            </w:pPr>
            <w:r>
              <w:rPr>
                <w:rFonts w:ascii="Times New Roman" w:cs="Times New Roman" w:eastAsia="Times New Roman" w:hAnsi="Times New Roman"/>
                <w:sz w:val="12"/>
                <w:szCs w:val="12"/>
                <w:b w:val="1"/>
                <w:bCs w:val="1"/>
                <w:color w:val="auto"/>
              </w:rPr>
              <w:t>(Losses), Net of</w:t>
            </w:r>
          </w:p>
        </w:tc>
        <w:tc>
          <w:tcPr>
            <w:tcW w:w="11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(Losses) on</w:t>
            </w:r>
          </w:p>
        </w:tc>
        <w:tc>
          <w:tcPr>
            <w:tcW w:w="14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on Market Risk</w:t>
            </w:r>
          </w:p>
        </w:tc>
        <w:tc>
          <w:tcPr>
            <w:tcW w:w="1060" w:type="dxa"/>
            <w:vAlign w:val="bottom"/>
          </w:tcPr>
          <w:p>
            <w:pPr>
              <w:jc w:val="center"/>
              <w:ind w:left="38"/>
              <w:spacing w:after="0"/>
              <w:rPr>
                <w:sz w:val="20"/>
                <w:szCs w:val="20"/>
                <w:color w:val="auto"/>
              </w:rPr>
            </w:pPr>
            <w:r>
              <w:rPr>
                <w:rFonts w:ascii="Times New Roman" w:cs="Times New Roman" w:eastAsia="Times New Roman" w:hAnsi="Times New Roman"/>
                <w:sz w:val="12"/>
                <w:szCs w:val="12"/>
                <w:b w:val="1"/>
                <w:bCs w:val="1"/>
                <w:color w:val="auto"/>
              </w:rPr>
              <w:t>Future Policy</w:t>
            </w:r>
          </w:p>
        </w:tc>
      </w:tr>
      <w:tr>
        <w:trPr>
          <w:trHeight w:val="175"/>
        </w:trPr>
        <w:tc>
          <w:tcPr>
            <w:tcW w:w="1120" w:type="dxa"/>
            <w:vAlign w:val="bottom"/>
          </w:tcPr>
          <w:p>
            <w:pPr>
              <w:jc w:val="center"/>
              <w:ind w:right="78"/>
              <w:spacing w:after="0"/>
              <w:rPr>
                <w:sz w:val="20"/>
                <w:szCs w:val="20"/>
                <w:color w:val="auto"/>
              </w:rPr>
            </w:pPr>
            <w:r>
              <w:rPr>
                <w:rFonts w:ascii="Times New Roman" w:cs="Times New Roman" w:eastAsia="Times New Roman" w:hAnsi="Times New Roman"/>
                <w:sz w:val="12"/>
                <w:szCs w:val="12"/>
                <w:b w:val="1"/>
                <w:bCs w:val="1"/>
                <w:color w:val="auto"/>
              </w:rPr>
              <w:t>Related Offsets (1)</w:t>
            </w:r>
          </w:p>
        </w:tc>
        <w:tc>
          <w:tcPr>
            <w:tcW w:w="11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Derivatives</w:t>
            </w:r>
          </w:p>
        </w:tc>
        <w:tc>
          <w:tcPr>
            <w:tcW w:w="14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Benefits</w:t>
            </w:r>
          </w:p>
        </w:tc>
        <w:tc>
          <w:tcPr>
            <w:tcW w:w="1060" w:type="dxa"/>
            <w:vAlign w:val="bottom"/>
          </w:tcPr>
          <w:p>
            <w:pPr>
              <w:jc w:val="center"/>
              <w:ind w:left="18"/>
              <w:spacing w:after="0"/>
              <w:rPr>
                <w:sz w:val="20"/>
                <w:szCs w:val="20"/>
                <w:color w:val="auto"/>
              </w:rPr>
            </w:pPr>
            <w:r>
              <w:rPr>
                <w:rFonts w:ascii="Times New Roman" w:cs="Times New Roman" w:eastAsia="Times New Roman" w:hAnsi="Times New Roman"/>
                <w:sz w:val="12"/>
                <w:szCs w:val="12"/>
                <w:b w:val="1"/>
                <w:bCs w:val="1"/>
                <w:color w:val="auto"/>
              </w:rPr>
              <w:t>Benefits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2569845</wp:posOffset>
            </wp:positionH>
            <wp:positionV relativeFrom="paragraph">
              <wp:posOffset>19050</wp:posOffset>
            </wp:positionV>
            <wp:extent cx="456882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456882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8"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2"/>
          <w:szCs w:val="12"/>
          <w:b w:val="1"/>
          <w:bCs w:val="1"/>
          <w:color w:val="auto"/>
        </w:rPr>
        <w:t>Foreign Currency</w:t>
      </w:r>
    </w:p>
    <w:p>
      <w:pPr>
        <w:spacing w:after="0" w:line="24"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2"/>
          <w:szCs w:val="12"/>
          <w:b w:val="1"/>
          <w:bCs w:val="1"/>
          <w:color w:val="auto"/>
        </w:rPr>
        <w:t>Translation</w:t>
      </w:r>
    </w:p>
    <w:p>
      <w:pPr>
        <w:spacing w:after="0" w:line="8" w:lineRule="exact"/>
        <w:rPr>
          <w:sz w:val="20"/>
          <w:szCs w:val="20"/>
          <w:color w:val="auto"/>
        </w:rPr>
      </w:pPr>
    </w:p>
    <w:p>
      <w:pPr>
        <w:ind w:left="120"/>
        <w:spacing w:after="0"/>
        <w:tabs>
          <w:tab w:leader="none" w:pos="1480" w:val="left"/>
        </w:tabs>
        <w:rPr>
          <w:sz w:val="20"/>
          <w:szCs w:val="20"/>
          <w:color w:val="auto"/>
        </w:rPr>
      </w:pPr>
      <w:r>
        <w:rPr>
          <w:rFonts w:ascii="Times New Roman" w:cs="Times New Roman" w:eastAsia="Times New Roman" w:hAnsi="Times New Roman"/>
          <w:sz w:val="12"/>
          <w:szCs w:val="12"/>
          <w:b w:val="1"/>
          <w:bCs w:val="1"/>
          <w:color w:val="auto"/>
        </w:rPr>
        <w:t>Adjustments</w:t>
      </w:r>
      <w:r>
        <w:rPr>
          <w:sz w:val="20"/>
          <w:szCs w:val="20"/>
          <w:color w:val="auto"/>
        </w:rPr>
        <w:tab/>
      </w:r>
      <w:r>
        <w:rPr>
          <w:rFonts w:ascii="Times New Roman" w:cs="Times New Roman" w:eastAsia="Times New Roman" w:hAnsi="Times New Roman"/>
          <w:sz w:val="12"/>
          <w:szCs w:val="12"/>
          <w:b w:val="1"/>
          <w:bCs w:val="1"/>
          <w:color w:val="auto"/>
        </w:rPr>
        <w:t>Total</w:t>
      </w:r>
    </w:p>
    <w:p>
      <w:pPr>
        <w:spacing w:after="0" w:line="221" w:lineRule="exact"/>
        <w:rPr>
          <w:sz w:val="20"/>
          <w:szCs w:val="20"/>
          <w:color w:val="auto"/>
        </w:rPr>
      </w:pPr>
    </w:p>
    <w:p>
      <w:pPr>
        <w:sectPr>
          <w:pgSz w:w="11900" w:h="16838" w:orient="portrait"/>
          <w:cols w:equalWidth="0" w:num="2">
            <w:col w:w="8860" w:space="240"/>
            <w:col w:w="2140"/>
          </w:cols>
          <w:pgMar w:left="320" w:top="230" w:right="339" w:bottom="1440" w:gutter="0" w:footer="0" w:header="0"/>
          <w:type w:val="continuous"/>
        </w:sectPr>
      </w:pPr>
    </w:p>
    <w:p>
      <w:pPr>
        <w:spacing w:after="0" w:line="62"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2"/>
          <w:szCs w:val="12"/>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34290</wp:posOffset>
            </wp:positionV>
            <wp:extent cx="7134860" cy="27749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4860" cy="277495"/>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type w:val="continuous"/>
        </w:sect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December 31, 2024</w:t>
            </w:r>
          </w:p>
        </w:tc>
        <w:tc>
          <w:tcPr>
            <w:tcW w:w="40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(5,046)</w:t>
            </w:r>
          </w:p>
        </w:tc>
        <w:tc>
          <w:tcPr>
            <w:tcW w:w="100" w:type="dxa"/>
            <w:vAlign w:val="bottom"/>
          </w:tcPr>
          <w:p>
            <w:pPr>
              <w:spacing w:after="0"/>
              <w:rPr>
                <w:sz w:val="17"/>
                <w:szCs w:val="17"/>
                <w:color w:val="auto"/>
              </w:rPr>
            </w:pPr>
          </w:p>
        </w:tc>
        <w:tc>
          <w:tcPr>
            <w:tcW w:w="48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364</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424"/>
        </w:trPr>
        <w:tc>
          <w:tcPr>
            <w:tcW w:w="4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OCI before reclassifications</w:t>
            </w:r>
          </w:p>
        </w:tc>
        <w:tc>
          <w:tcPr>
            <w:tcW w:w="4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913</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7"/>
        </w:trPr>
        <w:tc>
          <w:tcPr>
            <w:tcW w:w="4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income tax benefit (expense) (2)</w:t>
            </w:r>
          </w:p>
        </w:tc>
        <w:tc>
          <w:tcPr>
            <w:tcW w:w="4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
        </w:trPr>
        <w:tc>
          <w:tcPr>
            <w:tcW w:w="4040" w:type="dxa"/>
            <w:vAlign w:val="bottom"/>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06"/>
        </w:trPr>
        <w:tc>
          <w:tcPr>
            <w:tcW w:w="40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AOCI before reclassifications, net of income tax</w:t>
            </w:r>
          </w:p>
        </w:tc>
        <w:tc>
          <w:tcPr>
            <w:tcW w:w="4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(4,324)</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351</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4"/>
        </w:trPr>
        <w:tc>
          <w:tcPr>
            <w:tcW w:w="4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Amounts reclassified from AOCI</w:t>
            </w:r>
          </w:p>
        </w:tc>
        <w:tc>
          <w:tcPr>
            <w:tcW w:w="4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7"/>
        </w:trPr>
        <w:tc>
          <w:tcPr>
            <w:tcW w:w="4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income tax benefit (expense) (2)</w:t>
            </w:r>
          </w:p>
        </w:tc>
        <w:tc>
          <w:tcPr>
            <w:tcW w:w="4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
        </w:trPr>
        <w:tc>
          <w:tcPr>
            <w:tcW w:w="4040" w:type="dxa"/>
            <w:vAlign w:val="bottom"/>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06"/>
        </w:trPr>
        <w:tc>
          <w:tcPr>
            <w:tcW w:w="40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Amounts reclassified from AOCI, net of income tax</w:t>
            </w:r>
          </w:p>
        </w:tc>
        <w:tc>
          <w:tcPr>
            <w:tcW w:w="4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40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24"/>
        </w:trPr>
        <w:tc>
          <w:tcPr>
            <w:tcW w:w="4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March 31, 2025</w:t>
            </w:r>
          </w:p>
        </w:tc>
        <w:tc>
          <w:tcPr>
            <w:tcW w:w="40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(4,302)</w:t>
            </w:r>
          </w:p>
        </w:tc>
        <w:tc>
          <w:tcPr>
            <w:tcW w:w="100" w:type="dxa"/>
            <w:vAlign w:val="bottom"/>
          </w:tcPr>
          <w:p>
            <w:pPr>
              <w:spacing w:after="0"/>
              <w:rPr>
                <w:sz w:val="24"/>
                <w:szCs w:val="24"/>
                <w:color w:val="auto"/>
              </w:rPr>
            </w:pPr>
          </w:p>
        </w:tc>
        <w:tc>
          <w:tcPr>
            <w:tcW w:w="48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345</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6"/>
        </w:trPr>
        <w:tc>
          <w:tcPr>
            <w:tcW w:w="40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_______________</w:t>
            </w:r>
          </w:p>
        </w:tc>
        <w:tc>
          <w:tcPr>
            <w:tcW w:w="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7"/>
        </w:trPr>
        <w:tc>
          <w:tcPr>
            <w:tcW w:w="4040" w:type="dxa"/>
            <w:vAlign w:val="bottom"/>
            <w:vMerge w:val="continue"/>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-1885315</wp:posOffset>
            </wp:positionV>
            <wp:extent cx="7134860" cy="27749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4860" cy="27749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-1322070</wp:posOffset>
            </wp:positionV>
            <wp:extent cx="7134860" cy="27749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4860" cy="27749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-766445</wp:posOffset>
            </wp:positionV>
            <wp:extent cx="7134860" cy="2857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4860" cy="285750"/>
                    </a:xfrm>
                    <a:prstGeom prst="rect">
                      <a:avLst/>
                    </a:prstGeom>
                    <a:noFill/>
                  </pic:spPr>
                </pic:pic>
              </a:graphicData>
            </a:graphic>
          </wp:anchor>
        </w:drawing>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See Note 7 for information on offsets to investments related to future policy benefits.</w:t>
      </w:r>
    </w:p>
    <w:p>
      <w:pPr>
        <w:spacing w:after="0" w:line="20" w:lineRule="exact"/>
        <w:rPr>
          <w:sz w:val="20"/>
          <w:szCs w:val="20"/>
          <w:color w:val="auto"/>
        </w:rPr>
      </w:pPr>
      <w:r>
        <w:rPr>
          <w:sz w:val="20"/>
          <w:szCs w:val="20"/>
          <w:color w:val="auto"/>
        </w:rPr>
        <w:br w:type="column"/>
      </w:r>
    </w:p>
    <w:p>
      <w:pPr>
        <w:spacing w:after="0" w:line="25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7"/>
        </w:trPr>
        <w:tc>
          <w:tcPr>
            <w:tcW w:w="5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97"/>
              </w:rPr>
              <w:t>(1,602)</w:t>
            </w:r>
          </w:p>
        </w:tc>
        <w:tc>
          <w:tcPr>
            <w:tcW w:w="40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1,146</w:t>
            </w:r>
          </w:p>
        </w:tc>
        <w:tc>
          <w:tcPr>
            <w:tcW w:w="100" w:type="dxa"/>
            <w:vAlign w:val="bottom"/>
          </w:tcPr>
          <w:p>
            <w:pPr>
              <w:spacing w:after="0"/>
              <w:rPr>
                <w:sz w:val="17"/>
                <w:szCs w:val="17"/>
                <w:color w:val="auto"/>
              </w:rPr>
            </w:pPr>
          </w:p>
        </w:tc>
        <w:tc>
          <w:tcPr>
            <w:tcW w:w="480" w:type="dxa"/>
            <w:vAlign w:val="bottom"/>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20" w:type="dxa"/>
            <w:vAlign w:val="bottom"/>
          </w:tcPr>
          <w:p>
            <w:pPr>
              <w:spacing w:after="0"/>
              <w:rPr>
                <w:sz w:val="17"/>
                <w:szCs w:val="17"/>
                <w:color w:val="auto"/>
              </w:rPr>
            </w:pPr>
          </w:p>
        </w:tc>
        <w:tc>
          <w:tcPr>
            <w:tcW w:w="34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(5,163)</w:t>
            </w:r>
          </w:p>
        </w:tc>
      </w:tr>
      <w:tr>
        <w:trPr>
          <w:trHeight w:val="437"/>
        </w:trPr>
        <w:tc>
          <w:tcPr>
            <w:tcW w:w="5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(27)</w:t>
            </w:r>
          </w:p>
        </w:tc>
        <w:tc>
          <w:tcPr>
            <w:tcW w:w="4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731</w:t>
            </w:r>
          </w:p>
        </w:tc>
      </w:tr>
      <w:tr>
        <w:trPr>
          <w:trHeight w:val="437"/>
        </w:trPr>
        <w:tc>
          <w:tcPr>
            <w:tcW w:w="5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6</w:t>
            </w:r>
          </w:p>
        </w:tc>
        <w:tc>
          <w:tcPr>
            <w:tcW w:w="4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w:t>
            </w:r>
          </w:p>
        </w:tc>
      </w:tr>
      <w:tr>
        <w:trPr>
          <w:trHeight w:val="24"/>
        </w:trPr>
        <w:tc>
          <w:tcPr>
            <w:tcW w:w="5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393"/>
        </w:trPr>
        <w:tc>
          <w:tcPr>
            <w:tcW w:w="5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97"/>
              </w:rPr>
              <w:t>(1,623)</w:t>
            </w:r>
          </w:p>
        </w:tc>
        <w:tc>
          <w:tcPr>
            <w:tcW w:w="4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1,023</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(4,585)</w:t>
            </w:r>
          </w:p>
        </w:tc>
      </w:tr>
      <w:tr>
        <w:trPr>
          <w:trHeight w:val="450"/>
        </w:trPr>
        <w:tc>
          <w:tcPr>
            <w:tcW w:w="5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24"/>
                <w:szCs w:val="24"/>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24"/>
                <w:szCs w:val="24"/>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r>
      <w:tr>
        <w:trPr>
          <w:trHeight w:val="437"/>
        </w:trPr>
        <w:tc>
          <w:tcPr>
            <w:tcW w:w="5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24"/>
                <w:szCs w:val="24"/>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24"/>
                <w:szCs w:val="24"/>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24"/>
        </w:trPr>
        <w:tc>
          <w:tcPr>
            <w:tcW w:w="5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393"/>
        </w:trPr>
        <w:tc>
          <w:tcPr>
            <w:tcW w:w="5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24"/>
                <w:szCs w:val="24"/>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24"/>
                <w:szCs w:val="24"/>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r>
      <w:tr>
        <w:trPr>
          <w:trHeight w:val="38"/>
        </w:trPr>
        <w:tc>
          <w:tcPr>
            <w:tcW w:w="540" w:type="dxa"/>
            <w:vAlign w:val="bottom"/>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r>
      <w:tr>
        <w:trPr>
          <w:trHeight w:val="393"/>
        </w:trPr>
        <w:tc>
          <w:tcPr>
            <w:tcW w:w="5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97"/>
              </w:rPr>
              <w:t>(1,623)</w:t>
            </w:r>
          </w:p>
        </w:tc>
        <w:tc>
          <w:tcPr>
            <w:tcW w:w="40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1,023</w:t>
            </w:r>
          </w:p>
        </w:tc>
        <w:tc>
          <w:tcPr>
            <w:tcW w:w="100" w:type="dxa"/>
            <w:vAlign w:val="bottom"/>
          </w:tcPr>
          <w:p>
            <w:pPr>
              <w:spacing w:after="0"/>
              <w:rPr>
                <w:sz w:val="24"/>
                <w:szCs w:val="24"/>
                <w:color w:val="auto"/>
              </w:rPr>
            </w:pPr>
          </w:p>
        </w:tc>
        <w:tc>
          <w:tcPr>
            <w:tcW w:w="480" w:type="dxa"/>
            <w:vAlign w:val="bottom"/>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tcPr>
          <w:p>
            <w:pPr>
              <w:spacing w:after="0"/>
              <w:rPr>
                <w:sz w:val="24"/>
                <w:szCs w:val="24"/>
                <w:color w:val="auto"/>
              </w:rPr>
            </w:pPr>
          </w:p>
        </w:tc>
        <w:tc>
          <w:tcPr>
            <w:tcW w:w="34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(4,569)</w:t>
            </w:r>
          </w:p>
        </w:tc>
      </w:tr>
      <w:tr>
        <w:trPr>
          <w:trHeight w:val="38"/>
        </w:trPr>
        <w:tc>
          <w:tcPr>
            <w:tcW w:w="540" w:type="dxa"/>
            <w:vAlign w:val="bottom"/>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r>
      <w:tr>
        <w:trPr>
          <w:trHeight w:val="20"/>
        </w:trPr>
        <w:tc>
          <w:tcPr>
            <w:tcW w:w="5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-318770</wp:posOffset>
            </wp:positionV>
            <wp:extent cx="79946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99465" cy="8255"/>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-33020</wp:posOffset>
            </wp:positionV>
            <wp:extent cx="79946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99465" cy="8255"/>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-7620</wp:posOffset>
            </wp:positionV>
            <wp:extent cx="79946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99465" cy="8255"/>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-1446530</wp:posOffset>
            </wp:positionV>
            <wp:extent cx="79946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99465" cy="8255"/>
                    </a:xfrm>
                    <a:prstGeom prst="rect">
                      <a:avLst/>
                    </a:prstGeom>
                    <a:noFill/>
                  </pic:spPr>
                </pic:pic>
              </a:graphicData>
            </a:graphic>
          </wp:anchor>
        </w:drawing>
      </w:r>
    </w:p>
    <w:p>
      <w:pPr>
        <w:spacing w:after="0" w:line="657" w:lineRule="exact"/>
        <w:rPr>
          <w:sz w:val="20"/>
          <w:szCs w:val="20"/>
          <w:color w:val="auto"/>
        </w:rPr>
      </w:pPr>
    </w:p>
    <w:p>
      <w:pPr>
        <w:sectPr>
          <w:pgSz w:w="11900" w:h="16838" w:orient="portrait"/>
          <w:cols w:equalWidth="0" w:num="2">
            <w:col w:w="6600" w:space="700"/>
            <w:col w:w="3940"/>
          </w:cols>
          <w:pgMar w:left="320" w:top="230" w:right="339" w:bottom="1440" w:gutter="0" w:footer="0" w:header="0"/>
          <w:type w:val="continuous"/>
        </w:sectPr>
      </w:pPr>
    </w:p>
    <w:p>
      <w:pPr>
        <w:ind w:left="320" w:hanging="314"/>
        <w:spacing w:after="0" w:line="274" w:lineRule="auto"/>
        <w:tabs>
          <w:tab w:leader="none" w:pos="31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income taxes on amounts recorded to AOCI are also recognized in AOCI. These income tax effects are released from AOCI when the related activity is reclassified into results from operations.</w:t>
      </w:r>
    </w:p>
    <w:p>
      <w:pPr>
        <w:spacing w:after="0" w:line="110" w:lineRule="exact"/>
        <w:rPr>
          <w:rFonts w:ascii="Times New Roman" w:cs="Times New Roman" w:eastAsia="Times New Roman" w:hAnsi="Times New Roman"/>
          <w:sz w:val="18"/>
          <w:szCs w:val="18"/>
          <w:color w:val="auto"/>
        </w:rPr>
      </w:pPr>
    </w:p>
    <w:p>
      <w:pPr>
        <w:ind w:left="3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regarding amounts reclassified out of each component of AOCI was as follows:</w:t>
      </w:r>
    </w:p>
    <w:p>
      <w:pPr>
        <w:sectPr>
          <w:pgSz w:w="11900" w:h="16838" w:orient="portrait"/>
          <w:cols w:equalWidth="0" w:num="1">
            <w:col w:w="11240"/>
          </w:cols>
          <w:pgMar w:left="320" w:top="230" w:right="339" w:bottom="1440" w:gutter="0" w:footer="0" w:header="0"/>
          <w:type w:val="continuous"/>
        </w:sectPr>
      </w:pPr>
    </w:p>
    <w:bookmarkStart w:id="63" w:name="page64"/>
    <w:bookmarkEnd w:id="63"/>
    <w:tbl>
      <w:tblPr>
        <w:tblLayout w:type="fixed"/>
        <w:tblInd w:w="0" w:type="dxa"/>
        <w:tblCellMar>
          <w:top w:w="0" w:type="dxa"/>
          <w:left w:w="0" w:type="dxa"/>
          <w:bottom w:w="0" w:type="dxa"/>
          <w:right w:w="0" w:type="dxa"/>
        </w:tblCellMar>
      </w:tblPr>
      <w:tr>
        <w:trPr>
          <w:trHeight w:val="146"/>
        </w:trPr>
        <w:tc>
          <w:tcPr>
            <w:tcW w:w="6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Consolidated Statements of</w:t>
            </w:r>
          </w:p>
        </w:tc>
      </w:tr>
      <w:tr>
        <w:trPr>
          <w:trHeight w:val="146"/>
        </w:trPr>
        <w:tc>
          <w:tcPr>
            <w:tcW w:w="6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Operations and Comprehensive Income</w:t>
            </w:r>
          </w:p>
        </w:tc>
      </w:tr>
      <w:tr>
        <w:trPr>
          <w:trHeight w:val="175"/>
        </w:trPr>
        <w:tc>
          <w:tcPr>
            <w:tcW w:w="6820" w:type="dxa"/>
            <w:vAlign w:val="bottom"/>
          </w:tcPr>
          <w:p>
            <w:pPr>
              <w:ind w:left="2860"/>
              <w:spacing w:after="0"/>
              <w:rPr>
                <w:sz w:val="20"/>
                <w:szCs w:val="20"/>
                <w:color w:val="auto"/>
              </w:rPr>
            </w:pPr>
            <w:r>
              <w:rPr>
                <w:rFonts w:ascii="Times New Roman" w:cs="Times New Roman" w:eastAsia="Times New Roman" w:hAnsi="Times New Roman"/>
                <w:sz w:val="12"/>
                <w:szCs w:val="12"/>
                <w:b w:val="1"/>
                <w:bCs w:val="1"/>
                <w:color w:val="auto"/>
              </w:rPr>
              <w:t>AOCI Components</w:t>
            </w:r>
          </w:p>
        </w:tc>
        <w:tc>
          <w:tcPr>
            <w:tcW w:w="2060" w:type="dxa"/>
            <w:vAlign w:val="bottom"/>
            <w:gridSpan w:val="5"/>
          </w:tcPr>
          <w:p>
            <w:pPr>
              <w:jc w:val="right"/>
              <w:ind w:right="110"/>
              <w:spacing w:after="0"/>
              <w:rPr>
                <w:sz w:val="20"/>
                <w:szCs w:val="20"/>
                <w:color w:val="auto"/>
              </w:rPr>
            </w:pPr>
            <w:r>
              <w:rPr>
                <w:rFonts w:ascii="Times New Roman" w:cs="Times New Roman" w:eastAsia="Times New Roman" w:hAnsi="Times New Roman"/>
                <w:sz w:val="12"/>
                <w:szCs w:val="12"/>
                <w:b w:val="1"/>
                <w:bCs w:val="1"/>
                <w:color w:val="auto"/>
              </w:rPr>
              <w:t>Amounts Reclassified from AOCI</w:t>
            </w:r>
          </w:p>
        </w:tc>
        <w:tc>
          <w:tcPr>
            <w:tcW w:w="100" w:type="dxa"/>
            <w:vAlign w:val="bottom"/>
          </w:tcPr>
          <w:p>
            <w:pPr>
              <w:spacing w:after="0"/>
              <w:rPr>
                <w:sz w:val="15"/>
                <w:szCs w:val="15"/>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(Loss) Locations</w:t>
            </w:r>
          </w:p>
        </w:tc>
      </w:tr>
      <w:tr>
        <w:trPr>
          <w:trHeight w:val="30"/>
        </w:trPr>
        <w:tc>
          <w:tcPr>
            <w:tcW w:w="68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4"/>
          </w:tcPr>
          <w:p>
            <w:pPr>
              <w:spacing w:after="0"/>
              <w:rPr>
                <w:sz w:val="2"/>
                <w:szCs w:val="2"/>
                <w:color w:val="auto"/>
              </w:rPr>
            </w:pPr>
          </w:p>
        </w:tc>
        <w:tc>
          <w:tcPr>
            <w:tcW w:w="100" w:type="dxa"/>
            <w:vAlign w:val="bottom"/>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r>
      <w:tr>
        <w:trPr>
          <w:trHeight w:val="113"/>
        </w:trPr>
        <w:tc>
          <w:tcPr>
            <w:tcW w:w="6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20" w:type="dxa"/>
            <w:vAlign w:val="bottom"/>
            <w:gridSpan w:val="4"/>
          </w:tcPr>
          <w:p>
            <w:pPr>
              <w:jc w:val="right"/>
              <w:ind w:right="390"/>
              <w:spacing w:after="0" w:line="113" w:lineRule="exact"/>
              <w:rPr>
                <w:sz w:val="20"/>
                <w:szCs w:val="20"/>
                <w:color w:val="auto"/>
              </w:rPr>
            </w:pPr>
            <w:r>
              <w:rPr>
                <w:rFonts w:ascii="Times New Roman" w:cs="Times New Roman" w:eastAsia="Times New Roman" w:hAnsi="Times New Roman"/>
                <w:sz w:val="12"/>
                <w:szCs w:val="12"/>
                <w:b w:val="1"/>
                <w:bCs w:val="1"/>
                <w:color w:val="auto"/>
              </w:rPr>
              <w:t>Three Months Ended</w:t>
            </w:r>
          </w:p>
        </w:tc>
        <w:tc>
          <w:tcPr>
            <w:tcW w:w="100" w:type="dxa"/>
            <w:vAlign w:val="bottom"/>
          </w:tcPr>
          <w:p>
            <w:pPr>
              <w:spacing w:after="0"/>
              <w:rPr>
                <w:sz w:val="9"/>
                <w:szCs w:val="9"/>
                <w:color w:val="auto"/>
              </w:rPr>
            </w:pPr>
          </w:p>
        </w:tc>
        <w:tc>
          <w:tcPr>
            <w:tcW w:w="2240" w:type="dxa"/>
            <w:vAlign w:val="bottom"/>
          </w:tcPr>
          <w:p>
            <w:pPr>
              <w:spacing w:after="0"/>
              <w:rPr>
                <w:sz w:val="9"/>
                <w:szCs w:val="9"/>
                <w:color w:val="auto"/>
              </w:rPr>
            </w:pPr>
          </w:p>
        </w:tc>
      </w:tr>
      <w:tr>
        <w:trPr>
          <w:trHeight w:val="162"/>
        </w:trPr>
        <w:tc>
          <w:tcPr>
            <w:tcW w:w="6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3"/>
          </w:tcPr>
          <w:p>
            <w:pPr>
              <w:jc w:val="right"/>
              <w:ind w:right="9"/>
              <w:spacing w:after="0"/>
              <w:rPr>
                <w:sz w:val="20"/>
                <w:szCs w:val="20"/>
                <w:color w:val="auto"/>
              </w:rPr>
            </w:pPr>
            <w:r>
              <w:rPr>
                <w:rFonts w:ascii="Times New Roman" w:cs="Times New Roman" w:eastAsia="Times New Roman" w:hAnsi="Times New Roman"/>
                <w:sz w:val="12"/>
                <w:szCs w:val="12"/>
                <w:b w:val="1"/>
                <w:bCs w:val="1"/>
                <w:color w:val="auto"/>
              </w:rPr>
              <w:t>March 31,</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40" w:type="dxa"/>
            <w:vAlign w:val="bottom"/>
          </w:tcPr>
          <w:p>
            <w:pPr>
              <w:spacing w:after="0"/>
              <w:rPr>
                <w:sz w:val="14"/>
                <w:szCs w:val="14"/>
                <w:color w:val="auto"/>
              </w:rPr>
            </w:pPr>
          </w:p>
        </w:tc>
      </w:tr>
      <w:tr>
        <w:trPr>
          <w:trHeight w:val="23"/>
        </w:trPr>
        <w:tc>
          <w:tcPr>
            <w:tcW w:w="68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40" w:type="dxa"/>
            <w:vAlign w:val="bottom"/>
          </w:tcPr>
          <w:p>
            <w:pPr>
              <w:spacing w:after="0"/>
              <w:rPr>
                <w:sz w:val="2"/>
                <w:szCs w:val="2"/>
                <w:color w:val="auto"/>
              </w:rPr>
            </w:pPr>
          </w:p>
        </w:tc>
      </w:tr>
      <w:tr>
        <w:trPr>
          <w:trHeight w:val="374"/>
        </w:trPr>
        <w:tc>
          <w:tcPr>
            <w:tcW w:w="6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jc w:val="right"/>
              <w:ind w:right="292"/>
              <w:spacing w:after="0"/>
              <w:rPr>
                <w:sz w:val="20"/>
                <w:szCs w:val="20"/>
                <w:color w:val="auto"/>
              </w:rPr>
            </w:pPr>
            <w:r>
              <w:rPr>
                <w:rFonts w:ascii="Times New Roman" w:cs="Times New Roman" w:eastAsia="Times New Roman" w:hAnsi="Times New Roman"/>
                <w:sz w:val="12"/>
                <w:szCs w:val="12"/>
                <w:b w:val="1"/>
                <w:bCs w:val="1"/>
                <w:color w:val="auto"/>
              </w:rPr>
              <w:t>2026</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jc w:val="right"/>
              <w:ind w:right="270"/>
              <w:spacing w:after="0"/>
              <w:rPr>
                <w:sz w:val="20"/>
                <w:szCs w:val="20"/>
                <w:color w:val="auto"/>
              </w:rPr>
            </w:pPr>
            <w:r>
              <w:rPr>
                <w:rFonts w:ascii="Times New Roman" w:cs="Times New Roman" w:eastAsia="Times New Roman" w:hAnsi="Times New Roman"/>
                <w:sz w:val="12"/>
                <w:szCs w:val="12"/>
                <w:b w:val="1"/>
                <w:bCs w:val="1"/>
                <w:color w:val="auto"/>
              </w:rPr>
              <w:t>2025</w:t>
            </w:r>
          </w:p>
        </w:tc>
        <w:tc>
          <w:tcPr>
            <w:tcW w:w="10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30"/>
        </w:trPr>
        <w:tc>
          <w:tcPr>
            <w:tcW w:w="68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40" w:type="dxa"/>
            <w:vAlign w:val="bottom"/>
          </w:tcPr>
          <w:p>
            <w:pPr>
              <w:spacing w:after="0"/>
              <w:rPr>
                <w:sz w:val="2"/>
                <w:szCs w:val="2"/>
                <w:color w:val="auto"/>
              </w:rPr>
            </w:pPr>
          </w:p>
        </w:tc>
      </w:tr>
      <w:tr>
        <w:trPr>
          <w:trHeight w:val="360"/>
        </w:trPr>
        <w:tc>
          <w:tcPr>
            <w:tcW w:w="6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gridSpan w:val="3"/>
          </w:tcPr>
          <w:p>
            <w:pPr>
              <w:jc w:val="right"/>
              <w:ind w:right="9"/>
              <w:spacing w:after="0"/>
              <w:rPr>
                <w:sz w:val="20"/>
                <w:szCs w:val="20"/>
                <w:color w:val="auto"/>
              </w:rPr>
            </w:pPr>
            <w:r>
              <w:rPr>
                <w:rFonts w:ascii="Times New Roman" w:cs="Times New Roman" w:eastAsia="Times New Roman" w:hAnsi="Times New Roman"/>
                <w:sz w:val="12"/>
                <w:szCs w:val="12"/>
                <w:b w:val="1"/>
                <w:bCs w:val="1"/>
                <w:color w:val="auto"/>
              </w:rPr>
              <w:t>(In millions)</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30"/>
        </w:trPr>
        <w:tc>
          <w:tcPr>
            <w:tcW w:w="6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40" w:type="dxa"/>
            <w:vAlign w:val="bottom"/>
          </w:tcPr>
          <w:p>
            <w:pPr>
              <w:spacing w:after="0"/>
              <w:rPr>
                <w:sz w:val="2"/>
                <w:szCs w:val="2"/>
                <w:color w:val="auto"/>
              </w:rPr>
            </w:pPr>
          </w:p>
        </w:tc>
      </w:tr>
      <w:tr>
        <w:trPr>
          <w:trHeight w:val="417"/>
        </w:trPr>
        <w:tc>
          <w:tcPr>
            <w:tcW w:w="6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unrealized investment gains (losses):</w:t>
            </w:r>
          </w:p>
        </w:tc>
        <w:tc>
          <w:tcPr>
            <w:tcW w:w="24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240" w:type="dxa"/>
            <w:vAlign w:val="bottom"/>
            <w:tcBorders>
              <w:bottom w:val="single" w:sz="8" w:color="CCEEFF"/>
            </w:tcBorders>
            <w:shd w:val="clear" w:color="auto" w:fill="CCEEFF"/>
          </w:tcPr>
          <w:p>
            <w:pPr>
              <w:spacing w:after="0"/>
              <w:rPr>
                <w:sz w:val="24"/>
                <w:szCs w:val="24"/>
                <w:color w:val="auto"/>
              </w:rPr>
            </w:pPr>
          </w:p>
        </w:tc>
      </w:tr>
      <w:tr>
        <w:trPr>
          <w:trHeight w:val="413"/>
        </w:trPr>
        <w:tc>
          <w:tcPr>
            <w:tcW w:w="6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unrealized investment gains (losses)</w:t>
            </w: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tcPr>
          <w:p>
            <w:pPr>
              <w:spacing w:after="0"/>
              <w:rPr>
                <w:sz w:val="24"/>
                <w:szCs w:val="24"/>
                <w:color w:val="auto"/>
              </w:rPr>
            </w:pPr>
          </w:p>
        </w:tc>
        <w:tc>
          <w:tcPr>
            <w:tcW w:w="2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3020" w:type="dxa"/>
            <w:vAlign w:val="bottom"/>
            <w:gridSpan w:val="3"/>
          </w:tcPr>
          <w:p>
            <w:pPr>
              <w:jc w:val="right"/>
              <w:ind w:right="494"/>
              <w:spacing w:after="0"/>
              <w:rPr>
                <w:sz w:val="20"/>
                <w:szCs w:val="20"/>
                <w:color w:val="auto"/>
              </w:rPr>
            </w:pPr>
            <w:r>
              <w:rPr>
                <w:rFonts w:ascii="Times New Roman" w:cs="Times New Roman" w:eastAsia="Times New Roman" w:hAnsi="Times New Roman"/>
                <w:sz w:val="14"/>
                <w:szCs w:val="14"/>
                <w:color w:val="auto"/>
              </w:rPr>
              <w:t>(25)  Net investment gains (losses)</w:t>
            </w:r>
          </w:p>
        </w:tc>
      </w:tr>
      <w:tr>
        <w:trPr>
          <w:trHeight w:val="24"/>
        </w:trPr>
        <w:tc>
          <w:tcPr>
            <w:tcW w:w="6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2240" w:type="dxa"/>
            <w:vAlign w:val="bottom"/>
          </w:tcPr>
          <w:p>
            <w:pPr>
              <w:spacing w:after="0"/>
              <w:rPr>
                <w:sz w:val="2"/>
                <w:szCs w:val="2"/>
                <w:color w:val="auto"/>
              </w:rPr>
            </w:pPr>
          </w:p>
        </w:tc>
      </w:tr>
      <w:tr>
        <w:trPr>
          <w:trHeight w:val="437"/>
        </w:trPr>
        <w:tc>
          <w:tcPr>
            <w:tcW w:w="6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unrealized investment gains (losses)</w:t>
            </w:r>
          </w:p>
        </w:tc>
        <w:tc>
          <w:tcPr>
            <w:tcW w:w="24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spacing w:after="0"/>
              <w:rPr>
                <w:sz w:val="24"/>
                <w:szCs w:val="24"/>
                <w:color w:val="auto"/>
              </w:rPr>
            </w:pPr>
          </w:p>
        </w:tc>
        <w:tc>
          <w:tcPr>
            <w:tcW w:w="3020" w:type="dxa"/>
            <w:vAlign w:val="bottom"/>
            <w:tcBorders>
              <w:bottom w:val="single" w:sz="8" w:color="CCEEFF"/>
            </w:tcBorders>
            <w:gridSpan w:val="3"/>
            <w:shd w:val="clear" w:color="auto" w:fill="CCEEFF"/>
          </w:tcPr>
          <w:p>
            <w:pPr>
              <w:jc w:val="right"/>
              <w:ind w:right="534"/>
              <w:spacing w:after="0"/>
              <w:rPr>
                <w:sz w:val="20"/>
                <w:szCs w:val="20"/>
                <w:color w:val="auto"/>
              </w:rPr>
            </w:pPr>
            <w:r>
              <w:rPr>
                <w:rFonts w:ascii="Times New Roman" w:cs="Times New Roman" w:eastAsia="Times New Roman" w:hAnsi="Times New Roman"/>
                <w:sz w:val="14"/>
                <w:szCs w:val="14"/>
                <w:color w:val="auto"/>
              </w:rPr>
              <w:t>(3)  Net derivative gains (losses)</w:t>
            </w:r>
          </w:p>
        </w:tc>
      </w:tr>
      <w:tr>
        <w:trPr>
          <w:trHeight w:val="406"/>
        </w:trPr>
        <w:tc>
          <w:tcPr>
            <w:tcW w:w="68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unrealized investment gains (losses), before income tax</w:t>
            </w:r>
          </w:p>
        </w:tc>
        <w:tc>
          <w:tcPr>
            <w:tcW w:w="24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24"/>
        </w:trPr>
        <w:tc>
          <w:tcPr>
            <w:tcW w:w="6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40" w:type="dxa"/>
            <w:vAlign w:val="bottom"/>
          </w:tcPr>
          <w:p>
            <w:pPr>
              <w:spacing w:after="0"/>
              <w:rPr>
                <w:sz w:val="2"/>
                <w:szCs w:val="2"/>
                <w:color w:val="auto"/>
              </w:rPr>
            </w:pPr>
          </w:p>
        </w:tc>
      </w:tr>
      <w:tr>
        <w:trPr>
          <w:trHeight w:val="437"/>
        </w:trPr>
        <w:tc>
          <w:tcPr>
            <w:tcW w:w="6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(expense) benefit</w:t>
            </w:r>
          </w:p>
        </w:tc>
        <w:tc>
          <w:tcPr>
            <w:tcW w:w="24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Borders>
              <w:bottom w:val="single" w:sz="8" w:color="CCEEFF"/>
            </w:tcBorders>
            <w:shd w:val="clear" w:color="auto" w:fill="CCEEFF"/>
          </w:tcPr>
          <w:p>
            <w:pPr>
              <w:spacing w:after="0"/>
              <w:rPr>
                <w:sz w:val="24"/>
                <w:szCs w:val="24"/>
                <w:color w:val="auto"/>
              </w:rPr>
            </w:pPr>
          </w:p>
        </w:tc>
        <w:tc>
          <w:tcPr>
            <w:tcW w:w="2240" w:type="dxa"/>
            <w:vAlign w:val="bottom"/>
            <w:tcBorders>
              <w:bottom w:val="single" w:sz="8" w:color="CCEEFF"/>
            </w:tcBorders>
            <w:shd w:val="clear" w:color="auto" w:fill="CCEEFF"/>
          </w:tcPr>
          <w:p>
            <w:pPr>
              <w:spacing w:after="0"/>
              <w:rPr>
                <w:sz w:val="24"/>
                <w:szCs w:val="24"/>
                <w:color w:val="auto"/>
              </w:rPr>
            </w:pPr>
          </w:p>
        </w:tc>
      </w:tr>
      <w:tr>
        <w:trPr>
          <w:trHeight w:val="406"/>
        </w:trPr>
        <w:tc>
          <w:tcPr>
            <w:tcW w:w="68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unrealized investment gains (losses), net of income tax</w:t>
            </w:r>
          </w:p>
        </w:tc>
        <w:tc>
          <w:tcPr>
            <w:tcW w:w="24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24"/>
        </w:trPr>
        <w:tc>
          <w:tcPr>
            <w:tcW w:w="68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40" w:type="dxa"/>
            <w:vAlign w:val="bottom"/>
            <w:tcBorders>
              <w:bottom w:val="single" w:sz="8" w:color="CCEEFF"/>
            </w:tcBorders>
          </w:tcPr>
          <w:p>
            <w:pPr>
              <w:spacing w:after="0"/>
              <w:rPr>
                <w:sz w:val="2"/>
                <w:szCs w:val="2"/>
                <w:color w:val="auto"/>
              </w:rPr>
            </w:pPr>
          </w:p>
        </w:tc>
      </w:tr>
      <w:tr>
        <w:trPr>
          <w:trHeight w:val="397"/>
        </w:trPr>
        <w:tc>
          <w:tcPr>
            <w:tcW w:w="6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Unrealized gains (losses) on derivatives - cash flow hedges:</w:t>
            </w:r>
          </w:p>
        </w:tc>
        <w:tc>
          <w:tcPr>
            <w:tcW w:w="24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240" w:type="dxa"/>
            <w:vAlign w:val="bottom"/>
            <w:tcBorders>
              <w:bottom w:val="single" w:sz="8" w:color="CCEEFF"/>
            </w:tcBorders>
            <w:shd w:val="clear" w:color="auto" w:fill="CCEEFF"/>
          </w:tcPr>
          <w:p>
            <w:pPr>
              <w:spacing w:after="0"/>
              <w:rPr>
                <w:sz w:val="24"/>
                <w:szCs w:val="24"/>
                <w:color w:val="auto"/>
              </w:rPr>
            </w:pPr>
          </w:p>
        </w:tc>
      </w:tr>
      <w:tr>
        <w:trPr>
          <w:trHeight w:val="413"/>
        </w:trPr>
        <w:tc>
          <w:tcPr>
            <w:tcW w:w="6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rate swaps</w:t>
            </w:r>
          </w:p>
        </w:tc>
        <w:tc>
          <w:tcPr>
            <w:tcW w:w="240" w:type="dxa"/>
            <w:vAlign w:val="bottom"/>
          </w:tcPr>
          <w:p>
            <w:pPr>
              <w:spacing w:after="0"/>
              <w:rPr>
                <w:sz w:val="24"/>
                <w:szCs w:val="24"/>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24"/>
                <w:szCs w:val="24"/>
                <w:color w:val="auto"/>
              </w:rPr>
            </w:pPr>
          </w:p>
        </w:tc>
        <w:tc>
          <w:tcPr>
            <w:tcW w:w="2240" w:type="dxa"/>
            <w:vAlign w:val="bottom"/>
          </w:tcPr>
          <w:p>
            <w:pPr>
              <w:jc w:val="right"/>
              <w:ind w:right="534"/>
              <w:spacing w:after="0"/>
              <w:rPr>
                <w:sz w:val="20"/>
                <w:szCs w:val="20"/>
                <w:color w:val="auto"/>
              </w:rPr>
            </w:pPr>
            <w:r>
              <w:rPr>
                <w:rFonts w:ascii="Times New Roman" w:cs="Times New Roman" w:eastAsia="Times New Roman" w:hAnsi="Times New Roman"/>
                <w:sz w:val="14"/>
                <w:szCs w:val="14"/>
                <w:color w:val="auto"/>
              </w:rPr>
              <w:t>Net derivative gains (losses)</w:t>
            </w:r>
          </w:p>
        </w:tc>
      </w:tr>
      <w:tr>
        <w:trPr>
          <w:trHeight w:val="24"/>
        </w:trPr>
        <w:tc>
          <w:tcPr>
            <w:tcW w:w="6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40" w:type="dxa"/>
            <w:vAlign w:val="bottom"/>
          </w:tcPr>
          <w:p>
            <w:pPr>
              <w:spacing w:after="0"/>
              <w:rPr>
                <w:sz w:val="2"/>
                <w:szCs w:val="2"/>
                <w:color w:val="auto"/>
              </w:rPr>
            </w:pPr>
          </w:p>
        </w:tc>
      </w:tr>
      <w:tr>
        <w:trPr>
          <w:trHeight w:val="417"/>
        </w:trPr>
        <w:tc>
          <w:tcPr>
            <w:tcW w:w="6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rate swaps</w:t>
            </w:r>
          </w:p>
        </w:tc>
        <w:tc>
          <w:tcPr>
            <w:tcW w:w="24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shd w:val="clear" w:color="auto" w:fill="CCEEFF"/>
          </w:tcPr>
          <w:p>
            <w:pPr>
              <w:spacing w:after="0"/>
              <w:rPr>
                <w:sz w:val="24"/>
                <w:szCs w:val="24"/>
                <w:color w:val="auto"/>
              </w:rPr>
            </w:pPr>
          </w:p>
        </w:tc>
        <w:tc>
          <w:tcPr>
            <w:tcW w:w="2240" w:type="dxa"/>
            <w:vAlign w:val="bottom"/>
            <w:tcBorders>
              <w:bottom w:val="single" w:sz="8" w:color="CCEEFF"/>
            </w:tcBorders>
            <w:shd w:val="clear" w:color="auto" w:fill="CCEEFF"/>
          </w:tcPr>
          <w:p>
            <w:pPr>
              <w:jc w:val="right"/>
              <w:ind w:right="834"/>
              <w:spacing w:after="0"/>
              <w:rPr>
                <w:sz w:val="20"/>
                <w:szCs w:val="20"/>
                <w:color w:val="auto"/>
              </w:rPr>
            </w:pPr>
            <w:r>
              <w:rPr>
                <w:rFonts w:ascii="Times New Roman" w:cs="Times New Roman" w:eastAsia="Times New Roman" w:hAnsi="Times New Roman"/>
                <w:sz w:val="14"/>
                <w:szCs w:val="14"/>
                <w:color w:val="auto"/>
              </w:rPr>
              <w:t>Net investment income</w:t>
            </w:r>
          </w:p>
        </w:tc>
      </w:tr>
      <w:tr>
        <w:trPr>
          <w:trHeight w:val="413"/>
        </w:trPr>
        <w:tc>
          <w:tcPr>
            <w:tcW w:w="6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currency swaps</w:t>
            </w: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24"/>
                <w:szCs w:val="24"/>
                <w:color w:val="auto"/>
              </w:rPr>
            </w:pPr>
          </w:p>
        </w:tc>
        <w:tc>
          <w:tcPr>
            <w:tcW w:w="2240" w:type="dxa"/>
            <w:vAlign w:val="bottom"/>
          </w:tcPr>
          <w:p>
            <w:pPr>
              <w:jc w:val="right"/>
              <w:ind w:right="534"/>
              <w:spacing w:after="0"/>
              <w:rPr>
                <w:sz w:val="20"/>
                <w:szCs w:val="20"/>
                <w:color w:val="auto"/>
              </w:rPr>
            </w:pPr>
            <w:r>
              <w:rPr>
                <w:rFonts w:ascii="Times New Roman" w:cs="Times New Roman" w:eastAsia="Times New Roman" w:hAnsi="Times New Roman"/>
                <w:sz w:val="14"/>
                <w:szCs w:val="14"/>
                <w:color w:val="auto"/>
              </w:rPr>
              <w:t>Net derivative gains (losses)</w:t>
            </w:r>
          </w:p>
        </w:tc>
      </w:tr>
      <w:tr>
        <w:trPr>
          <w:trHeight w:val="24"/>
        </w:trPr>
        <w:tc>
          <w:tcPr>
            <w:tcW w:w="68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40" w:type="dxa"/>
            <w:vAlign w:val="bottom"/>
            <w:tcBorders>
              <w:bottom w:val="single" w:sz="8" w:color="CCEEFF"/>
            </w:tcBorders>
          </w:tcPr>
          <w:p>
            <w:pPr>
              <w:spacing w:after="0"/>
              <w:rPr>
                <w:sz w:val="2"/>
                <w:szCs w:val="2"/>
                <w:color w:val="auto"/>
              </w:rPr>
            </w:pPr>
          </w:p>
        </w:tc>
      </w:tr>
      <w:tr>
        <w:trPr>
          <w:trHeight w:val="410"/>
        </w:trPr>
        <w:tc>
          <w:tcPr>
            <w:tcW w:w="68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Gains (losses) on cash flow hedges, before income tax</w:t>
            </w:r>
          </w:p>
        </w:tc>
        <w:tc>
          <w:tcPr>
            <w:tcW w:w="24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Borders>
              <w:bottom w:val="single" w:sz="8" w:color="CCEEFF"/>
            </w:tcBorders>
            <w:shd w:val="clear" w:color="auto" w:fill="CCEEFF"/>
          </w:tcPr>
          <w:p>
            <w:pPr>
              <w:spacing w:after="0"/>
              <w:rPr>
                <w:sz w:val="24"/>
                <w:szCs w:val="24"/>
                <w:color w:val="auto"/>
              </w:rPr>
            </w:pPr>
          </w:p>
        </w:tc>
        <w:tc>
          <w:tcPr>
            <w:tcW w:w="2240" w:type="dxa"/>
            <w:vAlign w:val="bottom"/>
            <w:tcBorders>
              <w:bottom w:val="single" w:sz="8" w:color="CCEEFF"/>
            </w:tcBorders>
            <w:shd w:val="clear" w:color="auto" w:fill="CCEEFF"/>
          </w:tcPr>
          <w:p>
            <w:pPr>
              <w:spacing w:after="0"/>
              <w:rPr>
                <w:sz w:val="24"/>
                <w:szCs w:val="24"/>
                <w:color w:val="auto"/>
              </w:rPr>
            </w:pPr>
          </w:p>
        </w:tc>
      </w:tr>
      <w:tr>
        <w:trPr>
          <w:trHeight w:val="413"/>
        </w:trPr>
        <w:tc>
          <w:tcPr>
            <w:tcW w:w="6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tax (expense) benefit</w:t>
            </w:r>
          </w:p>
        </w:tc>
        <w:tc>
          <w:tcPr>
            <w:tcW w:w="240" w:type="dxa"/>
            <w:vAlign w:val="bottom"/>
          </w:tcPr>
          <w:p>
            <w:pPr>
              <w:spacing w:after="0"/>
              <w:rPr>
                <w:sz w:val="24"/>
                <w:szCs w:val="24"/>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24"/>
                <w:szCs w:val="24"/>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w:t>
            </w:r>
          </w:p>
        </w:tc>
        <w:tc>
          <w:tcPr>
            <w:tcW w:w="2240" w:type="dxa"/>
            <w:vAlign w:val="bottom"/>
          </w:tcPr>
          <w:p>
            <w:pPr>
              <w:spacing w:after="0"/>
              <w:rPr>
                <w:sz w:val="24"/>
                <w:szCs w:val="24"/>
                <w:color w:val="auto"/>
              </w:rPr>
            </w:pPr>
          </w:p>
        </w:tc>
      </w:tr>
      <w:tr>
        <w:trPr>
          <w:trHeight w:val="24"/>
        </w:trPr>
        <w:tc>
          <w:tcPr>
            <w:tcW w:w="68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40" w:type="dxa"/>
            <w:vAlign w:val="bottom"/>
            <w:tcBorders>
              <w:bottom w:val="single" w:sz="8" w:color="CCEEFF"/>
            </w:tcBorders>
          </w:tcPr>
          <w:p>
            <w:pPr>
              <w:spacing w:after="0"/>
              <w:rPr>
                <w:sz w:val="2"/>
                <w:szCs w:val="2"/>
                <w:color w:val="auto"/>
              </w:rPr>
            </w:pPr>
          </w:p>
        </w:tc>
      </w:tr>
      <w:tr>
        <w:trPr>
          <w:trHeight w:val="430"/>
        </w:trPr>
        <w:tc>
          <w:tcPr>
            <w:tcW w:w="68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Gains (losses) on cash flow hedges, net of income tax</w:t>
            </w:r>
          </w:p>
        </w:tc>
        <w:tc>
          <w:tcPr>
            <w:tcW w:w="24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Borders>
              <w:bottom w:val="single" w:sz="8" w:color="CCEEFF"/>
            </w:tcBorders>
            <w:shd w:val="clear" w:color="auto" w:fill="CCEEFF"/>
          </w:tcPr>
          <w:p>
            <w:pPr>
              <w:spacing w:after="0"/>
              <w:rPr>
                <w:sz w:val="24"/>
                <w:szCs w:val="24"/>
                <w:color w:val="auto"/>
              </w:rPr>
            </w:pPr>
          </w:p>
        </w:tc>
        <w:tc>
          <w:tcPr>
            <w:tcW w:w="2240" w:type="dxa"/>
            <w:vAlign w:val="bottom"/>
            <w:tcBorders>
              <w:bottom w:val="single" w:sz="8" w:color="CCEEFF"/>
            </w:tcBorders>
            <w:shd w:val="clear" w:color="auto" w:fill="CCEEFF"/>
          </w:tcPr>
          <w:p>
            <w:pPr>
              <w:spacing w:after="0"/>
              <w:rPr>
                <w:sz w:val="24"/>
                <w:szCs w:val="24"/>
                <w:color w:val="auto"/>
              </w:rPr>
            </w:pPr>
          </w:p>
        </w:tc>
      </w:tr>
      <w:tr>
        <w:trPr>
          <w:trHeight w:val="430"/>
        </w:trPr>
        <w:tc>
          <w:tcPr>
            <w:tcW w:w="68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 reclassifications, net of income tax</w:t>
            </w:r>
          </w:p>
        </w:tc>
        <w:tc>
          <w:tcPr>
            <w:tcW w:w="24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Pr>
          <w:p>
            <w:pPr>
              <w:spacing w:after="0"/>
              <w:rPr>
                <w:sz w:val="24"/>
                <w:szCs w:val="24"/>
                <w:color w:val="auto"/>
              </w:rPr>
            </w:pPr>
          </w:p>
        </w:tc>
        <w:tc>
          <w:tcPr>
            <w:tcW w:w="280" w:type="dxa"/>
            <w:vAlign w:val="bottom"/>
            <w:tcBorders>
              <w:top w:val="single" w:sz="8" w:color="auto"/>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20"/>
        </w:trPr>
        <w:tc>
          <w:tcPr>
            <w:tcW w:w="68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384" w:right="35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Life Insurance Company</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 Indirect Wholly-Owned Subsidiary of Brighthouse Financial, Inc.)</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Other Revenues and Other Expenses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Revenues</w:t>
      </w:r>
    </w:p>
    <w:p>
      <w:pPr>
        <w:spacing w:after="0" w:line="115"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Company has entered into contracts with mutual funds, fund managers, and their affiliates (collectively, the “Funds”) whereby the Company is paid monthly or quarterly fees (“12b-1 fees”) for providing certain services to customers and distributors of the Funds. The 12b-1 fees, which are included in other revenues, are generally equal to a fixed percentage of the average daily balance of the customer’s investment in a fund. The percentage is specified in the contract between the Company and the Funds. Payments are generally collected when due and are neither refundable nor able to offset future fees.</w:t>
      </w:r>
    </w:p>
    <w:p>
      <w:pPr>
        <w:spacing w:after="0" w:line="7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To earn these fees, the Company performs services such as responding to phone inquiries, maintaining records, providing information to distributors and shareholders about fund performance and providing training to account managers and sales agents. The passage of time reflects the satisfaction of the Company’s performance obligations to the Funds and is used to recognize revenue associated with 12b-1 fees.</w:t>
      </w:r>
    </w:p>
    <w:p>
      <w:pPr>
        <w:spacing w:after="0" w:line="72"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Other revenues included 12b-1 fees of $49 million for both the three months ended March 31, 2026 and 2025, of which substantially all were reported in the Annuities segment.</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Expenses</w:t>
      </w:r>
    </w:p>
    <w:p>
      <w:pPr>
        <w:spacing w:after="0" w:line="1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Information on other expenses was as follows:</w:t>
      </w:r>
    </w:p>
    <w:p>
      <w:pPr>
        <w:spacing w:after="0" w:line="264" w:lineRule="exact"/>
        <w:rPr>
          <w:sz w:val="20"/>
          <w:szCs w:val="20"/>
          <w:color w:val="auto"/>
        </w:rPr>
      </w:pPr>
    </w:p>
    <w:p>
      <w:pPr>
        <w:jc w:val="center"/>
        <w:ind w:left="71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5" w:lineRule="exact"/>
        <w:rPr>
          <w:sz w:val="20"/>
          <w:szCs w:val="20"/>
          <w:color w:val="auto"/>
        </w:rPr>
      </w:pPr>
    </w:p>
    <w:p>
      <w:pPr>
        <w:jc w:val="center"/>
        <w:ind w:left="718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4572635</wp:posOffset>
            </wp:positionH>
            <wp:positionV relativeFrom="paragraph">
              <wp:posOffset>31115</wp:posOffset>
            </wp:positionV>
            <wp:extent cx="256603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566035" cy="8255"/>
                    </a:xfrm>
                    <a:prstGeom prst="rect">
                      <a:avLst/>
                    </a:prstGeom>
                    <a:noFill/>
                  </pic:spPr>
                </pic:pic>
              </a:graphicData>
            </a:graphic>
          </wp:anchor>
        </w:drawing>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200" w:type="dxa"/>
            <w:vAlign w:val="bottom"/>
          </w:tcPr>
          <w:p>
            <w:pPr>
              <w:spacing w:after="0"/>
              <w:rPr>
                <w:sz w:val="16"/>
                <w:szCs w:val="16"/>
                <w:color w:val="auto"/>
              </w:rPr>
            </w:pPr>
          </w:p>
        </w:tc>
        <w:tc>
          <w:tcPr>
            <w:tcW w:w="1380" w:type="dxa"/>
            <w:vAlign w:val="bottom"/>
          </w:tcPr>
          <w:p>
            <w:pPr>
              <w:jc w:val="right"/>
              <w:ind w:right="183"/>
              <w:spacing w:after="0"/>
              <w:rPr>
                <w:sz w:val="20"/>
                <w:szCs w:val="20"/>
                <w:color w:val="auto"/>
              </w:rPr>
            </w:pPr>
            <w:r>
              <w:rPr>
                <w:rFonts w:ascii="Times New Roman" w:cs="Times New Roman" w:eastAsia="Times New Roman" w:hAnsi="Times New Roman"/>
                <w:sz w:val="14"/>
                <w:szCs w:val="14"/>
                <w:b w:val="1"/>
                <w:bCs w:val="1"/>
                <w:color w:val="auto"/>
              </w:rPr>
              <w:t>2026</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380" w:type="dxa"/>
            <w:vAlign w:val="bottom"/>
          </w:tcPr>
          <w:p>
            <w:pPr>
              <w:jc w:val="right"/>
              <w:ind w:right="76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8"/>
        </w:trPr>
        <w:tc>
          <w:tcPr>
            <w:tcW w:w="7200" w:type="dxa"/>
            <w:vAlign w:val="bottom"/>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gridSpan w:val="3"/>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r>
      <w:tr>
        <w:trPr>
          <w:trHeight w:val="393"/>
        </w:trPr>
        <w:tc>
          <w:tcPr>
            <w:tcW w:w="7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80" w:type="dxa"/>
            <w:vAlign w:val="bottom"/>
            <w:gridSpan w:val="3"/>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380" w:type="dxa"/>
            <w:vAlign w:val="bottom"/>
          </w:tcPr>
          <w:p>
            <w:pPr>
              <w:spacing w:after="0"/>
              <w:rPr>
                <w:sz w:val="24"/>
                <w:szCs w:val="24"/>
                <w:color w:val="auto"/>
              </w:rPr>
            </w:pPr>
          </w:p>
        </w:tc>
      </w:tr>
      <w:tr>
        <w:trPr>
          <w:trHeight w:val="38"/>
        </w:trPr>
        <w:tc>
          <w:tcPr>
            <w:tcW w:w="7200" w:type="dxa"/>
            <w:vAlign w:val="bottom"/>
          </w:tcPr>
          <w:p>
            <w:pPr>
              <w:spacing w:after="0"/>
              <w:rPr>
                <w:sz w:val="3"/>
                <w:szCs w:val="3"/>
                <w:color w:val="auto"/>
              </w:rPr>
            </w:pPr>
          </w:p>
        </w:tc>
        <w:tc>
          <w:tcPr>
            <w:tcW w:w="13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380" w:type="dxa"/>
            <w:vAlign w:val="bottom"/>
          </w:tcPr>
          <w:p>
            <w:pPr>
              <w:spacing w:after="0"/>
              <w:rPr>
                <w:sz w:val="3"/>
                <w:szCs w:val="3"/>
                <w:color w:val="auto"/>
              </w:rPr>
            </w:pPr>
          </w:p>
        </w:tc>
      </w:tr>
      <w:tr>
        <w:trPr>
          <w:trHeight w:val="450"/>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Compensation</w:t>
            </w:r>
          </w:p>
        </w:tc>
        <w:tc>
          <w:tcPr>
            <w:tcW w:w="1380" w:type="dxa"/>
            <w:vAlign w:val="bottom"/>
            <w:shd w:val="clear" w:color="auto" w:fill="CCEEFF"/>
          </w:tcPr>
          <w:p>
            <w:pPr>
              <w:jc w:val="right"/>
              <w:ind w:right="1203"/>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109</w:t>
            </w: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401"/>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w:t>
            </w:r>
          </w:p>
        </w:tc>
      </w:tr>
      <w:tr>
        <w:trPr>
          <w:trHeight w:val="441"/>
        </w:trPr>
        <w:tc>
          <w:tcPr>
            <w:tcW w:w="7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Contracted services and other labor costs</w:t>
            </w:r>
          </w:p>
        </w:tc>
        <w:tc>
          <w:tcPr>
            <w:tcW w:w="1380" w:type="dxa"/>
            <w:vAlign w:val="bottom"/>
          </w:tcPr>
          <w:p>
            <w:pPr>
              <w:spacing w:after="0"/>
              <w:rPr>
                <w:sz w:val="24"/>
                <w:szCs w:val="24"/>
                <w:color w:val="auto"/>
              </w:rPr>
            </w:pPr>
          </w:p>
        </w:tc>
        <w:tc>
          <w:tcPr>
            <w:tcW w:w="6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66</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w:t>
            </w:r>
          </w:p>
        </w:tc>
      </w:tr>
      <w:tr>
        <w:trPr>
          <w:trHeight w:val="460"/>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Transition services agreements</w:t>
            </w:r>
          </w:p>
        </w:tc>
        <w:tc>
          <w:tcPr>
            <w:tcW w:w="13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441"/>
        </w:trPr>
        <w:tc>
          <w:tcPr>
            <w:tcW w:w="7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Premium and other taxes, licenses and fees</w:t>
            </w:r>
          </w:p>
        </w:tc>
        <w:tc>
          <w:tcPr>
            <w:tcW w:w="1380" w:type="dxa"/>
            <w:vAlign w:val="bottom"/>
          </w:tcPr>
          <w:p>
            <w:pPr>
              <w:spacing w:after="0"/>
              <w:rPr>
                <w:sz w:val="24"/>
                <w:szCs w:val="24"/>
                <w:color w:val="auto"/>
              </w:rPr>
            </w:pPr>
          </w:p>
        </w:tc>
        <w:tc>
          <w:tcPr>
            <w:tcW w:w="6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r>
      <w:tr>
        <w:trPr>
          <w:trHeight w:val="460"/>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Volume related costs, excluding compensation, net of DAC capitalization</w:t>
            </w:r>
          </w:p>
        </w:tc>
        <w:tc>
          <w:tcPr>
            <w:tcW w:w="13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128</w:t>
            </w: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w:t>
            </w:r>
          </w:p>
        </w:tc>
      </w:tr>
      <w:tr>
        <w:trPr>
          <w:trHeight w:val="441"/>
        </w:trPr>
        <w:tc>
          <w:tcPr>
            <w:tcW w:w="7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 on debt</w:t>
            </w:r>
          </w:p>
        </w:tc>
        <w:tc>
          <w:tcPr>
            <w:tcW w:w="1380" w:type="dxa"/>
            <w:vAlign w:val="bottom"/>
          </w:tcPr>
          <w:p>
            <w:pPr>
              <w:spacing w:after="0"/>
              <w:rPr>
                <w:sz w:val="24"/>
                <w:szCs w:val="24"/>
                <w:color w:val="auto"/>
              </w:rPr>
            </w:pPr>
          </w:p>
        </w:tc>
        <w:tc>
          <w:tcPr>
            <w:tcW w:w="6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r>
      <w:tr>
        <w:trPr>
          <w:trHeight w:val="453"/>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380" w:type="dxa"/>
            <w:vAlign w:val="bottom"/>
            <w:tcBorders>
              <w:bottom w:val="single" w:sz="8" w:color="auto"/>
            </w:tcBorders>
            <w:shd w:val="clear" w:color="auto" w:fill="CCEEFF"/>
          </w:tcPr>
          <w:p>
            <w:pPr>
              <w:spacing w:after="0"/>
              <w:rPr>
                <w:sz w:val="24"/>
                <w:szCs w:val="24"/>
                <w:color w:val="auto"/>
              </w:rPr>
            </w:pPr>
          </w:p>
        </w:tc>
        <w:tc>
          <w:tcPr>
            <w:tcW w:w="6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55</w:t>
            </w:r>
          </w:p>
        </w:tc>
        <w:tc>
          <w:tcPr>
            <w:tcW w:w="100" w:type="dxa"/>
            <w:vAlign w:val="bottom"/>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spacing w:after="0"/>
              <w:rPr>
                <w:sz w:val="24"/>
                <w:szCs w:val="24"/>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r>
      <w:tr>
        <w:trPr>
          <w:trHeight w:val="450"/>
        </w:trPr>
        <w:tc>
          <w:tcPr>
            <w:tcW w:w="72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other expenses</w:t>
            </w:r>
          </w:p>
        </w:tc>
        <w:tc>
          <w:tcPr>
            <w:tcW w:w="1380" w:type="dxa"/>
            <w:vAlign w:val="bottom"/>
            <w:tcBorders>
              <w:bottom w:val="single" w:sz="8" w:color="auto"/>
            </w:tcBorders>
          </w:tcPr>
          <w:p>
            <w:pPr>
              <w:jc w:val="right"/>
              <w:ind w:right="1203"/>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392</w:t>
            </w:r>
          </w:p>
        </w:tc>
        <w:tc>
          <w:tcPr>
            <w:tcW w:w="100" w:type="dxa"/>
            <w:vAlign w:val="bottom"/>
          </w:tcPr>
          <w:p>
            <w:pPr>
              <w:spacing w:after="0"/>
              <w:rPr>
                <w:sz w:val="24"/>
                <w:szCs w:val="24"/>
                <w:color w:val="auto"/>
              </w:rPr>
            </w:pPr>
          </w:p>
        </w:tc>
        <w:tc>
          <w:tcPr>
            <w:tcW w:w="58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410</w:t>
            </w:r>
          </w:p>
        </w:tc>
      </w:tr>
      <w:tr>
        <w:trPr>
          <w:trHeight w:val="20"/>
        </w:trPr>
        <w:tc>
          <w:tcPr>
            <w:tcW w:w="72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Capitalization of DAC</w:t>
      </w:r>
    </w:p>
    <w:p>
      <w:pPr>
        <w:spacing w:after="0" w:line="1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See Note 6 for additional information on the capitalization of DAC.</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Related Party Expenses</w:t>
      </w:r>
    </w:p>
    <w:p>
      <w:pPr>
        <w:spacing w:after="0" w:line="1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See Note 13 for a discussion of related party expenses included in the table above.</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Life Insurance Company</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 Indirect Wholly-Owned Subsidiary of Brighthouse Financial, Inc.)</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Contingencies, Commitments and Guarantees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11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Litigation</w:t>
      </w:r>
    </w:p>
    <w:p>
      <w:pPr>
        <w:spacing w:after="0" w:line="115" w:lineRule="exact"/>
        <w:rPr>
          <w:sz w:val="20"/>
          <w:szCs w:val="20"/>
          <w:color w:val="auto"/>
        </w:rPr>
      </w:pPr>
    </w:p>
    <w:p>
      <w:pPr>
        <w:jc w:val="both"/>
        <w:ind w:left="160" w:firstLine="318"/>
        <w:spacing w:after="0" w:line="250" w:lineRule="auto"/>
        <w:rPr>
          <w:sz w:val="20"/>
          <w:szCs w:val="20"/>
          <w:color w:val="auto"/>
        </w:rPr>
      </w:pPr>
      <w:r>
        <w:rPr>
          <w:rFonts w:ascii="Times New Roman" w:cs="Times New Roman" w:eastAsia="Times New Roman" w:hAnsi="Times New Roman"/>
          <w:sz w:val="18"/>
          <w:szCs w:val="18"/>
          <w:color w:val="auto"/>
        </w:rPr>
        <w:t>The Company is a defendant in a number of litigation matters. In some of the matters, large or indeterminate amounts, including punitive and treble damages, are sought. Modern pleading practice in the U.S. permits considerable variation in the assertion of monetary damages or other relief. Jurisdictions may permit claimants not to specify the monetary damages sought or may permit claimants to state only that the amount sought is sufficient to invoke the jurisdiction of the trial court. In addition, jurisdictions may permit plaintiffs to allege monetary damages in amounts well exceeding reasonably possible verdicts in the jurisdiction for similar matters. This variability in pleadings, together with the actual experience of the Company in litigating or resolving through settlement numerous claims over an extended period of time, demonstrates to management that the monetary relief which may be specified in a lawsuit or claim bears little relevance to its merits or disposition value.</w:t>
      </w:r>
    </w:p>
    <w:p>
      <w:pPr>
        <w:spacing w:after="0" w:line="81" w:lineRule="exact"/>
        <w:rPr>
          <w:sz w:val="20"/>
          <w:szCs w:val="20"/>
          <w:color w:val="auto"/>
        </w:rPr>
      </w:pPr>
    </w:p>
    <w:p>
      <w:pPr>
        <w:jc w:val="both"/>
        <w:ind w:left="160" w:firstLine="318"/>
        <w:spacing w:after="0" w:line="282" w:lineRule="auto"/>
        <w:rPr>
          <w:sz w:val="20"/>
          <w:szCs w:val="20"/>
          <w:color w:val="auto"/>
        </w:rPr>
      </w:pPr>
      <w:r>
        <w:rPr>
          <w:rFonts w:ascii="Times New Roman" w:cs="Times New Roman" w:eastAsia="Times New Roman" w:hAnsi="Times New Roman"/>
          <w:sz w:val="17"/>
          <w:szCs w:val="17"/>
          <w:color w:val="auto"/>
        </w:rPr>
        <w:t>The Company also receives and responds to subpoenas or other inquiries seeking a broad range of information from various state and federal regulators, agencies and officials. The issues involved in information requests and regulatory matters vary widely and can include inquiries or investigations concerning the Company’s compliance with applicable insurance and other laws and regulations. The Company cooperates in these inquiries.</w:t>
      </w:r>
    </w:p>
    <w:p>
      <w:pPr>
        <w:spacing w:after="0" w:line="53" w:lineRule="exact"/>
        <w:rPr>
          <w:sz w:val="20"/>
          <w:szCs w:val="20"/>
          <w:color w:val="auto"/>
        </w:rPr>
      </w:pPr>
    </w:p>
    <w:p>
      <w:pPr>
        <w:jc w:val="both"/>
        <w:ind w:left="160" w:firstLine="318"/>
        <w:spacing w:after="0" w:line="252" w:lineRule="auto"/>
        <w:rPr>
          <w:sz w:val="20"/>
          <w:szCs w:val="20"/>
          <w:color w:val="auto"/>
        </w:rPr>
      </w:pPr>
      <w:r>
        <w:rPr>
          <w:rFonts w:ascii="Times New Roman" w:cs="Times New Roman" w:eastAsia="Times New Roman" w:hAnsi="Times New Roman"/>
          <w:sz w:val="18"/>
          <w:szCs w:val="18"/>
          <w:color w:val="auto"/>
        </w:rPr>
        <w:t>Due to the vagaries of litigation, the outcome of a litigation matter and the amount or range of potential loss at particular points in time may normally be difficult to ascertain. Uncertainties can include how fact finders will evaluate documentary evidence and the credibility and effectiveness of witness testimony, and how trial and appellate courts will apply the law in the context of the pleadings or evidence presented, whether by motion practice, or at trial or on appeal. Disposition valuations are also subject to the uncertainty of how opposing parties and their counsel will themselves view the relevant evidence and applicable law.</w:t>
      </w:r>
    </w:p>
    <w:p>
      <w:pPr>
        <w:spacing w:after="0" w:line="79" w:lineRule="exact"/>
        <w:rPr>
          <w:sz w:val="20"/>
          <w:szCs w:val="20"/>
          <w:color w:val="auto"/>
        </w:rPr>
      </w:pPr>
    </w:p>
    <w:p>
      <w:pPr>
        <w:jc w:val="both"/>
        <w:ind w:left="160" w:firstLine="318"/>
        <w:spacing w:after="0" w:line="259" w:lineRule="auto"/>
        <w:rPr>
          <w:sz w:val="20"/>
          <w:szCs w:val="20"/>
          <w:color w:val="auto"/>
        </w:rPr>
      </w:pPr>
      <w:r>
        <w:rPr>
          <w:rFonts w:ascii="Times New Roman" w:cs="Times New Roman" w:eastAsia="Times New Roman" w:hAnsi="Times New Roman"/>
          <w:sz w:val="18"/>
          <w:szCs w:val="18"/>
          <w:color w:val="auto"/>
        </w:rPr>
        <w:t>The Company establishes liabilities for litigation and regulatory loss contingencies when it is probable that a loss has been incurred and the amount of the loss can be reasonably estimated. It is possible that some matters could require the Company to pay damages or make other expenditures or establish accruals in amounts that could not be estimated at March 31, 2026.</w:t>
      </w:r>
    </w:p>
    <w:p>
      <w:pPr>
        <w:spacing w:after="0" w:line="7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Matters as to Which an Estimate Can Be Made</w:t>
      </w:r>
    </w:p>
    <w:p>
      <w:pPr>
        <w:spacing w:after="0" w:line="113" w:lineRule="exact"/>
        <w:rPr>
          <w:sz w:val="20"/>
          <w:szCs w:val="20"/>
          <w:color w:val="auto"/>
        </w:rPr>
      </w:pPr>
    </w:p>
    <w:p>
      <w:pPr>
        <w:jc w:val="both"/>
        <w:ind w:left="320" w:firstLine="318"/>
        <w:spacing w:after="0" w:line="259" w:lineRule="auto"/>
        <w:rPr>
          <w:sz w:val="20"/>
          <w:szCs w:val="20"/>
          <w:color w:val="auto"/>
        </w:rPr>
      </w:pPr>
      <w:r>
        <w:rPr>
          <w:rFonts w:ascii="Times New Roman" w:cs="Times New Roman" w:eastAsia="Times New Roman" w:hAnsi="Times New Roman"/>
          <w:sz w:val="18"/>
          <w:szCs w:val="18"/>
          <w:color w:val="auto"/>
        </w:rPr>
        <w:t>For some loss contingency matters, the Company is able to estimate a reasonably possible range of loss. For such matters where a loss is believed to be reasonably possible, but not probable, no accrual has been made. In addition to amounts accrued for probable and reasonably estimable losses, as of March 31, 2026, the Company estimates the aggregate range of reasonably possible losses to be up to approximately $10 million.</w:t>
      </w:r>
    </w:p>
    <w:p>
      <w:pPr>
        <w:spacing w:after="0" w:line="7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Matters as to Which an Estimate Cannot Be Made</w:t>
      </w:r>
    </w:p>
    <w:p>
      <w:pPr>
        <w:spacing w:after="0" w:line="113" w:lineRule="exact"/>
        <w:rPr>
          <w:sz w:val="20"/>
          <w:szCs w:val="20"/>
          <w:color w:val="auto"/>
        </w:rPr>
      </w:pPr>
    </w:p>
    <w:p>
      <w:pPr>
        <w:jc w:val="both"/>
        <w:ind w:left="320" w:firstLine="318"/>
        <w:spacing w:after="0" w:line="251" w:lineRule="auto"/>
        <w:rPr>
          <w:sz w:val="20"/>
          <w:szCs w:val="20"/>
          <w:color w:val="auto"/>
        </w:rPr>
      </w:pPr>
      <w:r>
        <w:rPr>
          <w:rFonts w:ascii="Times New Roman" w:cs="Times New Roman" w:eastAsia="Times New Roman" w:hAnsi="Times New Roman"/>
          <w:sz w:val="18"/>
          <w:szCs w:val="18"/>
          <w:color w:val="auto"/>
        </w:rPr>
        <w:t>For other matters, the Company is not currently able to estimate the reasonably possible loss or range of loss. The Company is often unable to estimate the possible loss or range of loss until developments in such matters have provided sufficient information to support an assessment of the range of possible loss, such as quantification of a damage demand from plaintiffs, discovery from other parties and investigation of factual allegations, rulings by the court on motions or appeals, analysis by experts, and the progress of settlement negotiations. On a quarterly and annual basis, the Company reviews relevant information with respect to litigation contingencies and updates its accruals, disclosures and estimates of reasonably possible losses or ranges of loss based on such reviews.</w:t>
      </w:r>
    </w:p>
    <w:p>
      <w:pPr>
        <w:spacing w:after="0" w:line="7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Sales Practices Claims</w:t>
      </w:r>
    </w:p>
    <w:p>
      <w:pPr>
        <w:spacing w:after="0" w:line="113" w:lineRule="exact"/>
        <w:rPr>
          <w:sz w:val="20"/>
          <w:szCs w:val="20"/>
          <w:color w:val="auto"/>
        </w:rPr>
      </w:pPr>
    </w:p>
    <w:p>
      <w:pPr>
        <w:jc w:val="both"/>
        <w:ind w:left="320" w:firstLine="318"/>
        <w:spacing w:after="0" w:line="255" w:lineRule="auto"/>
        <w:rPr>
          <w:sz w:val="20"/>
          <w:szCs w:val="20"/>
          <w:color w:val="auto"/>
        </w:rPr>
      </w:pPr>
      <w:r>
        <w:rPr>
          <w:rFonts w:ascii="Times New Roman" w:cs="Times New Roman" w:eastAsia="Times New Roman" w:hAnsi="Times New Roman"/>
          <w:sz w:val="18"/>
          <w:szCs w:val="18"/>
          <w:color w:val="auto"/>
        </w:rPr>
        <w:t>Over the past several years, the Company has faced claims and regulatory inquiries and investigations, alleging improper marketing or sales of individual life insurance policies, annuities or other products. The Company continues to defend vigorously against the claims in these matters. The Company believes adequate provision has been made in its consolidated financial statements for all probable and reasonably estimable losses for sales practices matters.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Life Insurance Company</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 Indirect Wholly-Owned Subsidiary of Brighthouse Financial, Inc.)</w:t>
      </w:r>
    </w:p>
    <w:p>
      <w:pPr>
        <w:spacing w:after="0" w:line="90"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Contingencies, Commitments and Guarantees (continued)</w:t>
      </w:r>
    </w:p>
    <w:p>
      <w:pPr>
        <w:spacing w:after="0" w:line="200" w:lineRule="exact"/>
        <w:rPr>
          <w:sz w:val="20"/>
          <w:szCs w:val="20"/>
          <w:color w:val="auto"/>
        </w:rPr>
      </w:pPr>
    </w:p>
    <w:p>
      <w:pPr>
        <w:spacing w:after="0" w:line="30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Cost of Insurance Class Actions</w:t>
      </w:r>
    </w:p>
    <w:p>
      <w:pPr>
        <w:spacing w:after="0" w:line="111" w:lineRule="exact"/>
        <w:rPr>
          <w:sz w:val="20"/>
          <w:szCs w:val="20"/>
          <w:color w:val="auto"/>
        </w:rPr>
      </w:pPr>
    </w:p>
    <w:p>
      <w:pPr>
        <w:jc w:val="both"/>
        <w:ind w:left="320" w:firstLine="318"/>
        <w:spacing w:after="0" w:line="263" w:lineRule="auto"/>
        <w:rPr>
          <w:sz w:val="20"/>
          <w:szCs w:val="20"/>
          <w:color w:val="auto"/>
        </w:rPr>
      </w:pPr>
      <w:r>
        <w:rPr>
          <w:rFonts w:ascii="Times New Roman" w:cs="Times New Roman" w:eastAsia="Times New Roman" w:hAnsi="Times New Roman"/>
          <w:sz w:val="17"/>
          <w:szCs w:val="17"/>
          <w:i w:val="1"/>
          <w:iCs w:val="1"/>
          <w:color w:val="auto"/>
        </w:rPr>
        <w:t xml:space="preserve">Richard A. Newton v. Brighthouse Life Insurance Company </w:t>
      </w:r>
      <w:r>
        <w:rPr>
          <w:rFonts w:ascii="Times New Roman" w:cs="Times New Roman" w:eastAsia="Times New Roman" w:hAnsi="Times New Roman"/>
          <w:sz w:val="17"/>
          <w:szCs w:val="17"/>
          <w:color w:val="auto"/>
        </w:rPr>
        <w:t>(U.S. District Court, Northern District of Georgia, Atlanta Division, filed May 8, 2020).</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Plaintiff filed a purported class action lawsuit against Brighthouse Life Insurance Company. Plaintiff was the owner of a universal life (“UL”) insurance policy issued by Travelers Insurance Company, a predecessor to Brighthouse Life Insurance Company. Plaintiff sought to certify a class of all persons who own or owned life insurance policies issued where the terms of the life insurance policy provide or provided, among other things, a guarantee that the cost of insurance (“COI”) rates would not be increased by more than a specified percentage in any contract year. Plaintiff also alleges that COI charges were based on improper factors and should have decreased over time due to improving mortality. Plaintiff’s complaint alleges, among other things, causes of action for breach of contract, fraud, suppression and concealment, and violation of the Georgia Racketeer Influenced and Corrupt Organizations Act. Plaintiff seeks to recover damages, including punitive damages, interest and treble damages, attorneys’ fees, and injunctive and declaratory relief. Brighthouse Life Insurance Company filed a motion to dismiss in June 2020, which was granted in part and denied in part in March 2021. Plaintiff was granted leave to amend the complaint. On January 18, 2023, plaintiff filed a motion on consent to amend the second amended class action complaint to narrow the scope of the class sought to those who own or owned policies issued in Georgia. The motion was granted on January 23, 2023, and the third amended class action complaint was filed on January 23, 2023. On September 5, 2025, the court granted in part plaintiff’s motion for class certification, certifying a class of all persons, who as of May 8, 2015, owned a UL policy issued in Georgia by Brighthouse Life Insurance Company or its predecessors-in-interest on Forms ULXP86 and ULXP88, and who were subject to at least one monthly deduction. On October 31, 2025, the court issued an amended order changing the date as to class certification for breach of contract claims to March 14, 2014 and for Georgia Racketeer Influenced and Corrupt Organizations Act claims to March 14, 2015. The Company intends to vigorously defend this matter.</w:t>
      </w:r>
    </w:p>
    <w:p>
      <w:pPr>
        <w:spacing w:after="0" w:line="71" w:lineRule="exact"/>
        <w:rPr>
          <w:sz w:val="20"/>
          <w:szCs w:val="20"/>
          <w:color w:val="auto"/>
        </w:rPr>
      </w:pPr>
    </w:p>
    <w:p>
      <w:pPr>
        <w:jc w:val="both"/>
        <w:ind w:left="320" w:firstLine="318"/>
        <w:spacing w:after="0" w:line="248" w:lineRule="auto"/>
        <w:rPr>
          <w:sz w:val="20"/>
          <w:szCs w:val="20"/>
          <w:color w:val="auto"/>
        </w:rPr>
      </w:pPr>
      <w:r>
        <w:rPr>
          <w:rFonts w:ascii="Times New Roman" w:cs="Times New Roman" w:eastAsia="Times New Roman" w:hAnsi="Times New Roman"/>
          <w:sz w:val="18"/>
          <w:szCs w:val="18"/>
          <w:i w:val="1"/>
          <w:iCs w:val="1"/>
          <w:color w:val="auto"/>
        </w:rPr>
        <w:t xml:space="preserve">Lawrence Martin v. Brighthouse Life Insurance Company </w:t>
      </w:r>
      <w:r>
        <w:rPr>
          <w:rFonts w:ascii="Times New Roman" w:cs="Times New Roman" w:eastAsia="Times New Roman" w:hAnsi="Times New Roman"/>
          <w:sz w:val="18"/>
          <w:szCs w:val="18"/>
          <w:color w:val="auto"/>
        </w:rPr>
        <w:t>(U.S. District Court, Southern District of New York, filed April 6, 2021). Plaintiff filed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purported class action lawsuit against Brighthouse Life Insurance Company. Plaintiff is the owner of a UL insurance policy issued by Travelers Insurance Company, a predecessor to Brighthouse Life Insurance Company. Plaintiff sought to certify a class of similarly situated owners of UL insurance policies issued or administered by defendants and alleges that COI charges were based on improper factors and should have decreased over time due to improving mortality. Plaintiff’s complaint alleges, among other things, causes of action for breach of contract, breach of the covenant of good faith and fair dealing, and unjust enrichment. Plaintiff seeks to recover compensatory damages, attorneys’ fees, interest, and equitable relief including a constructive trust. Brighthouse Life Insurance Company filed a motion to dismiss in June 2021, which was denied in February 2022. On September 25, 2025, the court granted in part plaintiff’s motion for class certification, certifying as to plaintiff’s breach of contract claim based on the alleged failure to decrease COI rates, a nationwide class of owners of UL policies with the product codes ULX or ULXP that contains the language: “We will base these rates only on our future outlook for mortality and expenses.” On October 9, 2025, plaintiff filed a petition for permission to appeal to the United States Court of Appeals for the Second Circuit. On February 11, 2026, the United States Court of Appeals for the Second Circuit denied plaintiff’s petition. The Company intends to vigorously defend this matter.</w:t>
      </w:r>
    </w:p>
    <w:p>
      <w:pPr>
        <w:spacing w:after="0" w:line="8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MOVEit Data Security Incident Litigation</w:t>
      </w:r>
    </w:p>
    <w:p>
      <w:pPr>
        <w:spacing w:after="0" w:line="111" w:lineRule="exact"/>
        <w:rPr>
          <w:sz w:val="20"/>
          <w:szCs w:val="20"/>
          <w:color w:val="auto"/>
        </w:rPr>
      </w:pPr>
    </w:p>
    <w:p>
      <w:pPr>
        <w:jc w:val="both"/>
        <w:ind w:left="320" w:firstLine="318"/>
        <w:spacing w:after="0" w:line="249" w:lineRule="auto"/>
        <w:rPr>
          <w:sz w:val="20"/>
          <w:szCs w:val="20"/>
          <w:color w:val="auto"/>
        </w:rPr>
      </w:pPr>
      <w:r>
        <w:rPr>
          <w:rFonts w:ascii="Times New Roman" w:cs="Times New Roman" w:eastAsia="Times New Roman" w:hAnsi="Times New Roman"/>
          <w:sz w:val="18"/>
          <w:szCs w:val="18"/>
          <w:i w:val="1"/>
          <w:iCs w:val="1"/>
          <w:color w:val="auto"/>
        </w:rPr>
        <w:t xml:space="preserve">Kennedy v. Progress Software Corporation, et al. </w:t>
      </w:r>
      <w:r>
        <w:rPr>
          <w:rFonts w:ascii="Times New Roman" w:cs="Times New Roman" w:eastAsia="Times New Roman" w:hAnsi="Times New Roman"/>
          <w:sz w:val="18"/>
          <w:szCs w:val="18"/>
          <w:color w:val="auto"/>
        </w:rPr>
        <w:t>(U.S. District Court, District of Massachusetts, filed October 3, 2023). BHF has been named as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defendant in a purported class action lawsuit. The action relates to a data security incident at an alleged third-party vendor, PBI Research Services (“PBI”), and allegedly involves the MOVEit file transfer system that PBI uses in its provision of services (“MOVEit Incident”). As it relates to BHF, plaintiff seeks to certify a subclass of persons whose private information was allegedly maintained by BHF and accessed or acquired in relation to the MOVEit Incident. Plaintiff alleges, among other things, that BHF negligently chose to utilize PBI to store and transfer plaintiff’s and purported class members’ private information despite PBI’s use of the MOVEit software which plaintiff contends contained security vulnerabilities. The complaint asserts claims against BHF for negligence, negligence per se, and unjust enrichment, and plaintiff seeks declaratory and injunctive relief, damages, attorneys’ fees and prejudgment interest. The court dismissed claims for injunctive relief against BHF, but denied the remainder of a motion to dismiss based on plaintiff’s lack of standing. BHF intends to vigorously defend this matter.</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Life Insurance Company</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 Indirect Wholly-Owned Subsidiary of Brighthouse Financial, Inc.)</w:t>
      </w:r>
    </w:p>
    <w:p>
      <w:pPr>
        <w:spacing w:after="0" w:line="90"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Contingencies, Commitments and Guarantees (continued)</w:t>
      </w:r>
    </w:p>
    <w:p>
      <w:pPr>
        <w:spacing w:after="0" w:line="200" w:lineRule="exact"/>
        <w:rPr>
          <w:sz w:val="20"/>
          <w:szCs w:val="20"/>
          <w:color w:val="auto"/>
        </w:rPr>
      </w:pPr>
    </w:p>
    <w:p>
      <w:pPr>
        <w:spacing w:after="0" w:line="30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Summary</w:t>
      </w:r>
    </w:p>
    <w:p>
      <w:pPr>
        <w:spacing w:after="0" w:line="113" w:lineRule="exact"/>
        <w:rPr>
          <w:sz w:val="20"/>
          <w:szCs w:val="20"/>
          <w:color w:val="auto"/>
        </w:rPr>
      </w:pPr>
    </w:p>
    <w:p>
      <w:pPr>
        <w:jc w:val="both"/>
        <w:ind w:left="320" w:firstLine="318"/>
        <w:spacing w:after="0" w:line="255" w:lineRule="auto"/>
        <w:rPr>
          <w:sz w:val="20"/>
          <w:szCs w:val="20"/>
          <w:color w:val="auto"/>
        </w:rPr>
      </w:pPr>
      <w:r>
        <w:rPr>
          <w:rFonts w:ascii="Times New Roman" w:cs="Times New Roman" w:eastAsia="Times New Roman" w:hAnsi="Times New Roman"/>
          <w:sz w:val="18"/>
          <w:szCs w:val="18"/>
          <w:color w:val="auto"/>
        </w:rPr>
        <w:t>Various litigations, claims and assessments against the Company, in addition to those discussed previously and those otherwise provided for in the Company’s consolidated financial statements, have arisen in the course of the Company’s business, including, but not limited to, in connection with its activities as an insurer, investor and taxpayer. Further, state insurance regulatory authorities and other federal and state authorities regularly make inquiries and conduct investigations concerning the Company’s compliance with applicable insurance and other laws and regulations.</w:t>
      </w:r>
    </w:p>
    <w:p>
      <w:pPr>
        <w:spacing w:after="0" w:line="74" w:lineRule="exact"/>
        <w:rPr>
          <w:sz w:val="20"/>
          <w:szCs w:val="20"/>
          <w:color w:val="auto"/>
        </w:rPr>
      </w:pPr>
    </w:p>
    <w:p>
      <w:pPr>
        <w:jc w:val="both"/>
        <w:ind w:left="320" w:firstLine="318"/>
        <w:spacing w:after="0" w:line="250" w:lineRule="auto"/>
        <w:rPr>
          <w:sz w:val="20"/>
          <w:szCs w:val="20"/>
          <w:color w:val="auto"/>
        </w:rPr>
      </w:pPr>
      <w:r>
        <w:rPr>
          <w:rFonts w:ascii="Times New Roman" w:cs="Times New Roman" w:eastAsia="Times New Roman" w:hAnsi="Times New Roman"/>
          <w:sz w:val="18"/>
          <w:szCs w:val="18"/>
          <w:color w:val="auto"/>
        </w:rPr>
        <w:t>It is not possible to predict the ultimate outcome of all pending investigations and legal proceedings. In some of the matters referred to previously, large or indeterminate amounts, including punitive and treble damages, are sought. Although, in light of these considerations, it is possible that an adverse outcome in certain cases could have a material effect upon the Company’s financial position, based on information currently known by the Company’s management, in its opinion, the outcomes of such pending investigations and legal proceedings are not likely to have such an effect. However, given the large or indeterminate amounts sought in certain of these matters and the inherent unpredictability of litigation, it is possible that an adverse outcome in certain matters could, from time to time, have a material effect on the Company’s consolidated net income or cash flows in particular quarterly or annual periods.</w:t>
      </w:r>
    </w:p>
    <w:p>
      <w:pPr>
        <w:spacing w:after="0" w:line="7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Other Loss Contingencies</w:t>
      </w:r>
    </w:p>
    <w:p>
      <w:pPr>
        <w:spacing w:after="0" w:line="115" w:lineRule="exact"/>
        <w:rPr>
          <w:sz w:val="20"/>
          <w:szCs w:val="20"/>
          <w:color w:val="auto"/>
        </w:rPr>
      </w:pPr>
    </w:p>
    <w:p>
      <w:pPr>
        <w:jc w:val="both"/>
        <w:ind w:left="160" w:firstLine="318"/>
        <w:spacing w:after="0" w:line="249" w:lineRule="auto"/>
        <w:rPr>
          <w:sz w:val="20"/>
          <w:szCs w:val="20"/>
          <w:color w:val="auto"/>
        </w:rPr>
      </w:pPr>
      <w:r>
        <w:rPr>
          <w:rFonts w:ascii="Times New Roman" w:cs="Times New Roman" w:eastAsia="Times New Roman" w:hAnsi="Times New Roman"/>
          <w:sz w:val="18"/>
          <w:szCs w:val="18"/>
          <w:color w:val="auto"/>
        </w:rPr>
        <w:t>As with litigation and regulatory loss contingencies, the Company considers establishing liabilities for loss contingencies associated with disputes or other matters involving third parties, including counterparties to contractual arrangements entered into by the Company (e.g., third-party vendors and reinsurers), as well as with tax or other authorities (“other loss contingencies”). The Company establishes liabilities for such other loss contingencies when it is probable that a loss will be incurred and the amount of the loss can be reasonably estimated. In matters where it is not probable, but is reasonably possible that a loss will be incurred and the amount of loss can be reasonably estimated, such losses or range of losses are disclosed, and no accrual is made. In the absence of sufficient information to support an assessment of the reasonably possible loss or range of loss, no accrual is made and no loss or range of loss is disclosed. On a quarterly basis, the Company reviews relevant information with respect to other loss contingencies and, when applicable, updates its accruals, disclosures and estimates of reasonably possible losses or estimated ranges of loss based on such reviews.</w:t>
      </w:r>
    </w:p>
    <w:p>
      <w:pPr>
        <w:spacing w:after="0" w:line="8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Company’s tax-related matters have involved disputes with taxing authorities, ongoing audits, evaluation of filing positions and any potential</w:t>
      </w:r>
    </w:p>
    <w:p>
      <w:pPr>
        <w:spacing w:after="0" w:line="24" w:lineRule="exact"/>
        <w:rPr>
          <w:sz w:val="20"/>
          <w:szCs w:val="20"/>
          <w:color w:val="auto"/>
        </w:rPr>
      </w:pPr>
    </w:p>
    <w:p>
      <w:pPr>
        <w:jc w:val="both"/>
        <w:ind w:left="160"/>
        <w:spacing w:after="0" w:line="247" w:lineRule="auto"/>
        <w:rPr>
          <w:sz w:val="20"/>
          <w:szCs w:val="20"/>
          <w:color w:val="auto"/>
        </w:rPr>
      </w:pPr>
      <w:r>
        <w:rPr>
          <w:rFonts w:ascii="Times New Roman" w:cs="Times New Roman" w:eastAsia="Times New Roman" w:hAnsi="Times New Roman"/>
          <w:sz w:val="18"/>
          <w:szCs w:val="18"/>
          <w:color w:val="auto"/>
        </w:rPr>
        <w:t>assessments related thereto</w:t>
      </w:r>
      <w:r>
        <w:rPr>
          <w:rFonts w:ascii="Times New Roman" w:cs="Times New Roman" w:eastAsia="Times New Roman" w:hAnsi="Times New Roman"/>
          <w:sz w:val="21"/>
          <w:szCs w:val="21"/>
          <w:color w:val="0000FF"/>
        </w:rPr>
        <w:t>.</w:t>
      </w:r>
      <w:r>
        <w:rPr>
          <w:rFonts w:ascii="Times New Roman" w:cs="Times New Roman" w:eastAsia="Times New Roman" w:hAnsi="Times New Roman"/>
          <w:sz w:val="18"/>
          <w:szCs w:val="18"/>
          <w:color w:val="auto"/>
        </w:rPr>
        <w:t xml:space="preserve"> In the matters where the Company’s subsidiaries are acting as the reinsured or the reinsurer, such reinsurance matters have involved assertions by third parties primarily related to rates, fees or reinsured benefit calculations, and certain of such reinsurance matters have resulted in arbitration. As of March 31, 2026, the Company estimates the range of reasonably possible losses in excess of the amounts accrued for certain other loss contingencies to be from zero up to approximately $15 million relating to a certain reinsurance matter, as described above. For certain matters, the Company may not currently be able to estimate the reasonably possible loss or estimated range of loss until developments in such matters have provided sufficient information to support an assessment of such loss.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Commitments</w:t>
      </w:r>
    </w:p>
    <w:p>
      <w:pPr>
        <w:spacing w:after="0" w:line="11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Mortgage Loan Commitments</w:t>
      </w:r>
    </w:p>
    <w:p>
      <w:pPr>
        <w:spacing w:after="0" w:line="115" w:lineRule="exact"/>
        <w:rPr>
          <w:sz w:val="20"/>
          <w:szCs w:val="20"/>
          <w:color w:val="auto"/>
        </w:rPr>
      </w:pPr>
    </w:p>
    <w:p>
      <w:pPr>
        <w:jc w:val="both"/>
        <w:ind w:left="160" w:right="20" w:firstLine="318"/>
        <w:spacing w:after="0" w:line="274" w:lineRule="auto"/>
        <w:rPr>
          <w:sz w:val="20"/>
          <w:szCs w:val="20"/>
          <w:color w:val="auto"/>
        </w:rPr>
      </w:pPr>
      <w:r>
        <w:rPr>
          <w:rFonts w:ascii="Times New Roman" w:cs="Times New Roman" w:eastAsia="Times New Roman" w:hAnsi="Times New Roman"/>
          <w:sz w:val="18"/>
          <w:szCs w:val="18"/>
          <w:color w:val="auto"/>
        </w:rPr>
        <w:t>The Company commits to lend funds under mortgage loan commitments. The amounts of these mortgage loan commitments were $418 million and $436 million at March 31, 2026 and December 31, 2025, respectively.</w:t>
      </w:r>
    </w:p>
    <w:p>
      <w:pPr>
        <w:spacing w:after="0" w:line="5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Commitments to Fund Partnership Investments and Private Corporate Bond Investments</w:t>
      </w:r>
    </w:p>
    <w:p>
      <w:pPr>
        <w:spacing w:after="0" w:line="115" w:lineRule="exact"/>
        <w:rPr>
          <w:sz w:val="20"/>
          <w:szCs w:val="20"/>
          <w:color w:val="auto"/>
        </w:rPr>
      </w:pPr>
    </w:p>
    <w:p>
      <w:pPr>
        <w:jc w:val="both"/>
        <w:ind w:left="160" w:firstLine="318"/>
        <w:spacing w:after="0" w:line="274" w:lineRule="auto"/>
        <w:rPr>
          <w:sz w:val="20"/>
          <w:szCs w:val="20"/>
          <w:color w:val="auto"/>
        </w:rPr>
      </w:pPr>
      <w:r>
        <w:rPr>
          <w:rFonts w:ascii="Times New Roman" w:cs="Times New Roman" w:eastAsia="Times New Roman" w:hAnsi="Times New Roman"/>
          <w:sz w:val="18"/>
          <w:szCs w:val="18"/>
          <w:color w:val="auto"/>
        </w:rPr>
        <w:t>The Company commits to fund partnership investments and to lend funds under private corporate bond investments. The amounts of these unfunded commitments were $1.4 billion at both March 31, 2026 and December 31, 2025.</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Life Insurance Company</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 Indirect Wholly-Owned Subsidiary of Brighthouse Financial, Inc.)</w:t>
      </w:r>
    </w:p>
    <w:p>
      <w:pPr>
        <w:spacing w:after="0" w:line="90"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Contingencies, Commitments and Guarantees (continued)</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Guarantees</w:t>
      </w:r>
    </w:p>
    <w:p>
      <w:pPr>
        <w:spacing w:after="0" w:line="115"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In the normal course of its business, the Company has provided certain indemnities, guarantees and commitments to third parties such that it may be required to make payments now or in the future. In the context of reinsurance, acquisition, disposition, investment and other transactions, the Company has provided indemnities and guarantees, including those related to tax, environmental and other specific liabilities and other indemnities and guarantees that are triggered by, among other things, breaches of representations, warranties or covenants provided by the Company. In addition, in the normal course of business, the Company provides indemnifications to counterparties in contracts with triggers similar to the foregoing, as well as for certain other liabilities, such as third-party lawsuits. These obligations are often subject to time limitations that vary in duration, including contractual limitations and those that arise by operation of law, such as applicable statutes of limitation. In some cases, the maximum potential obligation under the indemnities and guarantees is subject to a contractual limitation with a cumulative maximum of $82 million, while in other cases such limitations are not specified or applicable. Since certain of these obligations are not subject to limitations, the Company does not believe that it is possible to determine the maximum potential amount that could become due under these guarantees in the future. Management believes that it is unlikely the Company will have to make any material payments under these indemnities, guarantees, or commitments.</w:t>
      </w:r>
    </w:p>
    <w:p>
      <w:pPr>
        <w:spacing w:after="0" w:line="85"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In addition, the Company indemnifies its directors and officers as provided in its charters and bylaws. Also, the Company indemnifies its agents for liabilities incurred as a result of their representation of the Company’s interests. Since these indemnities are generally not subject to limitation with respect to duration or amount, the Company does not believe that it is possible to determine the maximum potential amount that could become due under these indemnities in the future.</w:t>
      </w:r>
    </w:p>
    <w:p>
      <w:pPr>
        <w:spacing w:after="0" w:line="7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Company did not have any liabilities recorded for indemnities, guarantees and commitments at both March 31, 2026 and December 31, 2025.</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Related Party Transactions</w:t>
      </w:r>
    </w:p>
    <w:p>
      <w:pPr>
        <w:spacing w:after="0" w:line="10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Reinsurance Agreements</w:t>
      </w:r>
    </w:p>
    <w:p>
      <w:pPr>
        <w:spacing w:after="0" w:line="115" w:lineRule="exact"/>
        <w:rPr>
          <w:sz w:val="20"/>
          <w:szCs w:val="20"/>
          <w:color w:val="auto"/>
        </w:rPr>
      </w:pPr>
    </w:p>
    <w:p>
      <w:pPr>
        <w:jc w:val="both"/>
        <w:ind w:left="160" w:firstLine="318"/>
        <w:spacing w:after="0" w:line="259" w:lineRule="auto"/>
        <w:rPr>
          <w:sz w:val="20"/>
          <w:szCs w:val="20"/>
          <w:color w:val="auto"/>
        </w:rPr>
      </w:pPr>
      <w:r>
        <w:rPr>
          <w:rFonts w:ascii="Times New Roman" w:cs="Times New Roman" w:eastAsia="Times New Roman" w:hAnsi="Times New Roman"/>
          <w:sz w:val="18"/>
          <w:szCs w:val="18"/>
          <w:color w:val="auto"/>
        </w:rPr>
        <w:t>The Company enters into reinsurance agreements primarily as a purchaser of reinsurance for its various insurance products and also as a provider of reinsurance for some insurance products issued by related parties. The Company participates in reinsurance activities in order to limit losses, minimize exposure to significant risks and provide additional capacity for future growth.</w:t>
      </w:r>
    </w:p>
    <w:p>
      <w:pPr>
        <w:spacing w:after="0" w:line="72" w:lineRule="exact"/>
        <w:rPr>
          <w:sz w:val="20"/>
          <w:szCs w:val="20"/>
          <w:color w:val="auto"/>
        </w:rPr>
      </w:pPr>
    </w:p>
    <w:p>
      <w:pPr>
        <w:jc w:val="both"/>
        <w:ind w:left="160" w:firstLine="318"/>
        <w:spacing w:after="0" w:line="274" w:lineRule="auto"/>
        <w:rPr>
          <w:sz w:val="20"/>
          <w:szCs w:val="20"/>
          <w:color w:val="auto"/>
        </w:rPr>
      </w:pPr>
      <w:r>
        <w:rPr>
          <w:rFonts w:ascii="Times New Roman" w:cs="Times New Roman" w:eastAsia="Times New Roman" w:hAnsi="Times New Roman"/>
          <w:sz w:val="18"/>
          <w:szCs w:val="18"/>
          <w:color w:val="auto"/>
        </w:rPr>
        <w:t>Information regarding the significant effects of assumed reinsurance with New England Life Insurance Company (“NELICO”), an affiliate, included on the interim condensed consolidated statements of operations and comprehensive income (loss) was as follows:</w:t>
      </w:r>
    </w:p>
    <w:p>
      <w:pPr>
        <w:spacing w:after="0" w:line="197" w:lineRule="exact"/>
        <w:rPr>
          <w:sz w:val="20"/>
          <w:szCs w:val="20"/>
          <w:color w:val="auto"/>
        </w:rPr>
      </w:pPr>
    </w:p>
    <w:p>
      <w:pPr>
        <w:jc w:val="center"/>
        <w:ind w:left="77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3" w:lineRule="exact"/>
        <w:rPr>
          <w:sz w:val="20"/>
          <w:szCs w:val="20"/>
          <w:color w:val="auto"/>
        </w:rPr>
      </w:pPr>
    </w:p>
    <w:p>
      <w:pPr>
        <w:jc w:val="center"/>
        <w:ind w:left="778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4951095</wp:posOffset>
            </wp:positionH>
            <wp:positionV relativeFrom="paragraph">
              <wp:posOffset>11430</wp:posOffset>
            </wp:positionV>
            <wp:extent cx="218757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187575" cy="8255"/>
                    </a:xfrm>
                    <a:prstGeom prst="rect">
                      <a:avLst/>
                    </a:prstGeom>
                    <a:noFill/>
                  </pic:spPr>
                </pic:pic>
              </a:graphicData>
            </a:graphic>
          </wp:anchor>
        </w:drawing>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00" w:type="dxa"/>
            <w:vAlign w:val="bottom"/>
          </w:tcPr>
          <w:p>
            <w:pPr>
              <w:spacing w:after="0"/>
              <w:rPr>
                <w:sz w:val="16"/>
                <w:szCs w:val="16"/>
                <w:color w:val="auto"/>
              </w:rPr>
            </w:pPr>
          </w:p>
        </w:tc>
        <w:tc>
          <w:tcPr>
            <w:tcW w:w="1160" w:type="dxa"/>
            <w:vAlign w:val="bottom"/>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rPr>
              <w:t>2026</w:t>
            </w:r>
          </w:p>
        </w:tc>
        <w:tc>
          <w:tcPr>
            <w:tcW w:w="5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160" w:type="dxa"/>
            <w:vAlign w:val="bottom"/>
          </w:tcPr>
          <w:p>
            <w:pPr>
              <w:jc w:val="right"/>
              <w:ind w:right="62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7800" w:type="dxa"/>
            <w:vAlign w:val="bottom"/>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gridSpan w:val="2"/>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r>
      <w:tr>
        <w:trPr>
          <w:trHeight w:val="393"/>
        </w:trPr>
        <w:tc>
          <w:tcPr>
            <w:tcW w:w="78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20" w:type="dxa"/>
            <w:vAlign w:val="bottom"/>
            <w:gridSpan w:val="2"/>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160" w:type="dxa"/>
            <w:vAlign w:val="bottom"/>
          </w:tcPr>
          <w:p>
            <w:pPr>
              <w:spacing w:after="0"/>
              <w:rPr>
                <w:sz w:val="24"/>
                <w:szCs w:val="24"/>
                <w:color w:val="auto"/>
              </w:rPr>
            </w:pPr>
          </w:p>
        </w:tc>
      </w:tr>
      <w:tr>
        <w:trPr>
          <w:trHeight w:val="37"/>
        </w:trPr>
        <w:tc>
          <w:tcPr>
            <w:tcW w:w="78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451"/>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Premiums</w:t>
            </w:r>
          </w:p>
        </w:tc>
        <w:tc>
          <w:tcPr>
            <w:tcW w:w="1160" w:type="dxa"/>
            <w:vAlign w:val="bottom"/>
            <w:shd w:val="clear" w:color="auto" w:fill="CCEEFF"/>
          </w:tcPr>
          <w:p>
            <w:pPr>
              <w:jc w:val="right"/>
              <w:ind w:right="982"/>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3</w:t>
            </w:r>
          </w:p>
        </w:tc>
        <w:tc>
          <w:tcPr>
            <w:tcW w:w="560" w:type="dxa"/>
            <w:vAlign w:val="bottom"/>
            <w:shd w:val="clear" w:color="auto" w:fill="CCEEFF"/>
          </w:tcPr>
          <w:p>
            <w:pPr>
              <w:jc w:val="right"/>
              <w:ind w:right="321"/>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448"/>
        </w:trPr>
        <w:tc>
          <w:tcPr>
            <w:tcW w:w="7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Policyholder benefits and claims</w:t>
            </w:r>
          </w:p>
        </w:tc>
        <w:tc>
          <w:tcPr>
            <w:tcW w:w="1160" w:type="dxa"/>
            <w:vAlign w:val="bottom"/>
          </w:tcPr>
          <w:p>
            <w:pPr>
              <w:jc w:val="right"/>
              <w:ind w:right="982"/>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7</w:t>
            </w:r>
          </w:p>
        </w:tc>
        <w:tc>
          <w:tcPr>
            <w:tcW w:w="560" w:type="dxa"/>
            <w:vAlign w:val="bottom"/>
          </w:tcPr>
          <w:p>
            <w:pPr>
              <w:jc w:val="right"/>
              <w:ind w:right="321"/>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453"/>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 in market risk benefits</w:t>
            </w:r>
          </w:p>
        </w:tc>
        <w:tc>
          <w:tcPr>
            <w:tcW w:w="1160" w:type="dxa"/>
            <w:vAlign w:val="bottom"/>
            <w:shd w:val="clear" w:color="auto" w:fill="CCEEFF"/>
          </w:tcPr>
          <w:p>
            <w:pPr>
              <w:jc w:val="right"/>
              <w:ind w:right="982"/>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23</w:t>
            </w:r>
          </w:p>
        </w:tc>
        <w:tc>
          <w:tcPr>
            <w:tcW w:w="560" w:type="dxa"/>
            <w:vAlign w:val="bottom"/>
            <w:shd w:val="clear" w:color="auto" w:fill="CCEEFF"/>
          </w:tcPr>
          <w:p>
            <w:pPr>
              <w:jc w:val="right"/>
              <w:ind w:right="321"/>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r>
      <w:tr>
        <w:trPr>
          <w:trHeight w:val="445"/>
        </w:trPr>
        <w:tc>
          <w:tcPr>
            <w:tcW w:w="7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expenses</w:t>
            </w:r>
          </w:p>
        </w:tc>
        <w:tc>
          <w:tcPr>
            <w:tcW w:w="1160" w:type="dxa"/>
            <w:vAlign w:val="bottom"/>
          </w:tcPr>
          <w:p>
            <w:pPr>
              <w:jc w:val="right"/>
              <w:ind w:right="982"/>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w:t>
            </w:r>
          </w:p>
        </w:tc>
        <w:tc>
          <w:tcPr>
            <w:tcW w:w="560" w:type="dxa"/>
            <w:vAlign w:val="bottom"/>
          </w:tcPr>
          <w:p>
            <w:pPr>
              <w:jc w:val="right"/>
              <w:ind w:right="321"/>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Life Insurance Company</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 Indirect Wholly-Owned Subsidiary of Brighthouse Financial, Inc.)</w:t>
      </w:r>
    </w:p>
    <w:p>
      <w:pPr>
        <w:spacing w:after="0" w:line="90"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Related Party Transactions (continued)</w:t>
      </w:r>
    </w:p>
    <w:p>
      <w:pPr>
        <w:spacing w:after="0" w:line="200" w:lineRule="exact"/>
        <w:rPr>
          <w:sz w:val="20"/>
          <w:szCs w:val="20"/>
          <w:color w:val="auto"/>
        </w:rPr>
      </w:pPr>
    </w:p>
    <w:p>
      <w:pPr>
        <w:spacing w:after="0" w:line="311" w:lineRule="exact"/>
        <w:rPr>
          <w:sz w:val="20"/>
          <w:szCs w:val="20"/>
          <w:color w:val="auto"/>
        </w:rPr>
      </w:pPr>
    </w:p>
    <w:p>
      <w:pPr>
        <w:jc w:val="both"/>
        <w:ind w:left="160" w:firstLine="318"/>
        <w:spacing w:after="0" w:line="274" w:lineRule="auto"/>
        <w:rPr>
          <w:sz w:val="20"/>
          <w:szCs w:val="20"/>
          <w:color w:val="auto"/>
        </w:rPr>
      </w:pPr>
      <w:r>
        <w:rPr>
          <w:rFonts w:ascii="Times New Roman" w:cs="Times New Roman" w:eastAsia="Times New Roman" w:hAnsi="Times New Roman"/>
          <w:sz w:val="18"/>
          <w:szCs w:val="18"/>
          <w:color w:val="auto"/>
        </w:rPr>
        <w:t>Information regarding the significant effects of assumed reinsurance with NELICO included on the interim condensed consolidated balance sheets was as follows at:</w:t>
      </w:r>
    </w:p>
    <w:p>
      <w:pPr>
        <w:spacing w:after="0" w:line="200" w:lineRule="exact"/>
        <w:rPr>
          <w:sz w:val="20"/>
          <w:szCs w:val="20"/>
          <w:color w:val="auto"/>
        </w:rPr>
      </w:pPr>
    </w:p>
    <w:p>
      <w:pPr>
        <w:spacing w:after="0" w:line="222" w:lineRule="exact"/>
        <w:rPr>
          <w:sz w:val="20"/>
          <w:szCs w:val="20"/>
          <w:color w:val="auto"/>
        </w:rPr>
      </w:pPr>
    </w:p>
    <w:p>
      <w:pPr>
        <w:ind w:left="8160"/>
        <w:spacing w:after="0"/>
        <w:tabs>
          <w:tab w:leader="none" w:pos="9820" w:val="left"/>
        </w:tabs>
        <w:rPr>
          <w:sz w:val="20"/>
          <w:szCs w:val="20"/>
          <w:color w:val="auto"/>
        </w:rPr>
      </w:pPr>
      <w:r>
        <w:rPr>
          <w:rFonts w:ascii="Times New Roman" w:cs="Times New Roman" w:eastAsia="Times New Roman" w:hAnsi="Times New Roman"/>
          <w:sz w:val="14"/>
          <w:szCs w:val="14"/>
          <w:b w:val="1"/>
          <w:bCs w:val="1"/>
          <w:color w:val="auto"/>
        </w:rPr>
        <w:t>March 31, 2026</w:t>
      </w:r>
      <w:r>
        <w:rPr>
          <w:sz w:val="20"/>
          <w:szCs w:val="20"/>
          <w:color w:val="auto"/>
        </w:rPr>
        <w:tab/>
      </w:r>
      <w:r>
        <w:rPr>
          <w:rFonts w:ascii="Times New Roman" w:cs="Times New Roman" w:eastAsia="Times New Roman" w:hAnsi="Times New Roman"/>
          <w:sz w:val="14"/>
          <w:szCs w:val="14"/>
          <w:b w:val="1"/>
          <w:bCs w:val="1"/>
          <w:color w:val="auto"/>
        </w:rPr>
        <w:t>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4951095</wp:posOffset>
            </wp:positionH>
            <wp:positionV relativeFrom="paragraph">
              <wp:posOffset>39370</wp:posOffset>
            </wp:positionV>
            <wp:extent cx="218757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187575" cy="8255"/>
                    </a:xfrm>
                    <a:prstGeom prst="rect">
                      <a:avLst/>
                    </a:prstGeom>
                    <a:noFill/>
                  </pic:spPr>
                </pic:pic>
              </a:graphicData>
            </a:graphic>
          </wp:anchor>
        </w:drawing>
      </w:r>
    </w:p>
    <w:p>
      <w:pPr>
        <w:spacing w:after="0" w:line="270" w:lineRule="exact"/>
        <w:rPr>
          <w:sz w:val="20"/>
          <w:szCs w:val="20"/>
          <w:color w:val="auto"/>
        </w:rPr>
      </w:pPr>
    </w:p>
    <w:p>
      <w:pPr>
        <w:ind w:left="9140"/>
        <w:spacing w:after="0"/>
        <w:rPr>
          <w:sz w:val="20"/>
          <w:szCs w:val="20"/>
          <w:color w:val="auto"/>
        </w:rPr>
      </w:pPr>
      <w:r>
        <w:rPr>
          <w:rFonts w:ascii="Times New Roman" w:cs="Times New Roman" w:eastAsia="Times New Roman" w:hAnsi="Times New Roman"/>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39370</wp:posOffset>
            </wp:positionV>
            <wp:extent cx="7134860" cy="28638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4860" cy="286385"/>
                    </a:xfrm>
                    <a:prstGeom prst="rect">
                      <a:avLst/>
                    </a:prstGeom>
                    <a:noFill/>
                  </pic:spPr>
                </pic:pic>
              </a:graphicData>
            </a:graphic>
          </wp:anchor>
        </w:drawing>
      </w:r>
    </w:p>
    <w:p>
      <w:pPr>
        <w:spacing w:after="0" w:line="26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Premiums, reinsurance and other receivables (net of allowance for credit losses)</w:t>
            </w:r>
          </w:p>
        </w:tc>
        <w:tc>
          <w:tcPr>
            <w:tcW w:w="2080" w:type="dxa"/>
            <w:vAlign w:val="bottom"/>
          </w:tcPr>
          <w:p>
            <w:pPr>
              <w:jc w:val="right"/>
              <w:ind w:right="561"/>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32</w:t>
            </w:r>
          </w:p>
        </w:tc>
        <w:tc>
          <w:tcPr>
            <w:tcW w:w="780" w:type="dxa"/>
            <w:vAlign w:val="bottom"/>
          </w:tcPr>
          <w:p>
            <w:pPr>
              <w:jc w:val="right"/>
              <w:ind w:right="541"/>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r>
      <w:tr>
        <w:trPr>
          <w:trHeight w:val="460"/>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20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r>
      <w:tr>
        <w:trPr>
          <w:trHeight w:val="441"/>
        </w:trPr>
        <w:tc>
          <w:tcPr>
            <w:tcW w:w="6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Future policy benefits</w:t>
            </w:r>
          </w:p>
        </w:tc>
        <w:tc>
          <w:tcPr>
            <w:tcW w:w="2080" w:type="dxa"/>
            <w:vAlign w:val="bottom"/>
          </w:tcPr>
          <w:p>
            <w:pPr>
              <w:jc w:val="right"/>
              <w:ind w:right="561"/>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59</w:t>
            </w:r>
          </w:p>
        </w:tc>
        <w:tc>
          <w:tcPr>
            <w:tcW w:w="780" w:type="dxa"/>
            <w:vAlign w:val="bottom"/>
          </w:tcPr>
          <w:p>
            <w:pPr>
              <w:jc w:val="right"/>
              <w:ind w:right="541"/>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w:t>
            </w:r>
          </w:p>
        </w:tc>
      </w:tr>
      <w:tr>
        <w:trPr>
          <w:trHeight w:val="460"/>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Market risk benefit liabilities</w:t>
            </w:r>
          </w:p>
        </w:tc>
        <w:tc>
          <w:tcPr>
            <w:tcW w:w="2080" w:type="dxa"/>
            <w:vAlign w:val="bottom"/>
            <w:shd w:val="clear" w:color="auto" w:fill="CCEEFF"/>
          </w:tcPr>
          <w:p>
            <w:pPr>
              <w:jc w:val="right"/>
              <w:ind w:right="561"/>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222</w:t>
            </w:r>
          </w:p>
        </w:tc>
        <w:tc>
          <w:tcPr>
            <w:tcW w:w="780" w:type="dxa"/>
            <w:vAlign w:val="bottom"/>
            <w:shd w:val="clear" w:color="auto" w:fill="CCEEFF"/>
          </w:tcPr>
          <w:p>
            <w:pPr>
              <w:jc w:val="right"/>
              <w:ind w:right="541"/>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w:t>
            </w:r>
          </w:p>
        </w:tc>
      </w:tr>
      <w:tr>
        <w:trPr>
          <w:trHeight w:val="441"/>
        </w:trPr>
        <w:tc>
          <w:tcPr>
            <w:tcW w:w="6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policy-related balances</w:t>
            </w:r>
          </w:p>
        </w:tc>
        <w:tc>
          <w:tcPr>
            <w:tcW w:w="2080" w:type="dxa"/>
            <w:vAlign w:val="bottom"/>
          </w:tcPr>
          <w:p>
            <w:pPr>
              <w:jc w:val="right"/>
              <w:ind w:right="561"/>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13</w:t>
            </w:r>
          </w:p>
        </w:tc>
        <w:tc>
          <w:tcPr>
            <w:tcW w:w="780" w:type="dxa"/>
            <w:vAlign w:val="bottom"/>
          </w:tcPr>
          <w:p>
            <w:pPr>
              <w:jc w:val="right"/>
              <w:ind w:right="541"/>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r>
      <w:tr>
        <w:trPr>
          <w:trHeight w:val="460"/>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liabilities</w:t>
            </w:r>
          </w:p>
        </w:tc>
        <w:tc>
          <w:tcPr>
            <w:tcW w:w="2080" w:type="dxa"/>
            <w:vAlign w:val="bottom"/>
            <w:shd w:val="clear" w:color="auto" w:fill="CCEEFF"/>
          </w:tcPr>
          <w:p>
            <w:pPr>
              <w:jc w:val="right"/>
              <w:ind w:right="561"/>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(17)</w:t>
            </w:r>
          </w:p>
        </w:tc>
        <w:tc>
          <w:tcPr>
            <w:tcW w:w="780" w:type="dxa"/>
            <w:vAlign w:val="bottom"/>
            <w:shd w:val="clear" w:color="auto" w:fill="CCEEFF"/>
          </w:tcPr>
          <w:p>
            <w:pPr>
              <w:jc w:val="right"/>
              <w:ind w:right="541"/>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r>
    </w:tbl>
    <w:p>
      <w:pPr>
        <w:spacing w:after="0" w:line="17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Shared Services and Overhead Allocations</w:t>
      </w:r>
    </w:p>
    <w:p>
      <w:pPr>
        <w:spacing w:after="0" w:line="115" w:lineRule="exact"/>
        <w:rPr>
          <w:sz w:val="20"/>
          <w:szCs w:val="20"/>
          <w:color w:val="auto"/>
        </w:rPr>
      </w:pPr>
    </w:p>
    <w:p>
      <w:pPr>
        <w:jc w:val="both"/>
        <w:ind w:left="160" w:firstLine="318"/>
        <w:spacing w:after="0" w:line="252" w:lineRule="auto"/>
        <w:rPr>
          <w:sz w:val="20"/>
          <w:szCs w:val="20"/>
          <w:color w:val="auto"/>
        </w:rPr>
      </w:pPr>
      <w:r>
        <w:rPr>
          <w:rFonts w:ascii="Times New Roman" w:cs="Times New Roman" w:eastAsia="Times New Roman" w:hAnsi="Times New Roman"/>
          <w:sz w:val="18"/>
          <w:szCs w:val="18"/>
          <w:color w:val="auto"/>
        </w:rPr>
        <w:t>The Company has entered into various agreements with affiliates regarding the provision of certain services, which include, but are not limited to, treasury, financial planning and analysis, legal, human resources, tax planning, internal audit, financial reporting and information technology. Revenues received from an affiliate related to these agreements, recorded in universal life and investment-type product policy fees, were $41 million and $42 million for the three months ended March 31, 2026 and 2025, respectively. Costs incurred under these arrangements were $217 million and $211 million for the three months ended March 31, 2026 and 2025, respectively, and were recorded in other expenses.</w:t>
      </w:r>
    </w:p>
    <w:p>
      <w:pPr>
        <w:spacing w:after="0" w:line="79" w:lineRule="exact"/>
        <w:rPr>
          <w:sz w:val="20"/>
          <w:szCs w:val="20"/>
          <w:color w:val="auto"/>
        </w:rPr>
      </w:pPr>
    </w:p>
    <w:p>
      <w:pPr>
        <w:jc w:val="both"/>
        <w:ind w:left="160" w:firstLine="318"/>
        <w:spacing w:after="0" w:line="274" w:lineRule="auto"/>
        <w:rPr>
          <w:sz w:val="20"/>
          <w:szCs w:val="20"/>
          <w:color w:val="auto"/>
        </w:rPr>
      </w:pPr>
      <w:r>
        <w:rPr>
          <w:rFonts w:ascii="Times New Roman" w:cs="Times New Roman" w:eastAsia="Times New Roman" w:hAnsi="Times New Roman"/>
          <w:sz w:val="18"/>
          <w:szCs w:val="18"/>
          <w:color w:val="auto"/>
        </w:rPr>
        <w:t>The Company had net receivables from/(payables to) affiliates, related to the items discussed above, of ($133) million and ($68) million at March 31, 2026 and December 31, 2025, respectively.</w:t>
      </w:r>
    </w:p>
    <w:p>
      <w:pPr>
        <w:spacing w:after="0" w:line="5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Broker-Dealer Transactions</w:t>
      </w:r>
    </w:p>
    <w:p>
      <w:pPr>
        <w:spacing w:after="0" w:line="115" w:lineRule="exact"/>
        <w:rPr>
          <w:sz w:val="20"/>
          <w:szCs w:val="20"/>
          <w:color w:val="auto"/>
        </w:rPr>
      </w:pPr>
    </w:p>
    <w:p>
      <w:pPr>
        <w:jc w:val="both"/>
        <w:ind w:left="160" w:firstLine="318"/>
        <w:spacing w:after="0" w:line="251" w:lineRule="auto"/>
        <w:rPr>
          <w:sz w:val="20"/>
          <w:szCs w:val="20"/>
          <w:color w:val="auto"/>
        </w:rPr>
      </w:pPr>
      <w:r>
        <w:rPr>
          <w:rFonts w:ascii="Times New Roman" w:cs="Times New Roman" w:eastAsia="Times New Roman" w:hAnsi="Times New Roman"/>
          <w:sz w:val="18"/>
          <w:szCs w:val="18"/>
          <w:color w:val="auto"/>
        </w:rPr>
        <w:t>The related party expense for the Company was commissions paid on the sale of variable products and passed through to the broker-dealer affiliate. The related party revenue for the Company was fee income passed through the broker-dealer affiliate from trusts and mutual funds whose shares serve as investment options of policyholders of the Company. Fee income received related to these transactions and recorded in other revenues was $41 million for both the three months ended March 31, 2026 and 2025. Commission expenses incurred related to these transactions and recorded in other expenses were $230 million and $229 million for the three months ended March 31, 2026 and 2025, respectively. The Company also had related party fee income receivables of $14 million at both March 31, 2026 and December 31, 2025.</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1002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71"/>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140" w:type="dxa"/>
            <w:vAlign w:val="bottom"/>
            <w:gridSpan w:val="5"/>
          </w:tcPr>
          <w:p>
            <w:pPr>
              <w:ind w:left="220"/>
              <w:spacing w:after="0"/>
              <w:rPr>
                <w:sz w:val="20"/>
                <w:szCs w:val="20"/>
                <w:color w:val="auto"/>
              </w:rPr>
            </w:pPr>
            <w:r>
              <w:rPr>
                <w:rFonts w:ascii="Times New Roman" w:cs="Times New Roman" w:eastAsia="Times New Roman" w:hAnsi="Times New Roman"/>
                <w:sz w:val="18"/>
                <w:szCs w:val="18"/>
                <w:b w:val="1"/>
                <w:bCs w:val="1"/>
                <w:color w:val="auto"/>
              </w:rPr>
              <w:t>Index to Management’s Discussion and Analysis of Financial Condition and Results of Operations</w:t>
            </w: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04"/>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760" w:type="dxa"/>
            <w:vAlign w:val="bottom"/>
          </w:tcPr>
          <w:p>
            <w:pPr>
              <w:spacing w:after="0"/>
              <w:rPr>
                <w:sz w:val="24"/>
                <w:szCs w:val="24"/>
                <w:color w:val="auto"/>
              </w:rPr>
            </w:pPr>
          </w:p>
        </w:tc>
        <w:tc>
          <w:tcPr>
            <w:tcW w:w="940" w:type="dxa"/>
            <w:vAlign w:val="bottom"/>
            <w:gridSpan w:val="4"/>
          </w:tcPr>
          <w:p>
            <w:pPr>
              <w:jc w:val="center"/>
              <w:ind w:left="492"/>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205"/>
        </w:trPr>
        <w:tc>
          <w:tcPr>
            <w:tcW w:w="20" w:type="dxa"/>
            <w:vAlign w:val="bottom"/>
          </w:tcPr>
          <w:p>
            <w:pPr>
              <w:spacing w:after="0"/>
              <w:rPr>
                <w:sz w:val="17"/>
                <w:szCs w:val="17"/>
                <w:color w:val="auto"/>
              </w:rPr>
            </w:pPr>
          </w:p>
        </w:tc>
        <w:tc>
          <w:tcPr>
            <w:tcW w:w="700" w:type="dxa"/>
            <w:vAlign w:val="bottom"/>
            <w:tcBorders>
              <w:bottom w:val="single" w:sz="8" w:color="0000FF"/>
            </w:tcBorders>
          </w:tcPr>
          <w:p>
            <w:pPr>
              <w:spacing w:after="0" w:line="205" w:lineRule="exact"/>
              <w:rPr>
                <w:sz w:val="20"/>
                <w:szCs w:val="20"/>
                <w:color w:val="auto"/>
              </w:rPr>
            </w:pPr>
            <w:r>
              <w:rPr>
                <w:rFonts w:ascii="Times New Roman" w:cs="Times New Roman" w:eastAsia="Times New Roman" w:hAnsi="Times New Roman"/>
                <w:sz w:val="18"/>
                <w:szCs w:val="18"/>
                <w:color w:val="0000FF"/>
                <w:w w:val="95"/>
              </w:rPr>
              <w:t>Overview</w:t>
            </w:r>
          </w:p>
        </w:tc>
        <w:tc>
          <w:tcPr>
            <w:tcW w:w="9300" w:type="dxa"/>
            <w:vAlign w:val="bottom"/>
            <w:gridSpan w:val="7"/>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80" w:type="dxa"/>
            <w:vAlign w:val="bottom"/>
            <w:tcBorders>
              <w:top w:val="single" w:sz="8" w:color="auto"/>
              <w:bottom w:val="single" w:sz="8" w:color="0000FF"/>
            </w:tcBorders>
          </w:tcPr>
          <w:p>
            <w:pPr>
              <w:jc w:val="center"/>
              <w:spacing w:after="0" w:line="205" w:lineRule="exact"/>
              <w:rPr>
                <w:sz w:val="20"/>
                <w:szCs w:val="20"/>
                <w:color w:val="auto"/>
              </w:rPr>
            </w:pPr>
            <w:r>
              <w:rPr>
                <w:rFonts w:ascii="Times New Roman" w:cs="Times New Roman" w:eastAsia="Times New Roman" w:hAnsi="Times New Roman"/>
                <w:sz w:val="18"/>
                <w:szCs w:val="18"/>
                <w:color w:val="0000FF"/>
                <w:w w:val="99"/>
              </w:rPr>
              <w:t>54</w:t>
            </w:r>
          </w:p>
        </w:tc>
        <w:tc>
          <w:tcPr>
            <w:tcW w:w="100" w:type="dxa"/>
            <w:vAlign w:val="bottom"/>
            <w:tcBorders>
              <w:top w:val="single" w:sz="8" w:color="auto"/>
            </w:tcBorders>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1860" w:type="dxa"/>
            <w:vAlign w:val="bottom"/>
            <w:tcBorders>
              <w:bottom w:val="single" w:sz="8" w:color="0000FF"/>
            </w:tcBorders>
            <w:gridSpan w:val="3"/>
          </w:tcPr>
          <w:p>
            <w:pPr>
              <w:spacing w:after="0" w:line="205" w:lineRule="exact"/>
              <w:rPr>
                <w:sz w:val="20"/>
                <w:szCs w:val="20"/>
                <w:color w:val="auto"/>
              </w:rPr>
            </w:pPr>
            <w:r>
              <w:rPr>
                <w:rFonts w:ascii="Times New Roman" w:cs="Times New Roman" w:eastAsia="Times New Roman" w:hAnsi="Times New Roman"/>
                <w:sz w:val="18"/>
                <w:szCs w:val="18"/>
                <w:color w:val="0000FF"/>
                <w:w w:val="97"/>
              </w:rPr>
              <w:t>Regulatory Developments</w:t>
            </w:r>
          </w:p>
        </w:tc>
        <w:tc>
          <w:tcPr>
            <w:tcW w:w="8140" w:type="dxa"/>
            <w:vAlign w:val="bottom"/>
            <w:gridSpan w:val="5"/>
          </w:tcPr>
          <w:p>
            <w:pPr>
              <w:spacing w:after="0"/>
              <w:rPr>
                <w:sz w:val="17"/>
                <w:szCs w:val="17"/>
                <w:color w:val="auto"/>
              </w:rPr>
            </w:pPr>
          </w:p>
        </w:tc>
        <w:tc>
          <w:tcPr>
            <w:tcW w:w="660" w:type="dxa"/>
            <w:vAlign w:val="bottom"/>
            <w:gridSpan w:val="2"/>
          </w:tcPr>
          <w:p>
            <w:pPr>
              <w:spacing w:after="0"/>
              <w:rPr>
                <w:sz w:val="17"/>
                <w:szCs w:val="17"/>
                <w:color w:val="auto"/>
              </w:rPr>
            </w:pPr>
          </w:p>
        </w:tc>
        <w:tc>
          <w:tcPr>
            <w:tcW w:w="180" w:type="dxa"/>
            <w:vAlign w:val="bottom"/>
            <w:tcBorders>
              <w:bottom w:val="single" w:sz="8" w:color="0000FF"/>
            </w:tcBorders>
          </w:tcPr>
          <w:p>
            <w:pPr>
              <w:jc w:val="center"/>
              <w:spacing w:after="0" w:line="205" w:lineRule="exact"/>
              <w:rPr>
                <w:sz w:val="20"/>
                <w:szCs w:val="20"/>
                <w:color w:val="auto"/>
              </w:rPr>
            </w:pPr>
            <w:r>
              <w:rPr>
                <w:rFonts w:ascii="Times New Roman" w:cs="Times New Roman" w:eastAsia="Times New Roman" w:hAnsi="Times New Roman"/>
                <w:sz w:val="18"/>
                <w:szCs w:val="18"/>
                <w:color w:val="0000FF"/>
                <w:w w:val="99"/>
              </w:rPr>
              <w:t>55</w:t>
            </w:r>
          </w:p>
        </w:tc>
        <w:tc>
          <w:tcPr>
            <w:tcW w:w="10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3060" w:type="dxa"/>
            <w:vAlign w:val="bottom"/>
            <w:tcBorders>
              <w:bottom w:val="single" w:sz="8" w:color="0000FF"/>
            </w:tcBorders>
            <w:gridSpan w:val="6"/>
          </w:tcPr>
          <w:p>
            <w:pPr>
              <w:spacing w:after="0" w:line="205" w:lineRule="exact"/>
              <w:rPr>
                <w:sz w:val="20"/>
                <w:szCs w:val="20"/>
                <w:color w:val="auto"/>
              </w:rPr>
            </w:pPr>
            <w:r>
              <w:rPr>
                <w:rFonts w:ascii="Times New Roman" w:cs="Times New Roman" w:eastAsia="Times New Roman" w:hAnsi="Times New Roman"/>
                <w:sz w:val="18"/>
                <w:szCs w:val="18"/>
                <w:color w:val="0000FF"/>
                <w:w w:val="97"/>
              </w:rPr>
              <w:t>Summary of Critical Accounting Estimates</w:t>
            </w:r>
          </w:p>
        </w:tc>
        <w:tc>
          <w:tcPr>
            <w:tcW w:w="6940" w:type="dxa"/>
            <w:vAlign w:val="bottom"/>
            <w:gridSpan w:val="2"/>
          </w:tcPr>
          <w:p>
            <w:pPr>
              <w:spacing w:after="0"/>
              <w:rPr>
                <w:sz w:val="17"/>
                <w:szCs w:val="17"/>
                <w:color w:val="auto"/>
              </w:rPr>
            </w:pPr>
          </w:p>
        </w:tc>
        <w:tc>
          <w:tcPr>
            <w:tcW w:w="660" w:type="dxa"/>
            <w:vAlign w:val="bottom"/>
            <w:gridSpan w:val="2"/>
          </w:tcPr>
          <w:p>
            <w:pPr>
              <w:spacing w:after="0"/>
              <w:rPr>
                <w:sz w:val="17"/>
                <w:szCs w:val="17"/>
                <w:color w:val="auto"/>
              </w:rPr>
            </w:pPr>
          </w:p>
        </w:tc>
        <w:tc>
          <w:tcPr>
            <w:tcW w:w="180" w:type="dxa"/>
            <w:vAlign w:val="bottom"/>
            <w:tcBorders>
              <w:bottom w:val="single" w:sz="8" w:color="0000FF"/>
            </w:tcBorders>
          </w:tcPr>
          <w:p>
            <w:pPr>
              <w:jc w:val="center"/>
              <w:spacing w:after="0" w:line="205" w:lineRule="exact"/>
              <w:rPr>
                <w:sz w:val="20"/>
                <w:szCs w:val="20"/>
                <w:color w:val="auto"/>
              </w:rPr>
            </w:pPr>
            <w:r>
              <w:rPr>
                <w:rFonts w:ascii="Times New Roman" w:cs="Times New Roman" w:eastAsia="Times New Roman" w:hAnsi="Times New Roman"/>
                <w:sz w:val="18"/>
                <w:szCs w:val="18"/>
                <w:color w:val="0000FF"/>
                <w:w w:val="99"/>
              </w:rPr>
              <w:t>55</w:t>
            </w:r>
          </w:p>
        </w:tc>
        <w:tc>
          <w:tcPr>
            <w:tcW w:w="10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2420" w:type="dxa"/>
            <w:vAlign w:val="bottom"/>
            <w:tcBorders>
              <w:bottom w:val="single" w:sz="8" w:color="0000FF"/>
            </w:tcBorders>
            <w:gridSpan w:val="5"/>
          </w:tcPr>
          <w:p>
            <w:pPr>
              <w:spacing w:after="0" w:line="205" w:lineRule="exact"/>
              <w:rPr>
                <w:sz w:val="20"/>
                <w:szCs w:val="20"/>
                <w:color w:val="auto"/>
              </w:rPr>
            </w:pPr>
            <w:r>
              <w:rPr>
                <w:rFonts w:ascii="Times New Roman" w:cs="Times New Roman" w:eastAsia="Times New Roman" w:hAnsi="Times New Roman"/>
                <w:sz w:val="18"/>
                <w:szCs w:val="18"/>
                <w:color w:val="0000FF"/>
                <w:w w:val="97"/>
              </w:rPr>
              <w:t>Non-GAAP Financial Disclosures</w:t>
            </w:r>
          </w:p>
        </w:tc>
        <w:tc>
          <w:tcPr>
            <w:tcW w:w="7580" w:type="dxa"/>
            <w:vAlign w:val="bottom"/>
            <w:gridSpan w:val="3"/>
          </w:tcPr>
          <w:p>
            <w:pPr>
              <w:spacing w:after="0"/>
              <w:rPr>
                <w:sz w:val="17"/>
                <w:szCs w:val="17"/>
                <w:color w:val="auto"/>
              </w:rPr>
            </w:pPr>
          </w:p>
        </w:tc>
        <w:tc>
          <w:tcPr>
            <w:tcW w:w="660" w:type="dxa"/>
            <w:vAlign w:val="bottom"/>
            <w:gridSpan w:val="2"/>
          </w:tcPr>
          <w:p>
            <w:pPr>
              <w:spacing w:after="0"/>
              <w:rPr>
                <w:sz w:val="17"/>
                <w:szCs w:val="17"/>
                <w:color w:val="auto"/>
              </w:rPr>
            </w:pPr>
          </w:p>
        </w:tc>
        <w:tc>
          <w:tcPr>
            <w:tcW w:w="180" w:type="dxa"/>
            <w:vAlign w:val="bottom"/>
            <w:tcBorders>
              <w:bottom w:val="single" w:sz="8" w:color="0000FF"/>
            </w:tcBorders>
          </w:tcPr>
          <w:p>
            <w:pPr>
              <w:jc w:val="center"/>
              <w:spacing w:after="0" w:line="205" w:lineRule="exact"/>
              <w:rPr>
                <w:sz w:val="20"/>
                <w:szCs w:val="20"/>
                <w:color w:val="auto"/>
              </w:rPr>
            </w:pPr>
            <w:r>
              <w:rPr>
                <w:rFonts w:ascii="Times New Roman" w:cs="Times New Roman" w:eastAsia="Times New Roman" w:hAnsi="Times New Roman"/>
                <w:sz w:val="18"/>
                <w:szCs w:val="18"/>
                <w:color w:val="0000FF"/>
                <w:w w:val="99"/>
              </w:rPr>
              <w:t>56</w:t>
            </w:r>
          </w:p>
        </w:tc>
        <w:tc>
          <w:tcPr>
            <w:tcW w:w="10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1540" w:type="dxa"/>
            <w:vAlign w:val="bottom"/>
            <w:tcBorders>
              <w:bottom w:val="single" w:sz="8" w:color="0000FF"/>
            </w:tcBorders>
            <w:gridSpan w:val="2"/>
          </w:tcPr>
          <w:p>
            <w:pPr>
              <w:spacing w:after="0" w:line="205" w:lineRule="exact"/>
              <w:rPr>
                <w:sz w:val="20"/>
                <w:szCs w:val="20"/>
                <w:color w:val="auto"/>
              </w:rPr>
            </w:pPr>
            <w:r>
              <w:rPr>
                <w:rFonts w:ascii="Times New Roman" w:cs="Times New Roman" w:eastAsia="Times New Roman" w:hAnsi="Times New Roman"/>
                <w:sz w:val="18"/>
                <w:szCs w:val="18"/>
                <w:color w:val="0000FF"/>
                <w:w w:val="97"/>
              </w:rPr>
              <w:t>Results of Operations</w:t>
            </w:r>
          </w:p>
        </w:tc>
        <w:tc>
          <w:tcPr>
            <w:tcW w:w="8460" w:type="dxa"/>
            <w:vAlign w:val="bottom"/>
            <w:gridSpan w:val="6"/>
          </w:tcPr>
          <w:p>
            <w:pPr>
              <w:spacing w:after="0"/>
              <w:rPr>
                <w:sz w:val="17"/>
                <w:szCs w:val="17"/>
                <w:color w:val="auto"/>
              </w:rPr>
            </w:pPr>
          </w:p>
        </w:tc>
        <w:tc>
          <w:tcPr>
            <w:tcW w:w="660" w:type="dxa"/>
            <w:vAlign w:val="bottom"/>
            <w:gridSpan w:val="2"/>
          </w:tcPr>
          <w:p>
            <w:pPr>
              <w:spacing w:after="0"/>
              <w:rPr>
                <w:sz w:val="17"/>
                <w:szCs w:val="17"/>
                <w:color w:val="auto"/>
              </w:rPr>
            </w:pPr>
          </w:p>
        </w:tc>
        <w:tc>
          <w:tcPr>
            <w:tcW w:w="180" w:type="dxa"/>
            <w:vAlign w:val="bottom"/>
            <w:tcBorders>
              <w:bottom w:val="single" w:sz="8" w:color="0000FF"/>
            </w:tcBorders>
          </w:tcPr>
          <w:p>
            <w:pPr>
              <w:jc w:val="center"/>
              <w:spacing w:after="0" w:line="205" w:lineRule="exact"/>
              <w:rPr>
                <w:sz w:val="20"/>
                <w:szCs w:val="20"/>
                <w:color w:val="auto"/>
              </w:rPr>
            </w:pPr>
            <w:r>
              <w:rPr>
                <w:rFonts w:ascii="Times New Roman" w:cs="Times New Roman" w:eastAsia="Times New Roman" w:hAnsi="Times New Roman"/>
                <w:sz w:val="18"/>
                <w:szCs w:val="18"/>
                <w:color w:val="0000FF"/>
                <w:w w:val="99"/>
              </w:rPr>
              <w:t>57</w:t>
            </w:r>
          </w:p>
        </w:tc>
        <w:tc>
          <w:tcPr>
            <w:tcW w:w="10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10000" w:type="dxa"/>
            <w:vAlign w:val="bottom"/>
            <w:gridSpan w:val="8"/>
          </w:tcPr>
          <w:p>
            <w:pPr>
              <w:spacing w:after="0" w:line="205" w:lineRule="exact"/>
              <w:rPr>
                <w:sz w:val="20"/>
                <w:szCs w:val="20"/>
                <w:color w:val="auto"/>
              </w:rPr>
            </w:pPr>
            <w:r>
              <w:rPr>
                <w:rFonts w:ascii="Times New Roman" w:cs="Times New Roman" w:eastAsia="Times New Roman" w:hAnsi="Times New Roman"/>
                <w:sz w:val="18"/>
                <w:szCs w:val="18"/>
                <w:color w:val="0000FF"/>
              </w:rPr>
              <w:t>Liquidity and Capital Resources</w:t>
            </w:r>
          </w:p>
        </w:tc>
        <w:tc>
          <w:tcPr>
            <w:tcW w:w="840" w:type="dxa"/>
            <w:vAlign w:val="bottom"/>
            <w:gridSpan w:val="3"/>
          </w:tcPr>
          <w:p>
            <w:pPr>
              <w:jc w:val="center"/>
              <w:ind w:left="572"/>
              <w:spacing w:after="0" w:line="205" w:lineRule="exact"/>
              <w:rPr>
                <w:sz w:val="20"/>
                <w:szCs w:val="20"/>
                <w:color w:val="auto"/>
              </w:rPr>
            </w:pPr>
            <w:r>
              <w:rPr>
                <w:rFonts w:ascii="Times New Roman" w:cs="Times New Roman" w:eastAsia="Times New Roman" w:hAnsi="Times New Roman"/>
                <w:sz w:val="18"/>
                <w:szCs w:val="18"/>
                <w:color w:val="0000FF"/>
                <w:w w:val="99"/>
              </w:rPr>
              <w:t>61</w:t>
            </w:r>
          </w:p>
        </w:tc>
        <w:tc>
          <w:tcPr>
            <w:tcW w:w="10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gridSpan w:val="4"/>
            <w:shd w:val="clear" w:color="auto" w:fill="0000FF"/>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10000" w:type="dxa"/>
            <w:vAlign w:val="bottom"/>
            <w:gridSpan w:val="8"/>
          </w:tcPr>
          <w:p>
            <w:pPr>
              <w:spacing w:after="0" w:line="205" w:lineRule="exact"/>
              <w:rPr>
                <w:sz w:val="20"/>
                <w:szCs w:val="20"/>
                <w:color w:val="auto"/>
              </w:rPr>
            </w:pPr>
            <w:r>
              <w:rPr>
                <w:rFonts w:ascii="Times New Roman" w:cs="Times New Roman" w:eastAsia="Times New Roman" w:hAnsi="Times New Roman"/>
                <w:sz w:val="18"/>
                <w:szCs w:val="18"/>
                <w:color w:val="0000FF"/>
              </w:rPr>
              <w:t>Note Regarding Forward-Looking Statements</w:t>
            </w:r>
          </w:p>
        </w:tc>
        <w:tc>
          <w:tcPr>
            <w:tcW w:w="840" w:type="dxa"/>
            <w:vAlign w:val="bottom"/>
            <w:gridSpan w:val="3"/>
          </w:tcPr>
          <w:p>
            <w:pPr>
              <w:jc w:val="center"/>
              <w:ind w:left="572"/>
              <w:spacing w:after="0" w:line="205" w:lineRule="exact"/>
              <w:rPr>
                <w:sz w:val="20"/>
                <w:szCs w:val="20"/>
                <w:color w:val="auto"/>
              </w:rPr>
            </w:pPr>
            <w:r>
              <w:rPr>
                <w:rFonts w:ascii="Times New Roman" w:cs="Times New Roman" w:eastAsia="Times New Roman" w:hAnsi="Times New Roman"/>
                <w:sz w:val="18"/>
                <w:szCs w:val="18"/>
                <w:color w:val="0000FF"/>
                <w:w w:val="99"/>
              </w:rPr>
              <w:t>62</w:t>
            </w:r>
          </w:p>
        </w:tc>
        <w:tc>
          <w:tcPr>
            <w:tcW w:w="10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0960"/>
          </w:cols>
          <w:pgMar w:left="320" w:top="124" w:right="61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i w:val="1"/>
          <w:iCs w:val="1"/>
          <w:color w:val="auto"/>
        </w:rPr>
        <w:t>For purposes of this discussion, “BLIC,” the “Company,” “we,” “our” and “us” refer to Brighthouse Life Insurance Company and its subsidiaries, and “Brighthouse Life Insurance Company” refers solely to Brighthouse Life Insurance Company and not to any of its subsidiaries. Brighthouse Life Insurance Company is an indirect wholly-owned subsidiary of Brighthouse Financial, Inc. (“BHF” and together with its subsidiaries, “Brighthouse Financial”). This Management’s Discussion and Analysis of Financial Condition and Results of Operations should be read in conjunction with (i) the Interim Condensed Consolidated Financial Statements and related notes included elsewhere herein; (ii) our Annual Report on Form 10-K for the year ended December 31, 2025 (the “2025 Annual Report”) filed with the U.S. Securities and Exchange Commission (“SEC”) on February 27, 2026; and (iii) our current reports on Form 8-K filed in 2026.</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66"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offer a range of annuity and life insurance products to individuals and deliver our products through multiple independent distribution channels and marketing arrangements with a diverse network of distribution partners. Brighthouse Life Insurance Company, a Delaware corporation, is licensed to write business in all U.S. states (except New York), the District of Columbia, the Bahamas, Guam, Puerto Rico, the British Virgin Islands and the U.S. Virgin Islands. Brighthouse Life Insurance Company of NY (“BHNY”), a wholly-owned subsidiary of Brighthouse Life Insurance Company, is domiciled in New York and licensed to write business only in New York.</w:t>
      </w:r>
    </w:p>
    <w:p>
      <w:pPr>
        <w:spacing w:after="0" w:line="13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are organized into the following reportable segments: Annuities; Life; Run-off; and Corporate &amp; Other. See “Business — Segment Information” included in our 2025 Annual Report, as well as Note 2 of the Notes to the Interim Condensed Consolidated Financial Statements for further information regarding our segments.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Developments</w:t>
      </w:r>
    </w:p>
    <w:p>
      <w:pPr>
        <w:spacing w:after="0" w:line="115"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On November 6, 2025, BHF entered into an Agreement and Plan of Merger (the “Merger Agreement”) with Aquarian Holdings VI L.P., a Delaware limited partnership (“Aquarian Parent”), Aquarian Beacon Merger Sub Inc., a Delaware corporation and an indirect wholly-owned subsidiary of Aquarian Parent (“Merger Sub”), and Aquarian Holdings LLC, a Delaware limited liability company, solely for the purpose of certain provisions, pursuant to which, at the closing of the transactions contemplated by the Merger Agreement, Merger Sub will merge with and into BHF, and the separate corporate existence of Merger Sub will cease, with BHF continuing as the surviving corporation and as a wholly-owned subsidiary of Aquarian Parent (the “Merger”). Brighthouse Life Insurance Company will remain an indirect wholly-owned subsidiary of BHF after the effective time of the Merger.</w:t>
      </w:r>
    </w:p>
    <w:p>
      <w:pPr>
        <w:spacing w:after="0" w:line="79" w:lineRule="exact"/>
        <w:rPr>
          <w:sz w:val="20"/>
          <w:szCs w:val="20"/>
          <w:color w:val="auto"/>
        </w:rPr>
      </w:pPr>
    </w:p>
    <w:p>
      <w:pPr>
        <w:jc w:val="both"/>
        <w:ind w:firstLine="318"/>
        <w:spacing w:after="0" w:line="271" w:lineRule="auto"/>
        <w:rPr>
          <w:sz w:val="20"/>
          <w:szCs w:val="20"/>
          <w:color w:val="auto"/>
        </w:rPr>
      </w:pPr>
      <w:r>
        <w:rPr>
          <w:rFonts w:ascii="Times New Roman" w:cs="Times New Roman" w:eastAsia="Times New Roman" w:hAnsi="Times New Roman"/>
          <w:sz w:val="17"/>
          <w:szCs w:val="17"/>
          <w:color w:val="auto"/>
        </w:rPr>
        <w:t>The Merger Agreement was adopted by BHF stockholders at the special meeting held on February 12, 2026, and the applicable waiting period under the Hart-Scott Rodino Antitrust Improvement Act of 1976, as amended, has expired. The Merger is expected to close in 2026. However, the completion of the Merger remains subject to the satisfaction or waiver of certain other customary conditions, including receipt of insurance regulatory approvals. See “Risks Related to the Merger — The completion of the Merger is subject to a number of conditions, many of which are largely outside the parties’ control, and, if these conditions are not satisfied or waived, the Merger may not be completed within the expected timeframe or at all” included in our 2025 Annual Report.</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and Economic Environment</w:t>
      </w:r>
    </w:p>
    <w:p>
      <w:pPr>
        <w:spacing w:after="0" w:line="115" w:lineRule="exact"/>
        <w:rPr>
          <w:sz w:val="20"/>
          <w:szCs w:val="20"/>
          <w:color w:val="auto"/>
        </w:rPr>
      </w:pPr>
    </w:p>
    <w:p>
      <w:pPr>
        <w:jc w:val="both"/>
        <w:ind w:firstLine="318"/>
        <w:spacing w:after="0" w:line="243" w:lineRule="auto"/>
        <w:rPr>
          <w:sz w:val="20"/>
          <w:szCs w:val="20"/>
          <w:color w:val="auto"/>
        </w:rPr>
      </w:pPr>
      <w:r>
        <w:rPr>
          <w:rFonts w:ascii="Times New Roman" w:cs="Times New Roman" w:eastAsia="Times New Roman" w:hAnsi="Times New Roman"/>
          <w:sz w:val="18"/>
          <w:szCs w:val="18"/>
          <w:color w:val="auto"/>
        </w:rPr>
        <w:t>Our business and results of operations are materially affected by conditions in the capital markets and the economy generally. Stressed conditions, volatility and disruptions in the capital markets or financial asset classes can have an adverse effect on us. Equity market performance can affect our profitability for variable annuities, Shield</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Level Annuities (“Shield,” “Shield Annuity” and “Shield Annuities”) and other separate account products as a result of the effects it has on product demand, revenues, expenses, reserves and our risk management effectiveness. The Federal Reserve Board decreased the target range for the federal funds rate in September, October and December 2025, and any additional future decrease may negatively impact our business in certain respects, including our investment portfolio, by lowering the level of long-term interest rates and changing the shape of the yield curve. The level of long-term interest rates and the shape of the yield curve can have a negative effect on the profitability for variable annuities, as well as the demand for, and the profitability of, spread-based products such as fixed annuities, index-linked annuities and universal life insurance. Low interest rates and risk premium, including credit spread, affect new money rates on invested assets and the cost of product guarantees. Insurance premium growth and demand for our products is impacted by the general health of U.S. economic activity. A sustained or material increase in inflation could also affect our business in several ways. During inflationary periods, the value of fixed income investments falls, which could increase realized and unrealized losses. Inflation also increases our expenses (including, among others, for labor and third-party services), potentially putting pressure on profitability if such costs cannot be passed through to policyholders in our product prices. Prolonged and elevated inflation could adversely affect the financial markets and the economy generally and dispelling it may require governments to pursue restrictive fiscal and monetary policies, which could constrain overall economic activity and inhibit revenue growth. Events involving limited liquidity,</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defaults, nonperformance, fraud or other adverse developments that affect financial institutions or the financial services industry generally, or concerns or rumors about events of these kinds or other similar risks, could adversely affect market-wide liquidity, which could increase the risk of a recession or an equity market downturn and negatively impact various portions of our business, including our investment portfolio. See “Risk Factors — Economic Environment and Capital Markets-Related Risks — If difficult conditions in the capital markets and the U.S. economy generally persist or are perceived to persist, they may materially adversely affect our business and results of operations” and “Risk Factors — Risks Related to Our Investment Portfolio — Our investment portfolio is subject to significant financial risks both in the U.S. and global financial markets, including credit risk, interest rate risk, inflation risk, market valuation risk, liquidity risk, real estate risk, derivatives risk, and other factors outside our control, the occurrence of any of which could have a material adverse effect on our financial condition and results of operations” included in our 2025 Annual Report.</w:t>
      </w:r>
    </w:p>
    <w:p>
      <w:pPr>
        <w:spacing w:after="0" w:line="84"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above factors affect our expectations regarding future margins. We review our long-term assumptions about capital markets returns and interest rates, along with other assumptions such as contract holder behavior, as part of our annual actuarial review. As additional company specific or industry information on contract holder behavior becomes available, related assumptions may change and may potentially have a material impact on liability valuations and net income.</w:t>
      </w:r>
    </w:p>
    <w:p>
      <w:pPr>
        <w:spacing w:after="0" w:line="74"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We continue to closely monitor political and economic conditions that might contribute to market volatility and their impact on our business operations, investment portfolio and derivatives, such as global inflation, tariffs and sanctions imposed or threatened by the U.S. or foreign governments, higher fuel and energy costs, uncertainty and instability in certain asset classes (including commercial real estate and private credit), supply chain disruptions and recent geopolitical conflicts, including in Europe and the Middle East, as well as the risk of further escalation or expansion of such conflicts. See “Risk Factors — Economic Environment and Capital Markets-Related Risks” and “Risk Factors — Risks Related to Our Investment Portfolio” included in our 2025 Annual Report for a detailed discussion of financial and economic impacts on our business, including the potential impacts of interest rate risk and inflation risk on our investments and overall business.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Developments</w:t>
      </w:r>
    </w:p>
    <w:p>
      <w:pPr>
        <w:spacing w:after="0" w:line="166"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We, including our insurance subsidiary, BHNY, and our reinsurance subsidiary, Brighthouse Reinsurance Company of Delaware, are primarily regulated at the state level, with some products and services also subject to federal regulation. In addition, Brighthouse Life Insurance Company and BHNY are subject to regulation under the insurance holding company laws of various U.S. jurisdictions. Furthermore, some of our operations, products and services are subject to the Employee Retirement Income Security Act of 1974, consumer protection laws, securities, broker-dealer and investment advisor regulations, as well as environmental and unclaimed property laws and regulations. See “Business — Regulation,” as well as “Risk Factors — Regulatory and Legal Risks” included in our 2025 Annual Report, as amended or supplemented by our quarterly reports under the heading “Management’s Discussion and Analysis of Financial Condition and Results of Operations — Regulatory Developments.”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Critical Accounting Estimates</w:t>
      </w:r>
    </w:p>
    <w:p>
      <w:pPr>
        <w:spacing w:after="0" w:line="166"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accounting principles generally accepted in the United States of America (“GAAP”) requires management to adopt accounting policies and make estimates and assumptions that affect amounts reported on the Interim Condensed Consolidated Financial Statements.</w:t>
      </w:r>
    </w:p>
    <w:p>
      <w:pPr>
        <w:spacing w:after="0" w:line="1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most critical estimates include those used in determining:</w:t>
      </w:r>
    </w:p>
    <w:p>
      <w:pPr>
        <w:spacing w:after="0" w:line="111" w:lineRule="exact"/>
        <w:rPr>
          <w:sz w:val="20"/>
          <w:szCs w:val="20"/>
          <w:color w:val="auto"/>
        </w:rPr>
      </w:pPr>
    </w:p>
    <w:p>
      <w:pPr>
        <w:ind w:left="640" w:hanging="316"/>
        <w:spacing w:after="0"/>
        <w:tabs>
          <w:tab w:leader="none" w:pos="6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liability for future policy benefits;</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fair values of market risk benefits (“MRB”);</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fair values of freestanding derivatives and the recognition and estimated fair value of embedded derivatives requiring bifurcation; and</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measurement of income taxes and the valuation of deferred tax assets.</w:t>
      </w:r>
    </w:p>
    <w:p>
      <w:pPr>
        <w:spacing w:after="0" w:line="16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In applying our accounting policies, we make subjective and complex judgments that frequently require estimates about matters that are inherently uncertain. Many of these policies, estimates and related judgments are common in the insurance and financial services industries; others are specific to our business and operations. Actual results could differ from these estimates.</w:t>
      </w:r>
    </w:p>
    <w:p>
      <w:pPr>
        <w:spacing w:after="0" w:line="125"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above critical accounting estimates are described in “Management’s Discussion and Analysis of Financial Condition and Results of Operations — Summary of Critical Accounting Estimates” and Note 1 of the Notes to the Consolidated Financial Statements included in our 2025 Annual Report.</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Disclosures</w:t>
      </w:r>
    </w:p>
    <w:p>
      <w:pPr>
        <w:spacing w:after="0" w:line="166"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We present certain measures of our performance that are not calculated in accordance with GAAP. Our definitions of non-GAAP financial measures may differ from those used by other companies.</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Earnings</w:t>
      </w:r>
    </w:p>
    <w:p>
      <w:pPr>
        <w:spacing w:after="0" w:line="115"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Adjusted earnings is a financial measure used by management to evaluate performance and facilitate comparisons to industry results. We believe the presentation of adjusted earnings, as the Company measures it for management purposes, enhances the understanding of our performance by the investor community and contract holders by highlighting the results of operations and the underlying profitability drivers of our business. Adjusted earnings should not be viewed as a substitute for net income (loss) attributable to Brighthouse Life Insurance Company, which is the most directly comparable financial measure calculated in accordance with GAAP. See “— Results of Operations” for a reconciliation of adjusted earnings to net income (loss) attributable to Brighthouse Life Insurance Company.</w:t>
      </w:r>
    </w:p>
    <w:p>
      <w:pPr>
        <w:spacing w:after="0" w:line="79"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Adjusted earnings, which may be positive or negative, focuses on our primary businesses by excluding the impact of market volatility, which could distort trends.</w:t>
      </w:r>
    </w:p>
    <w:p>
      <w:pPr>
        <w:spacing w:after="0" w:line="5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items are excluded from total revenues in calculating adjusted earnings:</w:t>
      </w:r>
    </w:p>
    <w:p>
      <w:pPr>
        <w:spacing w:after="0" w:line="111" w:lineRule="exact"/>
        <w:rPr>
          <w:sz w:val="20"/>
          <w:szCs w:val="20"/>
          <w:color w:val="auto"/>
        </w:rPr>
      </w:pPr>
    </w:p>
    <w:p>
      <w:pPr>
        <w:ind w:left="640" w:hanging="316"/>
        <w:spacing w:after="0"/>
        <w:tabs>
          <w:tab w:leader="none" w:pos="6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investment gains (losses);</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gains (losses) on trading securities measured at estimated fair value through net investment income; and</w:t>
      </w:r>
    </w:p>
    <w:p>
      <w:pPr>
        <w:spacing w:after="0" w:line="111"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derivative gains (losses), excluding earned income and amortization of premium on derivatives that are hedges of investments or that are used to replicate certain investments, but do not qualify for hedge accounting treatment (“Investment Hedge Adjustments”).</w:t>
      </w:r>
    </w:p>
    <w:p>
      <w:pPr>
        <w:spacing w:after="0" w:line="5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items are excluded from total expenses in calculating adjusted earnings:</w:t>
      </w:r>
    </w:p>
    <w:p>
      <w:pPr>
        <w:spacing w:after="0" w:line="111" w:lineRule="exact"/>
        <w:rPr>
          <w:sz w:val="20"/>
          <w:szCs w:val="20"/>
          <w:color w:val="auto"/>
        </w:rPr>
      </w:pPr>
    </w:p>
    <w:p>
      <w:pPr>
        <w:ind w:left="640" w:hanging="316"/>
        <w:spacing w:after="0"/>
        <w:tabs>
          <w:tab w:leader="none" w:pos="6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in MRBs; and</w:t>
      </w:r>
    </w:p>
    <w:p>
      <w:pPr>
        <w:spacing w:after="0" w:line="111"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in fair value of the crediting rate on experience-rated contracts and market value adjustments on institutional group annuities that are economically offset by gains (losses) on the related trading securities (“Market Value Adjustments”).</w:t>
      </w:r>
    </w:p>
    <w:p>
      <w:pPr>
        <w:spacing w:after="0" w:line="57"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The provision for income tax related to adjusted earnings is calculated using the statutory tax rate of 21%, net of impacts related to the dividends received deduction, tax credits and current period non-recurring items.</w:t>
      </w:r>
    </w:p>
    <w:p>
      <w:pPr>
        <w:spacing w:after="0" w:line="57"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We present adjusted earnings in a manner consistent with management’s view of the primary business activities that drive the profitability of our core businesses. The following table illustrates how each component of adjusted earnings is calculated from the GAAP statements of operations line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132080</wp:posOffset>
            </wp:positionV>
            <wp:extent cx="7134860" cy="30289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4860" cy="302895"/>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ind w:left="20"/>
        <w:spacing w:after="0"/>
        <w:tabs>
          <w:tab w:leader="none" w:pos="4600" w:val="left"/>
        </w:tabs>
        <w:rPr>
          <w:sz w:val="20"/>
          <w:szCs w:val="20"/>
          <w:color w:val="auto"/>
        </w:rPr>
      </w:pPr>
      <w:r>
        <w:rPr>
          <w:rFonts w:ascii="Times New Roman" w:cs="Times New Roman" w:eastAsia="Times New Roman" w:hAnsi="Times New Roman"/>
          <w:sz w:val="18"/>
          <w:szCs w:val="18"/>
          <w:b w:val="1"/>
          <w:bCs w:val="1"/>
          <w:color w:val="auto"/>
        </w:rPr>
        <w:t>Component of Adjusted Earnings</w:t>
      </w:r>
      <w:r>
        <w:rPr>
          <w:sz w:val="20"/>
          <w:szCs w:val="20"/>
          <w:color w:val="auto"/>
        </w:rPr>
        <w:tab/>
      </w:r>
      <w:r>
        <w:rPr>
          <w:rFonts w:ascii="Times New Roman" w:cs="Times New Roman" w:eastAsia="Times New Roman" w:hAnsi="Times New Roman"/>
          <w:sz w:val="17"/>
          <w:szCs w:val="17"/>
          <w:b w:val="1"/>
          <w:bCs w:val="1"/>
          <w:color w:val="auto"/>
        </w:rPr>
        <w:t>How Derived from GAAP (1)</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3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(i)</w:t>
            </w:r>
          </w:p>
        </w:tc>
        <w:tc>
          <w:tcPr>
            <w:tcW w:w="368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Fee income</w:t>
            </w:r>
          </w:p>
        </w:tc>
        <w:tc>
          <w:tcPr>
            <w:tcW w:w="920" w:type="dxa"/>
            <w:vAlign w:val="bottom"/>
            <w:vMerge w:val="restart"/>
          </w:tcPr>
          <w:p>
            <w:pPr>
              <w:ind w:left="560"/>
              <w:spacing w:after="0"/>
              <w:rPr>
                <w:sz w:val="20"/>
                <w:szCs w:val="20"/>
                <w:color w:val="auto"/>
              </w:rPr>
            </w:pPr>
            <w:r>
              <w:rPr>
                <w:rFonts w:ascii="Times New Roman" w:cs="Times New Roman" w:eastAsia="Times New Roman" w:hAnsi="Times New Roman"/>
                <w:sz w:val="18"/>
                <w:szCs w:val="18"/>
                <w:color w:val="auto"/>
              </w:rPr>
              <w:t>(i)</w:t>
            </w:r>
          </w:p>
        </w:tc>
        <w:tc>
          <w:tcPr>
            <w:tcW w:w="626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 xml:space="preserve">Universal life and investment-type product policy fees </w:t>
            </w:r>
            <w:r>
              <w:rPr>
                <w:rFonts w:ascii="Times New Roman" w:cs="Times New Roman" w:eastAsia="Times New Roman" w:hAnsi="Times New Roman"/>
                <w:sz w:val="18"/>
                <w:szCs w:val="18"/>
                <w:color w:val="auto"/>
              </w:rPr>
              <w:t>plus</w:t>
            </w:r>
            <w:r>
              <w:rPr>
                <w:rFonts w:ascii="Times New Roman" w:cs="Times New Roman" w:eastAsia="Times New Roman" w:hAnsi="Times New Roman"/>
                <w:sz w:val="18"/>
                <w:szCs w:val="18"/>
                <w:i w:val="1"/>
                <w:iCs w:val="1"/>
                <w:color w:val="auto"/>
              </w:rPr>
              <w:t xml:space="preserve"> Other revenues</w:t>
            </w: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380" w:type="dxa"/>
            <w:vAlign w:val="bottom"/>
            <w:vMerge w:val="continue"/>
          </w:tcPr>
          <w:p>
            <w:pPr>
              <w:spacing w:after="0"/>
              <w:rPr>
                <w:sz w:val="19"/>
                <w:szCs w:val="19"/>
                <w:color w:val="auto"/>
              </w:rPr>
            </w:pPr>
          </w:p>
        </w:tc>
        <w:tc>
          <w:tcPr>
            <w:tcW w:w="3680" w:type="dxa"/>
            <w:vAlign w:val="bottom"/>
            <w:vMerge w:val="continue"/>
          </w:tcPr>
          <w:p>
            <w:pPr>
              <w:spacing w:after="0"/>
              <w:rPr>
                <w:sz w:val="19"/>
                <w:szCs w:val="19"/>
                <w:color w:val="auto"/>
              </w:rPr>
            </w:pPr>
          </w:p>
        </w:tc>
        <w:tc>
          <w:tcPr>
            <w:tcW w:w="920" w:type="dxa"/>
            <w:vAlign w:val="bottom"/>
            <w:vMerge w:val="continue"/>
          </w:tcPr>
          <w:p>
            <w:pPr>
              <w:spacing w:after="0"/>
              <w:rPr>
                <w:sz w:val="19"/>
                <w:szCs w:val="19"/>
                <w:color w:val="auto"/>
              </w:rPr>
            </w:pPr>
          </w:p>
        </w:tc>
        <w:tc>
          <w:tcPr>
            <w:tcW w:w="6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
        </w:trPr>
        <w:tc>
          <w:tcPr>
            <w:tcW w:w="380" w:type="dxa"/>
            <w:vAlign w:val="bottom"/>
          </w:tcPr>
          <w:p>
            <w:pPr>
              <w:spacing w:after="0"/>
              <w:rPr>
                <w:sz w:val="2"/>
                <w:szCs w:val="2"/>
                <w:color w:val="auto"/>
              </w:rPr>
            </w:pPr>
          </w:p>
        </w:tc>
        <w:tc>
          <w:tcPr>
            <w:tcW w:w="3680" w:type="dxa"/>
            <w:vAlign w:val="bottom"/>
          </w:tcPr>
          <w:p>
            <w:pPr>
              <w:spacing w:after="0"/>
              <w:rPr>
                <w:sz w:val="2"/>
                <w:szCs w:val="2"/>
                <w:color w:val="auto"/>
              </w:rPr>
            </w:pPr>
          </w:p>
        </w:tc>
        <w:tc>
          <w:tcPr>
            <w:tcW w:w="920" w:type="dxa"/>
            <w:vAlign w:val="bottom"/>
          </w:tcPr>
          <w:p>
            <w:pPr>
              <w:spacing w:after="0"/>
              <w:rPr>
                <w:sz w:val="2"/>
                <w:szCs w:val="2"/>
                <w:color w:val="auto"/>
              </w:rPr>
            </w:pPr>
          </w:p>
        </w:tc>
        <w:tc>
          <w:tcPr>
            <w:tcW w:w="6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380" w:type="dxa"/>
            <w:vAlign w:val="bottom"/>
            <w:shd w:val="clear" w:color="auto" w:fill="CCEEFF"/>
          </w:tcPr>
          <w:p>
            <w:pPr>
              <w:spacing w:after="0"/>
              <w:rPr>
                <w:sz w:val="14"/>
                <w:szCs w:val="14"/>
                <w:color w:val="auto"/>
              </w:rPr>
            </w:pPr>
          </w:p>
        </w:tc>
        <w:tc>
          <w:tcPr>
            <w:tcW w:w="36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6260" w:type="dxa"/>
            <w:vAlign w:val="bottom"/>
            <w:shd w:val="clear" w:color="auto" w:fill="CCEEFF"/>
          </w:tcPr>
          <w:p>
            <w:pPr>
              <w:ind w:left="100"/>
              <w:spacing w:after="0" w:line="172" w:lineRule="exact"/>
              <w:rPr>
                <w:sz w:val="20"/>
                <w:szCs w:val="20"/>
                <w:color w:val="auto"/>
              </w:rPr>
            </w:pPr>
            <w:r>
              <w:rPr>
                <w:rFonts w:ascii="Times New Roman" w:cs="Times New Roman" w:eastAsia="Times New Roman" w:hAnsi="Times New Roman"/>
                <w:sz w:val="18"/>
                <w:szCs w:val="18"/>
                <w:i w:val="1"/>
                <w:iCs w:val="1"/>
                <w:color w:val="auto"/>
                <w:w w:val="98"/>
              </w:rPr>
              <w:t xml:space="preserve">Net investment income </w:t>
            </w:r>
            <w:r>
              <w:rPr>
                <w:rFonts w:ascii="Times New Roman" w:cs="Times New Roman" w:eastAsia="Times New Roman" w:hAnsi="Times New Roman"/>
                <w:sz w:val="18"/>
                <w:szCs w:val="18"/>
                <w:color w:val="auto"/>
                <w:w w:val="98"/>
              </w:rPr>
              <w:t>(excluding investment gains (losses) on trading securities) plus</w:t>
            </w:r>
          </w:p>
        </w:tc>
        <w:tc>
          <w:tcPr>
            <w:tcW w:w="0" w:type="dxa"/>
            <w:vAlign w:val="bottom"/>
          </w:tcPr>
          <w:p>
            <w:pPr>
              <w:spacing w:after="0"/>
              <w:rPr>
                <w:sz w:val="1"/>
                <w:szCs w:val="1"/>
                <w:color w:val="auto"/>
              </w:rPr>
            </w:pPr>
          </w:p>
        </w:tc>
      </w:tr>
      <w:tr>
        <w:trPr>
          <w:trHeight w:val="225"/>
        </w:trPr>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(ii)</w:t>
            </w:r>
          </w:p>
        </w:tc>
        <w:tc>
          <w:tcPr>
            <w:tcW w:w="3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investment spread</w:t>
            </w:r>
          </w:p>
        </w:tc>
        <w:tc>
          <w:tcPr>
            <w:tcW w:w="9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(ii)</w:t>
            </w:r>
          </w:p>
        </w:tc>
        <w:tc>
          <w:tcPr>
            <w:tcW w:w="6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xml:space="preserve">Investment Hedge Adjustments reduced by </w:t>
            </w:r>
            <w:r>
              <w:rPr>
                <w:rFonts w:ascii="Times New Roman" w:cs="Times New Roman" w:eastAsia="Times New Roman" w:hAnsi="Times New Roman"/>
                <w:sz w:val="18"/>
                <w:szCs w:val="18"/>
                <w:i w:val="1"/>
                <w:iCs w:val="1"/>
                <w:color w:val="auto"/>
              </w:rPr>
              <w:t>Interest credited to policyholder account</w:t>
            </w:r>
          </w:p>
        </w:tc>
        <w:tc>
          <w:tcPr>
            <w:tcW w:w="0" w:type="dxa"/>
            <w:vAlign w:val="bottom"/>
          </w:tcPr>
          <w:p>
            <w:pPr>
              <w:spacing w:after="0"/>
              <w:rPr>
                <w:sz w:val="1"/>
                <w:szCs w:val="1"/>
                <w:color w:val="auto"/>
              </w:rPr>
            </w:pPr>
          </w:p>
        </w:tc>
      </w:tr>
      <w:tr>
        <w:trPr>
          <w:trHeight w:val="185"/>
        </w:trPr>
        <w:tc>
          <w:tcPr>
            <w:tcW w:w="380" w:type="dxa"/>
            <w:vAlign w:val="bottom"/>
            <w:shd w:val="clear" w:color="auto" w:fill="CCEEFF"/>
          </w:tcPr>
          <w:p>
            <w:pPr>
              <w:spacing w:after="0"/>
              <w:rPr>
                <w:sz w:val="16"/>
                <w:szCs w:val="16"/>
                <w:color w:val="auto"/>
              </w:rPr>
            </w:pPr>
          </w:p>
        </w:tc>
        <w:tc>
          <w:tcPr>
            <w:tcW w:w="36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6260" w:type="dxa"/>
            <w:vAlign w:val="bottom"/>
            <w:shd w:val="clear" w:color="auto" w:fill="CCEEFF"/>
          </w:tcPr>
          <w:p>
            <w:pPr>
              <w:ind w:left="100"/>
              <w:spacing w:after="0" w:line="186" w:lineRule="exact"/>
              <w:rPr>
                <w:sz w:val="20"/>
                <w:szCs w:val="20"/>
                <w:color w:val="auto"/>
              </w:rPr>
            </w:pPr>
            <w:r>
              <w:rPr>
                <w:rFonts w:ascii="Times New Roman" w:cs="Times New Roman" w:eastAsia="Times New Roman" w:hAnsi="Times New Roman"/>
                <w:sz w:val="18"/>
                <w:szCs w:val="18"/>
                <w:i w:val="1"/>
                <w:iCs w:val="1"/>
                <w:color w:val="auto"/>
                <w:w w:val="98"/>
              </w:rPr>
              <w:t xml:space="preserve">balances </w:t>
            </w:r>
            <w:r>
              <w:rPr>
                <w:rFonts w:ascii="Times New Roman" w:cs="Times New Roman" w:eastAsia="Times New Roman" w:hAnsi="Times New Roman"/>
                <w:sz w:val="18"/>
                <w:szCs w:val="18"/>
                <w:color w:val="auto"/>
                <w:w w:val="98"/>
              </w:rPr>
              <w:t>(excluding Market Value Adjustments) and interest on future policy benefits.</w:t>
            </w:r>
          </w:p>
        </w:tc>
        <w:tc>
          <w:tcPr>
            <w:tcW w:w="0" w:type="dxa"/>
            <w:vAlign w:val="bottom"/>
          </w:tcPr>
          <w:p>
            <w:pPr>
              <w:spacing w:after="0"/>
              <w:rPr>
                <w:sz w:val="1"/>
                <w:szCs w:val="1"/>
                <w:color w:val="auto"/>
              </w:rPr>
            </w:pPr>
          </w:p>
        </w:tc>
      </w:tr>
      <w:tr>
        <w:trPr>
          <w:trHeight w:val="172"/>
        </w:trPr>
        <w:tc>
          <w:tcPr>
            <w:tcW w:w="38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260" w:type="dxa"/>
            <w:vAlign w:val="bottom"/>
          </w:tcPr>
          <w:p>
            <w:pPr>
              <w:ind w:left="100"/>
              <w:spacing w:after="0" w:line="172" w:lineRule="exact"/>
              <w:rPr>
                <w:sz w:val="20"/>
                <w:szCs w:val="20"/>
                <w:color w:val="auto"/>
              </w:rPr>
            </w:pPr>
            <w:r>
              <w:rPr>
                <w:rFonts w:ascii="Times New Roman" w:cs="Times New Roman" w:eastAsia="Times New Roman" w:hAnsi="Times New Roman"/>
                <w:sz w:val="18"/>
                <w:szCs w:val="18"/>
                <w:i w:val="1"/>
                <w:iCs w:val="1"/>
                <w:color w:val="auto"/>
              </w:rPr>
              <w:t xml:space="preserve">Premiums </w:t>
            </w:r>
            <w:r>
              <w:rPr>
                <w:rFonts w:ascii="Times New Roman" w:cs="Times New Roman" w:eastAsia="Times New Roman" w:hAnsi="Times New Roman"/>
                <w:sz w:val="18"/>
                <w:szCs w:val="18"/>
                <w:color w:val="auto"/>
              </w:rPr>
              <w:t>less</w:t>
            </w:r>
            <w:r>
              <w:rPr>
                <w:rFonts w:ascii="Times New Roman" w:cs="Times New Roman" w:eastAsia="Times New Roman" w:hAnsi="Times New Roman"/>
                <w:sz w:val="18"/>
                <w:szCs w:val="18"/>
                <w:i w:val="1"/>
                <w:iCs w:val="1"/>
                <w:color w:val="auto"/>
              </w:rPr>
              <w:t xml:space="preserve"> Policyholder benefits and claims</w:t>
            </w:r>
            <w:r>
              <w:rPr>
                <w:rFonts w:ascii="Times New Roman" w:cs="Times New Roman" w:eastAsia="Times New Roman" w:hAnsi="Times New Roman"/>
                <w:sz w:val="18"/>
                <w:szCs w:val="18"/>
                <w:color w:val="auto"/>
              </w:rPr>
              <w:t>, excluding interest on future policy</w:t>
            </w:r>
          </w:p>
        </w:tc>
        <w:tc>
          <w:tcPr>
            <w:tcW w:w="0" w:type="dxa"/>
            <w:vAlign w:val="bottom"/>
          </w:tcPr>
          <w:p>
            <w:pPr>
              <w:spacing w:after="0"/>
              <w:rPr>
                <w:sz w:val="1"/>
                <w:szCs w:val="1"/>
                <w:color w:val="auto"/>
              </w:rPr>
            </w:pPr>
          </w:p>
        </w:tc>
      </w:tr>
      <w:tr>
        <w:trPr>
          <w:trHeight w:val="279"/>
        </w:trPr>
        <w:tc>
          <w:tcPr>
            <w:tcW w:w="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(iii)</w:t>
            </w:r>
          </w:p>
        </w:tc>
        <w:tc>
          <w:tcPr>
            <w:tcW w:w="3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Insurance-related activities</w:t>
            </w:r>
          </w:p>
        </w:tc>
        <w:tc>
          <w:tcPr>
            <w:tcW w:w="9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(iii)</w:t>
            </w:r>
          </w:p>
        </w:tc>
        <w:tc>
          <w:tcPr>
            <w:tcW w:w="6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benefits.</w:t>
            </w:r>
          </w:p>
        </w:tc>
        <w:tc>
          <w:tcPr>
            <w:tcW w:w="0" w:type="dxa"/>
            <w:vAlign w:val="bottom"/>
          </w:tcPr>
          <w:p>
            <w:pPr>
              <w:spacing w:after="0"/>
              <w:rPr>
                <w:sz w:val="1"/>
                <w:szCs w:val="1"/>
                <w:color w:val="auto"/>
              </w:rPr>
            </w:pPr>
          </w:p>
        </w:tc>
      </w:tr>
      <w:tr>
        <w:trPr>
          <w:trHeight w:val="25"/>
        </w:trPr>
        <w:tc>
          <w:tcPr>
            <w:tcW w:w="380" w:type="dxa"/>
            <w:vAlign w:val="bottom"/>
          </w:tcPr>
          <w:p>
            <w:pPr>
              <w:spacing w:after="0"/>
              <w:rPr>
                <w:sz w:val="2"/>
                <w:szCs w:val="2"/>
                <w:color w:val="auto"/>
              </w:rPr>
            </w:pPr>
          </w:p>
        </w:tc>
        <w:tc>
          <w:tcPr>
            <w:tcW w:w="3680" w:type="dxa"/>
            <w:vAlign w:val="bottom"/>
          </w:tcPr>
          <w:p>
            <w:pPr>
              <w:spacing w:after="0"/>
              <w:rPr>
                <w:sz w:val="2"/>
                <w:szCs w:val="2"/>
                <w:color w:val="auto"/>
              </w:rPr>
            </w:pPr>
          </w:p>
        </w:tc>
        <w:tc>
          <w:tcPr>
            <w:tcW w:w="920" w:type="dxa"/>
            <w:vAlign w:val="bottom"/>
          </w:tcPr>
          <w:p>
            <w:pPr>
              <w:spacing w:after="0"/>
              <w:rPr>
                <w:sz w:val="2"/>
                <w:szCs w:val="2"/>
                <w:color w:val="auto"/>
              </w:rPr>
            </w:pPr>
          </w:p>
        </w:tc>
        <w:tc>
          <w:tcPr>
            <w:tcW w:w="6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380" w:type="dxa"/>
            <w:vAlign w:val="bottom"/>
            <w:shd w:val="clear" w:color="auto" w:fill="CCEEFF"/>
          </w:tcPr>
          <w:p>
            <w:pPr>
              <w:spacing w:after="0"/>
              <w:rPr>
                <w:sz w:val="14"/>
                <w:szCs w:val="14"/>
                <w:color w:val="auto"/>
              </w:rPr>
            </w:pPr>
          </w:p>
        </w:tc>
        <w:tc>
          <w:tcPr>
            <w:tcW w:w="36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6260" w:type="dxa"/>
            <w:vAlign w:val="bottom"/>
            <w:shd w:val="clear" w:color="auto" w:fill="CCEEFF"/>
          </w:tcPr>
          <w:p>
            <w:pPr>
              <w:ind w:left="100"/>
              <w:spacing w:after="0" w:line="172" w:lineRule="exact"/>
              <w:rPr>
                <w:sz w:val="20"/>
                <w:szCs w:val="20"/>
                <w:color w:val="auto"/>
              </w:rPr>
            </w:pPr>
            <w:r>
              <w:rPr>
                <w:rFonts w:ascii="Times New Roman" w:cs="Times New Roman" w:eastAsia="Times New Roman" w:hAnsi="Times New Roman"/>
                <w:sz w:val="18"/>
                <w:szCs w:val="18"/>
                <w:i w:val="1"/>
                <w:iCs w:val="1"/>
                <w:color w:val="auto"/>
              </w:rPr>
              <w:t>Amortization of deferred policy acquisition costs (“DAC”) and value of business</w:t>
            </w:r>
          </w:p>
        </w:tc>
        <w:tc>
          <w:tcPr>
            <w:tcW w:w="0" w:type="dxa"/>
            <w:vAlign w:val="bottom"/>
          </w:tcPr>
          <w:p>
            <w:pPr>
              <w:spacing w:after="0"/>
              <w:rPr>
                <w:sz w:val="1"/>
                <w:szCs w:val="1"/>
                <w:color w:val="auto"/>
              </w:rPr>
            </w:pPr>
          </w:p>
        </w:tc>
      </w:tr>
      <w:tr>
        <w:trPr>
          <w:trHeight w:val="285"/>
        </w:trPr>
        <w:tc>
          <w:tcPr>
            <w:tcW w:w="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(iv)</w:t>
            </w:r>
          </w:p>
        </w:tc>
        <w:tc>
          <w:tcPr>
            <w:tcW w:w="36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Amortization of DAC and VOBA</w:t>
            </w:r>
          </w:p>
        </w:tc>
        <w:tc>
          <w:tcPr>
            <w:tcW w:w="92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(iv)</w:t>
            </w:r>
          </w:p>
        </w:tc>
        <w:tc>
          <w:tcPr>
            <w:tcW w:w="62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i w:val="1"/>
                <w:iCs w:val="1"/>
                <w:color w:val="auto"/>
              </w:rPr>
              <w:t>acquired (“VOBA”)</w:t>
            </w: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3"/>
        </w:trPr>
        <w:tc>
          <w:tcPr>
            <w:tcW w:w="3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(v)</w:t>
            </w:r>
          </w:p>
        </w:tc>
        <w:tc>
          <w:tcPr>
            <w:tcW w:w="368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Other expenses</w:t>
            </w:r>
          </w:p>
        </w:tc>
        <w:tc>
          <w:tcPr>
            <w:tcW w:w="920" w:type="dxa"/>
            <w:vAlign w:val="bottom"/>
            <w:vMerge w:val="restart"/>
          </w:tcPr>
          <w:p>
            <w:pPr>
              <w:ind w:left="560"/>
              <w:spacing w:after="0"/>
              <w:rPr>
                <w:sz w:val="20"/>
                <w:szCs w:val="20"/>
                <w:color w:val="auto"/>
              </w:rPr>
            </w:pPr>
            <w:r>
              <w:rPr>
                <w:rFonts w:ascii="Times New Roman" w:cs="Times New Roman" w:eastAsia="Times New Roman" w:hAnsi="Times New Roman"/>
                <w:sz w:val="18"/>
                <w:szCs w:val="18"/>
                <w:color w:val="auto"/>
              </w:rPr>
              <w:t>(v)</w:t>
            </w:r>
          </w:p>
        </w:tc>
        <w:tc>
          <w:tcPr>
            <w:tcW w:w="626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Other expenses.</w:t>
            </w:r>
          </w:p>
        </w:tc>
        <w:tc>
          <w:tcPr>
            <w:tcW w:w="0" w:type="dxa"/>
            <w:vAlign w:val="bottom"/>
          </w:tcPr>
          <w:p>
            <w:pPr>
              <w:spacing w:after="0"/>
              <w:rPr>
                <w:sz w:val="1"/>
                <w:szCs w:val="1"/>
                <w:color w:val="auto"/>
              </w:rPr>
            </w:pPr>
          </w:p>
        </w:tc>
      </w:tr>
      <w:tr>
        <w:trPr>
          <w:trHeight w:val="218"/>
        </w:trPr>
        <w:tc>
          <w:tcPr>
            <w:tcW w:w="380" w:type="dxa"/>
            <w:vAlign w:val="bottom"/>
            <w:vMerge w:val="continue"/>
          </w:tcPr>
          <w:p>
            <w:pPr>
              <w:spacing w:after="0"/>
              <w:rPr>
                <w:sz w:val="18"/>
                <w:szCs w:val="18"/>
                <w:color w:val="auto"/>
              </w:rPr>
            </w:pPr>
          </w:p>
        </w:tc>
        <w:tc>
          <w:tcPr>
            <w:tcW w:w="3680" w:type="dxa"/>
            <w:vAlign w:val="bottom"/>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6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380" w:type="dxa"/>
            <w:vAlign w:val="bottom"/>
          </w:tcPr>
          <w:p>
            <w:pPr>
              <w:spacing w:after="0"/>
              <w:rPr>
                <w:sz w:val="2"/>
                <w:szCs w:val="2"/>
                <w:color w:val="auto"/>
              </w:rPr>
            </w:pPr>
          </w:p>
        </w:tc>
        <w:tc>
          <w:tcPr>
            <w:tcW w:w="3680" w:type="dxa"/>
            <w:vAlign w:val="bottom"/>
          </w:tcPr>
          <w:p>
            <w:pPr>
              <w:spacing w:after="0"/>
              <w:rPr>
                <w:sz w:val="2"/>
                <w:szCs w:val="2"/>
                <w:color w:val="auto"/>
              </w:rPr>
            </w:pPr>
          </w:p>
        </w:tc>
        <w:tc>
          <w:tcPr>
            <w:tcW w:w="920" w:type="dxa"/>
            <w:vAlign w:val="bottom"/>
          </w:tcPr>
          <w:p>
            <w:pPr>
              <w:spacing w:after="0"/>
              <w:rPr>
                <w:sz w:val="2"/>
                <w:szCs w:val="2"/>
                <w:color w:val="auto"/>
              </w:rPr>
            </w:pPr>
          </w:p>
        </w:tc>
        <w:tc>
          <w:tcPr>
            <w:tcW w:w="6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380" w:type="dxa"/>
            <w:vAlign w:val="bottom"/>
            <w:shd w:val="clear" w:color="auto" w:fill="CCEEFF"/>
          </w:tcPr>
          <w:p>
            <w:pPr>
              <w:spacing w:after="0"/>
              <w:rPr>
                <w:sz w:val="14"/>
                <w:szCs w:val="14"/>
                <w:color w:val="auto"/>
              </w:rPr>
            </w:pPr>
          </w:p>
        </w:tc>
        <w:tc>
          <w:tcPr>
            <w:tcW w:w="36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6260" w:type="dxa"/>
            <w:vAlign w:val="bottom"/>
            <w:shd w:val="clear" w:color="auto" w:fill="CCEEFF"/>
          </w:tcPr>
          <w:p>
            <w:pPr>
              <w:ind w:left="100"/>
              <w:spacing w:after="0" w:line="172" w:lineRule="exact"/>
              <w:rPr>
                <w:sz w:val="20"/>
                <w:szCs w:val="20"/>
                <w:color w:val="auto"/>
              </w:rPr>
            </w:pPr>
            <w:r>
              <w:rPr>
                <w:rFonts w:ascii="Times New Roman" w:cs="Times New Roman" w:eastAsia="Times New Roman" w:hAnsi="Times New Roman"/>
                <w:sz w:val="18"/>
                <w:szCs w:val="18"/>
                <w:color w:val="auto"/>
              </w:rPr>
              <w:t>Tax impact of the above items, calculated using the statutory tax rate of 21%, net of</w:t>
            </w:r>
          </w:p>
        </w:tc>
        <w:tc>
          <w:tcPr>
            <w:tcW w:w="0" w:type="dxa"/>
            <w:vAlign w:val="bottom"/>
          </w:tcPr>
          <w:p>
            <w:pPr>
              <w:spacing w:after="0"/>
              <w:rPr>
                <w:sz w:val="1"/>
                <w:szCs w:val="1"/>
                <w:color w:val="auto"/>
              </w:rPr>
            </w:pPr>
          </w:p>
        </w:tc>
      </w:tr>
      <w:tr>
        <w:trPr>
          <w:trHeight w:val="225"/>
        </w:trPr>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(vi)</w:t>
            </w:r>
          </w:p>
        </w:tc>
        <w:tc>
          <w:tcPr>
            <w:tcW w:w="3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Provision for income tax expense (benefit)</w:t>
            </w:r>
          </w:p>
        </w:tc>
        <w:tc>
          <w:tcPr>
            <w:tcW w:w="9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(vi)</w:t>
            </w:r>
          </w:p>
        </w:tc>
        <w:tc>
          <w:tcPr>
            <w:tcW w:w="6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impacts related to the dividends received deduction, tax credits and current period</w:t>
            </w:r>
          </w:p>
        </w:tc>
        <w:tc>
          <w:tcPr>
            <w:tcW w:w="0" w:type="dxa"/>
            <w:vAlign w:val="bottom"/>
          </w:tcPr>
          <w:p>
            <w:pPr>
              <w:spacing w:after="0"/>
              <w:rPr>
                <w:sz w:val="1"/>
                <w:szCs w:val="1"/>
                <w:color w:val="auto"/>
              </w:rPr>
            </w:pPr>
          </w:p>
        </w:tc>
      </w:tr>
      <w:tr>
        <w:trPr>
          <w:trHeight w:val="185"/>
        </w:trPr>
        <w:tc>
          <w:tcPr>
            <w:tcW w:w="380" w:type="dxa"/>
            <w:vAlign w:val="bottom"/>
            <w:shd w:val="clear" w:color="auto" w:fill="CCEEFF"/>
          </w:tcPr>
          <w:p>
            <w:pPr>
              <w:spacing w:after="0"/>
              <w:rPr>
                <w:sz w:val="16"/>
                <w:szCs w:val="16"/>
                <w:color w:val="auto"/>
              </w:rPr>
            </w:pPr>
          </w:p>
        </w:tc>
        <w:tc>
          <w:tcPr>
            <w:tcW w:w="36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6260" w:type="dxa"/>
            <w:vAlign w:val="bottom"/>
            <w:shd w:val="clear" w:color="auto" w:fill="CCEEFF"/>
          </w:tcPr>
          <w:p>
            <w:pPr>
              <w:ind w:left="100"/>
              <w:spacing w:after="0" w:line="186" w:lineRule="exact"/>
              <w:rPr>
                <w:sz w:val="20"/>
                <w:szCs w:val="20"/>
                <w:color w:val="auto"/>
              </w:rPr>
            </w:pPr>
            <w:r>
              <w:rPr>
                <w:rFonts w:ascii="Times New Roman" w:cs="Times New Roman" w:eastAsia="Times New Roman" w:hAnsi="Times New Roman"/>
                <w:sz w:val="18"/>
                <w:szCs w:val="18"/>
                <w:color w:val="auto"/>
              </w:rPr>
              <w:t>non-recurring items.</w:t>
            </w:r>
          </w:p>
        </w:tc>
        <w:tc>
          <w:tcPr>
            <w:tcW w:w="0" w:type="dxa"/>
            <w:vAlign w:val="bottom"/>
          </w:tcPr>
          <w:p>
            <w:pPr>
              <w:spacing w:after="0"/>
              <w:rPr>
                <w:sz w:val="1"/>
                <w:szCs w:val="1"/>
                <w:color w:val="auto"/>
              </w:rPr>
            </w:pPr>
          </w:p>
        </w:tc>
      </w:tr>
    </w:tbl>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Italicized items indicate GAAP statements of operations line items.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Consistent with GAAP guidance for segment reporting, adjusted earnings is also our GAAP measure of segment performance. Accordingly, we report adjusted earnings by segment in Note 2 of the Notes to the Interim Condensed Consolidated Financial Statements.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 Results for the Three Months Ended March 31, 2026 and 2025</w:t>
      </w:r>
    </w:p>
    <w:p>
      <w:pPr>
        <w:spacing w:after="0" w:line="115"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Unless otherwise noted, all amounts in the following discussions of our results of operations are stated before income tax except for adjusted earnings, which are presented net of income tax.</w:t>
      </w:r>
    </w:p>
    <w:p>
      <w:pPr>
        <w:spacing w:after="0" w:line="197" w:lineRule="exact"/>
        <w:rPr>
          <w:sz w:val="20"/>
          <w:szCs w:val="20"/>
          <w:color w:val="auto"/>
        </w:rPr>
      </w:pPr>
    </w:p>
    <w:p>
      <w:pPr>
        <w:jc w:val="center"/>
        <w:ind w:left="82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3" w:lineRule="exact"/>
        <w:rPr>
          <w:sz w:val="20"/>
          <w:szCs w:val="20"/>
          <w:color w:val="auto"/>
        </w:rPr>
      </w:pPr>
    </w:p>
    <w:p>
      <w:pPr>
        <w:jc w:val="center"/>
        <w:ind w:left="820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5220335</wp:posOffset>
            </wp:positionH>
            <wp:positionV relativeFrom="paragraph">
              <wp:posOffset>11430</wp:posOffset>
            </wp:positionV>
            <wp:extent cx="191833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918335" cy="8255"/>
                    </a:xfrm>
                    <a:prstGeom prst="rect">
                      <a:avLst/>
                    </a:prstGeom>
                    <a:noFill/>
                  </pic:spPr>
                </pic:pic>
              </a:graphicData>
            </a:graphic>
          </wp:anchor>
        </w:drawing>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0" w:type="dxa"/>
            <w:vAlign w:val="bottom"/>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8"/>
        </w:trPr>
        <w:tc>
          <w:tcPr>
            <w:tcW w:w="8220" w:type="dxa"/>
            <w:vAlign w:val="bottom"/>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gridSpan w:val="3"/>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393"/>
        </w:trPr>
        <w:tc>
          <w:tcPr>
            <w:tcW w:w="8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00" w:type="dxa"/>
            <w:vAlign w:val="bottom"/>
            <w:gridSpan w:val="3"/>
          </w:tcPr>
          <w:p>
            <w:pPr>
              <w:jc w:val="right"/>
              <w:ind w:right="61"/>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0" w:type="dxa"/>
            <w:vAlign w:val="bottom"/>
          </w:tcPr>
          <w:p>
            <w:pPr>
              <w:spacing w:after="0"/>
              <w:rPr>
                <w:sz w:val="24"/>
                <w:szCs w:val="24"/>
                <w:color w:val="auto"/>
              </w:rPr>
            </w:pPr>
          </w:p>
        </w:tc>
      </w:tr>
      <w:tr>
        <w:trPr>
          <w:trHeight w:val="38"/>
        </w:trPr>
        <w:tc>
          <w:tcPr>
            <w:tcW w:w="8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450"/>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9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r>
      <w:tr>
        <w:trPr>
          <w:trHeight w:val="441"/>
        </w:trPr>
        <w:tc>
          <w:tcPr>
            <w:tcW w:w="8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Premiums</w:t>
            </w:r>
          </w:p>
        </w:tc>
        <w:tc>
          <w:tcPr>
            <w:tcW w:w="920" w:type="dxa"/>
            <w:vAlign w:val="bottom"/>
          </w:tcPr>
          <w:p>
            <w:pPr>
              <w:jc w:val="right"/>
              <w:ind w:right="743"/>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w:t>
            </w:r>
          </w:p>
        </w:tc>
        <w:tc>
          <w:tcPr>
            <w:tcW w:w="100" w:type="dxa"/>
            <w:vAlign w:val="bottom"/>
          </w:tcPr>
          <w:p>
            <w:pPr>
              <w:spacing w:after="0"/>
              <w:rPr>
                <w:sz w:val="24"/>
                <w:szCs w:val="24"/>
                <w:color w:val="auto"/>
              </w:rPr>
            </w:pPr>
          </w:p>
        </w:tc>
        <w:tc>
          <w:tcPr>
            <w:tcW w:w="460" w:type="dxa"/>
            <w:vAlign w:val="bottom"/>
          </w:tcPr>
          <w:p>
            <w:pPr>
              <w:jc w:val="right"/>
              <w:ind w:right="261"/>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w:t>
            </w:r>
          </w:p>
        </w:tc>
      </w:tr>
      <w:tr>
        <w:trPr>
          <w:trHeight w:val="460"/>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Universal life and investment-type product policy fees</w:t>
            </w:r>
          </w:p>
        </w:tc>
        <w:tc>
          <w:tcPr>
            <w:tcW w:w="92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415</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422</w:t>
            </w:r>
          </w:p>
        </w:tc>
      </w:tr>
      <w:tr>
        <w:trPr>
          <w:trHeight w:val="441"/>
        </w:trPr>
        <w:tc>
          <w:tcPr>
            <w:tcW w:w="8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investment income</w:t>
            </w:r>
          </w:p>
        </w:tc>
        <w:tc>
          <w:tcPr>
            <w:tcW w:w="9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1,236</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1,269</w:t>
            </w:r>
          </w:p>
        </w:tc>
      </w:tr>
      <w:tr>
        <w:trPr>
          <w:trHeight w:val="460"/>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revenues</w:t>
            </w:r>
          </w:p>
        </w:tc>
        <w:tc>
          <w:tcPr>
            <w:tcW w:w="92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w:t>
            </w:r>
          </w:p>
        </w:tc>
      </w:tr>
      <w:tr>
        <w:trPr>
          <w:trHeight w:val="441"/>
        </w:trPr>
        <w:tc>
          <w:tcPr>
            <w:tcW w:w="8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investment gains (losses)</w:t>
            </w:r>
          </w:p>
        </w:tc>
        <w:tc>
          <w:tcPr>
            <w:tcW w:w="9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w:t>
            </w:r>
          </w:p>
        </w:tc>
      </w:tr>
      <w:tr>
        <w:trPr>
          <w:trHeight w:val="453"/>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derivative gains (losses)</w:t>
            </w:r>
          </w:p>
        </w:tc>
        <w:tc>
          <w:tcPr>
            <w:tcW w:w="920" w:type="dxa"/>
            <w:vAlign w:val="bottom"/>
            <w:tcBorders>
              <w:bottom w:val="single" w:sz="8" w:color="auto"/>
            </w:tcBorders>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(508)</w:t>
            </w:r>
          </w:p>
        </w:tc>
        <w:tc>
          <w:tcPr>
            <w:tcW w:w="100" w:type="dxa"/>
            <w:vAlign w:val="bottom"/>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w:t>
            </w:r>
          </w:p>
        </w:tc>
      </w:tr>
      <w:tr>
        <w:trPr>
          <w:trHeight w:val="448"/>
        </w:trPr>
        <w:tc>
          <w:tcPr>
            <w:tcW w:w="82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Total revenues</w:t>
            </w:r>
          </w:p>
        </w:tc>
        <w:tc>
          <w:tcPr>
            <w:tcW w:w="9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1,366</w:t>
            </w:r>
          </w:p>
        </w:tc>
        <w:tc>
          <w:tcPr>
            <w:tcW w:w="10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2,232</w:t>
            </w:r>
          </w:p>
        </w:tc>
      </w:tr>
      <w:tr>
        <w:trPr>
          <w:trHeight w:val="433"/>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Expenses</w:t>
            </w:r>
          </w:p>
        </w:tc>
        <w:tc>
          <w:tcPr>
            <w:tcW w:w="9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r>
      <w:tr>
        <w:trPr>
          <w:trHeight w:val="448"/>
        </w:trPr>
        <w:tc>
          <w:tcPr>
            <w:tcW w:w="8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Policyholder benefits and claims (including liability remeasurement gains (losses) of $0 and $0, respectively)</w:t>
            </w:r>
          </w:p>
        </w:tc>
        <w:tc>
          <w:tcPr>
            <w:tcW w:w="9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615</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619</w:t>
            </w:r>
          </w:p>
        </w:tc>
      </w:tr>
      <w:tr>
        <w:trPr>
          <w:trHeight w:val="453"/>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credited to policyholder account balances</w:t>
            </w:r>
          </w:p>
        </w:tc>
        <w:tc>
          <w:tcPr>
            <w:tcW w:w="92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486</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554</w:t>
            </w:r>
          </w:p>
        </w:tc>
      </w:tr>
      <w:tr>
        <w:trPr>
          <w:trHeight w:val="441"/>
        </w:trPr>
        <w:tc>
          <w:tcPr>
            <w:tcW w:w="8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 of DAC and VOBA</w:t>
            </w:r>
          </w:p>
        </w:tc>
        <w:tc>
          <w:tcPr>
            <w:tcW w:w="9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w:t>
            </w:r>
          </w:p>
        </w:tc>
      </w:tr>
      <w:tr>
        <w:trPr>
          <w:trHeight w:val="460"/>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 in market risk benefits</w:t>
            </w:r>
          </w:p>
        </w:tc>
        <w:tc>
          <w:tcPr>
            <w:tcW w:w="92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748</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896</w:t>
            </w:r>
          </w:p>
        </w:tc>
      </w:tr>
      <w:tr>
        <w:trPr>
          <w:trHeight w:val="441"/>
        </w:trPr>
        <w:tc>
          <w:tcPr>
            <w:tcW w:w="8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 on debt</w:t>
            </w:r>
          </w:p>
        </w:tc>
        <w:tc>
          <w:tcPr>
            <w:tcW w:w="9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r>
      <w:tr>
        <w:trPr>
          <w:trHeight w:val="453"/>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expenses</w:t>
            </w:r>
          </w:p>
        </w:tc>
        <w:tc>
          <w:tcPr>
            <w:tcW w:w="920" w:type="dxa"/>
            <w:vAlign w:val="bottom"/>
            <w:tcBorders>
              <w:bottom w:val="single" w:sz="8" w:color="auto"/>
            </w:tcBorders>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w:t>
            </w:r>
          </w:p>
        </w:tc>
        <w:tc>
          <w:tcPr>
            <w:tcW w:w="100" w:type="dxa"/>
            <w:vAlign w:val="bottom"/>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393</w:t>
            </w:r>
          </w:p>
        </w:tc>
      </w:tr>
      <w:tr>
        <w:trPr>
          <w:trHeight w:val="448"/>
        </w:trPr>
        <w:tc>
          <w:tcPr>
            <w:tcW w:w="82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Total expenses</w:t>
            </w:r>
          </w:p>
        </w:tc>
        <w:tc>
          <w:tcPr>
            <w:tcW w:w="9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2,388</w:t>
            </w:r>
          </w:p>
        </w:tc>
        <w:tc>
          <w:tcPr>
            <w:tcW w:w="10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2,615</w:t>
            </w:r>
          </w:p>
        </w:tc>
      </w:tr>
      <w:tr>
        <w:trPr>
          <w:trHeight w:val="446"/>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before provision for income tax</w:t>
            </w:r>
          </w:p>
        </w:tc>
        <w:tc>
          <w:tcPr>
            <w:tcW w:w="92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(1,022)</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w:t>
            </w:r>
          </w:p>
        </w:tc>
      </w:tr>
      <w:tr>
        <w:trPr>
          <w:trHeight w:val="444"/>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Provision for income tax expense (benefit)</w:t>
            </w:r>
          </w:p>
        </w:tc>
        <w:tc>
          <w:tcPr>
            <w:tcW w:w="9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(231)</w:t>
            </w:r>
          </w:p>
        </w:tc>
        <w:tc>
          <w:tcPr>
            <w:tcW w:w="10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w:t>
            </w:r>
          </w:p>
        </w:tc>
      </w:tr>
      <w:tr>
        <w:trPr>
          <w:trHeight w:val="450"/>
        </w:trPr>
        <w:tc>
          <w:tcPr>
            <w:tcW w:w="8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income (loss)</w:t>
            </w:r>
          </w:p>
        </w:tc>
        <w:tc>
          <w:tcPr>
            <w:tcW w:w="92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(791)</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w:t>
            </w:r>
          </w:p>
        </w:tc>
      </w:tr>
      <w:tr>
        <w:trPr>
          <w:trHeight w:val="444"/>
        </w:trPr>
        <w:tc>
          <w:tcPr>
            <w:tcW w:w="8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 Net income (loss) attributable to noncontrolling interests</w:t>
            </w:r>
          </w:p>
        </w:tc>
        <w:tc>
          <w:tcPr>
            <w:tcW w:w="920" w:type="dxa"/>
            <w:vAlign w:val="bottom"/>
          </w:tcPr>
          <w:p>
            <w:pPr>
              <w:spacing w:after="0"/>
              <w:rPr>
                <w:sz w:val="24"/>
                <w:szCs w:val="24"/>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475"/>
        </w:trPr>
        <w:tc>
          <w:tcPr>
            <w:tcW w:w="82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income (loss) attributable to Brighthouse Life Insurance Company</w:t>
            </w:r>
          </w:p>
        </w:tc>
        <w:tc>
          <w:tcPr>
            <w:tcW w:w="920" w:type="dxa"/>
            <w:vAlign w:val="bottom"/>
            <w:tcBorders>
              <w:top w:val="single" w:sz="8" w:color="auto"/>
              <w:bottom w:val="single" w:sz="8" w:color="auto"/>
            </w:tcBorders>
            <w:shd w:val="clear" w:color="auto" w:fill="CCEEFF"/>
          </w:tcPr>
          <w:p>
            <w:pPr>
              <w:jc w:val="right"/>
              <w:ind w:right="743"/>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(791)</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460" w:type="dxa"/>
            <w:vAlign w:val="bottom"/>
            <w:tcBorders>
              <w:top w:val="single" w:sz="8" w:color="auto"/>
              <w:bottom w:val="single" w:sz="8" w:color="auto"/>
            </w:tcBorders>
            <w:shd w:val="clear" w:color="auto" w:fill="CCEEFF"/>
          </w:tcPr>
          <w:p>
            <w:pPr>
              <w:jc w:val="right"/>
              <w:ind w:right="261"/>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4" w:right="339" w:bottom="1440" w:gutter="0" w:footer="0" w:header="0"/>
        </w:sectPr>
      </w:pPr>
    </w:p>
    <w:p>
      <w:pPr>
        <w:spacing w:after="0" w:line="3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components of net income (loss) were as follows:</w:t>
      </w:r>
    </w:p>
    <w:p>
      <w:pPr>
        <w:sectPr>
          <w:pgSz w:w="11900" w:h="16838" w:orient="portrait"/>
          <w:cols w:equalWidth="0" w:num="1">
            <w:col w:w="11240"/>
          </w:cols>
          <w:pgMar w:left="320" w:top="124" w:right="339" w:bottom="1440" w:gutter="0" w:footer="0" w:header="0"/>
          <w:type w:val="continuous"/>
        </w:sectPr>
      </w:pPr>
    </w:p>
    <w:bookmarkStart w:id="75" w:name="page76"/>
    <w:bookmarkEnd w:id="75"/>
    <w:p>
      <w:pPr>
        <w:jc w:val="center"/>
        <w:ind w:left="82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3" w:lineRule="exact"/>
        <w:rPr>
          <w:sz w:val="20"/>
          <w:szCs w:val="20"/>
          <w:color w:val="auto"/>
        </w:rPr>
      </w:pPr>
    </w:p>
    <w:p>
      <w:pPr>
        <w:jc w:val="center"/>
        <w:ind w:left="820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5220335</wp:posOffset>
            </wp:positionH>
            <wp:positionV relativeFrom="paragraph">
              <wp:posOffset>11430</wp:posOffset>
            </wp:positionV>
            <wp:extent cx="191833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918335" cy="8255"/>
                    </a:xfrm>
                    <a:prstGeom prst="rect">
                      <a:avLst/>
                    </a:prstGeom>
                    <a:noFill/>
                  </pic:spPr>
                </pic:pic>
              </a:graphicData>
            </a:graphic>
          </wp:anchor>
        </w:drawing>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0" w:type="dxa"/>
            <w:vAlign w:val="bottom"/>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8"/>
        </w:trPr>
        <w:tc>
          <w:tcPr>
            <w:tcW w:w="8220" w:type="dxa"/>
            <w:vAlign w:val="bottom"/>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gridSpan w:val="3"/>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393"/>
        </w:trPr>
        <w:tc>
          <w:tcPr>
            <w:tcW w:w="8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00" w:type="dxa"/>
            <w:vAlign w:val="bottom"/>
            <w:gridSpan w:val="3"/>
          </w:tcPr>
          <w:p>
            <w:pPr>
              <w:jc w:val="right"/>
              <w:ind w:right="61"/>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0" w:type="dxa"/>
            <w:vAlign w:val="bottom"/>
          </w:tcPr>
          <w:p>
            <w:pPr>
              <w:spacing w:after="0"/>
              <w:rPr>
                <w:sz w:val="24"/>
                <w:szCs w:val="24"/>
                <w:color w:val="auto"/>
              </w:rPr>
            </w:pPr>
          </w:p>
        </w:tc>
      </w:tr>
      <w:tr>
        <w:trPr>
          <w:trHeight w:val="38"/>
        </w:trPr>
        <w:tc>
          <w:tcPr>
            <w:tcW w:w="8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450"/>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 in market risk benefits</w:t>
            </w:r>
          </w:p>
        </w:tc>
        <w:tc>
          <w:tcPr>
            <w:tcW w:w="920" w:type="dxa"/>
            <w:vAlign w:val="bottom"/>
            <w:shd w:val="clear" w:color="auto" w:fill="CCEEFF"/>
          </w:tcPr>
          <w:p>
            <w:pPr>
              <w:jc w:val="right"/>
              <w:ind w:right="743"/>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(748)</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261"/>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(896)</w:t>
            </w:r>
          </w:p>
        </w:tc>
      </w:tr>
      <w:tr>
        <w:trPr>
          <w:trHeight w:val="441"/>
        </w:trPr>
        <w:tc>
          <w:tcPr>
            <w:tcW w:w="8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investment gains (losses)</w:t>
            </w:r>
          </w:p>
        </w:tc>
        <w:tc>
          <w:tcPr>
            <w:tcW w:w="9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w:t>
            </w:r>
          </w:p>
        </w:tc>
      </w:tr>
      <w:tr>
        <w:trPr>
          <w:trHeight w:val="460"/>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Investment gains (losses) on trading securities</w:t>
            </w:r>
          </w:p>
        </w:tc>
        <w:tc>
          <w:tcPr>
            <w:tcW w:w="92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441"/>
        </w:trPr>
        <w:tc>
          <w:tcPr>
            <w:tcW w:w="82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derivative gains (losses), excluding investment hedge adjustments</w:t>
            </w:r>
          </w:p>
        </w:tc>
        <w:tc>
          <w:tcPr>
            <w:tcW w:w="9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(508)</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w:t>
            </w:r>
          </w:p>
        </w:tc>
      </w:tr>
      <w:tr>
        <w:trPr>
          <w:trHeight w:val="460"/>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Market value adjustments</w:t>
            </w:r>
          </w:p>
        </w:tc>
        <w:tc>
          <w:tcPr>
            <w:tcW w:w="92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444"/>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Pre-tax adjusted earnings (loss), less net income (loss) attributable to noncontrolling interests</w:t>
            </w:r>
          </w:p>
        </w:tc>
        <w:tc>
          <w:tcPr>
            <w:tcW w:w="9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283</w:t>
            </w:r>
          </w:p>
        </w:tc>
        <w:tc>
          <w:tcPr>
            <w:tcW w:w="10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280</w:t>
            </w:r>
          </w:p>
        </w:tc>
      </w:tr>
      <w:tr>
        <w:trPr>
          <w:trHeight w:val="451"/>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attributable to Brighthouse Life Insurance Company before provision for income tax</w:t>
            </w:r>
          </w:p>
        </w:tc>
        <w:tc>
          <w:tcPr>
            <w:tcW w:w="92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(1,022)</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w:t>
            </w:r>
          </w:p>
        </w:tc>
      </w:tr>
      <w:tr>
        <w:trPr>
          <w:trHeight w:val="444"/>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Provision for income tax expense (benefit)</w:t>
            </w:r>
          </w:p>
        </w:tc>
        <w:tc>
          <w:tcPr>
            <w:tcW w:w="9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(231)</w:t>
            </w:r>
          </w:p>
        </w:tc>
        <w:tc>
          <w:tcPr>
            <w:tcW w:w="10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w:t>
            </w:r>
          </w:p>
        </w:tc>
      </w:tr>
      <w:tr>
        <w:trPr>
          <w:trHeight w:val="475"/>
        </w:trPr>
        <w:tc>
          <w:tcPr>
            <w:tcW w:w="82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Net income (loss) attributable to Brighthouse Life Insurance Company</w:t>
            </w:r>
          </w:p>
        </w:tc>
        <w:tc>
          <w:tcPr>
            <w:tcW w:w="920" w:type="dxa"/>
            <w:vAlign w:val="bottom"/>
            <w:tcBorders>
              <w:bottom w:val="single" w:sz="8" w:color="auto"/>
            </w:tcBorders>
            <w:shd w:val="clear" w:color="auto" w:fill="CCEEFF"/>
          </w:tcPr>
          <w:p>
            <w:pPr>
              <w:jc w:val="right"/>
              <w:ind w:right="743"/>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(791)</w:t>
            </w:r>
          </w:p>
        </w:tc>
        <w:tc>
          <w:tcPr>
            <w:tcW w:w="10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jc w:val="right"/>
              <w:ind w:right="261"/>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55"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Three Months Ended March 31, 2026 Compared with the Three Months Ended March 31, 2025</w:t>
      </w:r>
    </w:p>
    <w:p>
      <w:pPr>
        <w:spacing w:after="0" w:line="115" w:lineRule="exact"/>
        <w:rPr>
          <w:sz w:val="20"/>
          <w:szCs w:val="20"/>
          <w:color w:val="auto"/>
        </w:rPr>
      </w:pPr>
    </w:p>
    <w:p>
      <w:pPr>
        <w:ind w:left="160" w:firstLine="318"/>
        <w:spacing w:after="0" w:line="274" w:lineRule="auto"/>
        <w:rPr>
          <w:sz w:val="20"/>
          <w:szCs w:val="20"/>
          <w:color w:val="auto"/>
        </w:rPr>
      </w:pPr>
      <w:r>
        <w:rPr>
          <w:rFonts w:ascii="Times New Roman" w:cs="Times New Roman" w:eastAsia="Times New Roman" w:hAnsi="Times New Roman"/>
          <w:sz w:val="18"/>
          <w:szCs w:val="18"/>
          <w:color w:val="auto"/>
        </w:rPr>
        <w:t>The loss before provision for income tax was $1.0 billion ($791 million, net of income tax), a higher loss of $639 million ($504 million, net of income tax) from loss before provision for income tax of $383 million ($287 million, net of income tax) in the prior period.</w:t>
      </w:r>
    </w:p>
    <w:p>
      <w:pPr>
        <w:spacing w:after="0" w:line="5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increase in loss before provision for income tax was driven by the following unfavorable items:</w:t>
      </w:r>
    </w:p>
    <w:p>
      <w:pPr>
        <w:spacing w:after="0" w:line="111" w:lineRule="exact"/>
        <w:rPr>
          <w:sz w:val="20"/>
          <w:szCs w:val="20"/>
          <w:color w:val="auto"/>
        </w:rPr>
      </w:pPr>
    </w:p>
    <w:p>
      <w:pPr>
        <w:ind w:left="800" w:hanging="317"/>
        <w:spacing w:after="0" w:line="274" w:lineRule="auto"/>
        <w:tabs>
          <w:tab w:leader="none" w:pos="79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losses from variable annuity guaranteed benefit riders, see “— Annuity Guaranteed Benefits and Shield Annuity Liabilities for the Three Months Ended March 31, 2026 and 2025”; and</w:t>
      </w:r>
    </w:p>
    <w:p>
      <w:pPr>
        <w:spacing w:after="0" w:line="57" w:lineRule="exact"/>
        <w:rPr>
          <w:rFonts w:ascii="Times New Roman" w:cs="Times New Roman" w:eastAsia="Times New Roman" w:hAnsi="Times New Roman"/>
          <w:sz w:val="18"/>
          <w:szCs w:val="18"/>
          <w:color w:val="auto"/>
        </w:rPr>
      </w:pPr>
    </w:p>
    <w:p>
      <w:pPr>
        <w:ind w:left="800" w:hanging="317"/>
        <w:spacing w:after="0" w:line="274" w:lineRule="auto"/>
        <w:tabs>
          <w:tab w:leader="none" w:pos="79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losses from the impact of interest rates on derivatives used to manage interest rate exposure in our universal life with secondary guarantees (“ULSG”) business, as long-term rates increased in the current period and decreased in the prior period.</w:t>
      </w:r>
    </w:p>
    <w:p>
      <w:pPr>
        <w:spacing w:after="0" w:line="5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increase in loss before provision for income tax was partially offset by the following favorable items:</w:t>
      </w:r>
    </w:p>
    <w:p>
      <w:pPr>
        <w:spacing w:after="0" w:line="111" w:lineRule="exact"/>
        <w:rPr>
          <w:sz w:val="20"/>
          <w:szCs w:val="20"/>
          <w:color w:val="auto"/>
        </w:rPr>
      </w:pPr>
    </w:p>
    <w:p>
      <w:pPr>
        <w:ind w:left="800" w:hanging="317"/>
        <w:spacing w:after="0"/>
        <w:tabs>
          <w:tab w:leader="none" w:pos="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investment gains (losses) reflecting lower net losses on mortgage loans due to a smaller increase in the allowance for credit losses; and</w:t>
      </w:r>
    </w:p>
    <w:p>
      <w:pPr>
        <w:spacing w:after="0" w:line="111" w:lineRule="exact"/>
        <w:rPr>
          <w:rFonts w:ascii="Times New Roman" w:cs="Times New Roman" w:eastAsia="Times New Roman" w:hAnsi="Times New Roman"/>
          <w:sz w:val="18"/>
          <w:szCs w:val="18"/>
          <w:color w:val="auto"/>
        </w:rPr>
      </w:pPr>
    </w:p>
    <w:p>
      <w:pPr>
        <w:ind w:left="800" w:hanging="317"/>
        <w:spacing w:after="0"/>
        <w:tabs>
          <w:tab w:leader="none" w:pos="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dollar strengthening in the current period and weakening in the prior period, favorably impacting foreign currency forwards and swaps.</w:t>
      </w:r>
    </w:p>
    <w:p>
      <w:pPr>
        <w:spacing w:after="0" w:line="111" w:lineRule="exact"/>
        <w:rPr>
          <w:sz w:val="20"/>
          <w:szCs w:val="20"/>
          <w:color w:val="auto"/>
        </w:rPr>
      </w:pPr>
    </w:p>
    <w:p>
      <w:pPr>
        <w:jc w:val="both"/>
        <w:ind w:left="160" w:firstLine="318"/>
        <w:spacing w:after="0" w:line="259" w:lineRule="auto"/>
        <w:rPr>
          <w:sz w:val="20"/>
          <w:szCs w:val="20"/>
          <w:color w:val="auto"/>
        </w:rPr>
      </w:pPr>
      <w:r>
        <w:rPr>
          <w:rFonts w:ascii="Times New Roman" w:cs="Times New Roman" w:eastAsia="Times New Roman" w:hAnsi="Times New Roman"/>
          <w:sz w:val="18"/>
          <w:szCs w:val="18"/>
          <w:color w:val="auto"/>
        </w:rPr>
        <w:t>The provision for income tax, calculated as a percentage of income (loss) before provision for income tax, resulted in an effective tax rate of 23% in the current period compared to 25% in the prior period. Our effective tax rate differs from the statutory tax rate primarily due to the impacts of the dividends received deduction, tax credits and current period non-recurring items.</w:t>
      </w:r>
    </w:p>
    <w:p>
      <w:pPr>
        <w:spacing w:after="0" w:line="6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Reconciliation of Net Income (Loss) to Adjusted Earnings (Loss)</w:t>
      </w:r>
    </w:p>
    <w:p>
      <w:pPr>
        <w:spacing w:after="0" w:line="11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reconciliation of net income (loss) attributable to Brighthouse Life Insurance Company to adjusted earnings (loss) was as follows:</w:t>
      </w:r>
    </w:p>
    <w:p>
      <w:pPr>
        <w:spacing w:after="0" w:line="251" w:lineRule="exact"/>
        <w:rPr>
          <w:sz w:val="20"/>
          <w:szCs w:val="20"/>
          <w:color w:val="auto"/>
        </w:rPr>
      </w:pPr>
    </w:p>
    <w:p>
      <w:pPr>
        <w:jc w:val="center"/>
        <w:ind w:left="83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3" w:lineRule="exact"/>
        <w:rPr>
          <w:sz w:val="20"/>
          <w:szCs w:val="20"/>
          <w:color w:val="auto"/>
        </w:rPr>
      </w:pPr>
    </w:p>
    <w:p>
      <w:pPr>
        <w:jc w:val="center"/>
        <w:ind w:left="834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5304155</wp:posOffset>
            </wp:positionH>
            <wp:positionV relativeFrom="paragraph">
              <wp:posOffset>11430</wp:posOffset>
            </wp:positionV>
            <wp:extent cx="18338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833880" cy="8255"/>
                    </a:xfrm>
                    <a:prstGeom prst="rect">
                      <a:avLst/>
                    </a:prstGeom>
                    <a:noFill/>
                  </pic:spPr>
                </pic:pic>
              </a:graphicData>
            </a:graphic>
          </wp:anchor>
        </w:drawing>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3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60" w:type="dxa"/>
            <w:vAlign w:val="bottom"/>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8"/>
        </w:trPr>
        <w:tc>
          <w:tcPr>
            <w:tcW w:w="8360" w:type="dxa"/>
            <w:vAlign w:val="bottom"/>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gridSpan w:val="3"/>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r>
      <w:tr>
        <w:trPr>
          <w:trHeight w:val="186"/>
        </w:trPr>
        <w:tc>
          <w:tcPr>
            <w:tcW w:w="83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60" w:type="dxa"/>
            <w:vAlign w:val="bottom"/>
            <w:gridSpan w:val="3"/>
          </w:tcPr>
          <w:p>
            <w:pPr>
              <w:jc w:val="right"/>
              <w:ind w:right="41"/>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60" w:type="dxa"/>
            <w:vAlign w:val="bottom"/>
          </w:tcPr>
          <w:p>
            <w:pPr>
              <w:spacing w:after="0"/>
              <w:rPr>
                <w:sz w:val="16"/>
                <w:szCs w:val="16"/>
                <w:color w:val="auto"/>
              </w:rPr>
            </w:pPr>
          </w:p>
        </w:tc>
      </w:tr>
      <w:tr>
        <w:trPr>
          <w:trHeight w:val="457"/>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 attributable to Brighthouse Life Insurance Company</w:t>
            </w:r>
          </w:p>
        </w:tc>
        <w:tc>
          <w:tcPr>
            <w:tcW w:w="860" w:type="dxa"/>
            <w:vAlign w:val="bottom"/>
            <w:shd w:val="clear" w:color="auto" w:fill="CCEEFF"/>
          </w:tcPr>
          <w:p>
            <w:pPr>
              <w:jc w:val="right"/>
              <w:ind w:right="683"/>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(791)</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w:t>
            </w:r>
          </w:p>
        </w:tc>
      </w:tr>
      <w:tr>
        <w:trPr>
          <w:trHeight w:val="444"/>
        </w:trPr>
        <w:tc>
          <w:tcPr>
            <w:tcW w:w="8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Add: Provision for income tax expense (benefit)</w:t>
            </w:r>
          </w:p>
        </w:tc>
        <w:tc>
          <w:tcPr>
            <w:tcW w:w="8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(231)</w:t>
            </w:r>
          </w:p>
        </w:tc>
        <w:tc>
          <w:tcPr>
            <w:tcW w:w="12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w:t>
            </w:r>
          </w:p>
        </w:tc>
      </w:tr>
      <w:tr>
        <w:trPr>
          <w:trHeight w:val="450"/>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attributable to Brighthouse Life Insurance Company before provision for income tax</w:t>
            </w:r>
          </w:p>
        </w:tc>
        <w:tc>
          <w:tcPr>
            <w:tcW w:w="86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(1,022)</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w:t>
            </w:r>
          </w:p>
        </w:tc>
      </w:tr>
      <w:tr>
        <w:trPr>
          <w:trHeight w:val="441"/>
        </w:trPr>
        <w:tc>
          <w:tcPr>
            <w:tcW w:w="8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 Net investment gains (losses)</w:t>
            </w:r>
          </w:p>
        </w:tc>
        <w:tc>
          <w:tcPr>
            <w:tcW w:w="86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w:t>
            </w:r>
          </w:p>
        </w:tc>
      </w:tr>
      <w:tr>
        <w:trPr>
          <w:trHeight w:val="460"/>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Investment gains (losses) on trading securities</w:t>
            </w:r>
          </w:p>
        </w:tc>
        <w:tc>
          <w:tcPr>
            <w:tcW w:w="86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441"/>
        </w:trPr>
        <w:tc>
          <w:tcPr>
            <w:tcW w:w="8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 Net derivative gains (losses), excluding investment hedge adjustments of $0 and $0, respectively</w:t>
            </w:r>
          </w:p>
        </w:tc>
        <w:tc>
          <w:tcPr>
            <w:tcW w:w="86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(508)</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w:t>
            </w:r>
          </w:p>
        </w:tc>
      </w:tr>
      <w:tr>
        <w:trPr>
          <w:trHeight w:val="460"/>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Change in market risk benefits</w:t>
            </w:r>
          </w:p>
        </w:tc>
        <w:tc>
          <w:tcPr>
            <w:tcW w:w="86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(748)</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(896)</w:t>
            </w:r>
          </w:p>
        </w:tc>
      </w:tr>
      <w:tr>
        <w:trPr>
          <w:trHeight w:val="444"/>
        </w:trPr>
        <w:tc>
          <w:tcPr>
            <w:tcW w:w="8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Market value adjustments</w:t>
            </w:r>
          </w:p>
        </w:tc>
        <w:tc>
          <w:tcPr>
            <w:tcW w:w="8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450"/>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Pre-tax adjusted earnings (loss), less net income (loss) attributable to noncontrolling interests</w:t>
            </w:r>
          </w:p>
        </w:tc>
        <w:tc>
          <w:tcPr>
            <w:tcW w:w="86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w:t>
            </w:r>
          </w:p>
        </w:tc>
      </w:tr>
      <w:tr>
        <w:trPr>
          <w:trHeight w:val="444"/>
        </w:trPr>
        <w:tc>
          <w:tcPr>
            <w:tcW w:w="8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Provision for income tax expense (benefit)</w:t>
            </w:r>
          </w:p>
        </w:tc>
        <w:tc>
          <w:tcPr>
            <w:tcW w:w="8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2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w:t>
            </w:r>
          </w:p>
        </w:tc>
      </w:tr>
      <w:tr>
        <w:trPr>
          <w:trHeight w:val="475"/>
        </w:trPr>
        <w:tc>
          <w:tcPr>
            <w:tcW w:w="8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earnings (loss)</w:t>
            </w:r>
          </w:p>
        </w:tc>
        <w:tc>
          <w:tcPr>
            <w:tcW w:w="860" w:type="dxa"/>
            <w:vAlign w:val="bottom"/>
            <w:tcBorders>
              <w:bottom w:val="single" w:sz="8" w:color="auto"/>
            </w:tcBorders>
            <w:shd w:val="clear" w:color="auto" w:fill="CCEEFF"/>
          </w:tcPr>
          <w:p>
            <w:pPr>
              <w:jc w:val="right"/>
              <w:ind w:right="683"/>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w:t>
            </w:r>
          </w:p>
        </w:tc>
        <w:tc>
          <w:tcPr>
            <w:tcW w:w="12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w:t>
            </w: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 Results for the Three Months Ended March 31, 2026 and 2025 — Adjusted Earnings (Loss)</w:t>
      </w:r>
    </w:p>
    <w:p>
      <w:pPr>
        <w:spacing w:after="0" w:line="1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components of adjusted earnings (loss) were as follows:</w:t>
      </w:r>
    </w:p>
    <w:p>
      <w:pPr>
        <w:spacing w:after="0" w:line="251" w:lineRule="exact"/>
        <w:rPr>
          <w:sz w:val="20"/>
          <w:szCs w:val="20"/>
          <w:color w:val="auto"/>
        </w:rPr>
      </w:pPr>
    </w:p>
    <w:p>
      <w:pPr>
        <w:jc w:val="center"/>
        <w:ind w:left="83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3" w:lineRule="exact"/>
        <w:rPr>
          <w:sz w:val="20"/>
          <w:szCs w:val="20"/>
          <w:color w:val="auto"/>
        </w:rPr>
      </w:pPr>
    </w:p>
    <w:p>
      <w:pPr>
        <w:jc w:val="center"/>
        <w:ind w:left="834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5304155</wp:posOffset>
            </wp:positionH>
            <wp:positionV relativeFrom="paragraph">
              <wp:posOffset>11430</wp:posOffset>
            </wp:positionV>
            <wp:extent cx="18338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833880" cy="8255"/>
                    </a:xfrm>
                    <a:prstGeom prst="rect">
                      <a:avLst/>
                    </a:prstGeom>
                    <a:noFill/>
                  </pic:spPr>
                </pic:pic>
              </a:graphicData>
            </a:graphic>
          </wp:anchor>
        </w:drawing>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360" w:type="dxa"/>
            <w:vAlign w:val="bottom"/>
          </w:tcPr>
          <w:p>
            <w:pPr>
              <w:spacing w:after="0"/>
              <w:rPr>
                <w:sz w:val="16"/>
                <w:szCs w:val="16"/>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4"/>
                <w:szCs w:val="14"/>
                <w:b w:val="1"/>
                <w:bCs w:val="1"/>
                <w:color w:val="auto"/>
              </w:rPr>
              <w:t>2026</w:t>
            </w: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60" w:type="dxa"/>
            <w:vAlign w:val="bottom"/>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8"/>
        </w:trPr>
        <w:tc>
          <w:tcPr>
            <w:tcW w:w="8360" w:type="dxa"/>
            <w:vAlign w:val="bottom"/>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gridSpan w:val="3"/>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r>
      <w:tr>
        <w:trPr>
          <w:trHeight w:val="393"/>
        </w:trPr>
        <w:tc>
          <w:tcPr>
            <w:tcW w:w="8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0" w:type="dxa"/>
            <w:vAlign w:val="bottom"/>
            <w:gridSpan w:val="3"/>
          </w:tcPr>
          <w:p>
            <w:pPr>
              <w:jc w:val="right"/>
              <w:ind w:right="41"/>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60" w:type="dxa"/>
            <w:vAlign w:val="bottom"/>
          </w:tcPr>
          <w:p>
            <w:pPr>
              <w:spacing w:after="0"/>
              <w:rPr>
                <w:sz w:val="24"/>
                <w:szCs w:val="24"/>
                <w:color w:val="auto"/>
              </w:rPr>
            </w:pPr>
          </w:p>
        </w:tc>
      </w:tr>
      <w:tr>
        <w:trPr>
          <w:trHeight w:val="38"/>
        </w:trPr>
        <w:tc>
          <w:tcPr>
            <w:tcW w:w="8360" w:type="dxa"/>
            <w:vAlign w:val="bottom"/>
          </w:tcPr>
          <w:p>
            <w:pPr>
              <w:spacing w:after="0"/>
              <w:rPr>
                <w:sz w:val="3"/>
                <w:szCs w:val="3"/>
                <w:color w:val="auto"/>
              </w:rPr>
            </w:pPr>
          </w:p>
        </w:tc>
        <w:tc>
          <w:tcPr>
            <w:tcW w:w="9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450"/>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Fee income</w:t>
            </w:r>
          </w:p>
        </w:tc>
        <w:tc>
          <w:tcPr>
            <w:tcW w:w="920" w:type="dxa"/>
            <w:vAlign w:val="bottom"/>
            <w:shd w:val="clear" w:color="auto" w:fill="CCEEFF"/>
          </w:tcPr>
          <w:p>
            <w:pPr>
              <w:jc w:val="right"/>
              <w:ind w:right="743"/>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524</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543</w:t>
            </w:r>
          </w:p>
        </w:tc>
      </w:tr>
      <w:tr>
        <w:trPr>
          <w:trHeight w:val="441"/>
        </w:trPr>
        <w:tc>
          <w:tcPr>
            <w:tcW w:w="8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investment spread</w:t>
            </w:r>
          </w:p>
        </w:tc>
        <w:tc>
          <w:tcPr>
            <w:tcW w:w="92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723</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695</w:t>
            </w:r>
          </w:p>
        </w:tc>
      </w:tr>
      <w:tr>
        <w:trPr>
          <w:trHeight w:val="460"/>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Insurance-related activities</w:t>
            </w:r>
          </w:p>
        </w:tc>
        <w:tc>
          <w:tcPr>
            <w:tcW w:w="920" w:type="dxa"/>
            <w:vAlign w:val="bottom"/>
            <w:shd w:val="clear" w:color="auto" w:fill="CCEEFF"/>
          </w:tcPr>
          <w:p>
            <w:pPr>
              <w:spacing w:after="0"/>
              <w:rPr>
                <w:sz w:val="24"/>
                <w:szCs w:val="2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(425)</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(412)</w:t>
            </w:r>
          </w:p>
        </w:tc>
      </w:tr>
      <w:tr>
        <w:trPr>
          <w:trHeight w:val="441"/>
        </w:trPr>
        <w:tc>
          <w:tcPr>
            <w:tcW w:w="8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 of DAC and VOBA</w:t>
            </w:r>
          </w:p>
        </w:tc>
        <w:tc>
          <w:tcPr>
            <w:tcW w:w="92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w:t>
            </w:r>
          </w:p>
        </w:tc>
      </w:tr>
      <w:tr>
        <w:trPr>
          <w:trHeight w:val="460"/>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expenses</w:t>
            </w:r>
          </w:p>
        </w:tc>
        <w:tc>
          <w:tcPr>
            <w:tcW w:w="920" w:type="dxa"/>
            <w:vAlign w:val="bottom"/>
            <w:shd w:val="clear" w:color="auto" w:fill="CCEEFF"/>
          </w:tcPr>
          <w:p>
            <w:pPr>
              <w:spacing w:after="0"/>
              <w:rPr>
                <w:sz w:val="24"/>
                <w:szCs w:val="2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(392)</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(410)</w:t>
            </w:r>
          </w:p>
        </w:tc>
      </w:tr>
      <w:tr>
        <w:trPr>
          <w:trHeight w:val="444"/>
        </w:trPr>
        <w:tc>
          <w:tcPr>
            <w:tcW w:w="8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 Net income (loss) attributable to noncontrolling interests</w:t>
            </w:r>
          </w:p>
        </w:tc>
        <w:tc>
          <w:tcPr>
            <w:tcW w:w="920" w:type="dxa"/>
            <w:vAlign w:val="bottom"/>
          </w:tcPr>
          <w:p>
            <w:pPr>
              <w:spacing w:after="0"/>
              <w:rPr>
                <w:sz w:val="24"/>
                <w:szCs w:val="24"/>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451"/>
        </w:trPr>
        <w:tc>
          <w:tcPr>
            <w:tcW w:w="836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Pre-tax adjusted earnings (loss), less net income (loss) attributable to noncontrolling interests</w:t>
            </w:r>
          </w:p>
        </w:tc>
        <w:tc>
          <w:tcPr>
            <w:tcW w:w="920" w:type="dxa"/>
            <w:vAlign w:val="bottom"/>
            <w:tcBorders>
              <w:top w:val="single" w:sz="8" w:color="auto"/>
            </w:tcBorders>
            <w:shd w:val="clear" w:color="auto" w:fill="CCEEFF"/>
          </w:tcPr>
          <w:p>
            <w:pPr>
              <w:spacing w:after="0"/>
              <w:rPr>
                <w:sz w:val="24"/>
                <w:szCs w:val="24"/>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w:t>
            </w:r>
          </w:p>
        </w:tc>
        <w:tc>
          <w:tcPr>
            <w:tcW w:w="120" w:type="dxa"/>
            <w:vAlign w:val="bottom"/>
            <w:tcBorders>
              <w:top w:val="single" w:sz="8" w:color="CCEEFF"/>
            </w:tcBorders>
            <w:shd w:val="clear" w:color="auto" w:fill="CCEEFF"/>
          </w:tcPr>
          <w:p>
            <w:pPr>
              <w:spacing w:after="0"/>
              <w:rPr>
                <w:sz w:val="24"/>
                <w:szCs w:val="24"/>
                <w:color w:val="auto"/>
              </w:rPr>
            </w:pPr>
          </w:p>
        </w:tc>
        <w:tc>
          <w:tcPr>
            <w:tcW w:w="420" w:type="dxa"/>
            <w:vAlign w:val="bottom"/>
            <w:tcBorders>
              <w:top w:val="single" w:sz="8" w:color="auto"/>
            </w:tcBorders>
            <w:shd w:val="clear" w:color="auto" w:fill="CCEEFF"/>
          </w:tcPr>
          <w:p>
            <w:pPr>
              <w:spacing w:after="0"/>
              <w:rPr>
                <w:sz w:val="24"/>
                <w:szCs w:val="24"/>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w:t>
            </w:r>
          </w:p>
        </w:tc>
      </w:tr>
      <w:tr>
        <w:trPr>
          <w:trHeight w:val="444"/>
        </w:trPr>
        <w:tc>
          <w:tcPr>
            <w:tcW w:w="8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Provision for income tax expense (benefit)</w:t>
            </w:r>
          </w:p>
        </w:tc>
        <w:tc>
          <w:tcPr>
            <w:tcW w:w="9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2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w:t>
            </w:r>
          </w:p>
        </w:tc>
      </w:tr>
      <w:tr>
        <w:trPr>
          <w:trHeight w:val="475"/>
        </w:trPr>
        <w:tc>
          <w:tcPr>
            <w:tcW w:w="8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Adjusted earnings (loss)</w:t>
            </w:r>
          </w:p>
        </w:tc>
        <w:tc>
          <w:tcPr>
            <w:tcW w:w="920" w:type="dxa"/>
            <w:vAlign w:val="bottom"/>
            <w:tcBorders>
              <w:bottom w:val="single" w:sz="8" w:color="auto"/>
            </w:tcBorders>
            <w:shd w:val="clear" w:color="auto" w:fill="CCEEFF"/>
          </w:tcPr>
          <w:p>
            <w:pPr>
              <w:jc w:val="right"/>
              <w:ind w:right="743"/>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w:t>
            </w:r>
          </w:p>
        </w:tc>
        <w:tc>
          <w:tcPr>
            <w:tcW w:w="12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w:t>
            </w: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Three Months Ended March 31, 2026 Compared with the Three Months Ended March 31, 2025</w:t>
      </w:r>
    </w:p>
    <w:p>
      <w:pPr>
        <w:spacing w:after="0" w:line="11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Adjusted earnings were $240 million in the current period, an increase of $2 million.</w:t>
      </w:r>
    </w:p>
    <w:p>
      <w:pPr>
        <w:spacing w:after="0" w:line="11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Key net favorable impacts were:</w:t>
      </w:r>
    </w:p>
    <w:p>
      <w:pPr>
        <w:spacing w:after="0" w:line="111" w:lineRule="exact"/>
        <w:rPr>
          <w:sz w:val="20"/>
          <w:szCs w:val="20"/>
          <w:color w:val="auto"/>
        </w:rPr>
      </w:pPr>
    </w:p>
    <w:p>
      <w:pPr>
        <w:ind w:left="800" w:hanging="317"/>
        <w:spacing w:after="0"/>
        <w:tabs>
          <w:tab w:leader="none" w:pos="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net investment spread due to:</w:t>
      </w:r>
    </w:p>
    <w:p>
      <w:pPr>
        <w:spacing w:after="0" w:line="111" w:lineRule="exact"/>
        <w:rPr>
          <w:sz w:val="20"/>
          <w:szCs w:val="20"/>
          <w:color w:val="auto"/>
        </w:rPr>
      </w:pPr>
    </w:p>
    <w:p>
      <w:pPr>
        <w:ind w:left="1120" w:hanging="319"/>
        <w:spacing w:after="0" w:line="274" w:lineRule="auto"/>
        <w:tabs>
          <w:tab w:leader="none" w:pos="1143"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interest credited to policyholders due to lower account balances and prior period actuarial modeling improvements in our annuity business;</w:t>
      </w:r>
    </w:p>
    <w:p>
      <w:pPr>
        <w:spacing w:after="0" w:line="5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partially offset by</w:t>
      </w:r>
    </w:p>
    <w:p>
      <w:pPr>
        <w:spacing w:after="0" w:line="111" w:lineRule="exact"/>
        <w:rPr>
          <w:sz w:val="20"/>
          <w:szCs w:val="20"/>
          <w:color w:val="auto"/>
        </w:rPr>
      </w:pPr>
    </w:p>
    <w:p>
      <w:pPr>
        <w:ind w:left="1120" w:hanging="319"/>
        <w:spacing w:after="0"/>
        <w:tabs>
          <w:tab w:leader="none" w:pos="112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average invested long-term assets and yields on our institutional spread margin business; and</w:t>
      </w:r>
    </w:p>
    <w:p>
      <w:pPr>
        <w:spacing w:after="0" w:line="111" w:lineRule="exact"/>
        <w:rPr>
          <w:rFonts w:ascii="Times New Roman" w:cs="Times New Roman" w:eastAsia="Times New Roman" w:hAnsi="Times New Roman"/>
          <w:sz w:val="18"/>
          <w:szCs w:val="18"/>
          <w:color w:val="auto"/>
        </w:rPr>
      </w:pPr>
    </w:p>
    <w:p>
      <w:pPr>
        <w:ind w:left="800" w:hanging="317"/>
        <w:spacing w:after="0"/>
        <w:tabs>
          <w:tab w:leader="none" w:pos="8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other expenses due to:</w:t>
      </w:r>
    </w:p>
    <w:p>
      <w:pPr>
        <w:spacing w:after="0" w:line="111" w:lineRule="exact"/>
        <w:rPr>
          <w:rFonts w:ascii="Times New Roman" w:cs="Times New Roman" w:eastAsia="Times New Roman" w:hAnsi="Times New Roman"/>
          <w:sz w:val="18"/>
          <w:szCs w:val="18"/>
          <w:color w:val="auto"/>
        </w:rPr>
      </w:pPr>
    </w:p>
    <w:p>
      <w:pPr>
        <w:ind w:left="1120" w:hanging="319"/>
        <w:spacing w:after="0"/>
        <w:tabs>
          <w:tab w:leader="none" w:pos="112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operational expenses; and</w:t>
      </w:r>
    </w:p>
    <w:p>
      <w:pPr>
        <w:spacing w:after="0" w:line="111" w:lineRule="exact"/>
        <w:rPr>
          <w:rFonts w:ascii="Times New Roman" w:cs="Times New Roman" w:eastAsia="Times New Roman" w:hAnsi="Times New Roman"/>
          <w:sz w:val="18"/>
          <w:szCs w:val="18"/>
          <w:color w:val="auto"/>
        </w:rPr>
      </w:pPr>
    </w:p>
    <w:p>
      <w:pPr>
        <w:ind w:left="480" w:firstLine="321"/>
        <w:spacing w:after="0" w:line="368" w:lineRule="auto"/>
        <w:tabs>
          <w:tab w:leader="none" w:pos="1112"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asset-based variable annuity expenses resulting from lower average separate account balances, a portion of which is offset in fee income. Key net unfavorable impacts were:</w:t>
      </w:r>
    </w:p>
    <w:p>
      <w:pPr>
        <w:spacing w:after="0" w:line="1" w:lineRule="exact"/>
        <w:rPr>
          <w:rFonts w:ascii="Times New Roman" w:cs="Times New Roman" w:eastAsia="Times New Roman" w:hAnsi="Times New Roman"/>
          <w:sz w:val="18"/>
          <w:szCs w:val="18"/>
          <w:color w:val="auto"/>
        </w:rPr>
      </w:pPr>
    </w:p>
    <w:p>
      <w:pPr>
        <w:ind w:left="800" w:hanging="317"/>
        <w:spacing w:after="0"/>
        <w:tabs>
          <w:tab w:leader="none" w:pos="8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fee income due to:</w:t>
      </w:r>
    </w:p>
    <w:p>
      <w:pPr>
        <w:spacing w:after="0" w:line="111" w:lineRule="exact"/>
        <w:rPr>
          <w:rFonts w:ascii="Times New Roman" w:cs="Times New Roman" w:eastAsia="Times New Roman" w:hAnsi="Times New Roman"/>
          <w:sz w:val="18"/>
          <w:szCs w:val="18"/>
          <w:color w:val="auto"/>
        </w:rPr>
      </w:pPr>
    </w:p>
    <w:p>
      <w:pPr>
        <w:ind w:left="1120" w:hanging="319"/>
        <w:spacing w:after="0"/>
        <w:tabs>
          <w:tab w:leader="none" w:pos="112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reinsurance fees on our fixed annuity business resulting from lower account balances; and</w:t>
      </w:r>
    </w:p>
    <w:p>
      <w:pPr>
        <w:spacing w:after="0" w:line="111" w:lineRule="exact"/>
        <w:rPr>
          <w:rFonts w:ascii="Times New Roman" w:cs="Times New Roman" w:eastAsia="Times New Roman" w:hAnsi="Times New Roman"/>
          <w:sz w:val="18"/>
          <w:szCs w:val="18"/>
          <w:color w:val="auto"/>
        </w:rPr>
      </w:pPr>
    </w:p>
    <w:p>
      <w:pPr>
        <w:ind w:left="1120" w:hanging="319"/>
        <w:spacing w:after="0"/>
        <w:tabs>
          <w:tab w:leader="none" w:pos="112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asset-based fees resulting from lower average separate account balances, a portion of which is offset in other expenses;</w:t>
      </w:r>
    </w:p>
    <w:p>
      <w:pPr>
        <w:spacing w:after="0" w:line="111" w:lineRule="exact"/>
        <w:rPr>
          <w:rFonts w:ascii="Times New Roman" w:cs="Times New Roman" w:eastAsia="Times New Roman" w:hAnsi="Times New Roman"/>
          <w:sz w:val="18"/>
          <w:szCs w:val="18"/>
          <w:color w:val="auto"/>
        </w:rPr>
      </w:pPr>
    </w:p>
    <w:p>
      <w:pPr>
        <w:ind w:left="800" w:hanging="317"/>
        <w:spacing w:after="0"/>
        <w:tabs>
          <w:tab w:leader="none" w:pos="8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net costs associated with insurance-related activities due to:</w:t>
      </w:r>
    </w:p>
    <w:p>
      <w:pPr>
        <w:spacing w:after="0" w:line="111" w:lineRule="exact"/>
        <w:rPr>
          <w:rFonts w:ascii="Times New Roman" w:cs="Times New Roman" w:eastAsia="Times New Roman" w:hAnsi="Times New Roman"/>
          <w:sz w:val="18"/>
          <w:szCs w:val="18"/>
          <w:color w:val="auto"/>
        </w:rPr>
      </w:pPr>
    </w:p>
    <w:p>
      <w:pPr>
        <w:ind w:left="1120" w:hanging="319"/>
        <w:spacing w:after="0"/>
        <w:tabs>
          <w:tab w:leader="none" w:pos="112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net increase in liability balances resulting from actuarial modeling improvements in our ULSG and life business;</w:t>
      </w:r>
    </w:p>
    <w:p>
      <w:pPr>
        <w:spacing w:after="0" w:line="11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partially offset by</w:t>
      </w:r>
    </w:p>
    <w:p>
      <w:pPr>
        <w:spacing w:after="0" w:line="11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   lower claims, net of reinsurance, in our ULSG business; and</w:t>
      </w:r>
    </w:p>
    <w:p>
      <w:pPr>
        <w:spacing w:after="0" w:line="111" w:lineRule="exact"/>
        <w:rPr>
          <w:sz w:val="20"/>
          <w:szCs w:val="20"/>
          <w:color w:val="auto"/>
        </w:rPr>
      </w:pPr>
    </w:p>
    <w:p>
      <w:pPr>
        <w:ind w:left="800" w:hanging="317"/>
        <w:spacing w:after="0"/>
        <w:tabs>
          <w:tab w:leader="none" w:pos="8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amortization of DAC and VOBA resulting primarily from changes in policyholder behavior in our annuity business.</w:t>
      </w:r>
    </w:p>
    <w:p>
      <w:pPr>
        <w:spacing w:after="0" w:line="111" w:lineRule="exact"/>
        <w:rPr>
          <w:sz w:val="20"/>
          <w:szCs w:val="20"/>
          <w:color w:val="auto"/>
        </w:rPr>
      </w:pPr>
    </w:p>
    <w:p>
      <w:pPr>
        <w:jc w:val="both"/>
        <w:ind w:left="160" w:firstLine="318"/>
        <w:spacing w:after="0" w:line="259" w:lineRule="auto"/>
        <w:rPr>
          <w:sz w:val="20"/>
          <w:szCs w:val="20"/>
          <w:color w:val="auto"/>
        </w:rPr>
      </w:pPr>
      <w:r>
        <w:rPr>
          <w:rFonts w:ascii="Times New Roman" w:cs="Times New Roman" w:eastAsia="Times New Roman" w:hAnsi="Times New Roman"/>
          <w:sz w:val="18"/>
          <w:szCs w:val="18"/>
          <w:color w:val="auto"/>
        </w:rPr>
        <w:t>The provision for income tax, calculated as a percentage of pre-tax adjusted earnings (loss), resulted in an effective tax rate of 15% in both the current period and the prior period. Our effective tax rate differs from the statutory tax rate primarily due to the impacts of the dividends received deduction, tax credits and current period non-recurring items.</w:t>
      </w:r>
    </w:p>
    <w:p>
      <w:pPr>
        <w:sectPr>
          <w:pgSz w:w="11900" w:h="16838" w:orient="portrait"/>
          <w:cols w:equalWidth="0" w:num="1">
            <w:col w:w="11240"/>
          </w:cols>
          <w:pgMar w:left="320" w:top="124" w:right="339" w:bottom="81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4" w:right="339" w:bottom="814" w:gutter="0" w:footer="0" w:header="0"/>
          <w:type w:val="continuous"/>
        </w:sectPr>
      </w:pPr>
    </w:p>
    <w:bookmarkStart w:id="78" w:name="page79"/>
    <w:bookmarkEnd w:id="78"/>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Annuity Guaranteed Benefits and Shield Annuity Liabilities for the Three Months Ended March 31, 2026 and 2025</w:t>
      </w:r>
    </w:p>
    <w:p>
      <w:pPr>
        <w:spacing w:after="0" w:line="115" w:lineRule="exact"/>
        <w:rPr>
          <w:sz w:val="20"/>
          <w:szCs w:val="20"/>
          <w:color w:val="auto"/>
        </w:rPr>
      </w:pPr>
    </w:p>
    <w:p>
      <w:pPr>
        <w:ind w:firstLine="318"/>
        <w:spacing w:after="0" w:line="304" w:lineRule="auto"/>
        <w:rPr>
          <w:sz w:val="20"/>
          <w:szCs w:val="20"/>
          <w:color w:val="auto"/>
        </w:rPr>
      </w:pPr>
      <w:r>
        <w:rPr>
          <w:rFonts w:ascii="Times New Roman" w:cs="Times New Roman" w:eastAsia="Times New Roman" w:hAnsi="Times New Roman"/>
          <w:sz w:val="17"/>
          <w:szCs w:val="17"/>
          <w:color w:val="auto"/>
        </w:rPr>
        <w:t>The overall impact on income (loss) before provision for income tax from the performance of annuity guaranteed benefits and Shield Annuity liabilities, which includes (i) changes in the fair value of liabilities and related reinsurance, (ii) fees net of claims and (iii) the mark-to-market of hedges, was as follows:</w:t>
      </w:r>
    </w:p>
    <w:p>
      <w:pPr>
        <w:spacing w:after="0" w:line="400" w:lineRule="exact"/>
        <w:rPr>
          <w:sz w:val="20"/>
          <w:szCs w:val="20"/>
          <w:color w:val="auto"/>
        </w:rPr>
      </w:pPr>
    </w:p>
    <w:p>
      <w:pPr>
        <w:jc w:val="center"/>
        <w:ind w:left="83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5" w:lineRule="exact"/>
        <w:rPr>
          <w:sz w:val="20"/>
          <w:szCs w:val="20"/>
          <w:color w:val="auto"/>
        </w:rPr>
      </w:pPr>
    </w:p>
    <w:p>
      <w:pPr>
        <w:jc w:val="center"/>
        <w:ind w:left="834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5313045</wp:posOffset>
            </wp:positionH>
            <wp:positionV relativeFrom="paragraph">
              <wp:posOffset>31115</wp:posOffset>
            </wp:positionV>
            <wp:extent cx="182562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825625" cy="8255"/>
                    </a:xfrm>
                    <a:prstGeom prst="rect">
                      <a:avLst/>
                    </a:prstGeom>
                    <a:noFill/>
                  </pic:spPr>
                </pic:pic>
              </a:graphicData>
            </a:graphic>
          </wp:anchor>
        </w:drawing>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3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40" w:type="dxa"/>
            <w:vAlign w:val="bottom"/>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2"/>
        </w:trPr>
        <w:tc>
          <w:tcPr>
            <w:tcW w:w="8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60" w:type="dxa"/>
            <w:vAlign w:val="bottom"/>
            <w:gridSpan w:val="3"/>
          </w:tcPr>
          <w:p>
            <w:pPr>
              <w:jc w:val="right"/>
              <w:ind w:right="41"/>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40" w:type="dxa"/>
            <w:vAlign w:val="bottom"/>
          </w:tcPr>
          <w:p>
            <w:pPr>
              <w:spacing w:after="0"/>
              <w:rPr>
                <w:sz w:val="18"/>
                <w:szCs w:val="18"/>
                <w:color w:val="auto"/>
              </w:rPr>
            </w:pPr>
          </w:p>
        </w:tc>
      </w:tr>
      <w:tr>
        <w:trPr>
          <w:trHeight w:val="24"/>
        </w:trPr>
        <w:tc>
          <w:tcPr>
            <w:tcW w:w="8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451"/>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Market risk benefits mark-to-market</w:t>
            </w:r>
          </w:p>
        </w:tc>
        <w:tc>
          <w:tcPr>
            <w:tcW w:w="880" w:type="dxa"/>
            <w:vAlign w:val="bottom"/>
            <w:shd w:val="clear" w:color="auto" w:fill="CCEEFF"/>
          </w:tcPr>
          <w:p>
            <w:pPr>
              <w:jc w:val="right"/>
              <w:ind w:right="683"/>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(834)</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jc w:val="right"/>
              <w:ind w:right="26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(998)</w:t>
            </w:r>
          </w:p>
        </w:tc>
      </w:tr>
      <w:tr>
        <w:trPr>
          <w:trHeight w:val="441"/>
        </w:trPr>
        <w:tc>
          <w:tcPr>
            <w:tcW w:w="8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Annuity guaranteed benefit rider fees, net of claims</w:t>
            </w:r>
          </w:p>
        </w:tc>
        <w:tc>
          <w:tcPr>
            <w:tcW w:w="88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w:t>
            </w:r>
          </w:p>
        </w:tc>
      </w:tr>
      <w:tr>
        <w:trPr>
          <w:trHeight w:val="453"/>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Ceded reinsurance</w:t>
            </w:r>
          </w:p>
        </w:tc>
        <w:tc>
          <w:tcPr>
            <w:tcW w:w="880" w:type="dxa"/>
            <w:vAlign w:val="bottom"/>
            <w:tcBorders>
              <w:bottom w:val="single" w:sz="8" w:color="auto"/>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448"/>
        </w:trPr>
        <w:tc>
          <w:tcPr>
            <w:tcW w:w="83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changes attributable to annuity guaranteed benefits</w:t>
            </w:r>
          </w:p>
        </w:tc>
        <w:tc>
          <w:tcPr>
            <w:tcW w:w="88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(748)</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(896)</w:t>
            </w:r>
          </w:p>
        </w:tc>
      </w:tr>
      <w:tr>
        <w:trPr>
          <w:trHeight w:val="453"/>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Variable annuity and Shield hedges</w:t>
            </w:r>
          </w:p>
        </w:tc>
        <w:tc>
          <w:tcPr>
            <w:tcW w:w="88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(1,327)</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(877)</w:t>
            </w:r>
          </w:p>
        </w:tc>
      </w:tr>
      <w:tr>
        <w:trPr>
          <w:trHeight w:val="444"/>
        </w:trPr>
        <w:tc>
          <w:tcPr>
            <w:tcW w:w="8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Shield embedded derivatives</w:t>
            </w:r>
          </w:p>
        </w:tc>
        <w:tc>
          <w:tcPr>
            <w:tcW w:w="8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805</w:t>
            </w:r>
          </w:p>
        </w:tc>
        <w:tc>
          <w:tcPr>
            <w:tcW w:w="10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1,171</w:t>
            </w:r>
          </w:p>
        </w:tc>
      </w:tr>
      <w:tr>
        <w:trPr>
          <w:trHeight w:val="475"/>
        </w:trPr>
        <w:tc>
          <w:tcPr>
            <w:tcW w:w="8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880" w:type="dxa"/>
            <w:vAlign w:val="bottom"/>
            <w:tcBorders>
              <w:bottom w:val="single" w:sz="8" w:color="auto"/>
            </w:tcBorders>
            <w:shd w:val="clear" w:color="auto" w:fill="CCEEFF"/>
          </w:tcPr>
          <w:p>
            <w:pPr>
              <w:jc w:val="right"/>
              <w:ind w:right="683"/>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(1,270)</w:t>
            </w:r>
          </w:p>
        </w:tc>
        <w:tc>
          <w:tcPr>
            <w:tcW w:w="10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jc w:val="right"/>
              <w:ind w:right="26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(602)</w:t>
            </w: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17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Three Months Ended March 31, 2026</w:t>
      </w:r>
    </w:p>
    <w:p>
      <w:pPr>
        <w:spacing w:after="0" w:line="11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Annuity guaranteed benefits and Shield Annuity liabilities performance was unfavorable for the three months ended March 31, 2026, primarily driven</w:t>
      </w:r>
    </w:p>
    <w:p>
      <w:pPr>
        <w:spacing w:after="0" w:line="3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by:</w:t>
      </w:r>
    </w:p>
    <w:p>
      <w:pPr>
        <w:spacing w:after="0" w:line="92" w:lineRule="exact"/>
        <w:rPr>
          <w:sz w:val="20"/>
          <w:szCs w:val="20"/>
          <w:color w:val="auto"/>
        </w:rPr>
      </w:pPr>
    </w:p>
    <w:p>
      <w:pPr>
        <w:ind w:left="800" w:hanging="317"/>
        <w:spacing w:after="0"/>
        <w:tabs>
          <w:tab w:leader="none" w:pos="8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increases in annuity guaranteed benefits liabilities due to decreasing equity markets;</w:t>
      </w:r>
    </w:p>
    <w:p>
      <w:pPr>
        <w:spacing w:after="0" w:line="111" w:lineRule="exact"/>
        <w:rPr>
          <w:rFonts w:ascii="Times New Roman" w:cs="Times New Roman" w:eastAsia="Times New Roman" w:hAnsi="Times New Roman"/>
          <w:sz w:val="18"/>
          <w:szCs w:val="18"/>
          <w:color w:val="auto"/>
        </w:rPr>
      </w:pPr>
    </w:p>
    <w:p>
      <w:pPr>
        <w:ind w:left="800" w:hanging="317"/>
        <w:spacing w:after="0"/>
        <w:tabs>
          <w:tab w:leader="none" w:pos="8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changes in variable annuity and Shield hedges due to decreasing equity markets; and</w:t>
      </w:r>
    </w:p>
    <w:p>
      <w:pPr>
        <w:spacing w:after="0" w:line="111" w:lineRule="exact"/>
        <w:rPr>
          <w:rFonts w:ascii="Times New Roman" w:cs="Times New Roman" w:eastAsia="Times New Roman" w:hAnsi="Times New Roman"/>
          <w:sz w:val="18"/>
          <w:szCs w:val="18"/>
          <w:color w:val="auto"/>
        </w:rPr>
      </w:pPr>
    </w:p>
    <w:p>
      <w:pPr>
        <w:ind w:left="800" w:hanging="317"/>
        <w:spacing w:after="0"/>
        <w:tabs>
          <w:tab w:leader="none" w:pos="8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favorable changes in Shield embedded derivatives due to decreasing equity markets.</w:t>
      </w:r>
    </w:p>
    <w:p>
      <w:pPr>
        <w:spacing w:after="0" w:line="10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Three Months Ended March 31, 2025</w:t>
      </w:r>
    </w:p>
    <w:p>
      <w:pPr>
        <w:spacing w:after="0" w:line="11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Annuity guaranteed benefits and Shield Annuity liabilities performance was unfavorable for the three months ended March 31, 2025, primarily driven</w:t>
      </w:r>
    </w:p>
    <w:p>
      <w:pPr>
        <w:spacing w:after="0" w:line="3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by:</w:t>
      </w:r>
    </w:p>
    <w:p>
      <w:pPr>
        <w:spacing w:after="0" w:line="92" w:lineRule="exact"/>
        <w:rPr>
          <w:sz w:val="20"/>
          <w:szCs w:val="20"/>
          <w:color w:val="auto"/>
        </w:rPr>
      </w:pPr>
    </w:p>
    <w:p>
      <w:pPr>
        <w:ind w:left="800" w:hanging="317"/>
        <w:spacing w:after="0"/>
        <w:tabs>
          <w:tab w:leader="none" w:pos="8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increases in annuity guaranteed benefits liabilities due to decreasing interest rates and equity markets;</w:t>
      </w:r>
    </w:p>
    <w:p>
      <w:pPr>
        <w:spacing w:after="0" w:line="111" w:lineRule="exact"/>
        <w:rPr>
          <w:rFonts w:ascii="Times New Roman" w:cs="Times New Roman" w:eastAsia="Times New Roman" w:hAnsi="Times New Roman"/>
          <w:sz w:val="18"/>
          <w:szCs w:val="18"/>
          <w:color w:val="auto"/>
        </w:rPr>
      </w:pPr>
    </w:p>
    <w:p>
      <w:pPr>
        <w:ind w:left="800" w:right="20" w:hanging="317"/>
        <w:spacing w:after="0" w:line="274" w:lineRule="auto"/>
        <w:tabs>
          <w:tab w:leader="none" w:pos="79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changes in variable annuity and Shield hedges due to decreasing equity markets, partially offset by decreasing long-term interest rates; and</w:t>
      </w:r>
    </w:p>
    <w:p>
      <w:pPr>
        <w:spacing w:after="0" w:line="57" w:lineRule="exact"/>
        <w:rPr>
          <w:rFonts w:ascii="Times New Roman" w:cs="Times New Roman" w:eastAsia="Times New Roman" w:hAnsi="Times New Roman"/>
          <w:sz w:val="18"/>
          <w:szCs w:val="18"/>
          <w:color w:val="auto"/>
        </w:rPr>
      </w:pPr>
    </w:p>
    <w:p>
      <w:pPr>
        <w:ind w:left="800" w:hanging="317"/>
        <w:spacing w:after="0"/>
        <w:tabs>
          <w:tab w:leader="none" w:pos="8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favorable changes in Shield embedded derivatives due to decreasing equity markets.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66" w:lineRule="exact"/>
        <w:rPr>
          <w:sz w:val="20"/>
          <w:szCs w:val="20"/>
          <w:color w:val="auto"/>
        </w:rPr>
      </w:pPr>
    </w:p>
    <w:p>
      <w:pPr>
        <w:jc w:val="both"/>
        <w:ind w:firstLine="318"/>
        <w:spacing w:after="0" w:line="269" w:lineRule="auto"/>
        <w:rPr>
          <w:sz w:val="20"/>
          <w:szCs w:val="20"/>
          <w:color w:val="auto"/>
        </w:rPr>
      </w:pPr>
      <w:r>
        <w:rPr>
          <w:rFonts w:ascii="Times New Roman" w:cs="Times New Roman" w:eastAsia="Times New Roman" w:hAnsi="Times New Roman"/>
          <w:sz w:val="17"/>
          <w:szCs w:val="17"/>
          <w:color w:val="auto"/>
        </w:rPr>
        <w:t>Our business and results of operations are materially affected by conditions in the global capital markets and the economy generally. Stressed conditions, volatility or disruptions in global capital markets, particular markets or financial asset classes can impact us adversely, in part because we have a large investment portfolio and our insurance liabilities and derivatives are sensitive to changing market factors. Changing conditions in the global capital markets and the economy may affect our financing costs and market interest rates for our debt issuances. For further information regarding market factors that could affect our ability to meet liquidity and capital needs, see “— Overview — Financial and Economic Environment,” as well as “Risk Factors — Economic Environment and Capital Markets-Related Risks” and “Risk Factors — Risks Related to Our Investment Portfolio” included in our 2025 Annual Report.</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and Uses of Liquidity and Capital</w:t>
      </w:r>
    </w:p>
    <w:p>
      <w:pPr>
        <w:spacing w:after="0" w:line="11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In addition to the summary description of liquidity and capital sources discussed in “Management’s Discussion and Analysis of Financial Condition and Results of Operations — Liquidity and Capital Resources — Sources and Uses of Liquidity and Capital” in our 2025 Annual Report, the following additional information is provided regarding our primary sources of liquidity and capital:</w:t>
      </w:r>
    </w:p>
    <w:p>
      <w:pPr>
        <w:spacing w:after="0" w:line="6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Funding Agreements</w:t>
      </w:r>
    </w:p>
    <w:p>
      <w:pPr>
        <w:spacing w:after="0" w:line="115" w:lineRule="exact"/>
        <w:rPr>
          <w:sz w:val="20"/>
          <w:szCs w:val="20"/>
          <w:color w:val="auto"/>
        </w:rPr>
      </w:pPr>
    </w:p>
    <w:p>
      <w:pPr>
        <w:jc w:val="both"/>
        <w:ind w:left="160" w:firstLine="318"/>
        <w:spacing w:after="0" w:line="274" w:lineRule="auto"/>
        <w:rPr>
          <w:sz w:val="20"/>
          <w:szCs w:val="20"/>
          <w:color w:val="auto"/>
        </w:rPr>
      </w:pPr>
      <w:r>
        <w:rPr>
          <w:rFonts w:ascii="Times New Roman" w:cs="Times New Roman" w:eastAsia="Times New Roman" w:hAnsi="Times New Roman"/>
          <w:sz w:val="17"/>
          <w:szCs w:val="17"/>
          <w:color w:val="auto"/>
        </w:rPr>
        <w:t>Brighthouse Life Insurance Company issues funding agreements and uses the proceeds from such issuances for spread lending purposes in connection with our institutional spread margin business or to provide additional liquidity. The institutional spread margin business is comprised of funding agreements issued in connection with the programs described in more detail below. Activity related to these programs is reported in the Corporate &amp; Other segment. See Note 3 of the Notes to the Consolidated Financial Statements included in our 2025 Annual Report for additional information on funding agreements.</w:t>
      </w:r>
    </w:p>
    <w:p>
      <w:pPr>
        <w:spacing w:after="0" w:line="5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Funding Agreement-Backed Repurchase Agreement Program</w:t>
      </w:r>
    </w:p>
    <w:p>
      <w:pPr>
        <w:spacing w:after="0" w:line="113" w:lineRule="exact"/>
        <w:rPr>
          <w:sz w:val="20"/>
          <w:szCs w:val="20"/>
          <w:color w:val="auto"/>
        </w:rPr>
      </w:pPr>
    </w:p>
    <w:p>
      <w:pPr>
        <w:jc w:val="both"/>
        <w:ind w:left="160" w:firstLine="318"/>
        <w:spacing w:after="0" w:line="259" w:lineRule="auto"/>
        <w:rPr>
          <w:sz w:val="20"/>
          <w:szCs w:val="20"/>
          <w:color w:val="auto"/>
        </w:rPr>
      </w:pPr>
      <w:r>
        <w:rPr>
          <w:rFonts w:ascii="Times New Roman" w:cs="Times New Roman" w:eastAsia="Times New Roman" w:hAnsi="Times New Roman"/>
          <w:sz w:val="18"/>
          <w:szCs w:val="18"/>
          <w:color w:val="auto"/>
        </w:rPr>
        <w:t>In January 2024, Brighthouse Life Insurance Company established a secured funding agreement-backed repurchase agreement program (the “FABR Program”), pursuant to which Brighthouse Life Insurance Company may enter into repurchase agreements with bank counterparties and the proceeds of the repurchase agreements are then used by a special purpose entity to purchase funding agreements from Brighthouse Life Insurance Company.</w:t>
      </w:r>
    </w:p>
    <w:p>
      <w:pPr>
        <w:spacing w:after="0" w:line="7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Funding Agreement-Backed Commercial Paper Program</w:t>
      </w:r>
    </w:p>
    <w:p>
      <w:pPr>
        <w:spacing w:after="0" w:line="113" w:lineRule="exact"/>
        <w:rPr>
          <w:sz w:val="20"/>
          <w:szCs w:val="20"/>
          <w:color w:val="auto"/>
        </w:rPr>
      </w:pPr>
    </w:p>
    <w:p>
      <w:pPr>
        <w:jc w:val="both"/>
        <w:ind w:left="320" w:firstLine="318"/>
        <w:spacing w:after="0" w:line="255" w:lineRule="auto"/>
        <w:rPr>
          <w:sz w:val="20"/>
          <w:szCs w:val="20"/>
          <w:color w:val="auto"/>
        </w:rPr>
      </w:pPr>
      <w:r>
        <w:rPr>
          <w:rFonts w:ascii="Times New Roman" w:cs="Times New Roman" w:eastAsia="Times New Roman" w:hAnsi="Times New Roman"/>
          <w:sz w:val="18"/>
          <w:szCs w:val="18"/>
          <w:color w:val="auto"/>
        </w:rPr>
        <w:t>In July 2021, Brighthouse Life Insurance Company established a funding agreement-backed commercial paper program (the “FABCP Program”) for spread lending purposes, pursuant to which a special purpose limited liability company (the “SPLLC”) may issue commercial paper and deposit the proceeds with Brighthouse Life Insurance Company under a funding agreement issued by Brighthouse Life Insurance Company to the SPLLC. The maximum aggregate principal amount permitted to be outstanding at any one time under the FABCP Program is $5.0 billion.</w:t>
      </w:r>
    </w:p>
    <w:p>
      <w:pPr>
        <w:spacing w:after="0" w:line="7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Funding Agreement-Backed Notes Program</w:t>
      </w:r>
    </w:p>
    <w:p>
      <w:pPr>
        <w:spacing w:after="0" w:line="113" w:lineRule="exact"/>
        <w:rPr>
          <w:sz w:val="20"/>
          <w:szCs w:val="20"/>
          <w:color w:val="auto"/>
        </w:rPr>
      </w:pPr>
    </w:p>
    <w:p>
      <w:pPr>
        <w:jc w:val="both"/>
        <w:ind w:left="320" w:firstLine="318"/>
        <w:spacing w:after="0" w:line="259" w:lineRule="auto"/>
        <w:rPr>
          <w:sz w:val="20"/>
          <w:szCs w:val="20"/>
          <w:color w:val="auto"/>
        </w:rPr>
      </w:pPr>
      <w:r>
        <w:rPr>
          <w:rFonts w:ascii="Times New Roman" w:cs="Times New Roman" w:eastAsia="Times New Roman" w:hAnsi="Times New Roman"/>
          <w:sz w:val="18"/>
          <w:szCs w:val="18"/>
          <w:color w:val="auto"/>
        </w:rPr>
        <w:t>In April 2021, Brighthouse Life Insurance Company established a funding agreement-backed notes program (the “FABN Program”), pursuant to which Brighthouse Life Insurance Company may issue funding agreements to a special purpose statutory trust for spread lending purposes. The maximum aggregate principal amount permitted to be outstanding at any one time under the FABN Program is $7.0 billion.</w:t>
      </w:r>
    </w:p>
    <w:p>
      <w:pPr>
        <w:spacing w:after="0" w:line="7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Federal Home Loan Bank Funding Agreements</w:t>
      </w:r>
    </w:p>
    <w:p>
      <w:pPr>
        <w:spacing w:after="0" w:line="113" w:lineRule="exact"/>
        <w:rPr>
          <w:sz w:val="20"/>
          <w:szCs w:val="20"/>
          <w:color w:val="auto"/>
        </w:rPr>
      </w:pPr>
    </w:p>
    <w:p>
      <w:pPr>
        <w:jc w:val="both"/>
        <w:ind w:left="320" w:firstLine="318"/>
        <w:spacing w:after="0" w:line="274" w:lineRule="auto"/>
        <w:rPr>
          <w:sz w:val="20"/>
          <w:szCs w:val="20"/>
          <w:color w:val="auto"/>
        </w:rPr>
      </w:pPr>
      <w:r>
        <w:rPr>
          <w:rFonts w:ascii="Times New Roman" w:cs="Times New Roman" w:eastAsia="Times New Roman" w:hAnsi="Times New Roman"/>
          <w:sz w:val="18"/>
          <w:szCs w:val="18"/>
          <w:color w:val="auto"/>
        </w:rPr>
        <w:t>Brighthouse Life Insurance Company is a member of the Federal Home Loan Bank (“FHLB”) of Atlanta, where we maintain a secured funding agreement program, under which funding agreements may be issued.</w:t>
      </w:r>
    </w:p>
    <w:p>
      <w:pPr>
        <w:spacing w:after="0" w:line="5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Farmer Mac Funding Agreements</w:t>
      </w:r>
    </w:p>
    <w:p>
      <w:pPr>
        <w:spacing w:after="0" w:line="113" w:lineRule="exact"/>
        <w:rPr>
          <w:sz w:val="20"/>
          <w:szCs w:val="20"/>
          <w:color w:val="auto"/>
        </w:rPr>
      </w:pPr>
    </w:p>
    <w:p>
      <w:pPr>
        <w:jc w:val="both"/>
        <w:ind w:left="320" w:firstLine="318"/>
        <w:spacing w:after="0" w:line="259" w:lineRule="auto"/>
        <w:rPr>
          <w:sz w:val="20"/>
          <w:szCs w:val="20"/>
          <w:color w:val="auto"/>
        </w:rPr>
      </w:pPr>
      <w:r>
        <w:rPr>
          <w:rFonts w:ascii="Times New Roman" w:cs="Times New Roman" w:eastAsia="Times New Roman" w:hAnsi="Times New Roman"/>
          <w:sz w:val="18"/>
          <w:szCs w:val="18"/>
          <w:color w:val="auto"/>
        </w:rPr>
        <w:t>Brighthouse Life Insurance Company has a secured funding agreement program with the Federal Agricultural Mortgage Corporation and its affiliate Farmer Mac Mortgage Securities Corporation (“Farmer Mac”) with a term ending on December 1, 2026, pursuant to which the parties may enter into funding agreements in an aggregate amount of up to $750 million.</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Information regarding funding agreements issued for spread lending purposes is as follows:</w:t>
      </w: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60" w:type="dxa"/>
            <w:vAlign w:val="bottom"/>
            <w:gridSpan w:val="5"/>
          </w:tcPr>
          <w:p>
            <w:pPr>
              <w:ind w:left="700"/>
              <w:spacing w:after="0"/>
              <w:rPr>
                <w:sz w:val="20"/>
                <w:szCs w:val="20"/>
                <w:color w:val="auto"/>
              </w:rPr>
            </w:pPr>
            <w:r>
              <w:rPr>
                <w:rFonts w:ascii="Times New Roman" w:cs="Times New Roman" w:eastAsia="Times New Roman" w:hAnsi="Times New Roman"/>
                <w:sz w:val="14"/>
                <w:szCs w:val="14"/>
                <w:b w:val="1"/>
                <w:bCs w:val="1"/>
                <w:color w:val="auto"/>
              </w:rPr>
              <w:t>Issuances</w:t>
            </w:r>
          </w:p>
        </w:tc>
        <w:tc>
          <w:tcPr>
            <w:tcW w:w="260" w:type="dxa"/>
            <w:vAlign w:val="bottom"/>
          </w:tcPr>
          <w:p>
            <w:pPr>
              <w:spacing w:after="0"/>
              <w:rPr>
                <w:sz w:val="16"/>
                <w:szCs w:val="16"/>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Repayments</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29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260" w:type="dxa"/>
            <w:vAlign w:val="bottom"/>
            <w:gridSpan w:val="5"/>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9"/>
              </w:rPr>
              <w:t>Aggregate Principal Amount</w:t>
            </w:r>
          </w:p>
        </w:tc>
        <w:tc>
          <w:tcPr>
            <w:tcW w:w="2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7"/>
        </w:trPr>
        <w:tc>
          <w:tcPr>
            <w:tcW w:w="2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60" w:type="dxa"/>
            <w:vAlign w:val="bottom"/>
            <w:gridSpan w:val="5"/>
            <w:vMerge w:val="continue"/>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2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6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32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292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93"/>
        </w:trPr>
        <w:tc>
          <w:tcPr>
            <w:tcW w:w="2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80" w:type="dxa"/>
            <w:vAlign w:val="bottom"/>
          </w:tcPr>
          <w:p>
            <w:pPr>
              <w:spacing w:after="0"/>
              <w:rPr>
                <w:sz w:val="24"/>
                <w:szCs w:val="24"/>
                <w:color w:val="auto"/>
              </w:rPr>
            </w:pPr>
          </w:p>
        </w:tc>
        <w:tc>
          <w:tcPr>
            <w:tcW w:w="15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00" w:type="dxa"/>
            <w:vAlign w:val="bottom"/>
          </w:tcPr>
          <w:p>
            <w:pPr>
              <w:spacing w:after="0"/>
              <w:rPr>
                <w:sz w:val="24"/>
                <w:szCs w:val="24"/>
                <w:color w:val="auto"/>
              </w:rPr>
            </w:pPr>
          </w:p>
        </w:tc>
        <w:tc>
          <w:tcPr>
            <w:tcW w:w="920" w:type="dxa"/>
            <w:vAlign w:val="bottom"/>
          </w:tcPr>
          <w:p>
            <w:pPr>
              <w:jc w:val="right"/>
              <w:ind w:right="34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ind w:right="34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ind w:right="34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38"/>
        </w:trPr>
        <w:tc>
          <w:tcPr>
            <w:tcW w:w="292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93"/>
        </w:trPr>
        <w:tc>
          <w:tcPr>
            <w:tcW w:w="2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
        </w:trPr>
        <w:tc>
          <w:tcPr>
            <w:tcW w:w="29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0"/>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FABR Program</w:t>
            </w: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500</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41"/>
        </w:trPr>
        <w:tc>
          <w:tcPr>
            <w:tcW w:w="2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FABCP Program</w:t>
            </w:r>
          </w:p>
        </w:tc>
        <w:tc>
          <w:tcPr>
            <w:tcW w:w="24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2,078</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2,254</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3,469</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2,347</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3,644</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2,510</w:t>
            </w:r>
          </w:p>
        </w:tc>
        <w:tc>
          <w:tcPr>
            <w:tcW w:w="0" w:type="dxa"/>
            <w:vAlign w:val="bottom"/>
          </w:tcPr>
          <w:p>
            <w:pPr>
              <w:spacing w:after="0"/>
              <w:rPr>
                <w:sz w:val="1"/>
                <w:szCs w:val="1"/>
                <w:color w:val="auto"/>
              </w:rPr>
            </w:pPr>
          </w:p>
        </w:tc>
      </w:tr>
      <w:tr>
        <w:trPr>
          <w:trHeight w:val="460"/>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FABN Program</w:t>
            </w:r>
          </w:p>
        </w:tc>
        <w:tc>
          <w:tcPr>
            <w:tcW w:w="240" w:type="dxa"/>
            <w:vAlign w:val="bottom"/>
            <w:shd w:val="clear" w:color="auto" w:fill="CCEEFF"/>
          </w:tcPr>
          <w:p>
            <w:pPr>
              <w:spacing w:after="0"/>
              <w:rPr>
                <w:sz w:val="24"/>
                <w:szCs w:val="24"/>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2,000</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w:t>
            </w:r>
          </w:p>
        </w:tc>
        <w:tc>
          <w:tcPr>
            <w:tcW w:w="0" w:type="dxa"/>
            <w:vAlign w:val="bottom"/>
          </w:tcPr>
          <w:p>
            <w:pPr>
              <w:spacing w:after="0"/>
              <w:rPr>
                <w:sz w:val="1"/>
                <w:szCs w:val="1"/>
                <w:color w:val="auto"/>
              </w:rPr>
            </w:pPr>
          </w:p>
        </w:tc>
      </w:tr>
      <w:tr>
        <w:trPr>
          <w:trHeight w:val="441"/>
        </w:trPr>
        <w:tc>
          <w:tcPr>
            <w:tcW w:w="2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FHLB Funding Agreements</w:t>
            </w:r>
          </w:p>
        </w:tc>
        <w:tc>
          <w:tcPr>
            <w:tcW w:w="24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4,200</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4,200</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1,150</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425</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1,150</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w:t>
            </w:r>
          </w:p>
        </w:tc>
        <w:tc>
          <w:tcPr>
            <w:tcW w:w="0" w:type="dxa"/>
            <w:vAlign w:val="bottom"/>
          </w:tcPr>
          <w:p>
            <w:pPr>
              <w:spacing w:after="0"/>
              <w:rPr>
                <w:sz w:val="1"/>
                <w:szCs w:val="1"/>
                <w:color w:val="auto"/>
              </w:rPr>
            </w:pPr>
          </w:p>
        </w:tc>
      </w:tr>
      <w:tr>
        <w:trPr>
          <w:trHeight w:val="453"/>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Farmer Mac Funding Agreements</w:t>
            </w:r>
          </w:p>
        </w:tc>
        <w:tc>
          <w:tcPr>
            <w:tcW w:w="240" w:type="dxa"/>
            <w:vAlign w:val="bottom"/>
            <w:shd w:val="clear" w:color="auto" w:fill="CCEEFF"/>
          </w:tcPr>
          <w:p>
            <w:pPr>
              <w:spacing w:after="0"/>
              <w:rPr>
                <w:sz w:val="24"/>
                <w:szCs w:val="24"/>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500</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0" w:type="dxa"/>
            <w:vAlign w:val="bottom"/>
          </w:tcPr>
          <w:p>
            <w:pPr>
              <w:spacing w:after="0"/>
              <w:rPr>
                <w:sz w:val="1"/>
                <w:szCs w:val="1"/>
                <w:color w:val="auto"/>
              </w:rPr>
            </w:pPr>
          </w:p>
        </w:tc>
      </w:tr>
      <w:tr>
        <w:trPr>
          <w:trHeight w:val="450"/>
        </w:trPr>
        <w:tc>
          <w:tcPr>
            <w:tcW w:w="29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w:t>
            </w:r>
          </w:p>
        </w:tc>
        <w:tc>
          <w:tcPr>
            <w:tcW w:w="240" w:type="dxa"/>
            <w:vAlign w:val="bottom"/>
            <w:tcBorders>
              <w:top w:val="single" w:sz="8" w:color="auto"/>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9,278</w:t>
            </w:r>
          </w:p>
        </w:tc>
        <w:tc>
          <w:tcPr>
            <w:tcW w:w="100" w:type="dxa"/>
            <w:vAlign w:val="bottom"/>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9,454</w:t>
            </w:r>
          </w:p>
        </w:tc>
        <w:tc>
          <w:tcPr>
            <w:tcW w:w="100" w:type="dxa"/>
            <w:vAlign w:val="bottom"/>
          </w:tcPr>
          <w:p>
            <w:pPr>
              <w:spacing w:after="0"/>
              <w:rPr>
                <w:sz w:val="24"/>
                <w:szCs w:val="24"/>
                <w:color w:val="auto"/>
              </w:rPr>
            </w:pPr>
          </w:p>
        </w:tc>
        <w:tc>
          <w:tcPr>
            <w:tcW w:w="200" w:type="dxa"/>
            <w:vAlign w:val="bottom"/>
            <w:tcBorders>
              <w:top w:val="single" w:sz="8" w:color="auto"/>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4,619</w:t>
            </w:r>
          </w:p>
        </w:tc>
        <w:tc>
          <w:tcPr>
            <w:tcW w:w="120" w:type="dxa"/>
            <w:vAlign w:val="bottom"/>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2,772</w:t>
            </w:r>
          </w:p>
        </w:tc>
        <w:tc>
          <w:tcPr>
            <w:tcW w:w="100" w:type="dxa"/>
            <w:vAlign w:val="bottom"/>
          </w:tcPr>
          <w:p>
            <w:pPr>
              <w:spacing w:after="0"/>
              <w:rPr>
                <w:sz w:val="24"/>
                <w:szCs w:val="24"/>
                <w:color w:val="auto"/>
              </w:rPr>
            </w:pPr>
          </w:p>
        </w:tc>
        <w:tc>
          <w:tcPr>
            <w:tcW w:w="260" w:type="dxa"/>
            <w:vAlign w:val="bottom"/>
            <w:tcBorders>
              <w:top w:val="single" w:sz="8" w:color="auto"/>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4,794</w:t>
            </w:r>
          </w:p>
        </w:tc>
        <w:tc>
          <w:tcPr>
            <w:tcW w:w="120" w:type="dxa"/>
            <w:vAlign w:val="bottom"/>
          </w:tcPr>
          <w:p>
            <w:pPr>
              <w:spacing w:after="0"/>
              <w:rPr>
                <w:sz w:val="24"/>
                <w:szCs w:val="24"/>
                <w:color w:val="auto"/>
              </w:rPr>
            </w:pPr>
          </w:p>
        </w:tc>
        <w:tc>
          <w:tcPr>
            <w:tcW w:w="360" w:type="dxa"/>
            <w:vAlign w:val="bottom"/>
            <w:tcBorders>
              <w:top w:val="single" w:sz="8" w:color="auto"/>
              <w:bottom w:val="single" w:sz="8" w:color="auto"/>
            </w:tcBorders>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3,660</w:t>
            </w: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Regarding Forward-Looking Statements</w:t>
      </w:r>
    </w:p>
    <w:p>
      <w:pPr>
        <w:spacing w:after="0" w:line="166"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This report and other oral or written statements that we make from time to time may contain information that includes or is based upon forward-looking statements within the meaning of the Private Securities Litigation Reform Act of 1995. Such forward-looking statements involve substantial risks and uncertainties. We have tried, wherever possible, to identify such statements using words such as “anticipate,” “estimate,” “expect,” “project,” “may,” “will,” “could,” “intend,” “goal,” “target,” “guidance,” “forecast,” “preliminary,” “objective,” “continue,” “aim,” “plan,” “believe” and other words and terms of similar meaning, or that are tied to future periods, in connection with a discussion of future operating or financial performance. In particular, these include, without limitation, statements relating to future actions, prospective services or products, financial projections, future performance or results of current and anticipated services or products, sales efforts, expenses, the outcome of contingencies such as legal proceedings, as well as trends in operating and financial results.</w:t>
      </w:r>
    </w:p>
    <w:p>
      <w:pPr>
        <w:spacing w:after="0" w:line="137"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Any or all forward-looking statements may turn out to be wrong. They can be affected by inaccurate assumptions or by known or unknown risks and uncertainties. Many such factors will be important in determining the actual future results of BLIC. These statements are based on current expectations and the current economic environment and involve a number of risks and uncertainties that are difficult to predict. These statements are not guarantees of future performance. Actual results could differ materially from those expressed or implied in the forward-looking statements due to a variety of known and unknown risks, uncertainties and other factors. Although it is not possible to identify all of these risks and factors, they include, among others:</w:t>
      </w:r>
    </w:p>
    <w:p>
      <w:pPr>
        <w:spacing w:after="0" w:line="79" w:lineRule="exact"/>
        <w:rPr>
          <w:sz w:val="20"/>
          <w:szCs w:val="20"/>
          <w:color w:val="auto"/>
        </w:rPr>
      </w:pPr>
    </w:p>
    <w:p>
      <w:pPr>
        <w:jc w:val="both"/>
        <w:ind w:left="640" w:hanging="316"/>
        <w:spacing w:after="0" w:line="259" w:lineRule="auto"/>
        <w:tabs>
          <w:tab w:leader="none" w:pos="63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BHF’s ability to complete the Merger in the timeframe or manner currently anticipated or at all, including due to a failure to obtain the regulatory approvals required for the closing of the Merger or the occurrence of any event, change or other circumstance that could give rise to the right of one or both of the parties to terminate the Merger Agreement;</w:t>
      </w:r>
    </w:p>
    <w:p>
      <w:pPr>
        <w:spacing w:after="0" w:line="71"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3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the pendency of the Merger on Brighthouse Financial’s ongoing business and operations, including disruption to business relationships, the diversion of management’s attention from ongoing business operations and opportunities, or the outcome of any legal proceedings that may be instituted against Aquarian Parent or BHF following announcement of the Merger;</w:t>
      </w:r>
    </w:p>
    <w:p>
      <w:pPr>
        <w:spacing w:after="0" w:line="71"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conduct of Brighthouse Financial’s business prior to the closing of the Merger and on Brighthouse Financial’s ability to pursue alternatives to the Merger;</w:t>
      </w:r>
    </w:p>
    <w:p>
      <w:pPr>
        <w:spacing w:after="0" w:line="5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the Merger may be more expensive to complete than anticipated, including as a result of unexpected factors or events;</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differences between actual experience and actuarial assumptions and the effectiveness of our actuarial models;</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risk management costs and exposure to increased market risk due to guarantees within certain of our products;</w:t>
      </w:r>
    </w:p>
    <w:p>
      <w:pPr>
        <w:spacing w:after="0" w:line="111"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risk management strategy and the impacts of such strategy on volatility in our profitability measures and the negative effects on our statutory capital;</w:t>
      </w:r>
    </w:p>
    <w:p>
      <w:pPr>
        <w:spacing w:after="0" w:line="57"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differences between actual outcomes and the sensitivities calculated under certain scenarios that we may utilize in connection with our risk management strategies;</w:t>
      </w:r>
    </w:p>
    <w:p>
      <w:pPr>
        <w:spacing w:after="0" w:line="5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interest rates on our future ULSG policyholder obligations and net income volatility;</w:t>
      </w:r>
    </w:p>
    <w:p>
      <w:pPr>
        <w:sectPr>
          <w:pgSz w:w="11900" w:h="16838" w:orient="portrait"/>
          <w:cols w:equalWidth="0" w:num="1">
            <w:col w:w="11240"/>
          </w:cols>
          <w:pgMar w:left="320" w:top="12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type w:val="continuous"/>
        </w:sectPr>
      </w:pPr>
    </w:p>
    <w:bookmarkStart w:id="81" w:name="page82"/>
    <w:bookmarkEnd w:id="81"/>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40" w:hanging="316"/>
        <w:spacing w:after="0"/>
        <w:tabs>
          <w:tab w:leader="none" w:pos="6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material adverse effect of changes in accounting standards, practices or policies applicable to us;</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business and other negative impacts resulting from a downgrade or a potential downgrade in our financial strength ratings;</w:t>
      </w:r>
    </w:p>
    <w:p>
      <w:pPr>
        <w:spacing w:after="0" w:line="111"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reinsurance and the ability of the counterparties to our reinsurance or indemnification arrangements to perform their obligations thereunder;</w:t>
      </w:r>
    </w:p>
    <w:p>
      <w:pPr>
        <w:spacing w:after="0" w:line="57"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heightened competition, including with respect to service, product features, product mix, scale, price, actual or perceived financial strength, claims-paying ratings, e-business capabilities and name recognition;</w:t>
      </w:r>
    </w:p>
    <w:p>
      <w:pPr>
        <w:spacing w:after="0" w:line="5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market and distribute our products through distribution channels and maintain relationships with key distribution partners;</w:t>
      </w:r>
    </w:p>
    <w:p>
      <w:pPr>
        <w:spacing w:after="0" w:line="111"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of third parties to provide services we need, any failure of the practices and procedures of such third parties and any inability to obtain information or assistance we need from third parties;</w:t>
      </w:r>
    </w:p>
    <w:p>
      <w:pPr>
        <w:spacing w:after="0" w:line="57"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Brighthouse Life Insurance Company’s ability to pay dividends, as well as the ability of its subsidiaries to pay dividends to Brighthouse Life Insurance Company;</w:t>
      </w:r>
    </w:p>
    <w:p>
      <w:pPr>
        <w:spacing w:after="0" w:line="5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associated with climate change;</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adverse impact of public health crises, extreme mortality events or similar occurrences on our business and the economy in general;</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adverse capital and credit market conditions, including with respect to our ability to meet liquidity needs and access capital;</w:t>
      </w:r>
    </w:p>
    <w:p>
      <w:pPr>
        <w:spacing w:after="0" w:line="111"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3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economic conditions in the capital markets and the U.S. and global economy, as well as geopolitical events, tariffs imposed or threatened by the U.S. or foreign governments, military actions or catastrophic events, on our profitability measures as well as our investment portfolio, including on realized and unrealized losses and impairments, net investment spread and net investment income;</w:t>
      </w:r>
    </w:p>
    <w:p>
      <w:pPr>
        <w:spacing w:after="0" w:line="71"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risks that our investment portfolio is subject to, including credit risk, interest rate risk, inflation risk, market valuation risk, liquidity risk, real estate risk, derivatives risk, and other factors outside our control;</w:t>
      </w:r>
    </w:p>
    <w:p>
      <w:pPr>
        <w:spacing w:after="0" w:line="5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changes in regulation and in supervisory and enforcement policies or interpretations thereof on our business or other operations;</w:t>
      </w:r>
    </w:p>
    <w:p>
      <w:pPr>
        <w:spacing w:after="0" w:line="111"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material negative tax impact of potential future tax legislation that could make some of our products less attractive to consumers or increase our tax liability;</w:t>
      </w:r>
    </w:p>
    <w:p>
      <w:pPr>
        <w:spacing w:after="0" w:line="5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policies, procedures and processes in managing risk;</w:t>
      </w:r>
    </w:p>
    <w:p>
      <w:pPr>
        <w:spacing w:after="0" w:line="111"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or disclosure of confidential information, damage to our reputation and impairment of our ability to conduct business effectively as a result of any failure in cyber- or other information security systems;</w:t>
      </w:r>
    </w:p>
    <w:p>
      <w:pPr>
        <w:spacing w:after="0" w:line="57"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all or any portion of the tax consequences of our separation from MetLife, Inc. (together with its subsidiaries and affiliates, “MetLife”) are not as expected, leading to material additional taxes or material adverse consequences to tax attributes that impact us; and</w:t>
      </w:r>
    </w:p>
    <w:p>
      <w:pPr>
        <w:spacing w:after="0" w:line="5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described in this report and from time to time in documents that we file with the SEC.</w:t>
      </w:r>
    </w:p>
    <w:p>
      <w:pPr>
        <w:spacing w:after="0" w:line="164"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For the reasons described above, we caution you against relying on any forward-looking statements, which should also be read in conjunction with the other cautionary statements included and the risks, uncertainties and other factors identified in our 2025 Annual Report, particularly in the sections entitled “Risk Factors” and “Quantitative and Qualitative Disclosures About Market Risk,” as well as in our other subsequent filings with the SEC. Further, any forward-looking statement speaks only as of the date on which it is made, and we undertake no obligation to update or revise any forward-looking statement to reflect events or circumstances after the date on which the statement is made or to reflect the occurrence of unanticipated events, except as otherwise may be required by law.</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66"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Management, with the participation of the Chief Executive Officer and the Chief Financial Officer, has evaluated the effectiveness of the design and operation of the Company’s disclosure controls and procedures as defined in Rules 13a-15(e) and 15d-15(e) under the Securities Exchange Act of 1934, as amended (“Exchange Act”), as of the end of the period covered by this report. Based on that evaluation, the Chief Executive Officer and the Chief Financial Officer have concluded that these disclosure controls and procedures were effective as of March 31, 2026.</w:t>
      </w:r>
    </w:p>
    <w:p>
      <w:pPr>
        <w:spacing w:after="0" w:line="12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MetLife provides certain services to the Company through services agreements, some of which are on a transitional basis. The Company continues to change business processes, implement systems and establish new third-party arrangements, as a subsidiary of Brighthouse Financial, Inc. We consider these in aggregate to be material changes in our internal control over financial reporting.</w:t>
      </w:r>
    </w:p>
    <w:p>
      <w:pPr>
        <w:spacing w:after="0" w:line="12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Other than as noted above, there were no changes to the Company’s internal control over financial reporting (as defined in Rules 13a-15(f) and 15d-15(f) under the Exchange Act) that occurred during the quarter ended March 31, 2026 that have materially affected, or are reasonably likely to materially affect, these internal controls over financial reporting.</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See Note 12 of the Notes to the Interim Condensed Consolidated Financial Statements.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66"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discuss in this report, in our 2025 Annual Report and in our other filings with the SEC, various risks that may materially affect our business. In addition, see “Management’s Discussion and Analysis of Financial Condition and Results of Operations — Note Regarding Forward-Looking Statements” included herein. There have been no material changes to our risk factors from the risk factors previously disclosed in our 2025 Annual Report.</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and Officer Rule 10b5-1 Plans</w:t>
      </w:r>
    </w:p>
    <w:p>
      <w:pPr>
        <w:spacing w:after="0" w:line="166"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All of Brighthouse Life Insurance Company’s common stock is held by Brighthouse Holdings, LLC. As such, during the three months ended March 31, 2026, none of the Company’s directors or officers (as defined in Rule 16a-1(f) of the Exchange Act) adopted or terminated a Rule 10b5-1 trading arrangement or non-Rule 10b5-1 trading arrangement (as such terms are defined in Item 408 of Regulation S-K of the Securities Act of 1933, as amended).</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09" w:lineRule="exact"/>
        <w:rPr>
          <w:sz w:val="20"/>
          <w:szCs w:val="20"/>
          <w:color w:val="auto"/>
        </w:rPr>
      </w:pPr>
    </w:p>
    <w:p>
      <w:pPr>
        <w:jc w:val="both"/>
        <w:ind w:firstLine="159"/>
        <w:spacing w:after="0" w:line="248" w:lineRule="auto"/>
        <w:rPr>
          <w:sz w:val="20"/>
          <w:szCs w:val="20"/>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Note Regarding Reliance on Statements in Our Contracts:</w:t>
      </w:r>
      <w:r>
        <w:rPr>
          <w:rFonts w:ascii="Times New Roman" w:cs="Times New Roman" w:eastAsia="Times New Roman" w:hAnsi="Times New Roman"/>
          <w:sz w:val="18"/>
          <w:szCs w:val="18"/>
          <w:i w:val="1"/>
          <w:iCs w:val="1"/>
          <w:color w:val="auto"/>
        </w:rPr>
        <w:t xml:space="preserve"> In reviewing the agreements included as exhibits herein, please remember that they are included to provide you with information regarding their terms and are not intended to provide any other factual or disclosure information about Brighthouse Life Insurance Company, its subsidiaries or affiliates or the other parties to the agreements. The agreements contain representations and warranties by each of the parties to the applicable agreement. These representations and warranties have been made solely for the benefit of the other parties to the applicable agreement and (i) should not in all instances be treated as categorical statements of fact, but rather as a way of allocating the risk to one of the parties if those statements prove to be inaccurate; (ii) have been qualified by disclosures that were made to the other party in connection with the negotiation of the applicable agreement, which disclosures are not necessarily reflected in the agreement; (iii) may apply standards of materiality in a way that is different from what may be viewed as material to investors; and (iv) were made only as of the date of the applicable agreement or such other date or dates as may be specified in the agreement and are subject to more recent developments. Accordingly, these representations and warranties may not describe the actual state of affairs as of the date they were made or at any other time. Additional information about Brighthouse Life Insurance Company, its subsidiaries and affiliates may be found elsewhere herein and in Brighthouse Life Insurance Company’s other public filings, which are available without charge through the U.S. Securities and Exchange Commission website at www.sec.gov.)</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11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Exhibit No.</w:t>
            </w:r>
          </w:p>
        </w:tc>
        <w:tc>
          <w:tcPr>
            <w:tcW w:w="10060" w:type="dxa"/>
            <w:vAlign w:val="bottom"/>
            <w:gridSpan w:val="3"/>
          </w:tcPr>
          <w:p>
            <w:pPr>
              <w:ind w:left="46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79"/>
        </w:trPr>
        <w:tc>
          <w:tcPr>
            <w:tcW w:w="1060" w:type="dxa"/>
            <w:vAlign w:val="bottom"/>
            <w:tcBorders>
              <w:top w:val="single" w:sz="8" w:color="auto"/>
            </w:tcBorders>
          </w:tcPr>
          <w:p>
            <w:pPr>
              <w:jc w:val="center"/>
              <w:spacing w:after="0" w:line="179" w:lineRule="exact"/>
              <w:rPr>
                <w:sz w:val="20"/>
                <w:szCs w:val="20"/>
                <w:color w:val="auto"/>
              </w:rPr>
            </w:pPr>
            <w:r>
              <w:rPr>
                <w:rFonts w:ascii="Times New Roman" w:cs="Times New Roman" w:eastAsia="Times New Roman" w:hAnsi="Times New Roman"/>
                <w:sz w:val="18"/>
                <w:szCs w:val="18"/>
                <w:color w:val="auto"/>
                <w:w w:val="98"/>
              </w:rPr>
              <w:t>31.1*</w:t>
            </w:r>
          </w:p>
        </w:tc>
        <w:tc>
          <w:tcPr>
            <w:tcW w:w="120" w:type="dxa"/>
            <w:vAlign w:val="bottom"/>
          </w:tcPr>
          <w:p>
            <w:pPr>
              <w:spacing w:after="0"/>
              <w:rPr>
                <w:sz w:val="15"/>
                <w:szCs w:val="15"/>
                <w:color w:val="auto"/>
              </w:rPr>
            </w:pPr>
          </w:p>
        </w:tc>
        <w:tc>
          <w:tcPr>
            <w:tcW w:w="10060" w:type="dxa"/>
            <w:vAlign w:val="bottom"/>
            <w:tcBorders>
              <w:top w:val="single" w:sz="8" w:color="auto"/>
            </w:tcBorders>
            <w:gridSpan w:val="3"/>
          </w:tcPr>
          <w:p>
            <w:pPr>
              <w:spacing w:after="0" w:line="179" w:lineRule="exact"/>
              <w:rPr>
                <w:sz w:val="20"/>
                <w:szCs w:val="20"/>
                <w:color w:val="auto"/>
              </w:rPr>
            </w:pPr>
            <w:r>
              <w:rPr>
                <w:rFonts w:ascii="Times New Roman" w:cs="Times New Roman" w:eastAsia="Times New Roman" w:hAnsi="Times New Roman"/>
                <w:sz w:val="18"/>
                <w:szCs w:val="18"/>
                <w:color w:val="0000FF"/>
              </w:rPr>
              <w:t>Certification of Chief Executive Officer pursuant to Section 302 of the Sarbanes-Oxley Act of 2002.</w:t>
            </w:r>
          </w:p>
        </w:tc>
      </w:tr>
      <w:tr>
        <w:trPr>
          <w:trHeight w:val="205"/>
        </w:trPr>
        <w:tc>
          <w:tcPr>
            <w:tcW w:w="1060" w:type="dxa"/>
            <w:vAlign w:val="bottom"/>
          </w:tcPr>
          <w:p>
            <w:pPr>
              <w:jc w:val="center"/>
              <w:spacing w:after="0" w:line="205" w:lineRule="exact"/>
              <w:rPr>
                <w:sz w:val="20"/>
                <w:szCs w:val="20"/>
                <w:color w:val="auto"/>
              </w:rPr>
            </w:pPr>
            <w:r>
              <w:rPr>
                <w:rFonts w:ascii="Times New Roman" w:cs="Times New Roman" w:eastAsia="Times New Roman" w:hAnsi="Times New Roman"/>
                <w:sz w:val="18"/>
                <w:szCs w:val="18"/>
                <w:color w:val="auto"/>
                <w:w w:val="98"/>
              </w:rPr>
              <w:t>31.2*</w:t>
            </w:r>
          </w:p>
        </w:tc>
        <w:tc>
          <w:tcPr>
            <w:tcW w:w="120" w:type="dxa"/>
            <w:vAlign w:val="bottom"/>
          </w:tcPr>
          <w:p>
            <w:pPr>
              <w:spacing w:after="0"/>
              <w:rPr>
                <w:sz w:val="17"/>
                <w:szCs w:val="17"/>
                <w:color w:val="auto"/>
              </w:rPr>
            </w:pPr>
          </w:p>
        </w:tc>
        <w:tc>
          <w:tcPr>
            <w:tcW w:w="7060" w:type="dxa"/>
            <w:vAlign w:val="bottom"/>
            <w:tcBorders>
              <w:top w:val="single" w:sz="8" w:color="0000FF"/>
              <w:bottom w:val="single" w:sz="8" w:color="0000FF"/>
            </w:tcBorders>
          </w:tcPr>
          <w:p>
            <w:pPr>
              <w:spacing w:after="0" w:line="205" w:lineRule="exact"/>
              <w:rPr>
                <w:sz w:val="20"/>
                <w:szCs w:val="20"/>
                <w:color w:val="auto"/>
              </w:rPr>
            </w:pPr>
            <w:r>
              <w:rPr>
                <w:rFonts w:ascii="Times New Roman" w:cs="Times New Roman" w:eastAsia="Times New Roman" w:hAnsi="Times New Roman"/>
                <w:sz w:val="18"/>
                <w:szCs w:val="18"/>
                <w:color w:val="0000FF"/>
                <w:w w:val="97"/>
              </w:rPr>
              <w:t>Certification of Chief Financial Officer pursuant to Section 302 of the Sarbanes-Oxley Act of 2002.</w:t>
            </w:r>
          </w:p>
        </w:tc>
        <w:tc>
          <w:tcPr>
            <w:tcW w:w="40" w:type="dxa"/>
            <w:vAlign w:val="bottom"/>
            <w:tcBorders>
              <w:top w:val="single" w:sz="8" w:color="0000FF"/>
            </w:tcBorders>
          </w:tcPr>
          <w:p>
            <w:pPr>
              <w:spacing w:after="0"/>
              <w:rPr>
                <w:sz w:val="17"/>
                <w:szCs w:val="17"/>
                <w:color w:val="auto"/>
              </w:rPr>
            </w:pPr>
          </w:p>
        </w:tc>
        <w:tc>
          <w:tcPr>
            <w:tcW w:w="2960" w:type="dxa"/>
            <w:vAlign w:val="bottom"/>
          </w:tcPr>
          <w:p>
            <w:pPr>
              <w:spacing w:after="0"/>
              <w:rPr>
                <w:sz w:val="17"/>
                <w:szCs w:val="17"/>
                <w:color w:val="auto"/>
              </w:rPr>
            </w:pPr>
          </w:p>
        </w:tc>
      </w:tr>
      <w:tr>
        <w:trPr>
          <w:trHeight w:val="205"/>
        </w:trPr>
        <w:tc>
          <w:tcPr>
            <w:tcW w:w="1060" w:type="dxa"/>
            <w:vAlign w:val="bottom"/>
          </w:tcPr>
          <w:p>
            <w:pPr>
              <w:jc w:val="center"/>
              <w:spacing w:after="0" w:line="205" w:lineRule="exact"/>
              <w:rPr>
                <w:sz w:val="20"/>
                <w:szCs w:val="20"/>
                <w:color w:val="auto"/>
              </w:rPr>
            </w:pPr>
            <w:r>
              <w:rPr>
                <w:rFonts w:ascii="Times New Roman" w:cs="Times New Roman" w:eastAsia="Times New Roman" w:hAnsi="Times New Roman"/>
                <w:sz w:val="18"/>
                <w:szCs w:val="18"/>
                <w:color w:val="auto"/>
                <w:w w:val="96"/>
              </w:rPr>
              <w:t>32.1**</w:t>
            </w:r>
          </w:p>
        </w:tc>
        <w:tc>
          <w:tcPr>
            <w:tcW w:w="120" w:type="dxa"/>
            <w:vAlign w:val="bottom"/>
          </w:tcPr>
          <w:p>
            <w:pPr>
              <w:spacing w:after="0"/>
              <w:rPr>
                <w:sz w:val="17"/>
                <w:szCs w:val="17"/>
                <w:color w:val="auto"/>
              </w:rPr>
            </w:pPr>
          </w:p>
        </w:tc>
        <w:tc>
          <w:tcPr>
            <w:tcW w:w="10060" w:type="dxa"/>
            <w:vAlign w:val="bottom"/>
            <w:gridSpan w:val="3"/>
          </w:tcPr>
          <w:p>
            <w:pPr>
              <w:spacing w:after="0" w:line="205" w:lineRule="exact"/>
              <w:rPr>
                <w:sz w:val="20"/>
                <w:szCs w:val="20"/>
                <w:color w:val="auto"/>
              </w:rPr>
            </w:pPr>
            <w:r>
              <w:rPr>
                <w:rFonts w:ascii="Times New Roman" w:cs="Times New Roman" w:eastAsia="Times New Roman" w:hAnsi="Times New Roman"/>
                <w:sz w:val="18"/>
                <w:szCs w:val="18"/>
                <w:color w:val="0000FF"/>
              </w:rPr>
              <w:t>Certification of Chief Executive Officer pursuant to Section 906 of the Sarbanes-Oxley Act of 2002.</w:t>
            </w:r>
          </w:p>
        </w:tc>
      </w:tr>
      <w:tr>
        <w:trPr>
          <w:trHeight w:val="205"/>
        </w:trPr>
        <w:tc>
          <w:tcPr>
            <w:tcW w:w="1060" w:type="dxa"/>
            <w:vAlign w:val="bottom"/>
          </w:tcPr>
          <w:p>
            <w:pPr>
              <w:jc w:val="center"/>
              <w:spacing w:after="0" w:line="205" w:lineRule="exact"/>
              <w:rPr>
                <w:sz w:val="20"/>
                <w:szCs w:val="20"/>
                <w:color w:val="auto"/>
              </w:rPr>
            </w:pPr>
            <w:r>
              <w:rPr>
                <w:rFonts w:ascii="Times New Roman" w:cs="Times New Roman" w:eastAsia="Times New Roman" w:hAnsi="Times New Roman"/>
                <w:sz w:val="18"/>
                <w:szCs w:val="18"/>
                <w:color w:val="auto"/>
                <w:w w:val="96"/>
              </w:rPr>
              <w:t>32.2**</w:t>
            </w:r>
          </w:p>
        </w:tc>
        <w:tc>
          <w:tcPr>
            <w:tcW w:w="120" w:type="dxa"/>
            <w:vAlign w:val="bottom"/>
          </w:tcPr>
          <w:p>
            <w:pPr>
              <w:spacing w:after="0"/>
              <w:rPr>
                <w:sz w:val="17"/>
                <w:szCs w:val="17"/>
                <w:color w:val="auto"/>
              </w:rPr>
            </w:pPr>
          </w:p>
        </w:tc>
        <w:tc>
          <w:tcPr>
            <w:tcW w:w="7060" w:type="dxa"/>
            <w:vAlign w:val="bottom"/>
            <w:tcBorders>
              <w:top w:val="single" w:sz="8" w:color="0000FF"/>
              <w:bottom w:val="single" w:sz="8" w:color="0000FF"/>
            </w:tcBorders>
          </w:tcPr>
          <w:p>
            <w:pPr>
              <w:spacing w:after="0" w:line="205" w:lineRule="exact"/>
              <w:rPr>
                <w:sz w:val="20"/>
                <w:szCs w:val="20"/>
                <w:color w:val="auto"/>
              </w:rPr>
            </w:pPr>
            <w:r>
              <w:rPr>
                <w:rFonts w:ascii="Times New Roman" w:cs="Times New Roman" w:eastAsia="Times New Roman" w:hAnsi="Times New Roman"/>
                <w:sz w:val="18"/>
                <w:szCs w:val="18"/>
                <w:color w:val="0000FF"/>
                <w:w w:val="97"/>
              </w:rPr>
              <w:t>Certification of Chief Financial Officer pursuant to Section 906 of the Sarbanes-Oxley Act of 2002.</w:t>
            </w:r>
          </w:p>
        </w:tc>
        <w:tc>
          <w:tcPr>
            <w:tcW w:w="40" w:type="dxa"/>
            <w:vAlign w:val="bottom"/>
            <w:tcBorders>
              <w:top w:val="single" w:sz="8" w:color="0000FF"/>
            </w:tcBorders>
          </w:tcPr>
          <w:p>
            <w:pPr>
              <w:spacing w:after="0"/>
              <w:rPr>
                <w:sz w:val="17"/>
                <w:szCs w:val="17"/>
                <w:color w:val="auto"/>
              </w:rPr>
            </w:pPr>
          </w:p>
        </w:tc>
        <w:tc>
          <w:tcPr>
            <w:tcW w:w="2960" w:type="dxa"/>
            <w:vAlign w:val="bottom"/>
          </w:tcPr>
          <w:p>
            <w:pPr>
              <w:spacing w:after="0"/>
              <w:rPr>
                <w:sz w:val="17"/>
                <w:szCs w:val="17"/>
                <w:color w:val="auto"/>
              </w:rPr>
            </w:pPr>
          </w:p>
        </w:tc>
      </w:tr>
      <w:tr>
        <w:trPr>
          <w:trHeight w:val="200"/>
        </w:trPr>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60" w:type="dxa"/>
            <w:vAlign w:val="bottom"/>
            <w:gridSpan w:val="3"/>
          </w:tcPr>
          <w:p>
            <w:pPr>
              <w:spacing w:after="0" w:line="201" w:lineRule="exact"/>
              <w:rPr>
                <w:sz w:val="20"/>
                <w:szCs w:val="20"/>
                <w:color w:val="auto"/>
              </w:rPr>
            </w:pPr>
            <w:r>
              <w:rPr>
                <w:rFonts w:ascii="Times New Roman" w:cs="Times New Roman" w:eastAsia="Times New Roman" w:hAnsi="Times New Roman"/>
                <w:sz w:val="18"/>
                <w:szCs w:val="18"/>
                <w:color w:val="auto"/>
                <w:w w:val="99"/>
              </w:rPr>
              <w:t>XBRL Instance Document - the instance document does not appear in the Interactive Data File because its XBRL tags are embedded within</w:t>
            </w:r>
          </w:p>
        </w:tc>
      </w:tr>
      <w:tr>
        <w:trPr>
          <w:trHeight w:val="225"/>
        </w:trPr>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101.INS*</w:t>
            </w:r>
          </w:p>
        </w:tc>
        <w:tc>
          <w:tcPr>
            <w:tcW w:w="10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Inline XBRL document.</w:t>
            </w:r>
          </w:p>
        </w:tc>
      </w:tr>
      <w:tr>
        <w:trPr>
          <w:trHeight w:val="225"/>
        </w:trPr>
        <w:tc>
          <w:tcPr>
            <w:tcW w:w="11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101.SCH*</w:t>
            </w:r>
          </w:p>
        </w:tc>
        <w:tc>
          <w:tcPr>
            <w:tcW w:w="10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25"/>
        </w:trPr>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101.CAL*</w:t>
            </w:r>
          </w:p>
        </w:tc>
        <w:tc>
          <w:tcPr>
            <w:tcW w:w="10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25"/>
        </w:trPr>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101.LAB*</w:t>
            </w:r>
          </w:p>
        </w:tc>
        <w:tc>
          <w:tcPr>
            <w:tcW w:w="10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25"/>
        </w:trPr>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101.PRE*</w:t>
            </w:r>
          </w:p>
        </w:tc>
        <w:tc>
          <w:tcPr>
            <w:tcW w:w="10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225"/>
        </w:trPr>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6"/>
              </w:rPr>
              <w:t>101.DEF*</w:t>
            </w:r>
          </w:p>
        </w:tc>
        <w:tc>
          <w:tcPr>
            <w:tcW w:w="10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185"/>
        </w:trPr>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60" w:type="dxa"/>
            <w:vAlign w:val="bottom"/>
            <w:gridSpan w:val="3"/>
          </w:tcPr>
          <w:p>
            <w:pPr>
              <w:spacing w:after="0" w:line="186" w:lineRule="exact"/>
              <w:rPr>
                <w:sz w:val="20"/>
                <w:szCs w:val="20"/>
                <w:color w:val="auto"/>
              </w:rPr>
            </w:pPr>
            <w:r>
              <w:rPr>
                <w:rFonts w:ascii="Times New Roman" w:cs="Times New Roman" w:eastAsia="Times New Roman" w:hAnsi="Times New Roman"/>
                <w:sz w:val="18"/>
                <w:szCs w:val="18"/>
                <w:color w:val="auto"/>
                <w:w w:val="99"/>
              </w:rPr>
              <w:t>The cover page of Brighthouse Life Insurance Company’s Quarterly Report on Form 10-Q for the quarter ended March 31, 2026, formatted</w:t>
            </w:r>
          </w:p>
        </w:tc>
      </w:tr>
      <w:tr>
        <w:trPr>
          <w:trHeight w:val="231"/>
        </w:trPr>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104*</w:t>
            </w:r>
          </w:p>
        </w:tc>
        <w:tc>
          <w:tcPr>
            <w:tcW w:w="120" w:type="dxa"/>
            <w:vAlign w:val="bottom"/>
          </w:tcPr>
          <w:p>
            <w:pPr>
              <w:spacing w:after="0"/>
              <w:rPr>
                <w:sz w:val="20"/>
                <w:szCs w:val="20"/>
                <w:color w:val="auto"/>
              </w:rPr>
            </w:pPr>
          </w:p>
        </w:tc>
        <w:tc>
          <w:tcPr>
            <w:tcW w:w="10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 Inline XBRL (included within the Exhibit 101 attachments).</w:t>
            </w:r>
          </w:p>
        </w:tc>
      </w:tr>
    </w:tbl>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Furnished herewith.</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66"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81"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color w:val="auto"/>
        </w:rPr>
        <w:t>BRIGHTHOUSE LIFE INSURANCE COMPANY</w:t>
      </w:r>
    </w:p>
    <w:p>
      <w:pPr>
        <w:spacing w:after="0" w:line="111" w:lineRule="exact"/>
        <w:rPr>
          <w:sz w:val="20"/>
          <w:szCs w:val="20"/>
          <w:color w:val="auto"/>
        </w:rPr>
      </w:pPr>
    </w:p>
    <w:tbl>
      <w:tblPr>
        <w:tblLayout w:type="fixed"/>
        <w:tblInd w:w="3080" w:type="dxa"/>
        <w:tblCellMar>
          <w:top w:w="0" w:type="dxa"/>
          <w:left w:w="0" w:type="dxa"/>
          <w:bottom w:w="0" w:type="dxa"/>
          <w:right w:w="0" w:type="dxa"/>
        </w:tblCellMar>
      </w:tblPr>
      <w:tr>
        <w:trPr>
          <w:trHeight w:val="257"/>
        </w:trPr>
        <w:tc>
          <w:tcPr>
            <w:tcW w:w="1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4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 Melissa B. Pavlovich</w:t>
            </w:r>
          </w:p>
        </w:tc>
      </w:tr>
      <w:tr>
        <w:trPr>
          <w:trHeight w:val="227"/>
        </w:trPr>
        <w:tc>
          <w:tcPr>
            <w:tcW w:w="420" w:type="dxa"/>
            <w:vAlign w:val="bottom"/>
          </w:tcPr>
          <w:p>
            <w:pPr>
              <w:spacing w:after="0"/>
              <w:rPr>
                <w:sz w:val="19"/>
                <w:szCs w:val="19"/>
                <w:color w:val="auto"/>
              </w:rPr>
            </w:pPr>
          </w:p>
        </w:tc>
        <w:tc>
          <w:tcPr>
            <w:tcW w:w="6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Name:</w:t>
            </w:r>
          </w:p>
        </w:tc>
        <w:tc>
          <w:tcPr>
            <w:tcW w:w="438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Melissa B. Pavlovich</w:t>
            </w:r>
          </w:p>
        </w:tc>
      </w:tr>
      <w:tr>
        <w:trPr>
          <w:trHeight w:val="252"/>
        </w:trPr>
        <w:tc>
          <w:tcPr>
            <w:tcW w:w="420" w:type="dxa"/>
            <w:vAlign w:val="bottom"/>
          </w:tcPr>
          <w:p>
            <w:pPr>
              <w:spacing w:after="0"/>
              <w:rPr>
                <w:sz w:val="21"/>
                <w:szCs w:val="21"/>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Vice President and Chief Accounting Officer</w:t>
            </w:r>
          </w:p>
        </w:tc>
      </w:tr>
      <w:tr>
        <w:trPr>
          <w:trHeight w:val="177"/>
        </w:trPr>
        <w:tc>
          <w:tcPr>
            <w:tcW w:w="4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380" w:type="dxa"/>
            <w:vAlign w:val="bottom"/>
          </w:tcPr>
          <w:p>
            <w:pPr>
              <w:ind w:left="180"/>
              <w:spacing w:after="0" w:line="177" w:lineRule="exact"/>
              <w:rPr>
                <w:sz w:val="20"/>
                <w:szCs w:val="20"/>
                <w:color w:val="auto"/>
              </w:rPr>
            </w:pPr>
            <w:r>
              <w:rPr>
                <w:rFonts w:ascii="Times New Roman" w:cs="Times New Roman" w:eastAsia="Times New Roman" w:hAnsi="Times New Roman"/>
                <w:sz w:val="18"/>
                <w:szCs w:val="18"/>
                <w:color w:val="auto"/>
              </w:rPr>
              <w:t>(Duly Authorized Officer and Principal Accounting</w:t>
            </w:r>
          </w:p>
        </w:tc>
      </w:tr>
      <w:tr>
        <w:trPr>
          <w:trHeight w:val="231"/>
        </w:trPr>
        <w:tc>
          <w:tcPr>
            <w:tcW w:w="4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Officer)</w:t>
            </w:r>
          </w:p>
        </w:tc>
      </w:tr>
    </w:tbl>
    <w:p>
      <w:pPr>
        <w:spacing w:after="0" w:line="20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Date: May 11, 2026</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240"/>
          </w:cols>
          <w:pgMar w:left="320" w:top="124" w:right="339" w:bottom="1440" w:gutter="0" w:footer="0" w:header="0"/>
        </w:sectPr>
      </w:pPr>
    </w:p>
    <w:bookmarkStart w:id="85" w:name="page86"/>
    <w:bookmarkEnd w:id="8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u w:val="single" w:color="auto"/>
          <w:color w:val="auto"/>
        </w:rPr>
        <w:t>CERTIFICATIONS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Eric T. Steigerwalt, certify that:</w:t>
      </w:r>
    </w:p>
    <w:p>
      <w:pPr>
        <w:spacing w:after="0" w:line="98" w:lineRule="exact"/>
        <w:rPr>
          <w:sz w:val="20"/>
          <w:szCs w:val="20"/>
          <w:color w:val="auto"/>
        </w:rPr>
      </w:pPr>
    </w:p>
    <w:p>
      <w:pPr>
        <w:ind w:left="180" w:hanging="174"/>
        <w:spacing w:after="0"/>
        <w:tabs>
          <w:tab w:leader="none" w:pos="1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Brighthouse Life Insurance Company;</w:t>
      </w:r>
    </w:p>
    <w:p>
      <w:pPr>
        <w:spacing w:after="0" w:line="84" w:lineRule="exact"/>
        <w:rPr>
          <w:rFonts w:ascii="Times New Roman" w:cs="Times New Roman" w:eastAsia="Times New Roman" w:hAnsi="Times New Roman"/>
          <w:sz w:val="18"/>
          <w:szCs w:val="18"/>
          <w:color w:val="auto"/>
        </w:rPr>
      </w:pPr>
    </w:p>
    <w:p>
      <w:pPr>
        <w:ind w:right="460" w:firstLine="6"/>
        <w:spacing w:after="0" w:line="304" w:lineRule="auto"/>
        <w:tabs>
          <w:tab w:leader="none" w:pos="177"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 w:lineRule="exact"/>
        <w:rPr>
          <w:rFonts w:ascii="Times New Roman" w:cs="Times New Roman" w:eastAsia="Times New Roman" w:hAnsi="Times New Roman"/>
          <w:sz w:val="17"/>
          <w:szCs w:val="17"/>
          <w:color w:val="auto"/>
        </w:rPr>
      </w:pPr>
    </w:p>
    <w:p>
      <w:pPr>
        <w:ind w:right="80" w:firstLine="6"/>
        <w:spacing w:after="0" w:line="274" w:lineRule="auto"/>
        <w:tabs>
          <w:tab w:leader="none" w:pos="177"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4" w:lineRule="exact"/>
        <w:rPr>
          <w:rFonts w:ascii="Times New Roman" w:cs="Times New Roman" w:eastAsia="Times New Roman" w:hAnsi="Times New Roman"/>
          <w:sz w:val="18"/>
          <w:szCs w:val="18"/>
          <w:color w:val="auto"/>
        </w:rPr>
      </w:pPr>
    </w:p>
    <w:p>
      <w:pPr>
        <w:jc w:val="both"/>
        <w:ind w:right="40" w:firstLine="6"/>
        <w:spacing w:after="0" w:line="259" w:lineRule="auto"/>
        <w:tabs>
          <w:tab w:leader="none" w:pos="177"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5"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31"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8"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28"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8" w:lineRule="exact"/>
        <w:rPr>
          <w:rFonts w:ascii="Times New Roman" w:cs="Times New Roman" w:eastAsia="Times New Roman" w:hAnsi="Times New Roman"/>
          <w:sz w:val="18"/>
          <w:szCs w:val="18"/>
          <w:color w:val="auto"/>
        </w:rPr>
      </w:pPr>
    </w:p>
    <w:p>
      <w:pPr>
        <w:ind w:left="640" w:hanging="316"/>
        <w:spacing w:after="0" w:line="274" w:lineRule="auto"/>
        <w:tabs>
          <w:tab w:leader="none" w:pos="631"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0"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28"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8" w:lineRule="exact"/>
        <w:rPr>
          <w:rFonts w:ascii="Times New Roman" w:cs="Times New Roman" w:eastAsia="Times New Roman" w:hAnsi="Times New Roman"/>
          <w:sz w:val="18"/>
          <w:szCs w:val="18"/>
          <w:color w:val="auto"/>
        </w:rPr>
      </w:pPr>
    </w:p>
    <w:p>
      <w:pPr>
        <w:ind w:right="480" w:firstLine="6"/>
        <w:spacing w:after="0" w:line="274" w:lineRule="auto"/>
        <w:tabs>
          <w:tab w:leader="none" w:pos="177"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4" w:lineRule="exact"/>
        <w:rPr>
          <w:rFonts w:ascii="Times New Roman" w:cs="Times New Roman" w:eastAsia="Times New Roman" w:hAnsi="Times New Roman"/>
          <w:sz w:val="18"/>
          <w:szCs w:val="18"/>
          <w:color w:val="auto"/>
        </w:rPr>
      </w:pPr>
    </w:p>
    <w:p>
      <w:pPr>
        <w:ind w:left="640" w:hanging="316"/>
        <w:spacing w:after="0" w:line="274" w:lineRule="auto"/>
        <w:tabs>
          <w:tab w:leader="none" w:pos="631"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0" w:lineRule="exact"/>
        <w:rPr>
          <w:rFonts w:ascii="Times New Roman" w:cs="Times New Roman" w:eastAsia="Times New Roman" w:hAnsi="Times New Roman"/>
          <w:sz w:val="18"/>
          <w:szCs w:val="18"/>
          <w:color w:val="auto"/>
        </w:rPr>
      </w:pPr>
    </w:p>
    <w:p>
      <w:pPr>
        <w:ind w:left="640" w:hanging="316"/>
        <w:spacing w:after="0" w:line="274" w:lineRule="auto"/>
        <w:tabs>
          <w:tab w:leader="none" w:pos="628"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11, 2026</w:t>
      </w:r>
    </w:p>
    <w:p>
      <w:pPr>
        <w:spacing w:after="0" w:line="151" w:lineRule="exact"/>
        <w:rPr>
          <w:sz w:val="20"/>
          <w:szCs w:val="20"/>
          <w:color w:val="auto"/>
        </w:rPr>
      </w:pPr>
    </w:p>
    <w:p>
      <w:pPr>
        <w:ind w:left="7900"/>
        <w:spacing w:after="0"/>
        <w:rPr>
          <w:sz w:val="20"/>
          <w:szCs w:val="20"/>
          <w:color w:val="auto"/>
        </w:rPr>
      </w:pPr>
      <w:r>
        <w:rPr>
          <w:rFonts w:ascii="Times New Roman" w:cs="Times New Roman" w:eastAsia="Times New Roman" w:hAnsi="Times New Roman"/>
          <w:sz w:val="18"/>
          <w:szCs w:val="18"/>
          <w:color w:val="auto"/>
        </w:rPr>
        <w:t>/s/ Eric T. Steigerwalt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3882390</wp:posOffset>
            </wp:positionH>
            <wp:positionV relativeFrom="paragraph">
              <wp:posOffset>14605</wp:posOffset>
            </wp:positionV>
            <wp:extent cx="32562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256280" cy="8255"/>
                    </a:xfrm>
                    <a:prstGeom prst="rect">
                      <a:avLst/>
                    </a:prstGeom>
                    <a:noFill/>
                  </pic:spPr>
                </pic:pic>
              </a:graphicData>
            </a:graphic>
          </wp:anchor>
        </w:drawing>
      </w:r>
    </w:p>
    <w:p>
      <w:pPr>
        <w:ind w:left="8020"/>
        <w:spacing w:after="0"/>
        <w:rPr>
          <w:sz w:val="20"/>
          <w:szCs w:val="20"/>
          <w:color w:val="auto"/>
        </w:rPr>
      </w:pPr>
      <w:r>
        <w:rPr>
          <w:rFonts w:ascii="Times New Roman" w:cs="Times New Roman" w:eastAsia="Times New Roman" w:hAnsi="Times New Roman"/>
          <w:sz w:val="18"/>
          <w:szCs w:val="18"/>
          <w:color w:val="auto"/>
        </w:rPr>
        <w:t>Eric T. Steigerwalt</w:t>
      </w:r>
    </w:p>
    <w:p>
      <w:pPr>
        <w:jc w:val="center"/>
        <w:ind w:left="6060"/>
        <w:spacing w:after="0" w:line="215" w:lineRule="auto"/>
        <w:rPr>
          <w:sz w:val="20"/>
          <w:szCs w:val="20"/>
          <w:color w:val="auto"/>
        </w:rPr>
      </w:pPr>
      <w:r>
        <w:rPr>
          <w:rFonts w:ascii="Times New Roman" w:cs="Times New Roman" w:eastAsia="Times New Roman" w:hAnsi="Times New Roman"/>
          <w:sz w:val="18"/>
          <w:szCs w:val="18"/>
          <w:color w:val="auto"/>
        </w:rPr>
        <w:t>Chairman of the Board, President and</w:t>
      </w:r>
    </w:p>
    <w:p>
      <w:pPr>
        <w:jc w:val="center"/>
        <w:ind w:left="610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358" w:right="339" w:bottom="1440" w:gutter="0" w:footer="0" w:header="0"/>
        </w:sectPr>
      </w:pPr>
    </w:p>
    <w:bookmarkStart w:id="86" w:name="page87"/>
    <w:bookmarkEnd w:id="8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u w:val="single" w:color="auto"/>
          <w:color w:val="auto"/>
        </w:rPr>
        <w:t>CERTIFICATIONS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Edward A. Spehar, certify that:</w:t>
      </w:r>
    </w:p>
    <w:p>
      <w:pPr>
        <w:spacing w:after="0" w:line="98" w:lineRule="exact"/>
        <w:rPr>
          <w:sz w:val="20"/>
          <w:szCs w:val="20"/>
          <w:color w:val="auto"/>
        </w:rPr>
      </w:pPr>
    </w:p>
    <w:p>
      <w:pPr>
        <w:ind w:left="180" w:hanging="174"/>
        <w:spacing w:after="0"/>
        <w:tabs>
          <w:tab w:leader="none" w:pos="1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Brighthouse Life Insurance Company;</w:t>
      </w:r>
    </w:p>
    <w:p>
      <w:pPr>
        <w:spacing w:after="0" w:line="84" w:lineRule="exact"/>
        <w:rPr>
          <w:rFonts w:ascii="Times New Roman" w:cs="Times New Roman" w:eastAsia="Times New Roman" w:hAnsi="Times New Roman"/>
          <w:sz w:val="18"/>
          <w:szCs w:val="18"/>
          <w:color w:val="auto"/>
        </w:rPr>
      </w:pPr>
    </w:p>
    <w:p>
      <w:pPr>
        <w:ind w:right="460" w:firstLine="6"/>
        <w:spacing w:after="0" w:line="304" w:lineRule="auto"/>
        <w:tabs>
          <w:tab w:leader="none" w:pos="177"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 w:lineRule="exact"/>
        <w:rPr>
          <w:rFonts w:ascii="Times New Roman" w:cs="Times New Roman" w:eastAsia="Times New Roman" w:hAnsi="Times New Roman"/>
          <w:sz w:val="17"/>
          <w:szCs w:val="17"/>
          <w:color w:val="auto"/>
        </w:rPr>
      </w:pPr>
    </w:p>
    <w:p>
      <w:pPr>
        <w:ind w:right="80" w:firstLine="6"/>
        <w:spacing w:after="0" w:line="274" w:lineRule="auto"/>
        <w:tabs>
          <w:tab w:leader="none" w:pos="177"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4" w:lineRule="exact"/>
        <w:rPr>
          <w:rFonts w:ascii="Times New Roman" w:cs="Times New Roman" w:eastAsia="Times New Roman" w:hAnsi="Times New Roman"/>
          <w:sz w:val="18"/>
          <w:szCs w:val="18"/>
          <w:color w:val="auto"/>
        </w:rPr>
      </w:pPr>
    </w:p>
    <w:p>
      <w:pPr>
        <w:jc w:val="both"/>
        <w:ind w:right="40" w:firstLine="6"/>
        <w:spacing w:after="0" w:line="259" w:lineRule="auto"/>
        <w:tabs>
          <w:tab w:leader="none" w:pos="177"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5"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31"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8"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28"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8" w:lineRule="exact"/>
        <w:rPr>
          <w:rFonts w:ascii="Times New Roman" w:cs="Times New Roman" w:eastAsia="Times New Roman" w:hAnsi="Times New Roman"/>
          <w:sz w:val="18"/>
          <w:szCs w:val="18"/>
          <w:color w:val="auto"/>
        </w:rPr>
      </w:pPr>
    </w:p>
    <w:p>
      <w:pPr>
        <w:ind w:left="640" w:hanging="316"/>
        <w:spacing w:after="0" w:line="274" w:lineRule="auto"/>
        <w:tabs>
          <w:tab w:leader="none" w:pos="631"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0"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28"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8" w:lineRule="exact"/>
        <w:rPr>
          <w:rFonts w:ascii="Times New Roman" w:cs="Times New Roman" w:eastAsia="Times New Roman" w:hAnsi="Times New Roman"/>
          <w:sz w:val="18"/>
          <w:szCs w:val="18"/>
          <w:color w:val="auto"/>
        </w:rPr>
      </w:pPr>
    </w:p>
    <w:p>
      <w:pPr>
        <w:ind w:right="480" w:firstLine="6"/>
        <w:spacing w:after="0" w:line="274" w:lineRule="auto"/>
        <w:tabs>
          <w:tab w:leader="none" w:pos="177"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4" w:lineRule="exact"/>
        <w:rPr>
          <w:rFonts w:ascii="Times New Roman" w:cs="Times New Roman" w:eastAsia="Times New Roman" w:hAnsi="Times New Roman"/>
          <w:sz w:val="18"/>
          <w:szCs w:val="18"/>
          <w:color w:val="auto"/>
        </w:rPr>
      </w:pPr>
    </w:p>
    <w:p>
      <w:pPr>
        <w:ind w:left="640" w:hanging="316"/>
        <w:spacing w:after="0" w:line="274" w:lineRule="auto"/>
        <w:tabs>
          <w:tab w:leader="none" w:pos="631"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0" w:lineRule="exact"/>
        <w:rPr>
          <w:rFonts w:ascii="Times New Roman" w:cs="Times New Roman" w:eastAsia="Times New Roman" w:hAnsi="Times New Roman"/>
          <w:sz w:val="18"/>
          <w:szCs w:val="18"/>
          <w:color w:val="auto"/>
        </w:rPr>
      </w:pPr>
    </w:p>
    <w:p>
      <w:pPr>
        <w:ind w:left="640" w:hanging="316"/>
        <w:spacing w:after="0" w:line="274" w:lineRule="auto"/>
        <w:tabs>
          <w:tab w:leader="none" w:pos="628"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11, 2026</w:t>
      </w:r>
    </w:p>
    <w:p>
      <w:pPr>
        <w:spacing w:after="0" w:line="151" w:lineRule="exact"/>
        <w:rPr>
          <w:sz w:val="20"/>
          <w:szCs w:val="20"/>
          <w:color w:val="auto"/>
        </w:rPr>
      </w:pPr>
    </w:p>
    <w:p>
      <w:pPr>
        <w:ind w:left="7700"/>
        <w:spacing w:after="0"/>
        <w:rPr>
          <w:sz w:val="20"/>
          <w:szCs w:val="20"/>
          <w:color w:val="auto"/>
        </w:rPr>
      </w:pPr>
      <w:r>
        <w:rPr>
          <w:rFonts w:ascii="Times New Roman" w:cs="Times New Roman" w:eastAsia="Times New Roman" w:hAnsi="Times New Roman"/>
          <w:sz w:val="18"/>
          <w:szCs w:val="18"/>
          <w:color w:val="auto"/>
        </w:rPr>
        <w:t>/s/ Edward A. Spehar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3604895</wp:posOffset>
            </wp:positionH>
            <wp:positionV relativeFrom="paragraph">
              <wp:posOffset>14605</wp:posOffset>
            </wp:positionV>
            <wp:extent cx="353377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533775" cy="8255"/>
                    </a:xfrm>
                    <a:prstGeom prst="rect">
                      <a:avLst/>
                    </a:prstGeom>
                    <a:noFill/>
                  </pic:spPr>
                </pic:pic>
              </a:graphicData>
            </a:graphic>
          </wp:anchor>
        </w:drawing>
      </w:r>
    </w:p>
    <w:p>
      <w:pPr>
        <w:ind w:left="7800"/>
        <w:spacing w:after="0"/>
        <w:rPr>
          <w:sz w:val="20"/>
          <w:szCs w:val="20"/>
          <w:color w:val="auto"/>
        </w:rPr>
      </w:pPr>
      <w:r>
        <w:rPr>
          <w:rFonts w:ascii="Times New Roman" w:cs="Times New Roman" w:eastAsia="Times New Roman" w:hAnsi="Times New Roman"/>
          <w:sz w:val="18"/>
          <w:szCs w:val="18"/>
          <w:color w:val="auto"/>
        </w:rPr>
        <w:t>Edward A. Spehar</w:t>
      </w:r>
    </w:p>
    <w:p>
      <w:pPr>
        <w:ind w:left="6960"/>
        <w:spacing w:after="0"/>
        <w:rPr>
          <w:sz w:val="20"/>
          <w:szCs w:val="20"/>
          <w:color w:val="auto"/>
        </w:rPr>
      </w:pPr>
      <w:r>
        <w:rPr>
          <w:rFonts w:ascii="Times New Roman" w:cs="Times New Roman" w:eastAsia="Times New Roman" w:hAnsi="Times New Roman"/>
          <w:sz w:val="18"/>
          <w:szCs w:val="18"/>
          <w:color w:val="auto"/>
        </w:rPr>
        <w:t>Vice President and Chief Financial Officer</w:t>
      </w:r>
    </w:p>
    <w:p>
      <w:pPr>
        <w:sectPr>
          <w:pgSz w:w="11900" w:h="16838" w:orient="portrait"/>
          <w:cols w:equalWidth="0" w:num="1">
            <w:col w:w="11240"/>
          </w:cols>
          <w:pgMar w:left="320" w:top="358" w:right="339" w:bottom="1440" w:gutter="0" w:footer="0" w:header="0"/>
        </w:sectPr>
      </w:pPr>
    </w:p>
    <w:bookmarkStart w:id="87" w:name="page88"/>
    <w:bookmarkEnd w:id="8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CERTIFICATION</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 SECTION 1350 OF CHAPTER 63 OF TITLE 18 OF THE UNITED STATES CODE</w:t>
      </w:r>
    </w:p>
    <w:p>
      <w:pPr>
        <w:spacing w:after="0" w:line="244"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I, Eric T. Steigerwalt, certify that, to my knowledge, (i) Brighthouse Life Insurance Company’s Quarterly Report on Form 10-Q for the quarter ended March 31, 2026 (the “Form 10-Q”) fully complies with the requirements of Section 13(a) or 15(d) of the Securities Exchange Act of 1934, and (ii) the information contained in the Form 10-Q fairly presents, in all material respects, the financial condition and results of operations of Brighthouse Life Insurance Company.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11, 2026</w:t>
      </w:r>
    </w:p>
    <w:p>
      <w:pPr>
        <w:spacing w:after="0" w:line="350" w:lineRule="exact"/>
        <w:rPr>
          <w:sz w:val="20"/>
          <w:szCs w:val="20"/>
          <w:color w:val="auto"/>
        </w:rPr>
      </w:pPr>
    </w:p>
    <w:p>
      <w:pPr>
        <w:ind w:left="8120"/>
        <w:spacing w:after="0"/>
        <w:rPr>
          <w:sz w:val="20"/>
          <w:szCs w:val="20"/>
          <w:color w:val="auto"/>
        </w:rPr>
      </w:pPr>
      <w:r>
        <w:rPr>
          <w:rFonts w:ascii="Times New Roman" w:cs="Times New Roman" w:eastAsia="Times New Roman" w:hAnsi="Times New Roman"/>
          <w:sz w:val="18"/>
          <w:szCs w:val="18"/>
          <w:color w:val="auto"/>
        </w:rPr>
        <w:t>/s/ Eric T. Steigerwalt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4159885</wp:posOffset>
            </wp:positionH>
            <wp:positionV relativeFrom="paragraph">
              <wp:posOffset>14605</wp:posOffset>
            </wp:positionV>
            <wp:extent cx="297815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978150" cy="8255"/>
                    </a:xfrm>
                    <a:prstGeom prst="rect">
                      <a:avLst/>
                    </a:prstGeom>
                    <a:noFill/>
                  </pic:spPr>
                </pic:pic>
              </a:graphicData>
            </a:graphic>
          </wp:anchor>
        </w:drawing>
      </w:r>
    </w:p>
    <w:p>
      <w:pPr>
        <w:ind w:left="8240"/>
        <w:spacing w:after="0"/>
        <w:rPr>
          <w:sz w:val="20"/>
          <w:szCs w:val="20"/>
          <w:color w:val="auto"/>
        </w:rPr>
      </w:pPr>
      <w:r>
        <w:rPr>
          <w:rFonts w:ascii="Times New Roman" w:cs="Times New Roman" w:eastAsia="Times New Roman" w:hAnsi="Times New Roman"/>
          <w:sz w:val="18"/>
          <w:szCs w:val="18"/>
          <w:color w:val="auto"/>
        </w:rPr>
        <w:t>Eric T. Steigerwalt</w:t>
      </w:r>
    </w:p>
    <w:p>
      <w:pPr>
        <w:jc w:val="center"/>
        <w:ind w:left="6480"/>
        <w:spacing w:after="0" w:line="199" w:lineRule="auto"/>
        <w:rPr>
          <w:sz w:val="20"/>
          <w:szCs w:val="20"/>
          <w:color w:val="auto"/>
        </w:rPr>
      </w:pPr>
      <w:r>
        <w:rPr>
          <w:rFonts w:ascii="Times New Roman" w:cs="Times New Roman" w:eastAsia="Times New Roman" w:hAnsi="Times New Roman"/>
          <w:sz w:val="18"/>
          <w:szCs w:val="18"/>
          <w:color w:val="auto"/>
        </w:rPr>
        <w:t>Chairman of the Board, President and</w:t>
      </w:r>
    </w:p>
    <w:p>
      <w:pPr>
        <w:spacing w:after="0" w:line="1" w:lineRule="exact"/>
        <w:rPr>
          <w:sz w:val="20"/>
          <w:szCs w:val="20"/>
          <w:color w:val="auto"/>
        </w:rPr>
      </w:pPr>
    </w:p>
    <w:p>
      <w:pPr>
        <w:jc w:val="center"/>
        <w:ind w:left="65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316"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This certification accompanies this Quarterly Report on Form 10-Q pursuant to Section 906 of the Sarbanes-Oxley Act of 2002 and shall not, except to the extent required by such Act, be deemed filed by Brighthouse Life Insurance Company (the “Company”) for purposes of Section 18 of the Securities Exchange Act of 1934, as amended (the “Exchange Act”). Such certification will not be deemed to be incorporated by reference into any filing under the Securities Act of 1933, as amended, or the Exchange Act, except to the extent that the Company specifically incorporates it by reference.</w:t>
      </w:r>
    </w:p>
    <w:p>
      <w:pPr>
        <w:sectPr>
          <w:pgSz w:w="11900" w:h="16838" w:orient="portrait"/>
          <w:cols w:equalWidth="0" w:num="1">
            <w:col w:w="11240"/>
          </w:cols>
          <w:pgMar w:left="320" w:top="358" w:right="339" w:bottom="1440" w:gutter="0" w:footer="0" w:header="0"/>
        </w:sectPr>
      </w:pPr>
    </w:p>
    <w:bookmarkStart w:id="88" w:name="page89"/>
    <w:bookmarkEnd w:id="88"/>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CERTIFICATION</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 SECTION 1350 OF CHAPTER 63 OF TITLE 18 OF THE UNITED STATES CODE</w:t>
      </w:r>
    </w:p>
    <w:p>
      <w:pPr>
        <w:spacing w:after="0" w:line="244"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I, Edward A. Spehar, certify that, to my knowledge, (i) Brighthouse Life Insurance Company’s Quarterly Report on Form 10-Q for the quarter ended March 31, 2026 (the “Form 10-Q”) fully complies with the requirements of Section 13(a) or 15(d) of the Securities Exchange Act of 1934, and (ii) the information contained in the Form 10-Q fairly presents, in all material respects, the financial condition and results of operations of Brighthouse Life Insurance Company.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11, 2026</w:t>
      </w:r>
    </w:p>
    <w:p>
      <w:pPr>
        <w:spacing w:after="0" w:line="350" w:lineRule="exact"/>
        <w:rPr>
          <w:sz w:val="20"/>
          <w:szCs w:val="20"/>
          <w:color w:val="auto"/>
        </w:rPr>
      </w:pPr>
    </w:p>
    <w:p>
      <w:pPr>
        <w:ind w:left="8140"/>
        <w:spacing w:after="0"/>
        <w:rPr>
          <w:sz w:val="20"/>
          <w:szCs w:val="20"/>
          <w:color w:val="auto"/>
        </w:rPr>
      </w:pPr>
      <w:r>
        <w:rPr>
          <w:rFonts w:ascii="Times New Roman" w:cs="Times New Roman" w:eastAsia="Times New Roman" w:hAnsi="Times New Roman"/>
          <w:sz w:val="18"/>
          <w:szCs w:val="18"/>
          <w:color w:val="auto"/>
        </w:rPr>
        <w:t>/s/ Edward A. Spehar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4159885</wp:posOffset>
            </wp:positionH>
            <wp:positionV relativeFrom="paragraph">
              <wp:posOffset>14605</wp:posOffset>
            </wp:positionV>
            <wp:extent cx="297815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978150" cy="8255"/>
                    </a:xfrm>
                    <a:prstGeom prst="rect">
                      <a:avLst/>
                    </a:prstGeom>
                    <a:noFill/>
                  </pic:spPr>
                </pic:pic>
              </a:graphicData>
            </a:graphic>
          </wp:anchor>
        </w:drawing>
      </w:r>
    </w:p>
    <w:p>
      <w:pPr>
        <w:ind w:left="8240"/>
        <w:spacing w:after="0"/>
        <w:rPr>
          <w:sz w:val="20"/>
          <w:szCs w:val="20"/>
          <w:color w:val="auto"/>
        </w:rPr>
      </w:pPr>
      <w:r>
        <w:rPr>
          <w:rFonts w:ascii="Times New Roman" w:cs="Times New Roman" w:eastAsia="Times New Roman" w:hAnsi="Times New Roman"/>
          <w:sz w:val="18"/>
          <w:szCs w:val="18"/>
          <w:color w:val="auto"/>
        </w:rPr>
        <w:t>Edward A. Spehar</w:t>
      </w:r>
    </w:p>
    <w:p>
      <w:pPr>
        <w:ind w:left="7400"/>
        <w:spacing w:after="0"/>
        <w:rPr>
          <w:sz w:val="20"/>
          <w:szCs w:val="20"/>
          <w:color w:val="auto"/>
        </w:rPr>
      </w:pPr>
      <w:r>
        <w:rPr>
          <w:rFonts w:ascii="Times New Roman" w:cs="Times New Roman" w:eastAsia="Times New Roman" w:hAnsi="Times New Roman"/>
          <w:sz w:val="18"/>
          <w:szCs w:val="18"/>
          <w:color w:val="auto"/>
        </w:rPr>
        <w:t>Vice President and Chief Financial Officer</w:t>
      </w:r>
    </w:p>
    <w:p>
      <w:pPr>
        <w:spacing w:after="0" w:line="316"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This certification accompanies this Quarterly Report on Form 10-Q pursuant to Section 906 of the Sarbanes-Oxley Act of 2002 and shall not, except to the extent required by such Act, be deemed filed by Brighthouse Life Insurance Company (the “Company”) for purposes of Section 18 of the Securities Exchange Act of 1934, as amended (the “Exchange Act”). Such certification will not be deemed to be incorporated by reference into any filing under the Securities Act of 1933, as amended, or the Exchange Act, except to the extent that the Company specifically incorporates it by reference.</w:t>
      </w:r>
    </w:p>
    <w:sectPr>
      <w:pgSz w:w="11900" w:h="16838" w:orient="portrait"/>
      <w:cols w:equalWidth="0" w:num="1">
        <w:col w:w="11240"/>
      </w:cols>
      <w:pgMar w:left="320" w:top="35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D1D5AE9"/>
    <w:multiLevelType w:val="hybridMultilevel"/>
    <w:lvl w:ilvl="0">
      <w:lvlJc w:val="left"/>
      <w:lvlText w:val="☑"/>
      <w:numFmt w:val="bullet"/>
      <w:start w:val="1"/>
    </w:lvl>
  </w:abstractNum>
  <w:abstractNum w:abstractNumId="1">
    <w:nsid w:val="6763845E"/>
    <w:multiLevelType w:val="hybridMultilevel"/>
    <w:lvl w:ilvl="0">
      <w:lvlJc w:val="left"/>
      <w:lvlText w:val="☐"/>
      <w:numFmt w:val="bullet"/>
      <w:start w:val="1"/>
    </w:lvl>
  </w:abstractNum>
  <w:abstractNum w:abstractNumId="2">
    <w:nsid w:val="75A2A8D4"/>
    <w:multiLevelType w:val="hybridMultilevel"/>
    <w:lvl w:ilvl="0">
      <w:lvlJc w:val="left"/>
      <w:lvlText w:val="•"/>
      <w:numFmt w:val="bullet"/>
      <w:start w:val="1"/>
    </w:lvl>
  </w:abstractNum>
  <w:abstractNum w:abstractNumId="3">
    <w:nsid w:val="8EDBDAB"/>
    <w:multiLevelType w:val="hybridMultilevel"/>
    <w:lvl w:ilvl="0">
      <w:lvlJc w:val="left"/>
      <w:lvlText w:val="•"/>
      <w:numFmt w:val="bullet"/>
      <w:start w:val="1"/>
    </w:lvl>
  </w:abstractNum>
  <w:abstractNum w:abstractNumId="4">
    <w:nsid w:val="79838CB2"/>
    <w:multiLevelType w:val="hybridMultilevel"/>
    <w:lvl w:ilvl="0">
      <w:lvlJc w:val="left"/>
      <w:lvlText w:val="(%1)"/>
      <w:numFmt w:val="decimal"/>
      <w:start w:val="1"/>
    </w:lvl>
  </w:abstractNum>
  <w:abstractNum w:abstractNumId="5">
    <w:nsid w:val="4353D0CD"/>
    <w:multiLevelType w:val="hybridMultilevel"/>
    <w:lvl w:ilvl="0">
      <w:lvlJc w:val="left"/>
      <w:lvlText w:val="(%1)"/>
      <w:numFmt w:val="decimal"/>
      <w:start w:val="1"/>
    </w:lvl>
  </w:abstractNum>
  <w:abstractNum w:abstractNumId="6">
    <w:nsid w:val="B03E0C6"/>
    <w:multiLevelType w:val="hybridMultilevel"/>
    <w:lvl w:ilvl="0">
      <w:lvlJc w:val="left"/>
      <w:lvlText w:val="(%1)"/>
      <w:numFmt w:val="decimal"/>
      <w:start w:val="1"/>
    </w:lvl>
  </w:abstractNum>
  <w:abstractNum w:abstractNumId="7">
    <w:nsid w:val="189A769B"/>
    <w:multiLevelType w:val="hybridMultilevel"/>
    <w:lvl w:ilvl="0">
      <w:lvlJc w:val="left"/>
      <w:lvlText w:val="(%1)"/>
      <w:numFmt w:val="decimal"/>
      <w:start w:val="1"/>
    </w:lvl>
  </w:abstractNum>
  <w:abstractNum w:abstractNumId="8">
    <w:nsid w:val="54E49EB4"/>
    <w:multiLevelType w:val="hybridMultilevel"/>
    <w:lvl w:ilvl="0">
      <w:lvlJc w:val="left"/>
      <w:lvlText w:val="(%1)"/>
      <w:numFmt w:val="decimal"/>
      <w:start w:val="1"/>
    </w:lvl>
  </w:abstractNum>
  <w:abstractNum w:abstractNumId="9">
    <w:nsid w:val="71F32454"/>
    <w:multiLevelType w:val="hybridMultilevel"/>
    <w:lvl w:ilvl="0">
      <w:lvlJc w:val="left"/>
      <w:lvlText w:val="%1."/>
      <w:numFmt w:val="decimal"/>
      <w:start w:val="7"/>
    </w:lvl>
  </w:abstractNum>
  <w:abstractNum w:abstractNumId="10">
    <w:nsid w:val="2CA88611"/>
    <w:multiLevelType w:val="hybridMultilevel"/>
    <w:lvl w:ilvl="0">
      <w:lvlJc w:val="left"/>
      <w:lvlText w:val="(%1)"/>
      <w:numFmt w:val="decimal"/>
      <w:start w:val="1"/>
    </w:lvl>
  </w:abstractNum>
  <w:abstractNum w:abstractNumId="11">
    <w:nsid w:val="836C40E"/>
    <w:multiLevelType w:val="hybridMultilevel"/>
    <w:lvl w:ilvl="0">
      <w:lvlJc w:val="left"/>
      <w:lvlText w:val="(%1)"/>
      <w:numFmt w:val="decimal"/>
      <w:start w:val="1"/>
    </w:lvl>
  </w:abstractNum>
  <w:abstractNum w:abstractNumId="12">
    <w:nsid w:val="2901D82"/>
    <w:multiLevelType w:val="hybridMultilevel"/>
    <w:lvl w:ilvl="0">
      <w:lvlJc w:val="left"/>
      <w:lvlText w:val="(%1)"/>
      <w:numFmt w:val="decimal"/>
      <w:start w:val="1"/>
    </w:lvl>
  </w:abstractNum>
  <w:abstractNum w:abstractNumId="13">
    <w:nsid w:val="3A95F874"/>
    <w:multiLevelType w:val="hybridMultilevel"/>
    <w:lvl w:ilvl="0">
      <w:lvlJc w:val="left"/>
      <w:lvlText w:val="(%1)"/>
      <w:numFmt w:val="decimal"/>
      <w:start w:val="1"/>
    </w:lvl>
  </w:abstractNum>
  <w:abstractNum w:abstractNumId="14">
    <w:nsid w:val="8138641"/>
    <w:multiLevelType w:val="hybridMultilevel"/>
    <w:lvl w:ilvl="0">
      <w:lvlJc w:val="left"/>
      <w:lvlText w:val="(%1)"/>
      <w:numFmt w:val="decimal"/>
      <w:start w:val="1"/>
    </w:lvl>
  </w:abstractNum>
  <w:abstractNum w:abstractNumId="15">
    <w:nsid w:val="1E7FF521"/>
    <w:multiLevelType w:val="hybridMultilevel"/>
    <w:lvl w:ilvl="0">
      <w:lvlJc w:val="left"/>
      <w:lvlText w:val="(%1)"/>
      <w:numFmt w:val="decimal"/>
      <w:start w:val="1"/>
    </w:lvl>
  </w:abstractNum>
  <w:abstractNum w:abstractNumId="16">
    <w:nsid w:val="7C3DBD3D"/>
    <w:multiLevelType w:val="hybridMultilevel"/>
    <w:lvl w:ilvl="0">
      <w:lvlJc w:val="left"/>
      <w:lvlText w:val="(%1)"/>
      <w:numFmt w:val="decimal"/>
      <w:start w:val="1"/>
    </w:lvl>
  </w:abstractNum>
  <w:abstractNum w:abstractNumId="17">
    <w:nsid w:val="737B8DDC"/>
    <w:multiLevelType w:val="hybridMultilevel"/>
    <w:lvl w:ilvl="0">
      <w:lvlJc w:val="left"/>
      <w:lvlText w:val="(%1)"/>
      <w:numFmt w:val="decimal"/>
      <w:start w:val="1"/>
    </w:lvl>
  </w:abstractNum>
  <w:abstractNum w:abstractNumId="18">
    <w:nsid w:val="6CEAF087"/>
    <w:multiLevelType w:val="hybridMultilevel"/>
    <w:lvl w:ilvl="0">
      <w:lvlJc w:val="left"/>
      <w:lvlText w:val="•"/>
      <w:numFmt w:val="bullet"/>
      <w:start w:val="1"/>
    </w:lvl>
  </w:abstractNum>
  <w:abstractNum w:abstractNumId="19">
    <w:nsid w:val="22221A70"/>
    <w:multiLevelType w:val="hybridMultilevel"/>
    <w:lvl w:ilvl="0">
      <w:lvlJc w:val="left"/>
      <w:lvlText w:val="(%1)"/>
      <w:numFmt w:val="decimal"/>
      <w:start w:val="1"/>
    </w:lvl>
  </w:abstractNum>
  <w:abstractNum w:abstractNumId="20">
    <w:nsid w:val="4516DDE9"/>
    <w:multiLevelType w:val="hybridMultilevel"/>
    <w:lvl w:ilvl="0">
      <w:lvlJc w:val="left"/>
      <w:lvlText w:val="(%1)"/>
      <w:numFmt w:val="lowerRoman"/>
      <w:start w:val="2"/>
    </w:lvl>
  </w:abstractNum>
  <w:abstractNum w:abstractNumId="21">
    <w:nsid w:val="3006C83E"/>
    <w:multiLevelType w:val="hybridMultilevel"/>
    <w:lvl w:ilvl="0">
      <w:lvlJc w:val="left"/>
      <w:lvlText w:val="(%1)"/>
      <w:numFmt w:val="decimal"/>
      <w:start w:val="1"/>
    </w:lvl>
  </w:abstractNum>
  <w:abstractNum w:abstractNumId="22">
    <w:nsid w:val="614FD4A1"/>
    <w:multiLevelType w:val="hybridMultilevel"/>
    <w:lvl w:ilvl="0">
      <w:lvlJc w:val="left"/>
      <w:lvlText w:val="(%1)"/>
      <w:numFmt w:val="decimal"/>
      <w:start w:val="1"/>
    </w:lvl>
  </w:abstractNum>
  <w:abstractNum w:abstractNumId="23">
    <w:nsid w:val="419AC241"/>
    <w:multiLevelType w:val="hybridMultilevel"/>
    <w:lvl w:ilvl="0">
      <w:lvlJc w:val="left"/>
      <w:lvlText w:val="(%1)"/>
      <w:numFmt w:val="decimal"/>
      <w:start w:val="1"/>
    </w:lvl>
  </w:abstractNum>
  <w:abstractNum w:abstractNumId="24">
    <w:nsid w:val="5577F8E1"/>
    <w:multiLevelType w:val="hybridMultilevel"/>
    <w:lvl w:ilvl="0">
      <w:lvlJc w:val="left"/>
      <w:lvlText w:val="(%1)"/>
      <w:numFmt w:val="decimal"/>
      <w:start w:val="1"/>
    </w:lvl>
  </w:abstractNum>
  <w:abstractNum w:abstractNumId="25">
    <w:nsid w:val="440BADFC"/>
    <w:multiLevelType w:val="hybridMultilevel"/>
    <w:lvl w:ilvl="0">
      <w:lvlJc w:val="left"/>
      <w:lvlText w:val="(%1)"/>
      <w:numFmt w:val="decimal"/>
      <w:start w:val="6"/>
    </w:lvl>
  </w:abstractNum>
  <w:abstractNum w:abstractNumId="26">
    <w:nsid w:val="5072367"/>
    <w:multiLevelType w:val="hybridMultilevel"/>
    <w:lvl w:ilvl="0">
      <w:lvlJc w:val="left"/>
      <w:lvlText w:val="(%1)"/>
      <w:numFmt w:val="decimal"/>
      <w:start w:val="1"/>
    </w:lvl>
  </w:abstractNum>
  <w:abstractNum w:abstractNumId="27">
    <w:nsid w:val="3804823E"/>
    <w:multiLevelType w:val="hybridMultilevel"/>
    <w:lvl w:ilvl="0">
      <w:lvlJc w:val="left"/>
      <w:lvlText w:val="(%1)"/>
      <w:numFmt w:val="decimal"/>
      <w:start w:val="4"/>
    </w:lvl>
  </w:abstractNum>
  <w:abstractNum w:abstractNumId="28">
    <w:nsid w:val="77465F01"/>
    <w:multiLevelType w:val="hybridMultilevel"/>
    <w:lvl w:ilvl="0">
      <w:lvlJc w:val="left"/>
      <w:lvlText w:val="(%1)"/>
      <w:numFmt w:val="decimal"/>
      <w:start w:val="5"/>
    </w:lvl>
  </w:abstractNum>
  <w:abstractNum w:abstractNumId="29">
    <w:nsid w:val="7724C67E"/>
    <w:multiLevelType w:val="hybridMultilevel"/>
    <w:lvl w:ilvl="0">
      <w:lvlJc w:val="left"/>
      <w:lvlText w:val="(%1)"/>
      <w:numFmt w:val="decimal"/>
      <w:start w:val="2"/>
    </w:lvl>
  </w:abstractNum>
  <w:abstractNum w:abstractNumId="30">
    <w:nsid w:val="5C482A97"/>
    <w:multiLevelType w:val="hybridMultilevel"/>
    <w:lvl w:ilvl="0">
      <w:lvlJc w:val="left"/>
      <w:lvlText w:val="•"/>
      <w:numFmt w:val="bullet"/>
      <w:start w:val="1"/>
    </w:lvl>
  </w:abstractNum>
  <w:abstractNum w:abstractNumId="31">
    <w:nsid w:val="2463B9EA"/>
    <w:multiLevelType w:val="hybridMultilevel"/>
    <w:lvl w:ilvl="0">
      <w:lvlJc w:val="left"/>
      <w:lvlText w:val="•"/>
      <w:numFmt w:val="bullet"/>
      <w:start w:val="1"/>
    </w:lvl>
  </w:abstractNum>
  <w:abstractNum w:abstractNumId="32">
    <w:nsid w:val="5E884ADC"/>
    <w:multiLevelType w:val="hybridMultilevel"/>
    <w:lvl w:ilvl="0">
      <w:lvlJc w:val="left"/>
      <w:lvlText w:val="•"/>
      <w:numFmt w:val="bullet"/>
      <w:start w:val="1"/>
    </w:lvl>
  </w:abstractNum>
  <w:abstractNum w:abstractNumId="33">
    <w:nsid w:val="51EAD36B"/>
    <w:multiLevelType w:val="hybridMultilevel"/>
    <w:lvl w:ilvl="0">
      <w:lvlJc w:val="left"/>
      <w:lvlText w:val="•"/>
      <w:numFmt w:val="bullet"/>
      <w:start w:val="1"/>
    </w:lvl>
  </w:abstractNum>
  <w:abstractNum w:abstractNumId="34">
    <w:nsid w:val="2D517796"/>
    <w:multiLevelType w:val="hybridMultilevel"/>
    <w:lvl w:ilvl="0">
      <w:lvlJc w:val="left"/>
      <w:lvlText w:val="•"/>
      <w:numFmt w:val="bullet"/>
      <w:start w:val="1"/>
    </w:lvl>
  </w:abstractNum>
  <w:abstractNum w:abstractNumId="35">
    <w:nsid w:val="580BD78F"/>
    <w:multiLevelType w:val="hybridMultilevel"/>
    <w:lvl w:ilvl="0">
      <w:lvlJc w:val="left"/>
      <w:lvlText w:val="•"/>
      <w:numFmt w:val="bullet"/>
      <w:start w:val="1"/>
    </w:lvl>
  </w:abstractNum>
  <w:abstractNum w:abstractNumId="36">
    <w:nsid w:val="153EA438"/>
    <w:multiLevelType w:val="hybridMultilevel"/>
    <w:lvl w:ilvl="0">
      <w:lvlJc w:val="left"/>
      <w:lvlText w:val="◦"/>
      <w:numFmt w:val="bullet"/>
      <w:start w:val="1"/>
    </w:lvl>
  </w:abstractNum>
  <w:abstractNum w:abstractNumId="37">
    <w:nsid w:val="3855585C"/>
    <w:multiLevelType w:val="hybridMultilevel"/>
    <w:lvl w:ilvl="0">
      <w:lvlJc w:val="left"/>
      <w:lvlText w:val="•"/>
      <w:numFmt w:val="bullet"/>
      <w:start w:val="1"/>
    </w:lvl>
    <w:lvl w:ilvl="1">
      <w:lvlJc w:val="left"/>
      <w:lvlText w:val="◦"/>
      <w:numFmt w:val="bullet"/>
      <w:start w:val="1"/>
    </w:lvl>
  </w:abstractNum>
  <w:abstractNum w:abstractNumId="38">
    <w:nsid w:val="70A64E2A"/>
    <w:multiLevelType w:val="hybridMultilevel"/>
    <w:lvl w:ilvl="0">
      <w:lvlJc w:val="left"/>
      <w:lvlText w:val="•"/>
      <w:numFmt w:val="bullet"/>
      <w:start w:val="1"/>
    </w:lvl>
  </w:abstractNum>
  <w:abstractNum w:abstractNumId="39">
    <w:nsid w:val="6A2342EC"/>
    <w:multiLevelType w:val="hybridMultilevel"/>
    <w:lvl w:ilvl="0">
      <w:lvlJc w:val="left"/>
      <w:lvlText w:val="•"/>
      <w:numFmt w:val="bullet"/>
      <w:start w:val="1"/>
    </w:lvl>
  </w:abstractNum>
  <w:abstractNum w:abstractNumId="40">
    <w:nsid w:val="2A487CB0"/>
    <w:multiLevelType w:val="hybridMultilevel"/>
    <w:lvl w:ilvl="0">
      <w:lvlJc w:val="left"/>
      <w:lvlText w:val="•"/>
      <w:numFmt w:val="bullet"/>
      <w:start w:val="1"/>
    </w:lvl>
  </w:abstractNum>
  <w:abstractNum w:abstractNumId="41">
    <w:nsid w:val="1D4ED43B"/>
    <w:multiLevelType w:val="hybridMultilevel"/>
    <w:lvl w:ilvl="0">
      <w:lvlJc w:val="left"/>
      <w:lvlText w:val="•"/>
      <w:numFmt w:val="bullet"/>
      <w:start w:val="1"/>
    </w:lvl>
  </w:abstractNum>
  <w:abstractNum w:abstractNumId="42">
    <w:nsid w:val="725A06FB"/>
    <w:multiLevelType w:val="hybridMultilevel"/>
    <w:lvl w:ilvl="0">
      <w:lvlJc w:val="left"/>
      <w:lvlText w:val="•"/>
      <w:numFmt w:val="bullet"/>
      <w:start w:val="1"/>
    </w:lvl>
  </w:abstractNum>
  <w:abstractNum w:abstractNumId="43">
    <w:nsid w:val="2CD89A32"/>
    <w:multiLevelType w:val="hybridMultilevel"/>
    <w:lvl w:ilvl="0">
      <w:lvlJc w:val="left"/>
      <w:lvlText w:val="%1."/>
      <w:numFmt w:val="decimal"/>
      <w:start w:val="1"/>
    </w:lvl>
    <w:lvl w:ilvl="1">
      <w:lvlJc w:val="left"/>
      <w:lvlText w:val="%2)"/>
      <w:numFmt w:val="lowerLetter"/>
      <w:start w:val="1"/>
    </w:lvl>
  </w:abstractNum>
  <w:abstractNum w:abstractNumId="44">
    <w:nsid w:val="57E4CCAF"/>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2026-05-11T15:24:49Z</dcterms:created>
  <dcterms:modified xsi:type="dcterms:W3CDTF">2026-05-11T15:24:49Z</dcterms:modified>
</cp:coreProperties>
</file>