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June 3, 2026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13335</wp:posOffset>
            </wp:positionV>
            <wp:extent cx="198882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Brighthouse Financial, Inc.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69" w:lineRule="exact"/>
        <w:rPr>
          <w:sz w:val="24"/>
          <w:szCs w:val="24"/>
          <w:color w:val="auto"/>
        </w:rPr>
      </w:pPr>
    </w:p>
    <w:p>
      <w:pPr>
        <w:ind w:left="2420"/>
        <w:spacing w:after="0"/>
        <w:tabs>
          <w:tab w:leader="none" w:pos="5480" w:val="left"/>
          <w:tab w:leader="none" w:pos="83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001-37905</w:t>
      </w:r>
      <w:r>
        <w:rPr>
          <w:sz w:val="20"/>
          <w:szCs w:val="20"/>
          <w:color w:val="auto"/>
        </w:rPr>
        <w:tab/>
      </w:r>
      <w:r>
        <w:rPr>
          <w:rFonts w:ascii="Times New Roman" w:cs="Times New Roman" w:eastAsia="Times New Roman" w:hAnsi="Times New Roman"/>
          <w:sz w:val="16"/>
          <w:szCs w:val="16"/>
          <w:b w:val="1"/>
          <w:bCs w:val="1"/>
          <w:color w:val="auto"/>
        </w:rPr>
        <w:t>81-3846992</w:t>
      </w:r>
    </w:p>
    <w:p>
      <w:pPr>
        <w:spacing w:after="0" w:line="34" w:lineRule="exact"/>
        <w:rPr>
          <w:sz w:val="24"/>
          <w:szCs w:val="24"/>
          <w:color w:val="auto"/>
        </w:rPr>
      </w:pPr>
    </w:p>
    <w:p>
      <w:pPr>
        <w:ind w:left="1320"/>
        <w:spacing w:after="0"/>
        <w:tabs>
          <w:tab w:leader="none" w:pos="4940" w:val="left"/>
          <w:tab w:leader="none" w:pos="7600" w:val="left"/>
        </w:tabs>
        <w:rPr>
          <w:sz w:val="20"/>
          <w:szCs w:val="20"/>
          <w:color w:val="auto"/>
        </w:rPr>
      </w:pPr>
      <w:r>
        <w:rPr>
          <w:rFonts w:ascii="Times New Roman" w:cs="Times New Roman" w:eastAsia="Times New Roman" w:hAnsi="Times New Roman"/>
          <w:sz w:val="16"/>
          <w:szCs w:val="16"/>
          <w:color w:val="auto"/>
        </w:rPr>
        <w:t>(State or other jurisdiction of incorporation)</w:t>
      </w:r>
      <w:r>
        <w:rPr>
          <w:sz w:val="20"/>
          <w:szCs w:val="20"/>
          <w:color w:val="auto"/>
        </w:rPr>
        <w:tab/>
      </w:r>
      <w:r>
        <w:rPr>
          <w:rFonts w:ascii="Times New Roman" w:cs="Times New Roman" w:eastAsia="Times New Roman" w:hAnsi="Times New Roman"/>
          <w:sz w:val="16"/>
          <w:szCs w:val="16"/>
          <w:color w:val="auto"/>
        </w:rPr>
        <w:t>(Commission File Number)</w:t>
      </w:r>
      <w:r>
        <w:rPr>
          <w:sz w:val="20"/>
          <w:szCs w:val="20"/>
          <w:color w:val="auto"/>
        </w:rPr>
        <w:tab/>
      </w:r>
      <w:r>
        <w:rPr>
          <w:rFonts w:ascii="Times New Roman" w:cs="Times New Roman" w:eastAsia="Times New Roman" w:hAnsi="Times New Roman"/>
          <w:sz w:val="16"/>
          <w:szCs w:val="16"/>
          <w:color w:val="auto"/>
        </w:rPr>
        <w:t>(IRS Employer Identification No.)</w:t>
      </w:r>
    </w:p>
    <w:p>
      <w:pPr>
        <w:sectPr>
          <w:pgSz w:w="11900" w:h="16838" w:orient="portrait"/>
          <w:cols w:equalWidth="0" w:num="1">
            <w:col w:w="11180"/>
          </w:cols>
          <w:pgMar w:left="320" w:top="977" w:right="3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left="440"/>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11225 North Community House Road, Charlotte,</w:t>
        <w:tab/>
        <w:t>North Carolina</w:t>
      </w:r>
    </w:p>
    <w:p>
      <w:pPr>
        <w:spacing w:after="0" w:line="34"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(980) 365-7100</w:t>
      </w:r>
    </w:p>
    <w:p>
      <w:pPr>
        <w:spacing w:after="0" w:line="262"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28277</w:t>
      </w:r>
    </w:p>
    <w:p>
      <w:pPr>
        <w:spacing w:after="0" w:line="14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color w:val="auto"/>
        </w:rPr>
        <w:t>(Zip Code)</w:t>
      </w:r>
    </w:p>
    <w:p>
      <w:pPr>
        <w:spacing w:after="0" w:line="1136" w:lineRule="exact"/>
        <w:rPr>
          <w:sz w:val="24"/>
          <w:szCs w:val="24"/>
          <w:color w:val="auto"/>
        </w:rPr>
      </w:pPr>
    </w:p>
    <w:p>
      <w:pPr>
        <w:sectPr>
          <w:pgSz w:w="11900" w:h="16838" w:orient="portrait"/>
          <w:cols w:equalWidth="0" w:num="2">
            <w:col w:w="7840" w:space="540"/>
            <w:col w:w="2800"/>
          </w:cols>
          <w:pgMar w:left="320" w:top="977" w:right="39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60" w:type="dxa"/>
            <w:vAlign w:val="bottom"/>
          </w:tcPr>
          <w:p>
            <w:pPr>
              <w:spacing w:after="0"/>
              <w:rPr>
                <w:sz w:val="18"/>
                <w:szCs w:val="18"/>
                <w:color w:val="auto"/>
              </w:rPr>
            </w:pPr>
          </w:p>
        </w:tc>
        <w:tc>
          <w:tcPr>
            <w:tcW w:w="23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240" w:type="dxa"/>
            <w:vAlign w:val="bottom"/>
          </w:tcPr>
          <w:p>
            <w:pPr>
              <w:spacing w:after="0"/>
              <w:rPr>
                <w:sz w:val="20"/>
                <w:szCs w:val="20"/>
                <w:color w:val="auto"/>
              </w:rPr>
            </w:pPr>
          </w:p>
        </w:tc>
        <w:tc>
          <w:tcPr>
            <w:tcW w:w="212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7"/>
              </w:rPr>
              <w:t>BHF</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68"/>
        </w:trPr>
        <w:tc>
          <w:tcPr>
            <w:tcW w:w="532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BHFAP</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6.600% Non-Cumulative Preferred Stock, Series A</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8"/>
              </w:rPr>
              <w:t>BHFAO</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6.750% Non-Cumulative Preferred Stock, Series B</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BHFAN</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5.375% Non-Cumulative Preferred Stock, Series C</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BHFAM</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4.625% Non-Cumulative Preferred Stock, Series D</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6.250% Junior Subordinated Debentures due 2058</w:t>
            </w:r>
          </w:p>
        </w:tc>
        <w:tc>
          <w:tcPr>
            <w:tcW w:w="240" w:type="dxa"/>
            <w:vAlign w:val="bottom"/>
          </w:tcPr>
          <w:p>
            <w:pPr>
              <w:spacing w:after="0"/>
              <w:rPr>
                <w:sz w:val="18"/>
                <w:szCs w:val="18"/>
                <w:color w:val="auto"/>
              </w:rPr>
            </w:pPr>
          </w:p>
        </w:tc>
        <w:tc>
          <w:tcPr>
            <w:tcW w:w="212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BHFAL</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w:t>
      </w:r>
    </w:p>
    <w:p>
      <w:pPr>
        <w:sectPr>
          <w:pgSz w:w="11900" w:h="16838" w:orient="portrait"/>
          <w:cols w:equalWidth="0" w:num="1">
            <w:col w:w="11180"/>
          </w:cols>
          <w:pgMar w:left="320" w:top="977" w:right="39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of the Securities Exchange Act of 1934 (§240.12b-2 of this chapter).</w:t>
      </w:r>
    </w:p>
    <w:p>
      <w:pPr>
        <w:spacing w:after="0" w:line="38"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86" w:lineRule="exact"/>
        <w:rPr>
          <w:sz w:val="24"/>
          <w:szCs w:val="24"/>
          <w:color w:val="auto"/>
        </w:rPr>
      </w:pPr>
    </w:p>
    <w:p>
      <w:pPr>
        <w:jc w:val="right"/>
        <w:ind w:left="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180" w:space="240"/>
            <w:col w:w="760"/>
          </w:cols>
          <w:pgMar w:left="320" w:top="977"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June 2, 2026, Brighthouse Financial, Inc. (the “Company”) held its Annual Meeting of Stockholders (the “2026 Annual Meeting”). At the 2026 Annual Meeting, three proposals were submitted to the Company’s stockholders. The proposals are described in more detail in the Company’s definitive proxy statement filed with the U.S. Securities and Exchange Commission on April 14, 2026 (the “2026 Proxy Statement”). The final voting results were as follows:</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Proposal 1</w:t>
      </w:r>
      <w:r>
        <w:rPr>
          <w:rFonts w:ascii="Times New Roman" w:cs="Times New Roman" w:eastAsia="Times New Roman" w:hAnsi="Times New Roman"/>
          <w:sz w:val="20"/>
          <w:szCs w:val="20"/>
          <w:color w:val="auto"/>
        </w:rPr>
        <w:t>: The Company’s stockholders elected the nine director nominees named in the 2026 Proxy Statement to serve a one-year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ending at the Company’s 2027 Annual Meeting of Stockholders. The voting results are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Director Nominee</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19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b w:val="1"/>
                <w:bCs w:val="1"/>
                <w:color w:val="auto"/>
                <w:w w:val="95"/>
              </w:rPr>
              <w:t>Abstain</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35"/>
        </w:trPr>
        <w:tc>
          <w:tcPr>
            <w:tcW w:w="30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256"/>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 Edward (“Chuck”) Chaplin</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37,566,650</w:t>
            </w:r>
          </w:p>
        </w:tc>
        <w:tc>
          <w:tcPr>
            <w:tcW w:w="19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173,461</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58,104</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Stephen C. Hooley</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37,664,393</w:t>
            </w:r>
          </w:p>
        </w:tc>
        <w:tc>
          <w:tcPr>
            <w:tcW w:w="19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75,801</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58,021</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Michael J. Inserra</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37,661,290</w:t>
            </w:r>
          </w:p>
        </w:tc>
        <w:tc>
          <w:tcPr>
            <w:tcW w:w="19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78,860</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58,065</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Carol D. Juel</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37,645,131</w:t>
            </w:r>
          </w:p>
        </w:tc>
        <w:tc>
          <w:tcPr>
            <w:tcW w:w="19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78,814</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74,270</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Eileen A. Mallesch</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37,600,089</w:t>
            </w:r>
          </w:p>
        </w:tc>
        <w:tc>
          <w:tcPr>
            <w:tcW w:w="19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133,864</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64,262</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Diane E. Offereins</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37,472,798</w:t>
            </w:r>
          </w:p>
        </w:tc>
        <w:tc>
          <w:tcPr>
            <w:tcW w:w="19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260,948</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64,469</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Eric T. Steigerwalt</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37,691,962</w:t>
            </w:r>
          </w:p>
        </w:tc>
        <w:tc>
          <w:tcPr>
            <w:tcW w:w="19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46,354</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59,899</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Paul M. Wetzel</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37,619,367</w:t>
            </w:r>
          </w:p>
        </w:tc>
        <w:tc>
          <w:tcPr>
            <w:tcW w:w="19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119,602</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59,246</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Lizabeth H. Zlatkus</w:t>
            </w:r>
          </w:p>
        </w:tc>
        <w:tc>
          <w:tcPr>
            <w:tcW w:w="2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37,639,233</w:t>
            </w:r>
          </w:p>
        </w:tc>
        <w:tc>
          <w:tcPr>
            <w:tcW w:w="1900" w:type="dxa"/>
            <w:vAlign w:val="bottom"/>
          </w:tcPr>
          <w:p>
            <w:pPr>
              <w:jc w:val="center"/>
              <w:ind w:right="21"/>
              <w:spacing w:after="0"/>
              <w:rPr>
                <w:sz w:val="20"/>
                <w:szCs w:val="20"/>
                <w:color w:val="auto"/>
              </w:rPr>
            </w:pPr>
            <w:r>
              <w:rPr>
                <w:rFonts w:ascii="Times New Roman" w:cs="Times New Roman" w:eastAsia="Times New Roman" w:hAnsi="Times New Roman"/>
                <w:sz w:val="20"/>
                <w:szCs w:val="20"/>
                <w:color w:val="auto"/>
                <w:w w:val="98"/>
              </w:rPr>
              <w:t>84,340</w:t>
            </w:r>
          </w:p>
        </w:tc>
        <w:tc>
          <w:tcPr>
            <w:tcW w:w="18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74,642</w:t>
            </w:r>
          </w:p>
        </w:tc>
        <w:tc>
          <w:tcPr>
            <w:tcW w:w="22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5,516,725</w:t>
            </w:r>
          </w:p>
        </w:tc>
      </w:tr>
    </w:tbl>
    <w:p>
      <w:pPr>
        <w:spacing w:after="0" w:line="33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Proposal 2</w:t>
      </w:r>
      <w:r>
        <w:rPr>
          <w:rFonts w:ascii="Times New Roman" w:cs="Times New Roman" w:eastAsia="Times New Roman" w:hAnsi="Times New Roman"/>
          <w:sz w:val="20"/>
          <w:szCs w:val="20"/>
          <w:color w:val="auto"/>
        </w:rPr>
        <w:t>: The Company’s stockholders ratified the appointment of Deloitte &amp; Touche LLP as the Company’s independent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public accounting firm for fiscal year 2026. The voting results are set forth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w:t>
            </w:r>
          </w:p>
        </w:tc>
        <w:tc>
          <w:tcPr>
            <w:tcW w:w="2600" w:type="dxa"/>
            <w:vAlign w:val="bottom"/>
          </w:tcPr>
          <w:p>
            <w:pPr>
              <w:ind w:left="96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48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86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35"/>
        </w:trPr>
        <w:tc>
          <w:tcPr>
            <w:tcW w:w="27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272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43,086,381</w:t>
            </w:r>
          </w:p>
        </w:tc>
        <w:tc>
          <w:tcPr>
            <w:tcW w:w="26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147,967</w:t>
            </w:r>
          </w:p>
        </w:tc>
        <w:tc>
          <w:tcPr>
            <w:tcW w:w="248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rPr>
              <w:t>80,592</w:t>
            </w:r>
          </w:p>
        </w:tc>
        <w:tc>
          <w:tcPr>
            <w:tcW w:w="2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34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Proposal 3</w:t>
      </w:r>
      <w:r>
        <w:rPr>
          <w:rFonts w:ascii="Times New Roman" w:cs="Times New Roman" w:eastAsia="Times New Roman" w:hAnsi="Times New Roman"/>
          <w:sz w:val="20"/>
          <w:szCs w:val="20"/>
          <w:color w:val="auto"/>
        </w:rPr>
        <w:t>: The Company’s stockholders approved an advisory resolution approving the compensation of the Company’s named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officers (the “Say-on-Pay” vote). The voting results are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w:t>
            </w:r>
          </w:p>
        </w:tc>
        <w:tc>
          <w:tcPr>
            <w:tcW w:w="2600" w:type="dxa"/>
            <w:vAlign w:val="bottom"/>
          </w:tcPr>
          <w:p>
            <w:pPr>
              <w:ind w:left="96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480" w:type="dxa"/>
            <w:vAlign w:val="bottom"/>
          </w:tcPr>
          <w:p>
            <w:pPr>
              <w:ind w:left="1000"/>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286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35"/>
        </w:trPr>
        <w:tc>
          <w:tcPr>
            <w:tcW w:w="27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272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37,075,125</w:t>
            </w:r>
          </w:p>
        </w:tc>
        <w:tc>
          <w:tcPr>
            <w:tcW w:w="260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545,676</w:t>
            </w:r>
          </w:p>
        </w:tc>
        <w:tc>
          <w:tcPr>
            <w:tcW w:w="248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177,414</w:t>
            </w:r>
          </w:p>
        </w:tc>
        <w:tc>
          <w:tcPr>
            <w:tcW w:w="286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5,516,725</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23"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6"/>
          <w:szCs w:val="16"/>
          <w:b w:val="1"/>
          <w:bCs w:val="1"/>
          <w:u w:val="single" w:color="auto"/>
          <w:color w:val="auto"/>
        </w:rPr>
        <w:t>Description</w:t>
      </w:r>
    </w:p>
    <w:p>
      <w:pPr>
        <w:spacing w:after="0" w:line="39" w:lineRule="exact"/>
        <w:rPr>
          <w:sz w:val="20"/>
          <w:szCs w:val="20"/>
          <w:color w:val="auto"/>
        </w:rPr>
      </w:pPr>
    </w:p>
    <w:p>
      <w:pPr>
        <w:ind w:left="1180" w:hanging="1114"/>
        <w:spacing w:after="0"/>
        <w:tabs>
          <w:tab w:leader="none" w:pos="11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8"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BRIGHTHOUSE FINANCIAL, INC.</w:t>
      </w:r>
    </w:p>
    <w:p>
      <w:pPr>
        <w:spacing w:after="0" w:line="200" w:lineRule="exact"/>
        <w:rPr>
          <w:sz w:val="20"/>
          <w:szCs w:val="20"/>
          <w:color w:val="auto"/>
        </w:rPr>
      </w:pPr>
    </w:p>
    <w:p>
      <w:pPr>
        <w:spacing w:after="0" w:line="259" w:lineRule="exact"/>
        <w:rPr>
          <w:sz w:val="20"/>
          <w:szCs w:val="20"/>
          <w:color w:val="auto"/>
        </w:rPr>
      </w:pPr>
    </w:p>
    <w:p>
      <w:pPr>
        <w:ind w:left="5140"/>
        <w:spacing w:after="0"/>
        <w:tabs>
          <w:tab w:leader="none" w:pos="5660" w:val="left"/>
        </w:tabs>
        <w:rPr>
          <w:sz w:val="20"/>
          <w:szCs w:val="20"/>
          <w:color w:val="auto"/>
        </w:rPr>
      </w:pPr>
      <w:r>
        <w:rPr>
          <w:rFonts w:ascii="Times New Roman" w:cs="Times New Roman" w:eastAsia="Times New Roman" w:hAnsi="Times New Roman"/>
          <w:sz w:val="20"/>
          <w:szCs w:val="20"/>
          <w:color w:val="auto"/>
        </w:rPr>
        <w:t>By:</w:t>
        <w:tab/>
        <w:t>/s/ Allie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22860</wp:posOffset>
            </wp:positionV>
            <wp:extent cx="3540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Name: Allie Lin</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Title: Executive Vice President, General Counsel and</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June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2026-06-03T15:21:29Z</dcterms:created>
  <dcterms:modified xsi:type="dcterms:W3CDTF">2026-06-03T15:21:29Z</dcterms:modified>
</cp:coreProperties>
</file>