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534670</wp:posOffset>
            </wp:positionV>
            <wp:extent cx="7123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346075</wp:posOffset>
            </wp:positionV>
            <wp:extent cx="7123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17145"/>
                    </a:xfrm>
                    <a:prstGeom prst="rect">
                      <a:avLst/>
                    </a:prstGeom>
                    <a:noFill/>
                  </pic:spPr>
                </pic:pic>
              </a:graphicData>
            </a:graphic>
          </wp:anchor>
        </w:drawing>
        <w:t>UNITED STATES</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212090</wp:posOffset>
            </wp:positionV>
            <wp:extent cx="23914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319" w:lineRule="exact"/>
        <w:rPr>
          <w:sz w:val="24"/>
          <w:szCs w:val="24"/>
          <w:color w:val="auto"/>
        </w:rPr>
      </w:pPr>
    </w:p>
    <w:p>
      <w:pPr>
        <w:ind w:left="1540" w:hanging="378"/>
        <w:spacing w:after="0"/>
        <w:tabs>
          <w:tab w:leader="none" w:pos="1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March 31, 2020</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63" w:lineRule="exact"/>
        <w:rPr>
          <w:sz w:val="24"/>
          <w:szCs w:val="24"/>
          <w:color w:val="auto"/>
        </w:rPr>
      </w:pPr>
    </w:p>
    <w:p>
      <w:pPr>
        <w:ind w:left="1540" w:hanging="378"/>
        <w:spacing w:after="0"/>
        <w:tabs>
          <w:tab w:leader="none" w:pos="15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0"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For the transition period from ___ to ___</w:t>
      </w:r>
    </w:p>
    <w:p>
      <w:pPr>
        <w:spacing w:after="0" w:line="109"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246380</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323850</wp:posOffset>
            </wp:positionV>
            <wp:extent cx="2099945" cy="48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994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Brighthouse Financial, Inc.</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86" w:lineRule="exact"/>
        <w:rPr>
          <w:sz w:val="24"/>
          <w:szCs w:val="24"/>
          <w:color w:val="auto"/>
        </w:rPr>
      </w:pPr>
    </w:p>
    <w:tbl>
      <w:tblPr>
        <w:tblLayout w:type="fixed"/>
        <w:tblInd w:w="102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2720" w:type="dxa"/>
            <w:vAlign w:val="bottom"/>
            <w:gridSpan w:val="2"/>
          </w:tcPr>
          <w:p>
            <w:pPr>
              <w:jc w:val="center"/>
              <w:ind w:right="1317"/>
              <w:spacing w:after="0"/>
              <w:rPr>
                <w:sz w:val="20"/>
                <w:szCs w:val="20"/>
                <w:color w:val="auto"/>
              </w:rPr>
            </w:pPr>
            <w:r>
              <w:rPr>
                <w:rFonts w:ascii="Arial" w:cs="Arial" w:eastAsia="Arial" w:hAnsi="Arial"/>
                <w:sz w:val="14"/>
                <w:szCs w:val="14"/>
                <w:b w:val="1"/>
                <w:bCs w:val="1"/>
                <w:color w:val="auto"/>
                <w:w w:val="94"/>
              </w:rPr>
              <w:t>Delaware</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40" w:type="dxa"/>
            <w:vAlign w:val="bottom"/>
          </w:tcPr>
          <w:p>
            <w:pPr>
              <w:jc w:val="right"/>
              <w:ind w:right="1433"/>
              <w:spacing w:after="0"/>
              <w:rPr>
                <w:sz w:val="20"/>
                <w:szCs w:val="20"/>
                <w:color w:val="auto"/>
              </w:rPr>
            </w:pPr>
            <w:r>
              <w:rPr>
                <w:rFonts w:ascii="Arial" w:cs="Arial" w:eastAsia="Arial" w:hAnsi="Arial"/>
                <w:sz w:val="14"/>
                <w:szCs w:val="14"/>
                <w:b w:val="1"/>
                <w:bCs w:val="1"/>
                <w:color w:val="auto"/>
                <w:w w:val="96"/>
              </w:rPr>
              <w:t>81-3846992</w:t>
            </w:r>
          </w:p>
        </w:tc>
      </w:tr>
      <w:tr>
        <w:trPr>
          <w:trHeight w:val="203"/>
        </w:trPr>
        <w:tc>
          <w:tcPr>
            <w:tcW w:w="4160" w:type="dxa"/>
            <w:vAlign w:val="bottom"/>
            <w:gridSpan w:val="3"/>
          </w:tcPr>
          <w:p>
            <w:pPr>
              <w:jc w:val="center"/>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360" w:type="dxa"/>
            <w:vAlign w:val="bottom"/>
            <w:gridSpan w:val="2"/>
          </w:tcPr>
          <w:p>
            <w:pPr>
              <w:jc w:val="center"/>
              <w:ind w:right="253"/>
              <w:spacing w:after="0"/>
              <w:rPr>
                <w:sz w:val="20"/>
                <w:szCs w:val="20"/>
                <w:color w:val="auto"/>
              </w:rPr>
            </w:pPr>
            <w:r>
              <w:rPr>
                <w:rFonts w:ascii="Arial" w:cs="Arial" w:eastAsia="Arial" w:hAnsi="Arial"/>
                <w:sz w:val="14"/>
                <w:szCs w:val="14"/>
                <w:i w:val="1"/>
                <w:iCs w:val="1"/>
                <w:color w:val="auto"/>
                <w:w w:val="94"/>
              </w:rPr>
              <w:t>(I.R.S. Employer Identification No.)</w:t>
            </w:r>
          </w:p>
        </w:tc>
      </w:tr>
      <w:tr>
        <w:trPr>
          <w:trHeight w:val="324"/>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w w:val="96"/>
              </w:rPr>
              <w:t>11225 North Community House Road,  Charlotte,  North Carolina</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tcPr>
          <w:p>
            <w:pPr>
              <w:jc w:val="right"/>
              <w:ind w:right="1593"/>
              <w:spacing w:after="0"/>
              <w:rPr>
                <w:sz w:val="20"/>
                <w:szCs w:val="20"/>
                <w:color w:val="auto"/>
              </w:rPr>
            </w:pPr>
            <w:r>
              <w:rPr>
                <w:rFonts w:ascii="Arial" w:cs="Arial" w:eastAsia="Arial" w:hAnsi="Arial"/>
                <w:sz w:val="14"/>
                <w:szCs w:val="14"/>
                <w:b w:val="1"/>
                <w:bCs w:val="1"/>
                <w:color w:val="auto"/>
              </w:rPr>
              <w:t>28277</w:t>
            </w:r>
          </w:p>
        </w:tc>
      </w:tr>
      <w:tr>
        <w:trPr>
          <w:trHeight w:val="203"/>
        </w:trPr>
        <w:tc>
          <w:tcPr>
            <w:tcW w:w="4160" w:type="dxa"/>
            <w:vAlign w:val="bottom"/>
            <w:gridSpan w:val="3"/>
          </w:tcPr>
          <w:p>
            <w:pPr>
              <w:jc w:val="center"/>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40" w:type="dxa"/>
            <w:vAlign w:val="bottom"/>
          </w:tcPr>
          <w:p>
            <w:pPr>
              <w:jc w:val="center"/>
              <w:ind w:right="1373"/>
              <w:spacing w:after="0"/>
              <w:rPr>
                <w:sz w:val="20"/>
                <w:szCs w:val="20"/>
                <w:color w:val="auto"/>
              </w:rPr>
            </w:pPr>
            <w:r>
              <w:rPr>
                <w:rFonts w:ascii="Arial" w:cs="Arial" w:eastAsia="Arial" w:hAnsi="Arial"/>
                <w:sz w:val="14"/>
                <w:szCs w:val="14"/>
                <w:i w:val="1"/>
                <w:iCs w:val="1"/>
                <w:color w:val="auto"/>
                <w:w w:val="96"/>
              </w:rPr>
              <w:t>(Zip Code)</w:t>
            </w:r>
          </w:p>
        </w:tc>
      </w:tr>
      <w:tr>
        <w:trPr>
          <w:trHeight w:val="268"/>
        </w:trPr>
        <w:tc>
          <w:tcPr>
            <w:tcW w:w="1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80" w:type="dxa"/>
            <w:vAlign w:val="bottom"/>
            <w:gridSpan w:val="2"/>
          </w:tcPr>
          <w:p>
            <w:pPr>
              <w:jc w:val="center"/>
              <w:ind w:right="317"/>
              <w:spacing w:after="0"/>
              <w:rPr>
                <w:sz w:val="20"/>
                <w:szCs w:val="20"/>
                <w:color w:val="auto"/>
              </w:rPr>
            </w:pPr>
            <w:r>
              <w:rPr>
                <w:rFonts w:ascii="Arial" w:cs="Arial" w:eastAsia="Arial" w:hAnsi="Arial"/>
                <w:sz w:val="14"/>
                <w:szCs w:val="14"/>
                <w:b w:val="1"/>
                <w:bCs w:val="1"/>
                <w:color w:val="auto"/>
                <w:w w:val="93"/>
              </w:rPr>
              <w:t>(980) 365-7100</w:t>
            </w:r>
          </w:p>
        </w:tc>
        <w:tc>
          <w:tcPr>
            <w:tcW w:w="112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160"/>
        </w:trPr>
        <w:tc>
          <w:tcPr>
            <w:tcW w:w="1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200" w:type="dxa"/>
            <w:vAlign w:val="bottom"/>
            <w:gridSpan w:val="4"/>
          </w:tcPr>
          <w:p>
            <w:pPr>
              <w:jc w:val="center"/>
              <w:ind w:left="217"/>
              <w:spacing w:after="0"/>
              <w:rPr>
                <w:sz w:val="20"/>
                <w:szCs w:val="20"/>
                <w:color w:val="auto"/>
              </w:rPr>
            </w:pPr>
            <w:r>
              <w:rPr>
                <w:rFonts w:ascii="Arial" w:cs="Arial" w:eastAsia="Arial" w:hAnsi="Arial"/>
                <w:sz w:val="13"/>
                <w:szCs w:val="13"/>
                <w:i w:val="1"/>
                <w:iCs w:val="1"/>
                <w:color w:val="auto"/>
                <w:w w:val="87"/>
              </w:rPr>
              <w:t>(Registrant’s telephone number, including area code)</w:t>
            </w:r>
          </w:p>
        </w:tc>
        <w:tc>
          <w:tcPr>
            <w:tcW w:w="2240" w:type="dxa"/>
            <w:vAlign w:val="bottom"/>
          </w:tcPr>
          <w:p>
            <w:pPr>
              <w:spacing w:after="0"/>
              <w:rPr>
                <w:sz w:val="13"/>
                <w:szCs w:val="13"/>
                <w:color w:val="auto"/>
              </w:rPr>
            </w:pPr>
          </w:p>
        </w:tc>
      </w:tr>
      <w:tr>
        <w:trPr>
          <w:trHeight w:val="297"/>
        </w:trPr>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0" w:type="dxa"/>
            <w:vAlign w:val="bottom"/>
            <w:gridSpan w:val="4"/>
          </w:tcPr>
          <w:p>
            <w:pPr>
              <w:jc w:val="center"/>
              <w:ind w:left="237"/>
              <w:spacing w:after="0"/>
              <w:rPr>
                <w:sz w:val="20"/>
                <w:szCs w:val="20"/>
                <w:color w:val="auto"/>
              </w:rPr>
            </w:pPr>
            <w:r>
              <w:rPr>
                <w:rFonts w:ascii="Arial" w:cs="Arial" w:eastAsia="Arial" w:hAnsi="Arial"/>
                <w:sz w:val="13"/>
                <w:szCs w:val="13"/>
                <w:color w:val="auto"/>
                <w:w w:val="87"/>
              </w:rPr>
              <w:t>Securities registered pursuant to Section 12(b) of the Act:</w:t>
            </w:r>
          </w:p>
        </w:tc>
        <w:tc>
          <w:tcPr>
            <w:tcW w:w="2240" w:type="dxa"/>
            <w:vAlign w:val="bottom"/>
          </w:tcPr>
          <w:p>
            <w:pPr>
              <w:spacing w:after="0"/>
              <w:rPr>
                <w:sz w:val="24"/>
                <w:szCs w:val="24"/>
                <w:color w:val="auto"/>
              </w:rPr>
            </w:pPr>
          </w:p>
        </w:tc>
      </w:tr>
      <w:tr>
        <w:trPr>
          <w:trHeight w:val="313"/>
        </w:trPr>
        <w:tc>
          <w:tcPr>
            <w:tcW w:w="144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Title of each class</w:t>
            </w: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2"/>
          </w:tcPr>
          <w:p>
            <w:pPr>
              <w:jc w:val="center"/>
              <w:ind w:right="1048"/>
              <w:spacing w:after="0"/>
              <w:rPr>
                <w:sz w:val="20"/>
                <w:szCs w:val="20"/>
                <w:color w:val="auto"/>
              </w:rPr>
            </w:pPr>
            <w:r>
              <w:rPr>
                <w:rFonts w:ascii="Arial" w:cs="Arial" w:eastAsia="Arial" w:hAnsi="Arial"/>
                <w:sz w:val="13"/>
                <w:szCs w:val="13"/>
                <w:color w:val="auto"/>
                <w:w w:val="88"/>
              </w:rPr>
              <w:t>Trading symbol(s)</w:t>
            </w:r>
          </w:p>
        </w:tc>
        <w:tc>
          <w:tcPr>
            <w:tcW w:w="2240" w:type="dxa"/>
            <w:vAlign w:val="bottom"/>
          </w:tcPr>
          <w:p>
            <w:pPr>
              <w:jc w:val="center"/>
              <w:spacing w:after="0"/>
              <w:rPr>
                <w:sz w:val="20"/>
                <w:szCs w:val="20"/>
                <w:color w:val="auto"/>
              </w:rPr>
            </w:pPr>
            <w:r>
              <w:rPr>
                <w:rFonts w:ascii="Arial" w:cs="Arial" w:eastAsia="Arial" w:hAnsi="Arial"/>
                <w:sz w:val="13"/>
                <w:szCs w:val="13"/>
                <w:color w:val="auto"/>
                <w:w w:val="87"/>
              </w:rPr>
              <w:t>Name of each exchange on which registered</w:t>
            </w:r>
          </w:p>
        </w:tc>
      </w:tr>
      <w:tr>
        <w:trPr>
          <w:trHeight w:val="20"/>
        </w:trPr>
        <w:tc>
          <w:tcPr>
            <w:tcW w:w="1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193"/>
        </w:trPr>
        <w:tc>
          <w:tcPr>
            <w:tcW w:w="4160" w:type="dxa"/>
            <w:vAlign w:val="bottom"/>
            <w:gridSpan w:val="3"/>
          </w:tcPr>
          <w:p>
            <w:pPr>
              <w:jc w:val="center"/>
              <w:ind w:right="297"/>
              <w:spacing w:after="0"/>
              <w:rPr>
                <w:sz w:val="20"/>
                <w:szCs w:val="20"/>
                <w:color w:val="auto"/>
              </w:rPr>
            </w:pPr>
            <w:r>
              <w:rPr>
                <w:rFonts w:ascii="Arial" w:cs="Arial" w:eastAsia="Arial" w:hAnsi="Arial"/>
                <w:sz w:val="13"/>
                <w:szCs w:val="13"/>
                <w:b w:val="1"/>
                <w:bCs w:val="1"/>
                <w:color w:val="auto"/>
                <w:w w:val="86"/>
              </w:rPr>
              <w:t>Common Stock, par value $0.01 per share</w:t>
            </w:r>
          </w:p>
        </w:tc>
        <w:tc>
          <w:tcPr>
            <w:tcW w:w="360" w:type="dxa"/>
            <w:vAlign w:val="bottom"/>
          </w:tcPr>
          <w:p>
            <w:pPr>
              <w:spacing w:after="0"/>
              <w:rPr>
                <w:sz w:val="16"/>
                <w:szCs w:val="16"/>
                <w:color w:val="auto"/>
              </w:rPr>
            </w:pPr>
          </w:p>
        </w:tc>
        <w:tc>
          <w:tcPr>
            <w:tcW w:w="2040" w:type="dxa"/>
            <w:vAlign w:val="bottom"/>
            <w:gridSpan w:val="2"/>
          </w:tcPr>
          <w:p>
            <w:pPr>
              <w:jc w:val="center"/>
              <w:ind w:right="1028"/>
              <w:spacing w:after="0"/>
              <w:rPr>
                <w:sz w:val="20"/>
                <w:szCs w:val="20"/>
                <w:color w:val="auto"/>
              </w:rPr>
            </w:pPr>
            <w:r>
              <w:rPr>
                <w:rFonts w:ascii="Arial" w:cs="Arial" w:eastAsia="Arial" w:hAnsi="Arial"/>
                <w:sz w:val="13"/>
                <w:szCs w:val="13"/>
                <w:b w:val="1"/>
                <w:bCs w:val="1"/>
                <w:color w:val="auto"/>
                <w:w w:val="97"/>
              </w:rPr>
              <w:t>BHF</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1"/>
              </w:rPr>
              <w:t>The Nasdaq Stock Market LLC</w:t>
            </w:r>
          </w:p>
        </w:tc>
      </w:tr>
      <w:tr>
        <w:trPr>
          <w:trHeight w:val="189"/>
        </w:trPr>
        <w:tc>
          <w:tcPr>
            <w:tcW w:w="4160" w:type="dxa"/>
            <w:vAlign w:val="bottom"/>
            <w:gridSpan w:val="3"/>
          </w:tcPr>
          <w:p>
            <w:pPr>
              <w:jc w:val="center"/>
              <w:ind w:right="297"/>
              <w:spacing w:after="0"/>
              <w:rPr>
                <w:sz w:val="20"/>
                <w:szCs w:val="20"/>
                <w:color w:val="auto"/>
              </w:rPr>
            </w:pPr>
            <w:r>
              <w:rPr>
                <w:rFonts w:ascii="Arial" w:cs="Arial" w:eastAsia="Arial" w:hAnsi="Arial"/>
                <w:sz w:val="13"/>
                <w:szCs w:val="13"/>
                <w:b w:val="1"/>
                <w:bCs w:val="1"/>
                <w:color w:val="auto"/>
                <w:w w:val="86"/>
              </w:rPr>
              <w:t>Depositary Shares, each representing a 1/1,000th interest in a share</w:t>
            </w:r>
          </w:p>
        </w:tc>
        <w:tc>
          <w:tcPr>
            <w:tcW w:w="360" w:type="dxa"/>
            <w:vAlign w:val="bottom"/>
          </w:tcPr>
          <w:p>
            <w:pPr>
              <w:spacing w:after="0"/>
              <w:rPr>
                <w:sz w:val="16"/>
                <w:szCs w:val="16"/>
                <w:color w:val="auto"/>
              </w:rPr>
            </w:pPr>
          </w:p>
        </w:tc>
        <w:tc>
          <w:tcPr>
            <w:tcW w:w="2040" w:type="dxa"/>
            <w:vAlign w:val="bottom"/>
            <w:gridSpan w:val="2"/>
          </w:tcPr>
          <w:p>
            <w:pPr>
              <w:jc w:val="center"/>
              <w:ind w:right="1028"/>
              <w:spacing w:after="0"/>
              <w:rPr>
                <w:sz w:val="20"/>
                <w:szCs w:val="20"/>
                <w:color w:val="auto"/>
              </w:rPr>
            </w:pPr>
            <w:r>
              <w:rPr>
                <w:rFonts w:ascii="Arial" w:cs="Arial" w:eastAsia="Arial" w:hAnsi="Arial"/>
                <w:sz w:val="13"/>
                <w:szCs w:val="13"/>
                <w:b w:val="1"/>
                <w:bCs w:val="1"/>
                <w:color w:val="auto"/>
                <w:w w:val="93"/>
              </w:rPr>
              <w:t>BHFAP</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1"/>
              </w:rPr>
              <w:t>The Nasdaq Stock Market LLC</w:t>
            </w:r>
          </w:p>
        </w:tc>
      </w:tr>
      <w:tr>
        <w:trPr>
          <w:trHeight w:val="189"/>
        </w:trPr>
        <w:tc>
          <w:tcPr>
            <w:tcW w:w="4160" w:type="dxa"/>
            <w:vAlign w:val="bottom"/>
            <w:gridSpan w:val="3"/>
          </w:tcPr>
          <w:p>
            <w:pPr>
              <w:jc w:val="center"/>
              <w:ind w:right="277"/>
              <w:spacing w:after="0"/>
              <w:rPr>
                <w:sz w:val="20"/>
                <w:szCs w:val="20"/>
                <w:color w:val="auto"/>
              </w:rPr>
            </w:pPr>
            <w:r>
              <w:rPr>
                <w:rFonts w:ascii="Arial" w:cs="Arial" w:eastAsia="Arial" w:hAnsi="Arial"/>
                <w:sz w:val="13"/>
                <w:szCs w:val="13"/>
                <w:b w:val="1"/>
                <w:bCs w:val="1"/>
                <w:color w:val="auto"/>
                <w:w w:val="88"/>
              </w:rPr>
              <w:t>of 6.600% Non-Cumulative Preferred Stock, Series A</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89"/>
        </w:trPr>
        <w:tc>
          <w:tcPr>
            <w:tcW w:w="4160" w:type="dxa"/>
            <w:vAlign w:val="bottom"/>
            <w:gridSpan w:val="3"/>
          </w:tcPr>
          <w:p>
            <w:pPr>
              <w:jc w:val="center"/>
              <w:ind w:right="297"/>
              <w:spacing w:after="0"/>
              <w:rPr>
                <w:sz w:val="20"/>
                <w:szCs w:val="20"/>
                <w:color w:val="auto"/>
              </w:rPr>
            </w:pPr>
            <w:r>
              <w:rPr>
                <w:rFonts w:ascii="Arial" w:cs="Arial" w:eastAsia="Arial" w:hAnsi="Arial"/>
                <w:sz w:val="13"/>
                <w:szCs w:val="13"/>
                <w:b w:val="1"/>
                <w:bCs w:val="1"/>
                <w:color w:val="auto"/>
                <w:w w:val="87"/>
              </w:rPr>
              <w:t>6.250% Junior Subordinated Debentures due 2058</w:t>
            </w:r>
          </w:p>
        </w:tc>
        <w:tc>
          <w:tcPr>
            <w:tcW w:w="360" w:type="dxa"/>
            <w:vAlign w:val="bottom"/>
          </w:tcPr>
          <w:p>
            <w:pPr>
              <w:spacing w:after="0"/>
              <w:rPr>
                <w:sz w:val="16"/>
                <w:szCs w:val="16"/>
                <w:color w:val="auto"/>
              </w:rPr>
            </w:pPr>
          </w:p>
        </w:tc>
        <w:tc>
          <w:tcPr>
            <w:tcW w:w="2040" w:type="dxa"/>
            <w:vAlign w:val="bottom"/>
            <w:gridSpan w:val="2"/>
          </w:tcPr>
          <w:p>
            <w:pPr>
              <w:jc w:val="center"/>
              <w:ind w:right="1048"/>
              <w:spacing w:after="0"/>
              <w:rPr>
                <w:sz w:val="20"/>
                <w:szCs w:val="20"/>
                <w:color w:val="auto"/>
              </w:rPr>
            </w:pPr>
            <w:r>
              <w:rPr>
                <w:rFonts w:ascii="Arial" w:cs="Arial" w:eastAsia="Arial" w:hAnsi="Arial"/>
                <w:sz w:val="13"/>
                <w:szCs w:val="13"/>
                <w:b w:val="1"/>
                <w:bCs w:val="1"/>
                <w:color w:val="auto"/>
                <w:w w:val="99"/>
              </w:rPr>
              <w:t>BHFAL</w:t>
            </w:r>
          </w:p>
        </w:tc>
        <w:tc>
          <w:tcPr>
            <w:tcW w:w="2240" w:type="dxa"/>
            <w:vAlign w:val="bottom"/>
          </w:tcPr>
          <w:p>
            <w:pPr>
              <w:jc w:val="center"/>
              <w:spacing w:after="0"/>
              <w:rPr>
                <w:sz w:val="20"/>
                <w:szCs w:val="20"/>
                <w:color w:val="auto"/>
              </w:rPr>
            </w:pPr>
            <w:r>
              <w:rPr>
                <w:rFonts w:ascii="Arial" w:cs="Arial" w:eastAsia="Arial" w:hAnsi="Arial"/>
                <w:sz w:val="13"/>
                <w:szCs w:val="13"/>
                <w:b w:val="1"/>
                <w:bCs w:val="1"/>
                <w:color w:val="auto"/>
                <w:w w:val="91"/>
              </w:rPr>
              <w:t>The Nasdaq Stock Market LLC</w:t>
            </w:r>
          </w:p>
        </w:tc>
      </w:tr>
    </w:tbl>
    <w:p>
      <w:pPr>
        <w:spacing w:after="0" w:line="110"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2" w:lineRule="exact"/>
        <w:rPr>
          <w:sz w:val="24"/>
          <w:szCs w:val="24"/>
          <w:color w:val="auto"/>
        </w:rPr>
      </w:pPr>
    </w:p>
    <w:p>
      <w:pPr>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2" w:lineRule="exact"/>
        <w:rPr>
          <w:sz w:val="24"/>
          <w:szCs w:val="24"/>
          <w:color w:val="auto"/>
        </w:rPr>
      </w:pPr>
    </w:p>
    <w:tbl>
      <w:tblPr>
        <w:tblLayout w:type="fixed"/>
        <w:tblInd w:w="1020" w:type="dxa"/>
        <w:tblCellMar>
          <w:top w:w="0" w:type="dxa"/>
          <w:left w:w="0" w:type="dxa"/>
          <w:bottom w:w="0" w:type="dxa"/>
          <w:right w:w="0" w:type="dxa"/>
        </w:tblCellMar>
      </w:tblPr>
      <w:tr>
        <w:trPr>
          <w:trHeight w:val="199"/>
        </w:trPr>
        <w:tc>
          <w:tcPr>
            <w:tcW w:w="1200" w:type="dxa"/>
            <w:vAlign w:val="bottom"/>
          </w:tcPr>
          <w:p>
            <w:pPr>
              <w:spacing w:after="0"/>
              <w:rPr>
                <w:sz w:val="20"/>
                <w:szCs w:val="20"/>
                <w:color w:val="auto"/>
              </w:rPr>
            </w:pPr>
            <w:r>
              <w:rPr>
                <w:rFonts w:ascii="Arial" w:cs="Arial" w:eastAsia="Arial" w:hAnsi="Arial"/>
                <w:sz w:val="13"/>
                <w:szCs w:val="13"/>
                <w:color w:val="auto"/>
                <w:w w:val="91"/>
              </w:rPr>
              <w:t>Large accelerated filer</w:t>
            </w:r>
          </w:p>
        </w:tc>
        <w:tc>
          <w:tcPr>
            <w:tcW w:w="308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3820" w:type="dxa"/>
            <w:vAlign w:val="bottom"/>
          </w:tcPr>
          <w:p>
            <w:pPr>
              <w:ind w:left="2940"/>
              <w:spacing w:after="0"/>
              <w:rPr>
                <w:sz w:val="20"/>
                <w:szCs w:val="20"/>
                <w:color w:val="auto"/>
              </w:rPr>
            </w:pPr>
            <w:r>
              <w:rPr>
                <w:rFonts w:ascii="Arial" w:cs="Arial" w:eastAsia="Arial" w:hAnsi="Arial"/>
                <w:sz w:val="13"/>
                <w:szCs w:val="13"/>
                <w:color w:val="auto"/>
                <w:w w:val="92"/>
              </w:rPr>
              <w:t>Accelerated filer</w:t>
            </w:r>
          </w:p>
        </w:tc>
        <w:tc>
          <w:tcPr>
            <w:tcW w:w="540" w:type="dxa"/>
            <w:vAlign w:val="bottom"/>
            <w:vMerge w:val="restart"/>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00" w:type="dxa"/>
            <w:vAlign w:val="bottom"/>
          </w:tcPr>
          <w:p>
            <w:pPr>
              <w:spacing w:after="0"/>
              <w:rPr>
                <w:sz w:val="4"/>
                <w:szCs w:val="4"/>
                <w:color w:val="auto"/>
              </w:rPr>
            </w:pPr>
          </w:p>
        </w:tc>
        <w:tc>
          <w:tcPr>
            <w:tcW w:w="3080" w:type="dxa"/>
            <w:vAlign w:val="bottom"/>
          </w:tcPr>
          <w:p>
            <w:pPr>
              <w:spacing w:after="0"/>
              <w:rPr>
                <w:sz w:val="4"/>
                <w:szCs w:val="4"/>
                <w:color w:val="auto"/>
              </w:rPr>
            </w:pPr>
          </w:p>
        </w:tc>
        <w:tc>
          <w:tcPr>
            <w:tcW w:w="38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3"/>
                <w:szCs w:val="13"/>
                <w:color w:val="auto"/>
                <w:w w:val="98"/>
              </w:rPr>
              <w:t>Non-accelerated filer</w:t>
            </w:r>
          </w:p>
        </w:tc>
        <w:tc>
          <w:tcPr>
            <w:tcW w:w="308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4360" w:type="dxa"/>
            <w:vAlign w:val="bottom"/>
            <w:gridSpan w:val="2"/>
          </w:tcPr>
          <w:p>
            <w:pPr>
              <w:ind w:left="2940"/>
              <w:spacing w:after="0"/>
              <w:rPr>
                <w:sz w:val="20"/>
                <w:szCs w:val="20"/>
                <w:color w:val="auto"/>
              </w:rPr>
            </w:pPr>
            <w:r>
              <w:rPr>
                <w:rFonts w:ascii="Arial" w:cs="Arial" w:eastAsia="Arial" w:hAnsi="Arial"/>
                <w:sz w:val="13"/>
                <w:szCs w:val="13"/>
                <w:color w:val="auto"/>
                <w:w w:val="90"/>
              </w:rPr>
              <w:t>Smaller reporting company</w:t>
            </w:r>
          </w:p>
        </w:tc>
        <w:tc>
          <w:tcPr>
            <w:tcW w:w="20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35"/>
        </w:trPr>
        <w:tc>
          <w:tcPr>
            <w:tcW w:w="1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360" w:type="dxa"/>
            <w:vAlign w:val="bottom"/>
            <w:gridSpan w:val="2"/>
          </w:tcPr>
          <w:p>
            <w:pPr>
              <w:ind w:left="2940"/>
              <w:spacing w:after="0"/>
              <w:rPr>
                <w:sz w:val="20"/>
                <w:szCs w:val="20"/>
                <w:color w:val="auto"/>
              </w:rPr>
            </w:pPr>
            <w:r>
              <w:rPr>
                <w:rFonts w:ascii="Arial" w:cs="Arial" w:eastAsia="Arial" w:hAnsi="Arial"/>
                <w:sz w:val="13"/>
                <w:szCs w:val="13"/>
                <w:color w:val="auto"/>
                <w:w w:val="90"/>
              </w:rPr>
              <w:t>Emerging growth company</w:t>
            </w:r>
          </w:p>
        </w:tc>
        <w:tc>
          <w:tcPr>
            <w:tcW w:w="200" w:type="dxa"/>
            <w:vAlign w:val="bottom"/>
          </w:tcPr>
          <w:p>
            <w:pPr>
              <w:ind w:left="6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130"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58" w:lineRule="exact"/>
        <w:rPr>
          <w:sz w:val="24"/>
          <w:szCs w:val="24"/>
          <w:color w:val="auto"/>
        </w:rPr>
      </w:pPr>
    </w:p>
    <w:p>
      <w:pPr>
        <w:ind w:right="4740"/>
        <w:spacing w:after="0" w:line="22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May 7, 2020, 93,844,031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4064635</wp:posOffset>
            </wp:positionH>
            <wp:positionV relativeFrom="paragraph">
              <wp:posOffset>-247650</wp:posOffset>
            </wp:positionV>
            <wp:extent cx="60960" cy="61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960" cy="6159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720" w:type="dxa"/>
            <w:vAlign w:val="bottom"/>
          </w:tcPr>
          <w:p>
            <w:pPr>
              <w:ind w:left="418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99"/>
        </w:trPr>
        <w:tc>
          <w:tcPr>
            <w:tcW w:w="880" w:type="dxa"/>
            <w:vAlign w:val="bottom"/>
          </w:tcPr>
          <w:p>
            <w:pPr>
              <w:spacing w:after="0"/>
              <w:rPr>
                <w:sz w:val="24"/>
                <w:szCs w:val="24"/>
                <w:color w:val="auto"/>
              </w:rPr>
            </w:pPr>
          </w:p>
        </w:tc>
        <w:tc>
          <w:tcPr>
            <w:tcW w:w="9720" w:type="dxa"/>
            <w:vAlign w:val="bottom"/>
          </w:tcPr>
          <w:p>
            <w:pPr>
              <w:spacing w:after="0"/>
              <w:rPr>
                <w:sz w:val="24"/>
                <w:szCs w:val="24"/>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Page</w:t>
            </w:r>
          </w:p>
        </w:tc>
      </w:tr>
      <w:tr>
        <w:trPr>
          <w:trHeight w:val="291"/>
        </w:trPr>
        <w:tc>
          <w:tcPr>
            <w:tcW w:w="1060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56"/>
        </w:trPr>
        <w:tc>
          <w:tcPr>
            <w:tcW w:w="880" w:type="dxa"/>
            <w:vAlign w:val="bottom"/>
          </w:tcPr>
          <w:p>
            <w:pPr>
              <w:ind w:left="140"/>
              <w:spacing w:after="0"/>
              <w:rPr>
                <w:sz w:val="20"/>
                <w:szCs w:val="20"/>
                <w:color w:val="auto"/>
              </w:rPr>
            </w:pPr>
            <w:r>
              <w:rPr>
                <w:rFonts w:ascii="Arial" w:cs="Arial" w:eastAsia="Arial" w:hAnsi="Arial"/>
                <w:sz w:val="18"/>
                <w:szCs w:val="18"/>
                <w:b w:val="1"/>
                <w:bCs w:val="1"/>
                <w:color w:val="auto"/>
              </w:rPr>
              <w:t>Item 1.</w:t>
            </w:r>
          </w:p>
        </w:tc>
        <w:tc>
          <w:tcPr>
            <w:tcW w:w="9720" w:type="dxa"/>
            <w:vAlign w:val="bottom"/>
          </w:tcPr>
          <w:p>
            <w:pPr>
              <w:ind w:left="120"/>
              <w:spacing w:after="0"/>
              <w:rPr>
                <w:sz w:val="20"/>
                <w:szCs w:val="20"/>
                <w:color w:val="auto"/>
              </w:rPr>
            </w:pPr>
            <w:r>
              <w:rPr>
                <w:rFonts w:ascii="Arial" w:cs="Arial" w:eastAsia="Arial" w:hAnsi="Arial"/>
                <w:sz w:val="18"/>
                <w:szCs w:val="18"/>
                <w:color w:val="auto"/>
                <w:w w:val="91"/>
              </w:rPr>
              <w:t>Consolidated Financial Statements (at March 31, 2020 (Unaudited) and December 31, 2019 and for the Three Months Ended March</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30"/>
        </w:trPr>
        <w:tc>
          <w:tcPr>
            <w:tcW w:w="880" w:type="dxa"/>
            <w:vAlign w:val="bottom"/>
          </w:tcPr>
          <w:p>
            <w:pPr>
              <w:spacing w:after="0"/>
              <w:rPr>
                <w:sz w:val="20"/>
                <w:szCs w:val="20"/>
                <w:color w:val="auto"/>
              </w:rPr>
            </w:pPr>
          </w:p>
        </w:tc>
        <w:tc>
          <w:tcPr>
            <w:tcW w:w="9720" w:type="dxa"/>
            <w:vAlign w:val="bottom"/>
          </w:tcPr>
          <w:p>
            <w:pPr>
              <w:ind w:left="280"/>
              <w:spacing w:after="0"/>
              <w:rPr>
                <w:sz w:val="20"/>
                <w:szCs w:val="20"/>
                <w:color w:val="auto"/>
              </w:rPr>
            </w:pPr>
            <w:r>
              <w:rPr>
                <w:rFonts w:ascii="Arial" w:cs="Arial" w:eastAsia="Arial" w:hAnsi="Arial"/>
                <w:sz w:val="18"/>
                <w:szCs w:val="18"/>
                <w:color w:val="auto"/>
              </w:rPr>
              <w:t>31, 2020 and 2019 (Unaudited)):</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880" w:type="dxa"/>
            <w:vAlign w:val="bottom"/>
          </w:tcPr>
          <w:p>
            <w:pPr>
              <w:spacing w:after="0"/>
              <w:rPr>
                <w:sz w:val="23"/>
                <w:szCs w:val="23"/>
                <w:color w:val="auto"/>
              </w:rPr>
            </w:pPr>
          </w:p>
        </w:tc>
        <w:tc>
          <w:tcPr>
            <w:tcW w:w="9720" w:type="dxa"/>
            <w:vAlign w:val="bottom"/>
          </w:tcPr>
          <w:p>
            <w:pPr>
              <w:ind w:left="3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Interim Condensed Consolidated Balance Sheets</w:t>
              </w:r>
            </w:hyperlink>
          </w:p>
        </w:tc>
        <w:tc>
          <w:tcPr>
            <w:tcW w:w="580" w:type="dxa"/>
            <w:vAlign w:val="bottom"/>
            <w:gridSpan w:val="3"/>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r>
      <w:tr>
        <w:trPr>
          <w:trHeight w:val="270"/>
        </w:trPr>
        <w:tc>
          <w:tcPr>
            <w:tcW w:w="880" w:type="dxa"/>
            <w:vAlign w:val="bottom"/>
          </w:tcPr>
          <w:p>
            <w:pPr>
              <w:spacing w:after="0"/>
              <w:rPr>
                <w:sz w:val="23"/>
                <w:szCs w:val="23"/>
                <w:color w:val="auto"/>
              </w:rPr>
            </w:pPr>
          </w:p>
        </w:tc>
        <w:tc>
          <w:tcPr>
            <w:tcW w:w="9720" w:type="dxa"/>
            <w:vAlign w:val="bottom"/>
          </w:tcPr>
          <w:p>
            <w:pPr>
              <w:ind w:left="3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Interim Condensed Consolidated Statements of Operations and Comprehensive Income (Loss)</w:t>
              </w:r>
            </w:hyperlink>
          </w:p>
        </w:tc>
        <w:tc>
          <w:tcPr>
            <w:tcW w:w="580" w:type="dxa"/>
            <w:vAlign w:val="bottom"/>
            <w:gridSpan w:val="3"/>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r>
      <w:tr>
        <w:trPr>
          <w:trHeight w:val="270"/>
        </w:trPr>
        <w:tc>
          <w:tcPr>
            <w:tcW w:w="880" w:type="dxa"/>
            <w:vAlign w:val="bottom"/>
          </w:tcPr>
          <w:p>
            <w:pPr>
              <w:spacing w:after="0"/>
              <w:rPr>
                <w:sz w:val="23"/>
                <w:szCs w:val="23"/>
                <w:color w:val="auto"/>
              </w:rPr>
            </w:pPr>
          </w:p>
        </w:tc>
        <w:tc>
          <w:tcPr>
            <w:tcW w:w="9720" w:type="dxa"/>
            <w:vAlign w:val="bottom"/>
          </w:tcPr>
          <w:p>
            <w:pPr>
              <w:ind w:left="3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Interim Condensed Consolidated Statements of Equity</w:t>
              </w:r>
            </w:hyperlink>
          </w:p>
        </w:tc>
        <w:tc>
          <w:tcPr>
            <w:tcW w:w="580" w:type="dxa"/>
            <w:vAlign w:val="bottom"/>
            <w:gridSpan w:val="3"/>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270"/>
        </w:trPr>
        <w:tc>
          <w:tcPr>
            <w:tcW w:w="880" w:type="dxa"/>
            <w:vAlign w:val="bottom"/>
          </w:tcPr>
          <w:p>
            <w:pPr>
              <w:spacing w:after="0"/>
              <w:rPr>
                <w:sz w:val="23"/>
                <w:szCs w:val="23"/>
                <w:color w:val="auto"/>
              </w:rPr>
            </w:pPr>
          </w:p>
        </w:tc>
        <w:tc>
          <w:tcPr>
            <w:tcW w:w="9720" w:type="dxa"/>
            <w:vAlign w:val="bottom"/>
          </w:tcPr>
          <w:p>
            <w:pPr>
              <w:ind w:left="3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Interim Condensed Consolidated Statements of Cash Flows</w:t>
              </w:r>
            </w:hyperlink>
          </w:p>
        </w:tc>
        <w:tc>
          <w:tcPr>
            <w:tcW w:w="580" w:type="dxa"/>
            <w:vAlign w:val="bottom"/>
            <w:gridSpan w:val="3"/>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r>
      <w:tr>
        <w:trPr>
          <w:trHeight w:val="270"/>
        </w:trPr>
        <w:tc>
          <w:tcPr>
            <w:tcW w:w="880" w:type="dxa"/>
            <w:vAlign w:val="bottom"/>
          </w:tcPr>
          <w:p>
            <w:pPr>
              <w:spacing w:after="0"/>
              <w:rPr>
                <w:sz w:val="23"/>
                <w:szCs w:val="23"/>
                <w:color w:val="auto"/>
              </w:rPr>
            </w:pPr>
          </w:p>
        </w:tc>
        <w:tc>
          <w:tcPr>
            <w:tcW w:w="9720" w:type="dxa"/>
            <w:vAlign w:val="bottom"/>
          </w:tcPr>
          <w:p>
            <w:pPr>
              <w:ind w:left="3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the Interim Condensed Consolidated Financial Statements (Unaudited):</w:t>
              </w:r>
            </w:hyperlink>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0"/>
        </w:trPr>
        <w:tc>
          <w:tcPr>
            <w:tcW w:w="880" w:type="dxa"/>
            <w:vAlign w:val="bottom"/>
          </w:tcPr>
          <w:p>
            <w:pPr>
              <w:spacing w:after="0"/>
              <w:rPr>
                <w:sz w:val="23"/>
                <w:szCs w:val="23"/>
                <w:color w:val="auto"/>
              </w:rPr>
            </w:pPr>
          </w:p>
        </w:tc>
        <w:tc>
          <w:tcPr>
            <w:tcW w:w="9720" w:type="dxa"/>
            <w:vAlign w:val="bottom"/>
          </w:tcPr>
          <w:p>
            <w:pPr>
              <w:ind w:left="46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 1 — Business, Basis of Presentation and Summary of Significant Accounting Policies</w:t>
              </w:r>
            </w:hyperlink>
          </w:p>
        </w:tc>
        <w:tc>
          <w:tcPr>
            <w:tcW w:w="580" w:type="dxa"/>
            <w:vAlign w:val="bottom"/>
            <w:gridSpan w:val="3"/>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6</w:t>
              </w:r>
            </w:hyperlink>
          </w:p>
        </w:tc>
      </w:tr>
      <w:tr>
        <w:trPr>
          <w:trHeight w:val="270"/>
        </w:trPr>
        <w:tc>
          <w:tcPr>
            <w:tcW w:w="880" w:type="dxa"/>
            <w:vAlign w:val="bottom"/>
          </w:tcPr>
          <w:p>
            <w:pPr>
              <w:spacing w:after="0"/>
              <w:rPr>
                <w:sz w:val="23"/>
                <w:szCs w:val="23"/>
                <w:color w:val="auto"/>
              </w:rPr>
            </w:pPr>
          </w:p>
        </w:tc>
        <w:tc>
          <w:tcPr>
            <w:tcW w:w="9720" w:type="dxa"/>
            <w:vAlign w:val="bottom"/>
          </w:tcPr>
          <w:p>
            <w:pPr>
              <w:ind w:left="46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 2 — Segment Information</w:t>
              </w:r>
            </w:hyperlink>
          </w:p>
        </w:tc>
        <w:tc>
          <w:tcPr>
            <w:tcW w:w="580" w:type="dxa"/>
            <w:vAlign w:val="bottom"/>
            <w:gridSpan w:val="3"/>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8</w:t>
              </w:r>
            </w:hyperlink>
          </w:p>
        </w:tc>
      </w:tr>
      <w:tr>
        <w:trPr>
          <w:trHeight w:val="270"/>
        </w:trPr>
        <w:tc>
          <w:tcPr>
            <w:tcW w:w="880" w:type="dxa"/>
            <w:vAlign w:val="bottom"/>
          </w:tcPr>
          <w:p>
            <w:pPr>
              <w:spacing w:after="0"/>
              <w:rPr>
                <w:sz w:val="23"/>
                <w:szCs w:val="23"/>
                <w:color w:val="auto"/>
              </w:rPr>
            </w:pPr>
          </w:p>
        </w:tc>
        <w:tc>
          <w:tcPr>
            <w:tcW w:w="9720" w:type="dxa"/>
            <w:vAlign w:val="bottom"/>
          </w:tcPr>
          <w:p>
            <w:pPr>
              <w:ind w:left="46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Note 3 — Insurance</w:t>
              </w:r>
            </w:hyperlink>
          </w:p>
        </w:tc>
        <w:tc>
          <w:tcPr>
            <w:tcW w:w="580" w:type="dxa"/>
            <w:vAlign w:val="bottom"/>
            <w:gridSpan w:val="3"/>
          </w:tcPr>
          <w:p>
            <w:pPr>
              <w:jc w:val="right"/>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11</w:t>
              </w:r>
            </w:hyperlink>
          </w:p>
        </w:tc>
      </w:tr>
      <w:tr>
        <w:trPr>
          <w:trHeight w:val="270"/>
        </w:trPr>
        <w:tc>
          <w:tcPr>
            <w:tcW w:w="880" w:type="dxa"/>
            <w:vAlign w:val="bottom"/>
          </w:tcPr>
          <w:p>
            <w:pPr>
              <w:spacing w:after="0"/>
              <w:rPr>
                <w:sz w:val="23"/>
                <w:szCs w:val="23"/>
                <w:color w:val="auto"/>
              </w:rPr>
            </w:pPr>
          </w:p>
        </w:tc>
        <w:tc>
          <w:tcPr>
            <w:tcW w:w="9720" w:type="dxa"/>
            <w:vAlign w:val="bottom"/>
          </w:tcPr>
          <w:p>
            <w:pPr>
              <w:ind w:left="46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Note 4 — Investments</w:t>
              </w:r>
            </w:hyperlink>
          </w:p>
        </w:tc>
        <w:tc>
          <w:tcPr>
            <w:tcW w:w="580" w:type="dxa"/>
            <w:vAlign w:val="bottom"/>
            <w:gridSpan w:val="3"/>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12</w:t>
              </w:r>
            </w:hyperlink>
          </w:p>
        </w:tc>
      </w:tr>
      <w:tr>
        <w:trPr>
          <w:trHeight w:val="270"/>
        </w:trPr>
        <w:tc>
          <w:tcPr>
            <w:tcW w:w="880" w:type="dxa"/>
            <w:vAlign w:val="bottom"/>
          </w:tcPr>
          <w:p>
            <w:pPr>
              <w:spacing w:after="0"/>
              <w:rPr>
                <w:sz w:val="23"/>
                <w:szCs w:val="23"/>
                <w:color w:val="auto"/>
              </w:rPr>
            </w:pPr>
          </w:p>
        </w:tc>
        <w:tc>
          <w:tcPr>
            <w:tcW w:w="9720" w:type="dxa"/>
            <w:vAlign w:val="bottom"/>
          </w:tcPr>
          <w:p>
            <w:pPr>
              <w:ind w:left="46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Note 5 — Derivatives</w:t>
              </w:r>
            </w:hyperlink>
          </w:p>
        </w:tc>
        <w:tc>
          <w:tcPr>
            <w:tcW w:w="580" w:type="dxa"/>
            <w:vAlign w:val="bottom"/>
            <w:gridSpan w:val="3"/>
          </w:tcPr>
          <w:p>
            <w:pPr>
              <w:jc w:val="right"/>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23</w:t>
              </w:r>
            </w:hyperlink>
          </w:p>
        </w:tc>
      </w:tr>
      <w:tr>
        <w:trPr>
          <w:trHeight w:val="270"/>
        </w:trPr>
        <w:tc>
          <w:tcPr>
            <w:tcW w:w="880" w:type="dxa"/>
            <w:vAlign w:val="bottom"/>
          </w:tcPr>
          <w:p>
            <w:pPr>
              <w:spacing w:after="0"/>
              <w:rPr>
                <w:sz w:val="23"/>
                <w:szCs w:val="23"/>
                <w:color w:val="auto"/>
              </w:rPr>
            </w:pPr>
          </w:p>
        </w:tc>
        <w:tc>
          <w:tcPr>
            <w:tcW w:w="9720" w:type="dxa"/>
            <w:vAlign w:val="bottom"/>
          </w:tcPr>
          <w:p>
            <w:pPr>
              <w:ind w:left="46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Note 6 — Fair Value</w:t>
              </w:r>
            </w:hyperlink>
          </w:p>
        </w:tc>
        <w:tc>
          <w:tcPr>
            <w:tcW w:w="580" w:type="dxa"/>
            <w:vAlign w:val="bottom"/>
            <w:gridSpan w:val="3"/>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28</w:t>
              </w:r>
            </w:hyperlink>
          </w:p>
        </w:tc>
      </w:tr>
      <w:tr>
        <w:trPr>
          <w:trHeight w:val="270"/>
        </w:trPr>
        <w:tc>
          <w:tcPr>
            <w:tcW w:w="880" w:type="dxa"/>
            <w:vAlign w:val="bottom"/>
          </w:tcPr>
          <w:p>
            <w:pPr>
              <w:spacing w:after="0"/>
              <w:rPr>
                <w:sz w:val="23"/>
                <w:szCs w:val="23"/>
                <w:color w:val="auto"/>
              </w:rPr>
            </w:pPr>
          </w:p>
        </w:tc>
        <w:tc>
          <w:tcPr>
            <w:tcW w:w="9720" w:type="dxa"/>
            <w:vAlign w:val="bottom"/>
          </w:tcPr>
          <w:p>
            <w:pPr>
              <w:ind w:left="46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Note 7 — Equity</w:t>
              </w:r>
            </w:hyperlink>
          </w:p>
        </w:tc>
        <w:tc>
          <w:tcPr>
            <w:tcW w:w="580" w:type="dxa"/>
            <w:vAlign w:val="bottom"/>
            <w:gridSpan w:val="3"/>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36</w:t>
              </w:r>
            </w:hyperlink>
          </w:p>
        </w:tc>
      </w:tr>
      <w:tr>
        <w:trPr>
          <w:trHeight w:val="270"/>
        </w:trPr>
        <w:tc>
          <w:tcPr>
            <w:tcW w:w="880" w:type="dxa"/>
            <w:vAlign w:val="bottom"/>
          </w:tcPr>
          <w:p>
            <w:pPr>
              <w:spacing w:after="0"/>
              <w:rPr>
                <w:sz w:val="23"/>
                <w:szCs w:val="23"/>
                <w:color w:val="auto"/>
              </w:rPr>
            </w:pPr>
          </w:p>
        </w:tc>
        <w:tc>
          <w:tcPr>
            <w:tcW w:w="9720" w:type="dxa"/>
            <w:vAlign w:val="bottom"/>
          </w:tcPr>
          <w:p>
            <w:pPr>
              <w:ind w:left="46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Note 8 — Other Revenues and Other Expenses</w:t>
              </w:r>
            </w:hyperlink>
          </w:p>
        </w:tc>
        <w:tc>
          <w:tcPr>
            <w:tcW w:w="580" w:type="dxa"/>
            <w:vAlign w:val="bottom"/>
            <w:gridSpan w:val="3"/>
          </w:tcPr>
          <w:p>
            <w:pPr>
              <w:jc w:val="right"/>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38</w:t>
              </w:r>
            </w:hyperlink>
          </w:p>
        </w:tc>
      </w:tr>
      <w:tr>
        <w:trPr>
          <w:trHeight w:val="270"/>
        </w:trPr>
        <w:tc>
          <w:tcPr>
            <w:tcW w:w="880" w:type="dxa"/>
            <w:vAlign w:val="bottom"/>
          </w:tcPr>
          <w:p>
            <w:pPr>
              <w:spacing w:after="0"/>
              <w:rPr>
                <w:sz w:val="23"/>
                <w:szCs w:val="23"/>
                <w:color w:val="auto"/>
              </w:rPr>
            </w:pPr>
          </w:p>
        </w:tc>
        <w:tc>
          <w:tcPr>
            <w:tcW w:w="9720" w:type="dxa"/>
            <w:vAlign w:val="bottom"/>
          </w:tcPr>
          <w:p>
            <w:pPr>
              <w:ind w:left="4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Note 9 — Earnings Per Common Share</w:t>
              </w:r>
            </w:hyperlink>
          </w:p>
        </w:tc>
        <w:tc>
          <w:tcPr>
            <w:tcW w:w="580" w:type="dxa"/>
            <w:vAlign w:val="bottom"/>
            <w:gridSpan w:val="3"/>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39</w:t>
              </w:r>
            </w:hyperlink>
          </w:p>
        </w:tc>
      </w:tr>
      <w:tr>
        <w:trPr>
          <w:trHeight w:val="270"/>
        </w:trPr>
        <w:tc>
          <w:tcPr>
            <w:tcW w:w="880" w:type="dxa"/>
            <w:vAlign w:val="bottom"/>
          </w:tcPr>
          <w:p>
            <w:pPr>
              <w:spacing w:after="0"/>
              <w:rPr>
                <w:sz w:val="23"/>
                <w:szCs w:val="23"/>
                <w:color w:val="auto"/>
              </w:rPr>
            </w:pPr>
          </w:p>
        </w:tc>
        <w:tc>
          <w:tcPr>
            <w:tcW w:w="9720" w:type="dxa"/>
            <w:vAlign w:val="bottom"/>
          </w:tcPr>
          <w:p>
            <w:pPr>
              <w:ind w:left="4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Note 10 — Contingencies, Commitments and Guarantees</w:t>
              </w:r>
            </w:hyperlink>
          </w:p>
        </w:tc>
        <w:tc>
          <w:tcPr>
            <w:tcW w:w="580" w:type="dxa"/>
            <w:vAlign w:val="bottom"/>
            <w:gridSpan w:val="3"/>
          </w:tcPr>
          <w:p>
            <w:pPr>
              <w:jc w:val="right"/>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39</w:t>
              </w:r>
            </w:hyperlink>
          </w:p>
        </w:tc>
      </w:tr>
      <w:tr>
        <w:trPr>
          <w:trHeight w:val="270"/>
        </w:trPr>
        <w:tc>
          <w:tcPr>
            <w:tcW w:w="880" w:type="dxa"/>
            <w:vAlign w:val="bottom"/>
          </w:tcPr>
          <w:p>
            <w:pPr>
              <w:spacing w:after="0"/>
              <w:rPr>
                <w:sz w:val="23"/>
                <w:szCs w:val="23"/>
                <w:color w:val="auto"/>
              </w:rPr>
            </w:pPr>
          </w:p>
        </w:tc>
        <w:tc>
          <w:tcPr>
            <w:tcW w:w="9720" w:type="dxa"/>
            <w:vAlign w:val="bottom"/>
          </w:tcPr>
          <w:p>
            <w:pPr>
              <w:ind w:left="46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Note 11 — Subsequent Events</w:t>
              </w:r>
            </w:hyperlink>
          </w:p>
        </w:tc>
        <w:tc>
          <w:tcPr>
            <w:tcW w:w="580" w:type="dxa"/>
            <w:vAlign w:val="bottom"/>
            <w:gridSpan w:val="3"/>
          </w:tcPr>
          <w:p>
            <w:pPr>
              <w:jc w:val="right"/>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41</w:t>
              </w:r>
            </w:hyperlink>
          </w:p>
        </w:tc>
      </w:tr>
      <w:tr>
        <w:trPr>
          <w:trHeight w:val="270"/>
        </w:trPr>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Item 2.</w:t>
            </w:r>
          </w:p>
        </w:tc>
        <w:tc>
          <w:tcPr>
            <w:tcW w:w="9720" w:type="dxa"/>
            <w:vAlign w:val="bottom"/>
          </w:tcPr>
          <w:p>
            <w:pPr>
              <w:ind w:left="120"/>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Management’s Discussion and Analysis of Financial Condition and Results of Operations</w:t>
              </w:r>
            </w:hyperlink>
          </w:p>
        </w:tc>
        <w:tc>
          <w:tcPr>
            <w:tcW w:w="580" w:type="dxa"/>
            <w:vAlign w:val="bottom"/>
            <w:gridSpan w:val="3"/>
          </w:tcPr>
          <w:p>
            <w:pPr>
              <w:jc w:val="right"/>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42</w:t>
              </w:r>
            </w:hyperlink>
          </w:p>
        </w:tc>
      </w:tr>
      <w:tr>
        <w:trPr>
          <w:trHeight w:val="270"/>
        </w:trPr>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Item 3.</w:t>
            </w:r>
          </w:p>
        </w:tc>
        <w:tc>
          <w:tcPr>
            <w:tcW w:w="9720" w:type="dxa"/>
            <w:vAlign w:val="bottom"/>
          </w:tcPr>
          <w:p>
            <w:pPr>
              <w:ind w:left="120"/>
              <w:spacing w:after="0"/>
              <w:rPr>
                <w:rFonts w:ascii="Arial" w:cs="Arial" w:eastAsia="Arial" w:hAnsi="Arial"/>
                <w:sz w:val="18"/>
                <w:szCs w:val="18"/>
                <w:b w:val="1"/>
                <w:bCs w:val="1"/>
                <w:u w:val="single" w:color="auto"/>
                <w:color w:val="0000EE"/>
              </w:rPr>
            </w:pPr>
            <w:hyperlink w:anchor="page82">
              <w:r>
                <w:rPr>
                  <w:rFonts w:ascii="Arial" w:cs="Arial" w:eastAsia="Arial" w:hAnsi="Arial"/>
                  <w:sz w:val="18"/>
                  <w:szCs w:val="18"/>
                  <w:b w:val="1"/>
                  <w:bCs w:val="1"/>
                  <w:u w:val="single" w:color="auto"/>
                  <w:color w:val="0000EE"/>
                </w:rPr>
                <w:t>Quantitative and Qualitative Disclosures About Market Risk</w:t>
              </w:r>
            </w:hyperlink>
          </w:p>
        </w:tc>
        <w:tc>
          <w:tcPr>
            <w:tcW w:w="580" w:type="dxa"/>
            <w:vAlign w:val="bottom"/>
            <w:gridSpan w:val="3"/>
          </w:tcPr>
          <w:p>
            <w:pPr>
              <w:jc w:val="right"/>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81</w:t>
              </w:r>
            </w:hyperlink>
          </w:p>
        </w:tc>
      </w:tr>
      <w:tr>
        <w:trPr>
          <w:trHeight w:val="270"/>
        </w:trPr>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Item 4.</w:t>
            </w:r>
          </w:p>
        </w:tc>
        <w:tc>
          <w:tcPr>
            <w:tcW w:w="9720" w:type="dxa"/>
            <w:vAlign w:val="bottom"/>
          </w:tcPr>
          <w:p>
            <w:pPr>
              <w:ind w:left="120"/>
              <w:spacing w:after="0"/>
              <w:rPr>
                <w:rFonts w:ascii="Arial" w:cs="Arial" w:eastAsia="Arial" w:hAnsi="Arial"/>
                <w:sz w:val="18"/>
                <w:szCs w:val="18"/>
                <w:b w:val="1"/>
                <w:bCs w:val="1"/>
                <w:u w:val="single" w:color="auto"/>
                <w:color w:val="0000EE"/>
              </w:rPr>
            </w:pPr>
            <w:hyperlink w:anchor="page82">
              <w:r>
                <w:rPr>
                  <w:rFonts w:ascii="Arial" w:cs="Arial" w:eastAsia="Arial" w:hAnsi="Arial"/>
                  <w:sz w:val="18"/>
                  <w:szCs w:val="18"/>
                  <w:b w:val="1"/>
                  <w:bCs w:val="1"/>
                  <w:u w:val="single" w:color="auto"/>
                  <w:color w:val="0000EE"/>
                </w:rPr>
                <w:t>Controls and Procedures</w:t>
              </w:r>
            </w:hyperlink>
          </w:p>
        </w:tc>
        <w:tc>
          <w:tcPr>
            <w:tcW w:w="580" w:type="dxa"/>
            <w:vAlign w:val="bottom"/>
            <w:gridSpan w:val="3"/>
          </w:tcPr>
          <w:p>
            <w:pPr>
              <w:jc w:val="right"/>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81</w:t>
              </w:r>
            </w:hyperlink>
          </w:p>
        </w:tc>
      </w:tr>
      <w:tr>
        <w:trPr>
          <w:trHeight w:val="391"/>
        </w:trPr>
        <w:tc>
          <w:tcPr>
            <w:tcW w:w="10600" w:type="dxa"/>
            <w:vAlign w:val="bottom"/>
            <w:gridSpan w:val="2"/>
          </w:tcPr>
          <w:p>
            <w:pPr>
              <w:spacing w:after="0"/>
              <w:rPr>
                <w:rFonts w:ascii="Arial" w:cs="Arial" w:eastAsia="Arial" w:hAnsi="Arial"/>
                <w:sz w:val="18"/>
                <w:szCs w:val="18"/>
                <w:b w:val="1"/>
                <w:bCs w:val="1"/>
                <w:u w:val="single" w:color="auto"/>
                <w:color w:val="0000EE"/>
              </w:rPr>
            </w:pPr>
            <w:hyperlink w:anchor="page83">
              <w:r>
                <w:rPr>
                  <w:rFonts w:ascii="Arial" w:cs="Arial" w:eastAsia="Arial" w:hAnsi="Arial"/>
                  <w:sz w:val="18"/>
                  <w:szCs w:val="18"/>
                  <w:b w:val="1"/>
                  <w:bCs w:val="1"/>
                  <w:u w:val="single" w:color="auto"/>
                  <w:color w:val="0000EE"/>
                </w:rPr>
                <w:t>Part II — Other Information</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Item 1.</w:t>
            </w:r>
          </w:p>
        </w:tc>
        <w:tc>
          <w:tcPr>
            <w:tcW w:w="9720" w:type="dxa"/>
            <w:vAlign w:val="bottom"/>
          </w:tcPr>
          <w:p>
            <w:pPr>
              <w:ind w:left="120"/>
              <w:spacing w:after="0"/>
              <w:rPr>
                <w:rFonts w:ascii="Arial" w:cs="Arial" w:eastAsia="Arial" w:hAnsi="Arial"/>
                <w:sz w:val="18"/>
                <w:szCs w:val="18"/>
                <w:b w:val="1"/>
                <w:bCs w:val="1"/>
                <w:u w:val="single" w:color="auto"/>
                <w:color w:val="0000EE"/>
              </w:rPr>
            </w:pPr>
            <w:hyperlink w:anchor="page83">
              <w:r>
                <w:rPr>
                  <w:rFonts w:ascii="Arial" w:cs="Arial" w:eastAsia="Arial" w:hAnsi="Arial"/>
                  <w:sz w:val="18"/>
                  <w:szCs w:val="18"/>
                  <w:b w:val="1"/>
                  <w:bCs w:val="1"/>
                  <w:u w:val="single" w:color="auto"/>
                  <w:color w:val="0000EE"/>
                </w:rPr>
                <w:t>Legal Proceedings</w:t>
              </w:r>
            </w:hyperlink>
          </w:p>
        </w:tc>
        <w:tc>
          <w:tcPr>
            <w:tcW w:w="580" w:type="dxa"/>
            <w:vAlign w:val="bottom"/>
            <w:gridSpan w:val="3"/>
          </w:tcPr>
          <w:p>
            <w:pPr>
              <w:jc w:val="right"/>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82</w:t>
              </w:r>
            </w:hyperlink>
          </w:p>
        </w:tc>
      </w:tr>
      <w:tr>
        <w:trPr>
          <w:trHeight w:val="270"/>
        </w:trPr>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Item 1A.</w:t>
            </w:r>
          </w:p>
        </w:tc>
        <w:tc>
          <w:tcPr>
            <w:tcW w:w="9720" w:type="dxa"/>
            <w:vAlign w:val="bottom"/>
          </w:tcPr>
          <w:p>
            <w:pPr>
              <w:ind w:left="120"/>
              <w:spacing w:after="0"/>
              <w:rPr>
                <w:rFonts w:ascii="Arial" w:cs="Arial" w:eastAsia="Arial" w:hAnsi="Arial"/>
                <w:sz w:val="18"/>
                <w:szCs w:val="18"/>
                <w:b w:val="1"/>
                <w:bCs w:val="1"/>
                <w:u w:val="single" w:color="auto"/>
                <w:color w:val="0000EE"/>
              </w:rPr>
            </w:pPr>
            <w:hyperlink w:anchor="page83">
              <w:r>
                <w:rPr>
                  <w:rFonts w:ascii="Arial" w:cs="Arial" w:eastAsia="Arial" w:hAnsi="Arial"/>
                  <w:sz w:val="18"/>
                  <w:szCs w:val="18"/>
                  <w:b w:val="1"/>
                  <w:bCs w:val="1"/>
                  <w:u w:val="single" w:color="auto"/>
                  <w:color w:val="0000EE"/>
                </w:rPr>
                <w:t>Risk Factors</w:t>
              </w:r>
            </w:hyperlink>
          </w:p>
        </w:tc>
        <w:tc>
          <w:tcPr>
            <w:tcW w:w="580" w:type="dxa"/>
            <w:vAlign w:val="bottom"/>
            <w:gridSpan w:val="3"/>
          </w:tcPr>
          <w:p>
            <w:pPr>
              <w:jc w:val="right"/>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82</w:t>
              </w:r>
            </w:hyperlink>
          </w:p>
        </w:tc>
      </w:tr>
      <w:tr>
        <w:trPr>
          <w:trHeight w:val="270"/>
        </w:trPr>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Item 2.</w:t>
            </w:r>
          </w:p>
        </w:tc>
        <w:tc>
          <w:tcPr>
            <w:tcW w:w="9720" w:type="dxa"/>
            <w:vAlign w:val="bottom"/>
          </w:tcPr>
          <w:p>
            <w:pPr>
              <w:ind w:left="120"/>
              <w:spacing w:after="0"/>
              <w:rPr>
                <w:rFonts w:ascii="Arial" w:cs="Arial" w:eastAsia="Arial" w:hAnsi="Arial"/>
                <w:sz w:val="18"/>
                <w:szCs w:val="18"/>
                <w:b w:val="1"/>
                <w:bCs w:val="1"/>
                <w:u w:val="single" w:color="auto"/>
                <w:color w:val="0000EE"/>
              </w:rPr>
            </w:pPr>
            <w:hyperlink w:anchor="page84">
              <w:r>
                <w:rPr>
                  <w:rFonts w:ascii="Arial" w:cs="Arial" w:eastAsia="Arial" w:hAnsi="Arial"/>
                  <w:sz w:val="18"/>
                  <w:szCs w:val="18"/>
                  <w:b w:val="1"/>
                  <w:bCs w:val="1"/>
                  <w:u w:val="single" w:color="auto"/>
                  <w:color w:val="0000EE"/>
                </w:rPr>
                <w:t>Unregistered Sales of Equity Securities and Use of Proceeds</w:t>
              </w:r>
            </w:hyperlink>
          </w:p>
        </w:tc>
        <w:tc>
          <w:tcPr>
            <w:tcW w:w="580" w:type="dxa"/>
            <w:vAlign w:val="bottom"/>
            <w:gridSpan w:val="3"/>
          </w:tcPr>
          <w:p>
            <w:pPr>
              <w:jc w:val="right"/>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83</w:t>
              </w:r>
            </w:hyperlink>
          </w:p>
        </w:tc>
      </w:tr>
      <w:tr>
        <w:trPr>
          <w:trHeight w:val="270"/>
        </w:trPr>
        <w:tc>
          <w:tcPr>
            <w:tcW w:w="880" w:type="dxa"/>
            <w:vAlign w:val="bottom"/>
          </w:tcPr>
          <w:p>
            <w:pPr>
              <w:ind w:left="80"/>
              <w:spacing w:after="0"/>
              <w:rPr>
                <w:sz w:val="20"/>
                <w:szCs w:val="20"/>
                <w:color w:val="auto"/>
              </w:rPr>
            </w:pPr>
            <w:r>
              <w:rPr>
                <w:rFonts w:ascii="Arial" w:cs="Arial" w:eastAsia="Arial" w:hAnsi="Arial"/>
                <w:sz w:val="18"/>
                <w:szCs w:val="18"/>
                <w:b w:val="1"/>
                <w:bCs w:val="1"/>
                <w:color w:val="auto"/>
              </w:rPr>
              <w:t>Item 6.</w:t>
            </w:r>
          </w:p>
        </w:tc>
        <w:tc>
          <w:tcPr>
            <w:tcW w:w="9720" w:type="dxa"/>
            <w:vAlign w:val="bottom"/>
          </w:tcPr>
          <w:p>
            <w:pPr>
              <w:ind w:left="120"/>
              <w:spacing w:after="0"/>
              <w:rPr>
                <w:rFonts w:ascii="Arial" w:cs="Arial" w:eastAsia="Arial" w:hAnsi="Arial"/>
                <w:sz w:val="18"/>
                <w:szCs w:val="18"/>
                <w:b w:val="1"/>
                <w:bCs w:val="1"/>
                <w:u w:val="single" w:color="auto"/>
                <w:color w:val="0000EE"/>
              </w:rPr>
            </w:pPr>
            <w:hyperlink w:anchor="page85">
              <w:r>
                <w:rPr>
                  <w:rFonts w:ascii="Arial" w:cs="Arial" w:eastAsia="Arial" w:hAnsi="Arial"/>
                  <w:sz w:val="18"/>
                  <w:szCs w:val="18"/>
                  <w:b w:val="1"/>
                  <w:bCs w:val="1"/>
                  <w:u w:val="single" w:color="auto"/>
                  <w:color w:val="0000EE"/>
                </w:rPr>
                <w:t>Exhibits</w:t>
              </w:r>
            </w:hyperlink>
          </w:p>
        </w:tc>
        <w:tc>
          <w:tcPr>
            <w:tcW w:w="580" w:type="dxa"/>
            <w:vAlign w:val="bottom"/>
            <w:gridSpan w:val="3"/>
          </w:tcPr>
          <w:p>
            <w:pPr>
              <w:jc w:val="right"/>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84</w:t>
              </w:r>
            </w:hyperlink>
          </w:p>
        </w:tc>
      </w:tr>
      <w:tr>
        <w:trPr>
          <w:trHeight w:val="392"/>
        </w:trPr>
        <w:tc>
          <w:tcPr>
            <w:tcW w:w="880" w:type="dxa"/>
            <w:vAlign w:val="bottom"/>
          </w:tcPr>
          <w:p>
            <w:pPr>
              <w:spacing w:after="0"/>
              <w:rPr>
                <w:rFonts w:ascii="Arial" w:cs="Arial" w:eastAsia="Arial" w:hAnsi="Arial"/>
                <w:sz w:val="18"/>
                <w:szCs w:val="18"/>
                <w:b w:val="1"/>
                <w:bCs w:val="1"/>
                <w:u w:val="single" w:color="auto"/>
                <w:color w:val="0000EE"/>
              </w:rPr>
            </w:pPr>
            <w:hyperlink w:anchor="page86">
              <w:r>
                <w:rPr>
                  <w:rFonts w:ascii="Arial" w:cs="Arial" w:eastAsia="Arial" w:hAnsi="Arial"/>
                  <w:sz w:val="18"/>
                  <w:szCs w:val="18"/>
                  <w:b w:val="1"/>
                  <w:bCs w:val="1"/>
                  <w:u w:val="single" w:color="auto"/>
                  <w:color w:val="0000EE"/>
                </w:rPr>
                <w:t>Signature</w:t>
              </w:r>
            </w:hyperlink>
          </w:p>
        </w:tc>
        <w:tc>
          <w:tcPr>
            <w:tcW w:w="9720" w:type="dxa"/>
            <w:vAlign w:val="bottom"/>
          </w:tcPr>
          <w:p>
            <w:pPr>
              <w:spacing w:after="0"/>
              <w:rPr>
                <w:sz w:val="24"/>
                <w:szCs w:val="24"/>
                <w:color w:val="auto"/>
              </w:rPr>
            </w:pPr>
          </w:p>
        </w:tc>
        <w:tc>
          <w:tcPr>
            <w:tcW w:w="580" w:type="dxa"/>
            <w:vAlign w:val="bottom"/>
            <w:gridSpan w:val="3"/>
          </w:tcPr>
          <w:p>
            <w:pPr>
              <w:jc w:val="right"/>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85</w:t>
              </w:r>
            </w:hyperlink>
          </w:p>
        </w:tc>
      </w:tr>
    </w:tbl>
    <w:p>
      <w:pPr>
        <w:sectPr>
          <w:pgSz w:w="11900" w:h="16838" w:orient="portrait"/>
          <w:cols w:equalWidth="0" w:num="1">
            <w:col w:w="11180"/>
          </w:cols>
          <w:pgMar w:left="360" w:top="499" w:right="35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Brighthouse Financial, Inc.</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Interim Condensed Consolidated Balance Sheets</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March 31, 2020 (Unaudited) and December 31, 2019</w:t>
      </w:r>
    </w:p>
    <w:p>
      <w:pPr>
        <w:spacing w:after="0" w:line="9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March 31, 2020</w:t>
            </w:r>
          </w:p>
        </w:tc>
        <w:tc>
          <w:tcPr>
            <w:tcW w:w="140" w:type="dxa"/>
            <w:vAlign w:val="bottom"/>
          </w:tcPr>
          <w:p>
            <w:pPr>
              <w:spacing w:after="0"/>
              <w:rPr>
                <w:sz w:val="15"/>
                <w:szCs w:val="15"/>
                <w:color w:val="auto"/>
              </w:rPr>
            </w:pPr>
          </w:p>
        </w:tc>
        <w:tc>
          <w:tcPr>
            <w:tcW w:w="1200" w:type="dxa"/>
            <w:vAlign w:val="bottom"/>
          </w:tcPr>
          <w:p>
            <w:pPr>
              <w:jc w:val="right"/>
              <w:ind w:right="88"/>
              <w:spacing w:after="0"/>
              <w:rPr>
                <w:sz w:val="20"/>
                <w:szCs w:val="20"/>
                <w:color w:val="auto"/>
              </w:rPr>
            </w:pPr>
            <w:r>
              <w:rPr>
                <w:rFonts w:ascii="Arial" w:cs="Arial" w:eastAsia="Arial" w:hAnsi="Arial"/>
                <w:sz w:val="13"/>
                <w:szCs w:val="13"/>
                <w:b w:val="1"/>
                <w:bCs w:val="1"/>
                <w:color w:val="auto"/>
                <w:w w:val="87"/>
              </w:rPr>
              <w:t>December 31, 2019</w:t>
            </w:r>
          </w:p>
        </w:tc>
        <w:tc>
          <w:tcPr>
            <w:tcW w:w="0" w:type="dxa"/>
            <w:vAlign w:val="bottom"/>
          </w:tcPr>
          <w:p>
            <w:pPr>
              <w:spacing w:after="0"/>
              <w:rPr>
                <w:sz w:val="1"/>
                <w:szCs w:val="1"/>
                <w:color w:val="auto"/>
              </w:rPr>
            </w:pPr>
          </w:p>
        </w:tc>
      </w:tr>
      <w:tr>
        <w:trPr>
          <w:trHeight w:val="177"/>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40"/>
              <w:spacing w:after="0"/>
              <w:rPr>
                <w:sz w:val="20"/>
                <w:szCs w:val="20"/>
                <w:color w:val="auto"/>
              </w:rPr>
            </w:pPr>
            <w:r>
              <w:rPr>
                <w:rFonts w:ascii="Arial" w:cs="Arial" w:eastAsia="Arial" w:hAnsi="Arial"/>
                <w:sz w:val="14"/>
                <w:szCs w:val="14"/>
                <w:color w:val="auto"/>
              </w:rPr>
              <w:t>Investments: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3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6"/>
              </w:rPr>
              <w:t>Fixed maturity securities available-for-sale, at estimated fair value (amortized cost: $65,237 and $64,079, respectively; allowance for credit</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8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losses of $10 and $0, respectively)</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71,302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71,036</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Equity securities, at estimated fair value</w:t>
            </w:r>
          </w:p>
        </w:tc>
        <w:tc>
          <w:tcPr>
            <w:tcW w:w="2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loans (net of allowance for credit losses of $69 and $64, respectively)</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15,753</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Policy loans</w:t>
            </w:r>
          </w:p>
        </w:tc>
        <w:tc>
          <w:tcPr>
            <w:tcW w:w="2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1,250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1,292</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Limited partnerships and limited liability companies</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2,380</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Short-term investments, principally at estimated fair value</w:t>
            </w:r>
          </w:p>
        </w:tc>
        <w:tc>
          <w:tcPr>
            <w:tcW w:w="2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4,348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1,958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invested assets, principally at estimated fair value (net of allowance for credit losses of $13 and $0, respectively)</w:t>
            </w:r>
          </w:p>
        </w:tc>
        <w:tc>
          <w:tcPr>
            <w:tcW w:w="2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9,658</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3,216</w:t>
            </w:r>
          </w:p>
        </w:tc>
        <w:tc>
          <w:tcPr>
            <w:tcW w:w="0" w:type="dxa"/>
            <w:vAlign w:val="bottom"/>
          </w:tcPr>
          <w:p>
            <w:pPr>
              <w:spacing w:after="0"/>
              <w:rPr>
                <w:sz w:val="1"/>
                <w:szCs w:val="1"/>
                <w:color w:val="auto"/>
              </w:rPr>
            </w:pPr>
          </w:p>
        </w:tc>
      </w:tr>
      <w:tr>
        <w:trPr>
          <w:trHeight w:val="170"/>
        </w:trPr>
        <w:tc>
          <w:tcPr>
            <w:tcW w:w="8340" w:type="dxa"/>
            <w:vAlign w:val="bottom"/>
          </w:tcPr>
          <w:p>
            <w:pPr>
              <w:ind w:left="200"/>
              <w:spacing w:after="0"/>
              <w:rPr>
                <w:sz w:val="20"/>
                <w:szCs w:val="20"/>
                <w:color w:val="auto"/>
              </w:rPr>
            </w:pPr>
            <w:r>
              <w:rPr>
                <w:rFonts w:ascii="Arial" w:cs="Arial" w:eastAsia="Arial" w:hAnsi="Arial"/>
                <w:sz w:val="14"/>
                <w:szCs w:val="14"/>
                <w:color w:val="auto"/>
              </w:rPr>
              <w:t>Total investments</w:t>
            </w:r>
          </w:p>
        </w:tc>
        <w:tc>
          <w:tcPr>
            <w:tcW w:w="200" w:type="dxa"/>
            <w:vAlign w:val="bottom"/>
          </w:tcPr>
          <w:p>
            <w:pPr>
              <w:spacing w:after="0"/>
              <w:rPr>
                <w:sz w:val="14"/>
                <w:szCs w:val="14"/>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104,732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95,782</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2,877</w:t>
            </w:r>
          </w:p>
        </w:tc>
        <w:tc>
          <w:tcPr>
            <w:tcW w:w="0" w:type="dxa"/>
            <w:vAlign w:val="bottom"/>
          </w:tcPr>
          <w:p>
            <w:pPr>
              <w:spacing w:after="0"/>
              <w:rPr>
                <w:sz w:val="1"/>
                <w:szCs w:val="1"/>
                <w:color w:val="auto"/>
              </w:rPr>
            </w:pPr>
          </w:p>
        </w:tc>
      </w:tr>
      <w:tr>
        <w:trPr>
          <w:trHeight w:val="190"/>
        </w:trPr>
        <w:tc>
          <w:tcPr>
            <w:tcW w:w="8340" w:type="dxa"/>
            <w:vAlign w:val="bottom"/>
          </w:tcPr>
          <w:p>
            <w:pPr>
              <w:ind w:left="40"/>
              <w:spacing w:after="0"/>
              <w:rPr>
                <w:sz w:val="20"/>
                <w:szCs w:val="20"/>
                <w:color w:val="auto"/>
              </w:rPr>
            </w:pPr>
            <w:r>
              <w:rPr>
                <w:rFonts w:ascii="Arial" w:cs="Arial" w:eastAsia="Arial" w:hAnsi="Arial"/>
                <w:sz w:val="14"/>
                <w:szCs w:val="14"/>
                <w:color w:val="auto"/>
              </w:rPr>
              <w:t>Accrued investment income</w:t>
            </w:r>
          </w:p>
        </w:tc>
        <w:tc>
          <w:tcPr>
            <w:tcW w:w="20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Premiums, reinsurance and other receivables</w:t>
            </w: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14,994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14,760</w:t>
            </w:r>
          </w:p>
        </w:tc>
        <w:tc>
          <w:tcPr>
            <w:tcW w:w="0" w:type="dxa"/>
            <w:vAlign w:val="bottom"/>
          </w:tcPr>
          <w:p>
            <w:pPr>
              <w:spacing w:after="0"/>
              <w:rPr>
                <w:sz w:val="1"/>
                <w:szCs w:val="1"/>
                <w:color w:val="auto"/>
              </w:rPr>
            </w:pPr>
          </w:p>
        </w:tc>
      </w:tr>
      <w:tr>
        <w:trPr>
          <w:trHeight w:val="79"/>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Deferred policy acquisition costs and value of business acquired</w:t>
            </w:r>
          </w:p>
        </w:tc>
        <w:tc>
          <w:tcPr>
            <w:tcW w:w="20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4,862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5,448</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income tax recoverable</w:t>
            </w: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79"/>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Separate account assets</w:t>
            </w: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89,008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107,107</w:t>
            </w:r>
          </w:p>
        </w:tc>
        <w:tc>
          <w:tcPr>
            <w:tcW w:w="0" w:type="dxa"/>
            <w:vAlign w:val="bottom"/>
          </w:tcPr>
          <w:p>
            <w:pPr>
              <w:spacing w:after="0"/>
              <w:rPr>
                <w:sz w:val="1"/>
                <w:szCs w:val="1"/>
                <w:color w:val="auto"/>
              </w:rPr>
            </w:pPr>
          </w:p>
        </w:tc>
      </w:tr>
      <w:tr>
        <w:trPr>
          <w:trHeight w:val="79"/>
        </w:trPr>
        <w:tc>
          <w:tcPr>
            <w:tcW w:w="834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200"/>
              <w:spacing w:after="0"/>
              <w:rPr>
                <w:sz w:val="20"/>
                <w:szCs w:val="20"/>
                <w:color w:val="auto"/>
              </w:rPr>
            </w:pPr>
            <w:r>
              <w:rPr>
                <w:rFonts w:ascii="Arial" w:cs="Arial" w:eastAsia="Arial" w:hAnsi="Arial"/>
                <w:sz w:val="14"/>
                <w:szCs w:val="14"/>
                <w:color w:val="auto"/>
              </w:rPr>
              <w:t>Total assets</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223,953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227,259</w:t>
            </w:r>
          </w:p>
        </w:tc>
        <w:tc>
          <w:tcPr>
            <w:tcW w:w="0" w:type="dxa"/>
            <w:vAlign w:val="bottom"/>
          </w:tcPr>
          <w:p>
            <w:pPr>
              <w:spacing w:after="0"/>
              <w:rPr>
                <w:sz w:val="1"/>
                <w:szCs w:val="1"/>
                <w:color w:val="auto"/>
              </w:rPr>
            </w:pPr>
          </w:p>
        </w:tc>
      </w:tr>
      <w:tr>
        <w:trPr>
          <w:trHeight w:val="100"/>
        </w:trPr>
        <w:tc>
          <w:tcPr>
            <w:tcW w:w="834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vMerge w:val="continue"/>
          </w:tcPr>
          <w:p>
            <w:pPr>
              <w:spacing w:after="0"/>
              <w:rPr>
                <w:sz w:val="8"/>
                <w:szCs w:val="8"/>
                <w:color w:val="auto"/>
              </w:rPr>
            </w:pPr>
          </w:p>
        </w:tc>
        <w:tc>
          <w:tcPr>
            <w:tcW w:w="12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34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Liabilities and Equity</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83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Future policy benefits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40,653</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39,686</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40"/>
              <w:spacing w:after="0"/>
              <w:rPr>
                <w:sz w:val="20"/>
                <w:szCs w:val="20"/>
                <w:color w:val="auto"/>
              </w:rPr>
            </w:pPr>
            <w:r>
              <w:rPr>
                <w:rFonts w:ascii="Arial" w:cs="Arial" w:eastAsia="Arial" w:hAnsi="Arial"/>
                <w:sz w:val="14"/>
                <w:szCs w:val="14"/>
                <w:color w:val="auto"/>
              </w:rPr>
              <w:t>Policyholder account balances</w:t>
            </w:r>
          </w:p>
        </w:tc>
        <w:tc>
          <w:tcPr>
            <w:tcW w:w="20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47,288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45,771</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policy-related balances</w:t>
            </w: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3,111</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40"/>
              <w:spacing w:after="0"/>
              <w:rPr>
                <w:sz w:val="20"/>
                <w:szCs w:val="20"/>
                <w:color w:val="auto"/>
              </w:rPr>
            </w:pPr>
            <w:r>
              <w:rPr>
                <w:rFonts w:ascii="Arial" w:cs="Arial" w:eastAsia="Arial" w:hAnsi="Arial"/>
                <w:sz w:val="14"/>
                <w:szCs w:val="14"/>
                <w:color w:val="auto"/>
              </w:rPr>
              <w:t>Payables for collateral under securities loaned and other transactions</w:t>
            </w:r>
          </w:p>
        </w:tc>
        <w:tc>
          <w:tcPr>
            <w:tcW w:w="20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10,988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4,391</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4,365</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40"/>
              <w:spacing w:after="0"/>
              <w:rPr>
                <w:sz w:val="20"/>
                <w:szCs w:val="20"/>
                <w:color w:val="auto"/>
              </w:rPr>
            </w:pPr>
            <w:r>
              <w:rPr>
                <w:rFonts w:ascii="Arial" w:cs="Arial" w:eastAsia="Arial" w:hAnsi="Arial"/>
                <w:sz w:val="14"/>
                <w:szCs w:val="14"/>
                <w:color w:val="auto"/>
              </w:rPr>
              <w:t>Deferred income tax liability</w:t>
            </w:r>
          </w:p>
        </w:tc>
        <w:tc>
          <w:tcPr>
            <w:tcW w:w="20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2,482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1,355</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5,561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5,236</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40"/>
              <w:spacing w:after="0"/>
              <w:rPr>
                <w:sz w:val="20"/>
                <w:szCs w:val="20"/>
                <w:color w:val="auto"/>
              </w:rPr>
            </w:pPr>
            <w:r>
              <w:rPr>
                <w:rFonts w:ascii="Arial" w:cs="Arial" w:eastAsia="Arial" w:hAnsi="Arial"/>
                <w:sz w:val="14"/>
                <w:szCs w:val="14"/>
                <w:color w:val="auto"/>
              </w:rPr>
              <w:t>Separate account liabilities</w:t>
            </w:r>
          </w:p>
        </w:tc>
        <w:tc>
          <w:tcPr>
            <w:tcW w:w="20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89,008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107,107</w:t>
            </w:r>
          </w:p>
        </w:tc>
        <w:tc>
          <w:tcPr>
            <w:tcW w:w="0" w:type="dxa"/>
            <w:vAlign w:val="bottom"/>
          </w:tcPr>
          <w:p>
            <w:pPr>
              <w:spacing w:after="0"/>
              <w:rPr>
                <w:sz w:val="1"/>
                <w:szCs w:val="1"/>
                <w:color w:val="auto"/>
              </w:rPr>
            </w:pPr>
          </w:p>
        </w:tc>
      </w:tr>
      <w:tr>
        <w:trPr>
          <w:trHeight w:val="73"/>
        </w:trPr>
        <w:tc>
          <w:tcPr>
            <w:tcW w:w="83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liabilities</w:t>
            </w: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203,514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211,022</w:t>
            </w:r>
          </w:p>
        </w:tc>
        <w:tc>
          <w:tcPr>
            <w:tcW w:w="0" w:type="dxa"/>
            <w:vAlign w:val="bottom"/>
          </w:tcPr>
          <w:p>
            <w:pPr>
              <w:spacing w:after="0"/>
              <w:rPr>
                <w:sz w:val="1"/>
                <w:szCs w:val="1"/>
                <w:color w:val="auto"/>
              </w:rPr>
            </w:pPr>
          </w:p>
        </w:tc>
      </w:tr>
      <w:tr>
        <w:trPr>
          <w:trHeight w:val="79"/>
        </w:trPr>
        <w:tc>
          <w:tcPr>
            <w:tcW w:w="834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Contingencies, Commitments and Guarantees (Note 10)</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Equity</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40"/>
              <w:spacing w:after="0"/>
              <w:rPr>
                <w:sz w:val="20"/>
                <w:szCs w:val="20"/>
                <w:color w:val="auto"/>
              </w:rPr>
            </w:pPr>
            <w:r>
              <w:rPr>
                <w:rFonts w:ascii="Arial" w:cs="Arial" w:eastAsia="Arial" w:hAnsi="Arial"/>
                <w:sz w:val="14"/>
                <w:szCs w:val="14"/>
                <w:color w:val="auto"/>
              </w:rPr>
              <w:t>Brighthouse Financial, Inc.’s stockholders’ equity:</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stock, par value $0.01 per share; $425 aggregate liquidation preference</w:t>
            </w:r>
          </w:p>
        </w:tc>
        <w:tc>
          <w:tcPr>
            <w:tcW w:w="2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8340" w:type="dxa"/>
            <w:vAlign w:val="bottom"/>
          </w:tcPr>
          <w:p>
            <w:pPr>
              <w:ind w:left="40"/>
              <w:spacing w:after="0" w:line="157" w:lineRule="exact"/>
              <w:rPr>
                <w:sz w:val="20"/>
                <w:szCs w:val="20"/>
                <w:color w:val="auto"/>
              </w:rPr>
            </w:pPr>
            <w:r>
              <w:rPr>
                <w:rFonts w:ascii="Arial" w:cs="Arial" w:eastAsia="Arial" w:hAnsi="Arial"/>
                <w:sz w:val="14"/>
                <w:szCs w:val="14"/>
                <w:color w:val="auto"/>
                <w:w w:val="98"/>
              </w:rPr>
              <w:t>Common stock, par value $0.01 per share; 1,000,000,000 shares authorized; 120,867,313 and 120,647,871 shares issued, respectively;</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340" w:type="dxa"/>
            <w:vAlign w:val="bottom"/>
          </w:tcPr>
          <w:p>
            <w:pPr>
              <w:ind w:left="200"/>
              <w:spacing w:after="0"/>
              <w:rPr>
                <w:sz w:val="20"/>
                <w:szCs w:val="20"/>
                <w:color w:val="auto"/>
              </w:rPr>
            </w:pPr>
            <w:r>
              <w:rPr>
                <w:rFonts w:ascii="Arial" w:cs="Arial" w:eastAsia="Arial" w:hAnsi="Arial"/>
                <w:sz w:val="14"/>
                <w:szCs w:val="14"/>
                <w:color w:val="auto"/>
              </w:rPr>
              <w:t>100,502,488 and 106,027,301 shares outstanding, respectively</w:t>
            </w:r>
          </w:p>
        </w:tc>
        <w:tc>
          <w:tcPr>
            <w:tcW w:w="200" w:type="dxa"/>
            <w:vAlign w:val="bottom"/>
          </w:tcPr>
          <w:p>
            <w:pPr>
              <w:spacing w:after="0"/>
              <w:rPr>
                <w:sz w:val="16"/>
                <w:szCs w:val="16"/>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12,911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12,908</w:t>
            </w:r>
          </w:p>
        </w:tc>
        <w:tc>
          <w:tcPr>
            <w:tcW w:w="0" w:type="dxa"/>
            <w:vAlign w:val="bottom"/>
          </w:tcPr>
          <w:p>
            <w:pPr>
              <w:spacing w:after="0"/>
              <w:rPr>
                <w:sz w:val="1"/>
                <w:szCs w:val="1"/>
                <w:color w:val="auto"/>
              </w:rPr>
            </w:pPr>
          </w:p>
        </w:tc>
      </w:tr>
      <w:tr>
        <w:trPr>
          <w:trHeight w:val="79"/>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Retained earnings (deficit)</w:t>
            </w:r>
          </w:p>
        </w:tc>
        <w:tc>
          <w:tcPr>
            <w:tcW w:w="20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5,521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73"/>
        </w:trPr>
        <w:tc>
          <w:tcPr>
            <w:tcW w:w="8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at cost; 20,364,825 and 14,620,570 shares, respectively</w:t>
            </w:r>
          </w:p>
        </w:tc>
        <w:tc>
          <w:tcPr>
            <w:tcW w:w="2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79"/>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Accumulated other comprehensive income (loss)</w:t>
            </w:r>
          </w:p>
        </w:tc>
        <w:tc>
          <w:tcPr>
            <w:tcW w:w="20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2,647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3,240</w:t>
            </w:r>
          </w:p>
        </w:tc>
        <w:tc>
          <w:tcPr>
            <w:tcW w:w="0" w:type="dxa"/>
            <w:vAlign w:val="bottom"/>
          </w:tcPr>
          <w:p>
            <w:pPr>
              <w:spacing w:after="0"/>
              <w:rPr>
                <w:sz w:val="1"/>
                <w:szCs w:val="1"/>
                <w:color w:val="auto"/>
              </w:rPr>
            </w:pPr>
          </w:p>
        </w:tc>
      </w:tr>
      <w:tr>
        <w:trPr>
          <w:trHeight w:val="73"/>
        </w:trPr>
        <w:tc>
          <w:tcPr>
            <w:tcW w:w="83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8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Brighthouse Financial, Inc.’s stockholders’ equity</w:t>
            </w: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20,374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16,172</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340" w:type="dxa"/>
            <w:vAlign w:val="bottom"/>
          </w:tcPr>
          <w:p>
            <w:pPr>
              <w:ind w:left="40"/>
              <w:spacing w:after="0"/>
              <w:rPr>
                <w:sz w:val="20"/>
                <w:szCs w:val="20"/>
                <w:color w:val="auto"/>
              </w:rPr>
            </w:pPr>
            <w:r>
              <w:rPr>
                <w:rFonts w:ascii="Arial" w:cs="Arial" w:eastAsia="Arial" w:hAnsi="Arial"/>
                <w:sz w:val="14"/>
                <w:szCs w:val="14"/>
                <w:color w:val="auto"/>
              </w:rPr>
              <w:t>Noncontrolling interests</w:t>
            </w:r>
          </w:p>
        </w:tc>
        <w:tc>
          <w:tcPr>
            <w:tcW w:w="20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83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equity</w:t>
            </w: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20,439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16,237</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8340" w:type="dxa"/>
            <w:vAlign w:val="bottom"/>
          </w:tcPr>
          <w:p>
            <w:pPr>
              <w:ind w:left="200"/>
              <w:spacing w:after="0"/>
              <w:rPr>
                <w:sz w:val="20"/>
                <w:szCs w:val="20"/>
                <w:color w:val="auto"/>
              </w:rPr>
            </w:pPr>
            <w:r>
              <w:rPr>
                <w:rFonts w:ascii="Arial" w:cs="Arial" w:eastAsia="Arial" w:hAnsi="Arial"/>
                <w:sz w:val="14"/>
                <w:szCs w:val="14"/>
                <w:color w:val="auto"/>
              </w:rPr>
              <w:t>Total liabilities and equity</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223,953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227,259</w:t>
            </w:r>
          </w:p>
        </w:tc>
        <w:tc>
          <w:tcPr>
            <w:tcW w:w="0" w:type="dxa"/>
            <w:vAlign w:val="bottom"/>
          </w:tcPr>
          <w:p>
            <w:pPr>
              <w:spacing w:after="0"/>
              <w:rPr>
                <w:sz w:val="1"/>
                <w:szCs w:val="1"/>
                <w:color w:val="auto"/>
              </w:rPr>
            </w:pPr>
          </w:p>
        </w:tc>
      </w:tr>
      <w:tr>
        <w:trPr>
          <w:trHeight w:val="65"/>
        </w:trPr>
        <w:tc>
          <w:tcPr>
            <w:tcW w:w="834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ectPr>
          <w:pgSz w:w="11900" w:h="16838" w:orient="portrait"/>
          <w:cols w:equalWidth="0" w:num="1">
            <w:col w:w="11240"/>
          </w:cols>
          <w:pgMar w:left="320" w:top="126" w:right="339" w:bottom="784"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26" w:right="339" w:bottom="784"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Interim Condensed Consolidated Statements of Operations and Comprehensive Income (Loss)</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 the Three Months Ended March 31, 2020 and 2019 (Unaudited)</w:t>
      </w:r>
    </w:p>
    <w:p>
      <w:pPr>
        <w:spacing w:after="0" w:line="153"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(In millions, except per share data)</w:t>
      </w:r>
    </w:p>
    <w:p>
      <w:pPr>
        <w:spacing w:after="0" w:line="176" w:lineRule="exact"/>
        <w:rPr>
          <w:sz w:val="20"/>
          <w:szCs w:val="20"/>
          <w:color w:val="auto"/>
        </w:rPr>
      </w:pPr>
    </w:p>
    <w:p>
      <w:pPr>
        <w:ind w:left="91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ind w:left="95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33020</wp:posOffset>
            </wp:positionV>
            <wp:extent cx="17741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Premiums</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Universal life and investment-type product policy fees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8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Net investment gains (losses)</w:t>
            </w:r>
          </w:p>
        </w:tc>
        <w:tc>
          <w:tcPr>
            <w:tcW w:w="8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derivative gains (losses)</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6,902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0" w:type="dxa"/>
            <w:vAlign w:val="bottom"/>
          </w:tcPr>
          <w:p>
            <w:pPr>
              <w:spacing w:after="0"/>
              <w:rPr>
                <w:sz w:val="1"/>
                <w:szCs w:val="1"/>
                <w:color w:val="auto"/>
              </w:rPr>
            </w:pPr>
          </w:p>
        </w:tc>
      </w:tr>
      <w:tr>
        <w:trPr>
          <w:trHeight w:val="217"/>
        </w:trPr>
        <w:tc>
          <w:tcPr>
            <w:tcW w:w="8440" w:type="dxa"/>
            <w:vAlign w:val="bottom"/>
          </w:tcPr>
          <w:p>
            <w:pPr>
              <w:ind w:left="180"/>
              <w:spacing w:after="0"/>
              <w:rPr>
                <w:sz w:val="20"/>
                <w:szCs w:val="20"/>
                <w:color w:val="auto"/>
              </w:rPr>
            </w:pPr>
            <w:r>
              <w:rPr>
                <w:rFonts w:ascii="Arial" w:cs="Arial" w:eastAsia="Arial" w:hAnsi="Arial"/>
                <w:sz w:val="16"/>
                <w:szCs w:val="16"/>
                <w:color w:val="auto"/>
              </w:rPr>
              <w:t>Total revenues</w:t>
            </w: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8,985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Policyholder benefits and claims</w:t>
            </w:r>
          </w:p>
        </w:tc>
        <w:tc>
          <w:tcPr>
            <w:tcW w:w="8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1,187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credited to policyholder account balances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Amortization of deferred policy acquisition costs and value of business acquired</w:t>
            </w:r>
          </w:p>
        </w:tc>
        <w:tc>
          <w:tcPr>
            <w:tcW w:w="8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17"/>
        </w:trPr>
        <w:tc>
          <w:tcPr>
            <w:tcW w:w="8440" w:type="dxa"/>
            <w:vAlign w:val="bottom"/>
          </w:tcPr>
          <w:p>
            <w:pPr>
              <w:ind w:left="180"/>
              <w:spacing w:after="0"/>
              <w:rPr>
                <w:sz w:val="20"/>
                <w:szCs w:val="20"/>
                <w:color w:val="auto"/>
              </w:rPr>
            </w:pPr>
            <w:r>
              <w:rPr>
                <w:rFonts w:ascii="Arial" w:cs="Arial" w:eastAsia="Arial" w:hAnsi="Arial"/>
                <w:sz w:val="16"/>
                <w:szCs w:val="16"/>
                <w:color w:val="auto"/>
              </w:rPr>
              <w:t>Total expenses</w:t>
            </w: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2,733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1,644</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provision for income tax</w:t>
            </w: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6,252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8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1,293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4,959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8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Brighthouse Financial, Inc.</w:t>
            </w:r>
          </w:p>
        </w:tc>
        <w:tc>
          <w:tcPr>
            <w:tcW w:w="8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4,957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Less: Preferred stock dividends</w:t>
            </w:r>
          </w:p>
        </w:tc>
        <w:tc>
          <w:tcPr>
            <w:tcW w:w="86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4,950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Comprehensive income (loss)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40" w:type="dxa"/>
            <w:vAlign w:val="bottom"/>
            <w:vMerge w:val="continue"/>
          </w:tcPr>
          <w:p>
            <w:pPr>
              <w:spacing w:after="0"/>
              <w:rPr>
                <w:sz w:val="17"/>
                <w:szCs w:val="17"/>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4,366</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8440" w:type="dxa"/>
            <w:vAlign w:val="bottom"/>
          </w:tcPr>
          <w:p>
            <w:pPr>
              <w:ind w:left="180"/>
              <w:spacing w:after="0"/>
              <w:rPr>
                <w:sz w:val="20"/>
                <w:szCs w:val="20"/>
                <w:color w:val="auto"/>
              </w:rPr>
            </w:pPr>
            <w:r>
              <w:rPr>
                <w:rFonts w:ascii="Arial" w:cs="Arial" w:eastAsia="Arial" w:hAnsi="Arial"/>
                <w:sz w:val="16"/>
                <w:szCs w:val="16"/>
                <w:color w:val="auto"/>
              </w:rPr>
              <w:t>Comprehensive income (loss) attributable to Brighthouse Financial, Inc.</w:t>
            </w: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4,364</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33"/>
        </w:trPr>
        <w:tc>
          <w:tcPr>
            <w:tcW w:w="84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common share</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40"/>
              <w:spacing w:after="0"/>
              <w:rPr>
                <w:sz w:val="20"/>
                <w:szCs w:val="20"/>
                <w:color w:val="auto"/>
              </w:rPr>
            </w:pPr>
            <w:r>
              <w:rPr>
                <w:rFonts w:ascii="Arial" w:cs="Arial" w:eastAsia="Arial" w:hAnsi="Arial"/>
                <w:sz w:val="16"/>
                <w:szCs w:val="16"/>
                <w:color w:val="auto"/>
              </w:rPr>
              <w:t>Basic</w:t>
            </w: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47.26</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73"/>
        </w:trPr>
        <w:tc>
          <w:tcPr>
            <w:tcW w:w="844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440" w:type="dxa"/>
            <w:vAlign w:val="bottom"/>
            <w:tcBorders>
              <w:bottom w:val="single" w:sz="8" w:color="CCEEFF"/>
            </w:tcBorders>
            <w:shd w:val="clear" w:color="auto" w:fill="CCEEFF"/>
          </w:tcPr>
          <w:p>
            <w:pPr>
              <w:ind w:left="40"/>
              <w:spacing w:after="0" w:line="177" w:lineRule="exact"/>
              <w:rPr>
                <w:sz w:val="20"/>
                <w:szCs w:val="20"/>
                <w:color w:val="auto"/>
              </w:rPr>
            </w:pPr>
            <w:r>
              <w:rPr>
                <w:rFonts w:ascii="Arial" w:cs="Arial" w:eastAsia="Arial" w:hAnsi="Arial"/>
                <w:sz w:val="16"/>
                <w:szCs w:val="16"/>
                <w:color w:val="auto"/>
              </w:rPr>
              <w:t>Diluted</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47.11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6" w:right="3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Interim Condensed Consolidated Statements of Equity</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 the Three Months Ended March 31, 2020 and 2019 (Unaudited)</w:t>
      </w:r>
    </w:p>
    <w:p>
      <w:pPr>
        <w:spacing w:after="0" w:line="15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4"/>
              </w:rPr>
              <w:t>Brighthouse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1"/>
              </w:rPr>
              <w:t>Additional</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0"/>
              </w:rPr>
              <w:t>Retained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9"/>
              </w:rPr>
              <w:t>Financial, Inc.’s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9"/>
              </w:rPr>
              <w:t>Preferred</w:t>
            </w: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2"/>
                <w:szCs w:val="12"/>
                <w:b w:val="1"/>
                <w:bCs w:val="1"/>
                <w:color w:val="auto"/>
                <w:w w:val="88"/>
              </w:rPr>
              <w:t>Common</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9"/>
              </w:rPr>
              <w:t>Paid-in</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9"/>
              </w:rPr>
              <w:t>Earnings</w:t>
            </w: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6"/>
              </w:rPr>
              <w:t>Treasury</w:t>
            </w: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5"/>
              </w:rPr>
              <w:t>Stockholders’</w:t>
            </w:r>
          </w:p>
        </w:tc>
        <w:tc>
          <w:tcPr>
            <w:tcW w:w="1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Noncontrolling</w:t>
            </w:r>
          </w:p>
        </w:tc>
        <w:tc>
          <w:tcPr>
            <w:tcW w:w="140" w:type="dxa"/>
            <w:vAlign w:val="bottom"/>
          </w:tcPr>
          <w:p>
            <w:pPr>
              <w:spacing w:after="0"/>
              <w:rPr>
                <w:sz w:val="11"/>
                <w:szCs w:val="11"/>
                <w:color w:val="auto"/>
              </w:rPr>
            </w:pPr>
          </w:p>
        </w:tc>
        <w:tc>
          <w:tcPr>
            <w:tcW w:w="5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rPr>
              <w:t>Total</w:t>
            </w:r>
          </w:p>
        </w:tc>
      </w:tr>
      <w:tr>
        <w:trPr>
          <w:trHeight w:val="164"/>
        </w:trPr>
        <w:tc>
          <w:tcPr>
            <w:tcW w:w="27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9"/>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Stock</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9"/>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w w:val="93"/>
              </w:rPr>
              <w:t>(Deficit)</w:t>
            </w: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6"/>
              </w:rPr>
              <w:t>Stock at Cost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79"/>
              <w:spacing w:after="0"/>
              <w:rPr>
                <w:sz w:val="20"/>
                <w:szCs w:val="20"/>
                <w:color w:val="auto"/>
              </w:rPr>
            </w:pPr>
            <w:r>
              <w:rPr>
                <w:rFonts w:ascii="Arial" w:cs="Arial" w:eastAsia="Arial" w:hAnsi="Arial"/>
                <w:sz w:val="12"/>
                <w:szCs w:val="12"/>
                <w:b w:val="1"/>
                <w:bCs w:val="1"/>
                <w:color w:val="auto"/>
                <w:w w:val="88"/>
              </w:rPr>
              <w:t>Income (Loss)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8"/>
              <w:spacing w:after="0"/>
              <w:rPr>
                <w:sz w:val="20"/>
                <w:szCs w:val="20"/>
                <w:color w:val="auto"/>
              </w:rPr>
            </w:pPr>
            <w:r>
              <w:rPr>
                <w:rFonts w:ascii="Arial" w:cs="Arial" w:eastAsia="Arial" w:hAnsi="Arial"/>
                <w:sz w:val="12"/>
                <w:szCs w:val="12"/>
                <w:b w:val="1"/>
                <w:bCs w:val="1"/>
                <w:color w:val="auto"/>
                <w:w w:val="92"/>
              </w:rPr>
              <w:t>Equity</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b w:val="1"/>
                <w:bCs w:val="1"/>
                <w:color w:val="auto"/>
              </w:rPr>
              <w:t>Interests</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b w:val="1"/>
                <w:bCs w:val="1"/>
                <w:color w:val="auto"/>
                <w:w w:val="92"/>
              </w:rPr>
              <w:t>Equity</w:t>
            </w:r>
          </w:p>
        </w:tc>
      </w:tr>
      <w:tr>
        <w:trPr>
          <w:trHeight w:val="256"/>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12,908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585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3,240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16,172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16,237</w:t>
            </w:r>
          </w:p>
        </w:tc>
      </w:tr>
      <w:tr>
        <w:trPr>
          <w:trHeight w:val="148"/>
        </w:trPr>
        <w:tc>
          <w:tcPr>
            <w:tcW w:w="2700" w:type="dxa"/>
            <w:vAlign w:val="bottom"/>
          </w:tcPr>
          <w:p>
            <w:pPr>
              <w:ind w:left="20"/>
              <w:spacing w:after="0" w:line="148" w:lineRule="exact"/>
              <w:rPr>
                <w:sz w:val="20"/>
                <w:szCs w:val="20"/>
                <w:color w:val="auto"/>
              </w:rPr>
            </w:pPr>
            <w:r>
              <w:rPr>
                <w:rFonts w:ascii="Arial" w:cs="Arial" w:eastAsia="Arial" w:hAnsi="Arial"/>
                <w:sz w:val="13"/>
                <w:szCs w:val="13"/>
                <w:color w:val="auto"/>
              </w:rPr>
              <w:t>Cumulative effect of change in accounting</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0"/>
        </w:trPr>
        <w:tc>
          <w:tcPr>
            <w:tcW w:w="270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principle, net of income tax (Note 1)</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r>
      <w:tr>
        <w:trPr>
          <w:trHeight w:val="257"/>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2020</w:t>
            </w: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12,908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571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3,243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16,161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16,226</w:t>
            </w:r>
          </w:p>
        </w:tc>
      </w:tr>
      <w:tr>
        <w:trPr>
          <w:trHeight w:val="148"/>
        </w:trPr>
        <w:tc>
          <w:tcPr>
            <w:tcW w:w="2700" w:type="dxa"/>
            <w:vAlign w:val="bottom"/>
          </w:tcPr>
          <w:p>
            <w:pPr>
              <w:ind w:left="20"/>
              <w:spacing w:after="0" w:line="148" w:lineRule="exact"/>
              <w:rPr>
                <w:sz w:val="20"/>
                <w:szCs w:val="20"/>
                <w:color w:val="auto"/>
              </w:rPr>
            </w:pPr>
            <w:r>
              <w:rPr>
                <w:rFonts w:ascii="Arial" w:cs="Arial" w:eastAsia="Arial" w:hAnsi="Arial"/>
                <w:sz w:val="13"/>
                <w:szCs w:val="13"/>
                <w:color w:val="auto"/>
                <w:w w:val="94"/>
              </w:rPr>
              <w:t>Treasury stock acquired in connection with share</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68"/>
        </w:trPr>
        <w:tc>
          <w:tcPr>
            <w:tcW w:w="2700" w:type="dxa"/>
            <w:vAlign w:val="bottom"/>
          </w:tcPr>
          <w:p>
            <w:pPr>
              <w:ind w:left="200"/>
              <w:spacing w:after="0"/>
              <w:rPr>
                <w:sz w:val="20"/>
                <w:szCs w:val="20"/>
                <w:color w:val="auto"/>
              </w:rPr>
            </w:pPr>
            <w:r>
              <w:rPr>
                <w:rFonts w:ascii="Arial" w:cs="Arial" w:eastAsia="Arial" w:hAnsi="Arial"/>
                <w:sz w:val="13"/>
                <w:szCs w:val="13"/>
                <w:color w:val="auto"/>
              </w:rPr>
              <w:t>repurchases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(142)</w:t>
            </w:r>
          </w:p>
        </w:tc>
      </w:tr>
      <w:tr>
        <w:trPr>
          <w:trHeight w:val="278"/>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w:t>
            </w:r>
          </w:p>
        </w:tc>
      </w:tr>
      <w:tr>
        <w:trPr>
          <w:trHeight w:val="262"/>
        </w:trPr>
        <w:tc>
          <w:tcPr>
            <w:tcW w:w="2700" w:type="dxa"/>
            <w:vAlign w:val="bottom"/>
          </w:tcPr>
          <w:p>
            <w:pPr>
              <w:ind w:left="20"/>
              <w:spacing w:after="0"/>
              <w:rPr>
                <w:sz w:val="20"/>
                <w:szCs w:val="20"/>
                <w:color w:val="auto"/>
              </w:rPr>
            </w:pPr>
            <w:r>
              <w:rPr>
                <w:rFonts w:ascii="Arial" w:cs="Arial" w:eastAsia="Arial" w:hAnsi="Arial"/>
                <w:sz w:val="13"/>
                <w:szCs w:val="13"/>
                <w:color w:val="auto"/>
              </w:rPr>
              <w:t>Dividends on preferred stock</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278"/>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noncontrolling interests</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r>
      <w:tr>
        <w:trPr>
          <w:trHeight w:val="262"/>
        </w:trPr>
        <w:tc>
          <w:tcPr>
            <w:tcW w:w="27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3"/>
                <w:szCs w:val="13"/>
                <w:color w:val="auto"/>
              </w:rPr>
              <w:t>4,957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38"/>
              <w:spacing w:after="0"/>
              <w:rPr>
                <w:sz w:val="20"/>
                <w:szCs w:val="20"/>
                <w:color w:val="auto"/>
              </w:rPr>
            </w:pPr>
            <w:r>
              <w:rPr>
                <w:rFonts w:ascii="Arial" w:cs="Arial" w:eastAsia="Arial" w:hAnsi="Arial"/>
                <w:sz w:val="13"/>
                <w:szCs w:val="13"/>
                <w:color w:val="auto"/>
              </w:rPr>
              <w:t>4,957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58"/>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4,959</w:t>
            </w:r>
          </w:p>
        </w:tc>
      </w:tr>
      <w:tr>
        <w:trPr>
          <w:trHeight w:val="156"/>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Other comprehensive income (loss), net of</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r>
      <w:tr>
        <w:trPr>
          <w:trHeight w:val="176"/>
        </w:trPr>
        <w:tc>
          <w:tcPr>
            <w:tcW w:w="2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shd w:val="clear" w:color="auto" w:fill="CCEEFF"/>
              </w:rPr>
              <w:t>income tax</w:t>
            </w: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3"/>
                <w:szCs w:val="13"/>
                <w:color w:val="auto"/>
              </w:rPr>
              <w:t>(596)</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(596)</w:t>
            </w:r>
          </w:p>
        </w:tc>
      </w:tr>
      <w:tr>
        <w:trPr>
          <w:trHeight w:val="235"/>
        </w:trPr>
        <w:tc>
          <w:tcPr>
            <w:tcW w:w="2700" w:type="dxa"/>
            <w:vAlign w:val="bottom"/>
          </w:tcPr>
          <w:p>
            <w:pPr>
              <w:ind w:left="20"/>
              <w:spacing w:after="0"/>
              <w:rPr>
                <w:sz w:val="20"/>
                <w:szCs w:val="20"/>
                <w:color w:val="auto"/>
              </w:rPr>
            </w:pPr>
            <w:r>
              <w:rPr>
                <w:rFonts w:ascii="Arial" w:cs="Arial" w:eastAsia="Arial" w:hAnsi="Arial"/>
                <w:sz w:val="13"/>
                <w:szCs w:val="13"/>
                <w:color w:val="auto"/>
              </w:rPr>
              <w:t>Balance at March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3"/>
                <w:szCs w:val="13"/>
                <w:color w:val="auto"/>
              </w:rPr>
              <w:t>12,911</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3"/>
                <w:szCs w:val="13"/>
                <w:color w:val="auto"/>
              </w:rPr>
              <w:t>5,521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(706)</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3"/>
                <w:szCs w:val="13"/>
                <w:color w:val="auto"/>
              </w:rPr>
              <w:t>2,647</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20,374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20,439</w:t>
            </w:r>
          </w:p>
        </w:tc>
      </w:tr>
      <w:tr>
        <w:trPr>
          <w:trHeight w:val="20"/>
        </w:trPr>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right="920"/>
        <w:spacing w:after="0" w:line="478" w:lineRule="auto"/>
        <w:rPr>
          <w:sz w:val="20"/>
          <w:szCs w:val="20"/>
          <w:color w:val="auto"/>
        </w:rPr>
      </w:pPr>
      <w:r>
        <w:rPr>
          <w:rFonts w:ascii="Arial" w:cs="Arial" w:eastAsia="Arial" w:hAnsi="Arial"/>
          <w:sz w:val="10"/>
          <w:szCs w:val="10"/>
          <w:color w:val="auto"/>
        </w:rPr>
        <w:t>Balance at December 31, 2018 Preferred stock issuance</w:t>
      </w:r>
    </w:p>
    <w:p>
      <w:pPr>
        <w:spacing w:after="0" w:line="1" w:lineRule="exact"/>
        <w:rPr>
          <w:sz w:val="20"/>
          <w:szCs w:val="20"/>
          <w:color w:val="auto"/>
        </w:rPr>
      </w:pPr>
    </w:p>
    <w:p>
      <w:pPr>
        <w:ind w:left="220" w:hanging="161"/>
        <w:spacing w:after="0" w:line="236" w:lineRule="auto"/>
        <w:rPr>
          <w:sz w:val="20"/>
          <w:szCs w:val="20"/>
          <w:color w:val="auto"/>
        </w:rPr>
      </w:pPr>
      <w:r>
        <w:rPr>
          <w:rFonts w:ascii="Arial" w:cs="Arial" w:eastAsia="Arial" w:hAnsi="Arial"/>
          <w:sz w:val="13"/>
          <w:szCs w:val="13"/>
          <w:color w:val="auto"/>
        </w:rPr>
        <w:t>Treasury stock acquired in connection with share repurchases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Share-based compensation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Change in noncontrolling interests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 (loss)</w:t>
      </w:r>
    </w:p>
    <w:p>
      <w:pPr>
        <w:spacing w:after="0" w:line="40" w:lineRule="exact"/>
        <w:rPr>
          <w:sz w:val="20"/>
          <w:szCs w:val="20"/>
          <w:color w:val="auto"/>
        </w:rPr>
      </w:pPr>
    </w:p>
    <w:p>
      <w:pPr>
        <w:ind w:left="220" w:right="320" w:hanging="161"/>
        <w:spacing w:after="0" w:line="236" w:lineRule="auto"/>
        <w:rPr>
          <w:sz w:val="20"/>
          <w:szCs w:val="20"/>
          <w:color w:val="auto"/>
        </w:rPr>
      </w:pPr>
      <w:r>
        <w:rPr>
          <w:rFonts w:ascii="Arial" w:cs="Arial" w:eastAsia="Arial" w:hAnsi="Arial"/>
          <w:sz w:val="13"/>
          <w:szCs w:val="13"/>
          <w:color w:val="auto"/>
        </w:rPr>
        <w:t>Other comprehensive income (loss), net of income tax</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March 31, 2019</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Accumulated</w:t>
            </w:r>
          </w:p>
        </w:tc>
        <w:tc>
          <w:tcPr>
            <w:tcW w:w="10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4"/>
              </w:rPr>
              <w:t>Brighthouse</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35"/>
        </w:trPr>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1"/>
              </w:rPr>
              <w:t>Additional</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0"/>
              </w:rPr>
              <w:t>Retained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9"/>
              </w:rPr>
              <w:t>Financial, Inc.’s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35"/>
        </w:trPr>
        <w:tc>
          <w:tcPr>
            <w:tcW w:w="12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9"/>
              </w:rPr>
              <w:t>Preferred</w:t>
            </w: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35" w:lineRule="exact"/>
              <w:rPr>
                <w:sz w:val="20"/>
                <w:szCs w:val="20"/>
                <w:color w:val="auto"/>
              </w:rPr>
            </w:pPr>
            <w:r>
              <w:rPr>
                <w:rFonts w:ascii="Arial" w:cs="Arial" w:eastAsia="Arial" w:hAnsi="Arial"/>
                <w:sz w:val="12"/>
                <w:szCs w:val="12"/>
                <w:b w:val="1"/>
                <w:bCs w:val="1"/>
                <w:color w:val="auto"/>
                <w:w w:val="88"/>
              </w:rPr>
              <w:t>Common</w:t>
            </w: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9"/>
              </w:rPr>
              <w:t>Paid-in</w:t>
            </w:r>
          </w:p>
        </w:tc>
        <w:tc>
          <w:tcPr>
            <w:tcW w:w="10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9"/>
              </w:rPr>
              <w:t>Earnings</w:t>
            </w:r>
          </w:p>
        </w:tc>
        <w:tc>
          <w:tcPr>
            <w:tcW w:w="12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6"/>
              </w:rPr>
              <w:t>Treasury</w:t>
            </w:r>
          </w:p>
        </w:tc>
        <w:tc>
          <w:tcPr>
            <w:tcW w:w="14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5"/>
              </w:rPr>
              <w:t>Stockholders’</w:t>
            </w:r>
          </w:p>
        </w:tc>
        <w:tc>
          <w:tcPr>
            <w:tcW w:w="1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Noncontrolling</w:t>
            </w:r>
          </w:p>
        </w:tc>
        <w:tc>
          <w:tcPr>
            <w:tcW w:w="140" w:type="dxa"/>
            <w:vAlign w:val="bottom"/>
          </w:tcPr>
          <w:p>
            <w:pPr>
              <w:spacing w:after="0"/>
              <w:rPr>
                <w:sz w:val="11"/>
                <w:szCs w:val="11"/>
                <w:color w:val="auto"/>
              </w:rPr>
            </w:pPr>
          </w:p>
        </w:tc>
        <w:tc>
          <w:tcPr>
            <w:tcW w:w="520" w:type="dxa"/>
            <w:vAlign w:val="bottom"/>
          </w:tcPr>
          <w:p>
            <w:pPr>
              <w:jc w:val="right"/>
              <w:ind w:right="138"/>
              <w:spacing w:after="0" w:line="135" w:lineRule="exact"/>
              <w:rPr>
                <w:sz w:val="20"/>
                <w:szCs w:val="20"/>
                <w:color w:val="auto"/>
              </w:rPr>
            </w:pPr>
            <w:r>
              <w:rPr>
                <w:rFonts w:ascii="Arial" w:cs="Arial" w:eastAsia="Arial" w:hAnsi="Arial"/>
                <w:sz w:val="12"/>
                <w:szCs w:val="12"/>
                <w:b w:val="1"/>
                <w:bCs w:val="1"/>
                <w:color w:val="auto"/>
              </w:rPr>
              <w:t>Total</w:t>
            </w:r>
          </w:p>
        </w:tc>
      </w:tr>
      <w:tr>
        <w:trPr>
          <w:trHeight w:val="164"/>
        </w:trPr>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9"/>
              <w:spacing w:after="0"/>
              <w:rPr>
                <w:sz w:val="20"/>
                <w:szCs w:val="20"/>
                <w:color w:val="auto"/>
              </w:rPr>
            </w:pPr>
            <w:r>
              <w:rPr>
                <w:rFonts w:ascii="Arial" w:cs="Arial" w:eastAsia="Arial" w:hAnsi="Arial"/>
                <w:sz w:val="12"/>
                <w:szCs w:val="12"/>
                <w:b w:val="1"/>
                <w:bCs w:val="1"/>
                <w:color w:val="auto"/>
                <w:w w:val="85"/>
              </w:rPr>
              <w:t>Stock</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Stock</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9"/>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w w:val="93"/>
              </w:rPr>
              <w:t>(Deficit)</w:t>
            </w:r>
          </w:p>
        </w:tc>
        <w:tc>
          <w:tcPr>
            <w:tcW w:w="12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6"/>
              </w:rPr>
              <w:t>Stock at Cost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8"/>
              </w:rPr>
              <w:t>Income (Loss)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2"/>
                <w:szCs w:val="12"/>
                <w:b w:val="1"/>
                <w:bCs w:val="1"/>
                <w:color w:val="auto"/>
                <w:w w:val="92"/>
              </w:rPr>
              <w:t>Equity</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2"/>
                <w:szCs w:val="12"/>
                <w:b w:val="1"/>
                <w:bCs w:val="1"/>
                <w:color w:val="auto"/>
              </w:rPr>
              <w:t>Interests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b w:val="1"/>
                <w:bCs w:val="1"/>
                <w:color w:val="auto"/>
                <w:w w:val="92"/>
              </w:rPr>
              <w:t>Equity</w:t>
            </w:r>
          </w:p>
        </w:tc>
      </w:tr>
      <w:tr>
        <w:trPr>
          <w:trHeight w:val="240"/>
        </w:trPr>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9"/>
              <w:spacing w:after="0"/>
              <w:rPr>
                <w:sz w:val="20"/>
                <w:szCs w:val="20"/>
                <w:color w:val="auto"/>
              </w:rPr>
            </w:pPr>
            <w:r>
              <w:rPr>
                <w:rFonts w:ascii="Arial" w:cs="Arial" w:eastAsia="Arial" w:hAnsi="Arial"/>
                <w:sz w:val="13"/>
                <w:szCs w:val="13"/>
                <w:color w:val="auto"/>
              </w:rPr>
              <w:t>12,473</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9"/>
              <w:spacing w:after="0"/>
              <w:rPr>
                <w:sz w:val="20"/>
                <w:szCs w:val="20"/>
                <w:color w:val="auto"/>
              </w:rPr>
            </w:pPr>
            <w:r>
              <w:rPr>
                <w:rFonts w:ascii="Arial" w:cs="Arial" w:eastAsia="Arial" w:hAnsi="Arial"/>
                <w:sz w:val="13"/>
                <w:szCs w:val="13"/>
                <w:color w:val="auto"/>
              </w:rPr>
              <w:t>1,346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60"/>
              <w:spacing w:after="0"/>
              <w:rPr>
                <w:sz w:val="20"/>
                <w:szCs w:val="20"/>
                <w:color w:val="auto"/>
              </w:rPr>
            </w:pPr>
            <w:r>
              <w:rPr>
                <w:rFonts w:ascii="Arial" w:cs="Arial" w:eastAsia="Arial" w:hAnsi="Arial"/>
                <w:sz w:val="13"/>
                <w:szCs w:val="13"/>
                <w:color w:val="auto"/>
              </w:rPr>
              <w:t>716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14,418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9"/>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14,483</w:t>
            </w:r>
          </w:p>
        </w:tc>
      </w:tr>
      <w:tr>
        <w:trPr>
          <w:trHeight w:val="270"/>
        </w:trPr>
        <w:tc>
          <w:tcPr>
            <w:tcW w:w="120" w:type="dxa"/>
            <w:vAlign w:val="bottom"/>
          </w:tcPr>
          <w:p>
            <w:pPr>
              <w:spacing w:after="0"/>
              <w:rPr>
                <w:sz w:val="23"/>
                <w:szCs w:val="23"/>
                <w:color w:val="auto"/>
              </w:rPr>
            </w:pP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3"/>
                <w:szCs w:val="13"/>
                <w:color w:val="auto"/>
              </w:rPr>
              <w:t>412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412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412</w:t>
            </w:r>
          </w:p>
        </w:tc>
      </w:tr>
      <w:tr>
        <w:trPr>
          <w:trHeight w:val="324"/>
        </w:trPr>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270"/>
        </w:trPr>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ind w:right="59"/>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4</w:t>
            </w:r>
          </w:p>
        </w:tc>
      </w:tr>
      <w:tr>
        <w:trPr>
          <w:trHeight w:val="270"/>
        </w:trPr>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70"/>
        </w:trPr>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59"/>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(735)</w:t>
            </w:r>
          </w:p>
        </w:tc>
      </w:tr>
      <w:tr>
        <w:trPr>
          <w:trHeight w:val="334"/>
        </w:trPr>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954</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954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954</w:t>
            </w:r>
          </w:p>
        </w:tc>
      </w:tr>
      <w:tr>
        <w:trPr>
          <w:trHeight w:val="236"/>
        </w:trPr>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5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9"/>
              <w:spacing w:after="0"/>
              <w:rPr>
                <w:sz w:val="20"/>
                <w:szCs w:val="20"/>
                <w:color w:val="auto"/>
              </w:rPr>
            </w:pPr>
            <w:r>
              <w:rPr>
                <w:rFonts w:ascii="Arial" w:cs="Arial" w:eastAsia="Arial" w:hAnsi="Arial"/>
                <w:sz w:val="13"/>
                <w:szCs w:val="13"/>
                <w:color w:val="auto"/>
              </w:rPr>
              <w:t>12,889</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9"/>
              <w:spacing w:after="0"/>
              <w:rPr>
                <w:sz w:val="20"/>
                <w:szCs w:val="20"/>
                <w:color w:val="auto"/>
              </w:rPr>
            </w:pPr>
            <w:r>
              <w:rPr>
                <w:rFonts w:ascii="Arial" w:cs="Arial" w:eastAsia="Arial" w:hAnsi="Arial"/>
                <w:sz w:val="13"/>
                <w:szCs w:val="13"/>
                <w:color w:val="auto"/>
              </w:rPr>
              <w:t>609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60"/>
              <w:spacing w:after="0"/>
              <w:rPr>
                <w:sz w:val="20"/>
                <w:szCs w:val="20"/>
                <w:color w:val="auto"/>
              </w:rPr>
            </w:pPr>
            <w:r>
              <w:rPr>
                <w:rFonts w:ascii="Arial" w:cs="Arial" w:eastAsia="Arial" w:hAnsi="Arial"/>
                <w:sz w:val="13"/>
                <w:szCs w:val="13"/>
                <w:color w:val="auto"/>
              </w:rPr>
              <w:t>1,670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9"/>
              <w:spacing w:after="0"/>
              <w:rPr>
                <w:sz w:val="20"/>
                <w:szCs w:val="20"/>
                <w:color w:val="auto"/>
              </w:rPr>
            </w:pPr>
            <w:r>
              <w:rPr>
                <w:rFonts w:ascii="Arial" w:cs="Arial" w:eastAsia="Arial" w:hAnsi="Arial"/>
                <w:sz w:val="13"/>
                <w:szCs w:val="13"/>
                <w:color w:val="auto"/>
              </w:rPr>
              <w:t>14,999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59"/>
              <w:spacing w:after="0"/>
              <w:rPr>
                <w:sz w:val="20"/>
                <w:szCs w:val="20"/>
                <w:color w:val="auto"/>
              </w:rPr>
            </w:pPr>
            <w:r>
              <w:rPr>
                <w:rFonts w:ascii="Arial" w:cs="Arial" w:eastAsia="Arial" w:hAnsi="Arial"/>
                <w:sz w:val="13"/>
                <w:szCs w:val="13"/>
                <w:color w:val="auto"/>
              </w:rPr>
              <w:t>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8"/>
              <w:spacing w:after="0"/>
              <w:rPr>
                <w:sz w:val="20"/>
                <w:szCs w:val="20"/>
                <w:color w:val="auto"/>
              </w:rPr>
            </w:pPr>
            <w:r>
              <w:rPr>
                <w:rFonts w:ascii="Arial" w:cs="Arial" w:eastAsia="Arial" w:hAnsi="Arial"/>
                <w:sz w:val="13"/>
                <w:szCs w:val="13"/>
                <w:color w:val="auto"/>
              </w:rPr>
              <w:t>15,064</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-1456690</wp:posOffset>
            </wp:positionV>
            <wp:extent cx="71151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-1113790</wp:posOffset>
            </wp:positionV>
            <wp:extent cx="7115175"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20574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-736600</wp:posOffset>
            </wp:positionV>
            <wp:extent cx="71151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-393700</wp:posOffset>
            </wp:positionV>
            <wp:extent cx="7115175"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20574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2520" w:space="200"/>
            <w:col w:w="8500"/>
          </w:cols>
          <w:pgMar w:left="320" w:top="126" w:right="359" w:bottom="1440" w:gutter="0" w:footer="0" w:header="0"/>
          <w:type w:val="continuous"/>
        </w:sectPr>
      </w:pPr>
    </w:p>
    <w:p>
      <w:pPr>
        <w:jc w:val="center"/>
        <w:ind w:right="-359"/>
        <w:spacing w:after="0"/>
        <w:rPr>
          <w:sz w:val="20"/>
          <w:szCs w:val="20"/>
          <w:color w:val="auto"/>
        </w:rPr>
      </w:pPr>
      <w:r>
        <w:rPr>
          <w:rFonts w:ascii="Arial" w:cs="Arial" w:eastAsia="Arial" w:hAnsi="Arial"/>
          <w:sz w:val="15"/>
          <w:szCs w:val="15"/>
          <w:b w:val="1"/>
          <w:bCs w:val="1"/>
          <w:color w:val="auto"/>
        </w:rPr>
        <w:t>See accompanying notes to the interim condensed consolidated financial statements.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26" w:right="35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Brighthouse Financial, Inc.</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Interim Condensed Consolidated Statements of Cash Flows</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 the Three Months Ended March 31, 2020 and 2019 (Unaudited)</w:t>
      </w:r>
    </w:p>
    <w:p>
      <w:pPr>
        <w:spacing w:after="0" w:line="9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167"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13335</wp:posOffset>
            </wp:positionV>
            <wp:extent cx="19202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7"/>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85"/>
        </w:trPr>
        <w:tc>
          <w:tcPr>
            <w:tcW w:w="8220" w:type="dxa"/>
            <w:vAlign w:val="bottom"/>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8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maturities and repayments of:</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220" w:type="dxa"/>
            <w:vAlign w:val="bottom"/>
          </w:tcPr>
          <w:p>
            <w:pPr>
              <w:ind w:left="180"/>
              <w:spacing w:after="0"/>
              <w:rPr>
                <w:sz w:val="20"/>
                <w:szCs w:val="20"/>
                <w:color w:val="auto"/>
              </w:rPr>
            </w:pPr>
            <w:r>
              <w:rPr>
                <w:rFonts w:ascii="Arial" w:cs="Arial" w:eastAsia="Arial" w:hAnsi="Arial"/>
                <w:sz w:val="14"/>
                <w:szCs w:val="14"/>
                <w:color w:val="auto"/>
              </w:rPr>
              <w:t>Fixed maturity securities</w:t>
            </w: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1,674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4,100</w:t>
            </w:r>
          </w:p>
        </w:tc>
        <w:tc>
          <w:tcPr>
            <w:tcW w:w="0" w:type="dxa"/>
            <w:vAlign w:val="bottom"/>
          </w:tcPr>
          <w:p>
            <w:pPr>
              <w:spacing w:after="0"/>
              <w:rPr>
                <w:sz w:val="1"/>
                <w:szCs w:val="1"/>
                <w:color w:val="auto"/>
              </w:rPr>
            </w:pPr>
          </w:p>
        </w:tc>
      </w:tr>
      <w:tr>
        <w:trPr>
          <w:trHeight w:val="74"/>
        </w:trPr>
        <w:tc>
          <w:tcPr>
            <w:tcW w:w="8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80"/>
        </w:trPr>
        <w:tc>
          <w:tcPr>
            <w:tcW w:w="8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220" w:type="dxa"/>
            <w:vAlign w:val="bottom"/>
          </w:tcPr>
          <w:p>
            <w:pPr>
              <w:ind w:left="180"/>
              <w:spacing w:after="0"/>
              <w:rPr>
                <w:sz w:val="20"/>
                <w:szCs w:val="20"/>
                <w:color w:val="auto"/>
              </w:rPr>
            </w:pPr>
            <w:r>
              <w:rPr>
                <w:rFonts w:ascii="Arial" w:cs="Arial" w:eastAsia="Arial" w:hAnsi="Arial"/>
                <w:sz w:val="14"/>
                <w:szCs w:val="14"/>
                <w:color w:val="auto"/>
              </w:rPr>
              <w:t>Mortgage loans</w:t>
            </w: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481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74"/>
        </w:trPr>
        <w:tc>
          <w:tcPr>
            <w:tcW w:w="8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Limited partnerships and limited liability companies</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80"/>
        </w:trPr>
        <w:tc>
          <w:tcPr>
            <w:tcW w:w="8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220" w:type="dxa"/>
            <w:vAlign w:val="bottom"/>
          </w:tcPr>
          <w:p>
            <w:pPr>
              <w:ind w:left="40"/>
              <w:spacing w:after="0"/>
              <w:rPr>
                <w:sz w:val="20"/>
                <w:szCs w:val="20"/>
                <w:color w:val="auto"/>
              </w:rPr>
            </w:pPr>
            <w:r>
              <w:rPr>
                <w:rFonts w:ascii="Arial" w:cs="Arial" w:eastAsia="Arial" w:hAnsi="Arial"/>
                <w:sz w:val="14"/>
                <w:szCs w:val="14"/>
                <w:color w:val="auto"/>
              </w:rPr>
              <w:t>Purchases of:</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maturity securities</w:t>
            </w: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(3,830)</w:t>
            </w:r>
          </w:p>
        </w:tc>
        <w:tc>
          <w:tcPr>
            <w:tcW w:w="0" w:type="dxa"/>
            <w:vAlign w:val="bottom"/>
          </w:tcPr>
          <w:p>
            <w:pPr>
              <w:spacing w:after="0"/>
              <w:rPr>
                <w:sz w:val="1"/>
                <w:szCs w:val="1"/>
                <w:color w:val="auto"/>
              </w:rPr>
            </w:pPr>
          </w:p>
        </w:tc>
      </w:tr>
      <w:tr>
        <w:trPr>
          <w:trHeight w:val="80"/>
        </w:trPr>
        <w:tc>
          <w:tcPr>
            <w:tcW w:w="8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220" w:type="dxa"/>
            <w:vAlign w:val="bottom"/>
          </w:tcPr>
          <w:p>
            <w:pPr>
              <w:ind w:left="180"/>
              <w:spacing w:after="0"/>
              <w:rPr>
                <w:sz w:val="20"/>
                <w:szCs w:val="20"/>
                <w:color w:val="auto"/>
              </w:rPr>
            </w:pPr>
            <w:r>
              <w:rPr>
                <w:rFonts w:ascii="Arial" w:cs="Arial" w:eastAsia="Arial" w:hAnsi="Arial"/>
                <w:sz w:val="14"/>
                <w:szCs w:val="14"/>
                <w:color w:val="auto"/>
              </w:rPr>
              <w:t>Mortgage loans</w:t>
            </w: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74"/>
        </w:trPr>
        <w:tc>
          <w:tcPr>
            <w:tcW w:w="8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Limited partnerships and limited liability companies</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80"/>
        </w:trPr>
        <w:tc>
          <w:tcPr>
            <w:tcW w:w="8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220" w:type="dxa"/>
            <w:vAlign w:val="bottom"/>
          </w:tcPr>
          <w:p>
            <w:pPr>
              <w:ind w:left="40"/>
              <w:spacing w:after="0"/>
              <w:rPr>
                <w:sz w:val="20"/>
                <w:szCs w:val="20"/>
                <w:color w:val="auto"/>
              </w:rPr>
            </w:pPr>
            <w:r>
              <w:rPr>
                <w:rFonts w:ascii="Arial" w:cs="Arial" w:eastAsia="Arial" w:hAnsi="Arial"/>
                <w:sz w:val="14"/>
                <w:szCs w:val="14"/>
                <w:color w:val="auto"/>
              </w:rPr>
              <w:t>Cash received in connection with freestanding derivatives</w:t>
            </w: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3,412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316</w:t>
            </w:r>
          </w:p>
        </w:tc>
        <w:tc>
          <w:tcPr>
            <w:tcW w:w="0" w:type="dxa"/>
            <w:vAlign w:val="bottom"/>
          </w:tcPr>
          <w:p>
            <w:pPr>
              <w:spacing w:after="0"/>
              <w:rPr>
                <w:sz w:val="1"/>
                <w:szCs w:val="1"/>
                <w:color w:val="auto"/>
              </w:rPr>
            </w:pPr>
          </w:p>
        </w:tc>
      </w:tr>
      <w:tr>
        <w:trPr>
          <w:trHeight w:val="74"/>
        </w:trPr>
        <w:tc>
          <w:tcPr>
            <w:tcW w:w="8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in connection with freestanding derivatives</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80"/>
        </w:trPr>
        <w:tc>
          <w:tcPr>
            <w:tcW w:w="8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220" w:type="dxa"/>
            <w:vAlign w:val="bottom"/>
          </w:tcPr>
          <w:p>
            <w:pPr>
              <w:ind w:left="40"/>
              <w:spacing w:after="0"/>
              <w:rPr>
                <w:sz w:val="20"/>
                <w:szCs w:val="20"/>
                <w:color w:val="auto"/>
              </w:rPr>
            </w:pPr>
            <w:r>
              <w:rPr>
                <w:rFonts w:ascii="Arial" w:cs="Arial" w:eastAsia="Arial" w:hAnsi="Arial"/>
                <w:sz w:val="14"/>
                <w:szCs w:val="14"/>
                <w:color w:val="auto"/>
              </w:rPr>
              <w:t>Net change in policy loans</w:t>
            </w: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74"/>
        </w:trPr>
        <w:tc>
          <w:tcPr>
            <w:tcW w:w="8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short-term investments</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(2,387)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80"/>
        </w:trPr>
        <w:tc>
          <w:tcPr>
            <w:tcW w:w="8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220" w:type="dxa"/>
            <w:vAlign w:val="bottom"/>
          </w:tcPr>
          <w:p>
            <w:pPr>
              <w:ind w:left="40"/>
              <w:spacing w:after="0"/>
              <w:rPr>
                <w:sz w:val="20"/>
                <w:szCs w:val="20"/>
                <w:color w:val="auto"/>
              </w:rPr>
            </w:pPr>
            <w:r>
              <w:rPr>
                <w:rFonts w:ascii="Arial" w:cs="Arial" w:eastAsia="Arial" w:hAnsi="Arial"/>
                <w:sz w:val="14"/>
                <w:szCs w:val="14"/>
                <w:color w:val="auto"/>
              </w:rPr>
              <w:t>Net change in other invested assets</w:t>
            </w: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74"/>
        </w:trPr>
        <w:tc>
          <w:tcPr>
            <w:tcW w:w="82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80"/>
        </w:trPr>
        <w:tc>
          <w:tcPr>
            <w:tcW w:w="82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8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Policyholder account balances: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220" w:type="dxa"/>
            <w:vAlign w:val="bottom"/>
          </w:tcPr>
          <w:p>
            <w:pPr>
              <w:ind w:left="180"/>
              <w:spacing w:after="0"/>
              <w:rPr>
                <w:sz w:val="20"/>
                <w:szCs w:val="20"/>
                <w:color w:val="auto"/>
              </w:rPr>
            </w:pPr>
            <w:r>
              <w:rPr>
                <w:rFonts w:ascii="Arial" w:cs="Arial" w:eastAsia="Arial" w:hAnsi="Arial"/>
                <w:sz w:val="14"/>
                <w:szCs w:val="14"/>
                <w:color w:val="auto"/>
              </w:rPr>
              <w:t>Deposits</w:t>
            </w: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1,974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1,858</w:t>
            </w:r>
          </w:p>
        </w:tc>
        <w:tc>
          <w:tcPr>
            <w:tcW w:w="0" w:type="dxa"/>
            <w:vAlign w:val="bottom"/>
          </w:tcPr>
          <w:p>
            <w:pPr>
              <w:spacing w:after="0"/>
              <w:rPr>
                <w:sz w:val="1"/>
                <w:szCs w:val="1"/>
                <w:color w:val="auto"/>
              </w:rPr>
            </w:pPr>
          </w:p>
        </w:tc>
      </w:tr>
      <w:tr>
        <w:trPr>
          <w:trHeight w:val="74"/>
        </w:trPr>
        <w:tc>
          <w:tcPr>
            <w:tcW w:w="8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Withdrawals</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80"/>
        </w:trPr>
        <w:tc>
          <w:tcPr>
            <w:tcW w:w="8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220" w:type="dxa"/>
            <w:vAlign w:val="bottom"/>
          </w:tcPr>
          <w:p>
            <w:pPr>
              <w:ind w:left="40"/>
              <w:spacing w:after="0"/>
              <w:rPr>
                <w:sz w:val="20"/>
                <w:szCs w:val="20"/>
                <w:color w:val="auto"/>
              </w:rPr>
            </w:pPr>
            <w:r>
              <w:rPr>
                <w:rFonts w:ascii="Arial" w:cs="Arial" w:eastAsia="Arial" w:hAnsi="Arial"/>
                <w:sz w:val="14"/>
                <w:szCs w:val="14"/>
                <w:color w:val="auto"/>
              </w:rPr>
              <w:t>Net change in payables for collateral under securities loaned and other transactions</w:t>
            </w: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6,597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(1,067)</w:t>
            </w:r>
          </w:p>
        </w:tc>
        <w:tc>
          <w:tcPr>
            <w:tcW w:w="0" w:type="dxa"/>
            <w:vAlign w:val="bottom"/>
          </w:tcPr>
          <w:p>
            <w:pPr>
              <w:spacing w:after="0"/>
              <w:rPr>
                <w:sz w:val="1"/>
                <w:szCs w:val="1"/>
                <w:color w:val="auto"/>
              </w:rPr>
            </w:pPr>
          </w:p>
        </w:tc>
      </w:tr>
      <w:tr>
        <w:trPr>
          <w:trHeight w:val="74"/>
        </w:trPr>
        <w:tc>
          <w:tcPr>
            <w:tcW w:w="8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issued</w:t>
            </w:r>
          </w:p>
        </w:tc>
        <w:tc>
          <w:tcPr>
            <w:tcW w:w="3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80"/>
        </w:trPr>
        <w:tc>
          <w:tcPr>
            <w:tcW w:w="8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220" w:type="dxa"/>
            <w:vAlign w:val="bottom"/>
          </w:tcPr>
          <w:p>
            <w:pPr>
              <w:ind w:left="40"/>
              <w:spacing w:after="0"/>
              <w:rPr>
                <w:sz w:val="20"/>
                <w:szCs w:val="20"/>
                <w:color w:val="auto"/>
              </w:rPr>
            </w:pPr>
            <w:r>
              <w:rPr>
                <w:rFonts w:ascii="Arial" w:cs="Arial" w:eastAsia="Arial" w:hAnsi="Arial"/>
                <w:sz w:val="14"/>
                <w:szCs w:val="14"/>
                <w:color w:val="auto"/>
              </w:rPr>
              <w:t>Long-term debt repaid</w:t>
            </w:r>
          </w:p>
        </w:tc>
        <w:tc>
          <w:tcPr>
            <w:tcW w:w="340" w:type="dxa"/>
            <w:vAlign w:val="bottom"/>
          </w:tcPr>
          <w:p>
            <w:pPr>
              <w:spacing w:after="0"/>
              <w:rPr>
                <w:sz w:val="16"/>
                <w:szCs w:val="16"/>
                <w:color w:val="auto"/>
              </w:rPr>
            </w:pPr>
          </w:p>
        </w:tc>
        <w:tc>
          <w:tcPr>
            <w:tcW w:w="12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74"/>
        </w:trPr>
        <w:tc>
          <w:tcPr>
            <w:tcW w:w="8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Preferred stock issued, net of issuance costs</w:t>
            </w:r>
          </w:p>
        </w:tc>
        <w:tc>
          <w:tcPr>
            <w:tcW w:w="34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80"/>
        </w:trPr>
        <w:tc>
          <w:tcPr>
            <w:tcW w:w="8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220" w:type="dxa"/>
            <w:vAlign w:val="bottom"/>
          </w:tcPr>
          <w:p>
            <w:pPr>
              <w:ind w:left="40"/>
              <w:spacing w:after="0"/>
              <w:rPr>
                <w:sz w:val="20"/>
                <w:szCs w:val="20"/>
                <w:color w:val="auto"/>
              </w:rPr>
            </w:pPr>
            <w:r>
              <w:rPr>
                <w:rFonts w:ascii="Arial" w:cs="Arial" w:eastAsia="Arial" w:hAnsi="Arial"/>
                <w:sz w:val="14"/>
                <w:szCs w:val="14"/>
                <w:color w:val="auto"/>
              </w:rPr>
              <w:t>Dividends on preferred stock</w:t>
            </w: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8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acquired in connection with share repurchases</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79"/>
        </w:trPr>
        <w:tc>
          <w:tcPr>
            <w:tcW w:w="8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20" w:type="dxa"/>
            <w:vAlign w:val="bottom"/>
          </w:tcPr>
          <w:p>
            <w:pPr>
              <w:ind w:left="40"/>
              <w:spacing w:after="0"/>
              <w:rPr>
                <w:sz w:val="20"/>
                <w:szCs w:val="20"/>
                <w:color w:val="auto"/>
              </w:rPr>
            </w:pPr>
            <w:r>
              <w:rPr>
                <w:rFonts w:ascii="Arial" w:cs="Arial" w:eastAsia="Arial" w:hAnsi="Arial"/>
                <w:sz w:val="14"/>
                <w:szCs w:val="14"/>
                <w:color w:val="auto"/>
              </w:rPr>
              <w:t>Financing element on certain derivative instruments and other derivative related transactions, net</w:t>
            </w: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73"/>
        </w:trPr>
        <w:tc>
          <w:tcPr>
            <w:tcW w:w="8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79"/>
        </w:trPr>
        <w:tc>
          <w:tcPr>
            <w:tcW w:w="82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220" w:type="dxa"/>
            <w:vAlign w:val="bottom"/>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Pr>
          <w:p>
            <w:pPr>
              <w:spacing w:after="0"/>
              <w:rPr>
                <w:sz w:val="14"/>
                <w:szCs w:val="14"/>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7,441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73"/>
        </w:trPr>
        <w:tc>
          <w:tcPr>
            <w:tcW w:w="82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cash, cash equivalents and restricted cash</w:t>
            </w: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6,053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79"/>
        </w:trPr>
        <w:tc>
          <w:tcPr>
            <w:tcW w:w="8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2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beginning of period</w:t>
            </w:r>
          </w:p>
        </w:tc>
        <w:tc>
          <w:tcPr>
            <w:tcW w:w="34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2,877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4,145</w:t>
            </w:r>
          </w:p>
        </w:tc>
        <w:tc>
          <w:tcPr>
            <w:tcW w:w="0" w:type="dxa"/>
            <w:vAlign w:val="bottom"/>
          </w:tcPr>
          <w:p>
            <w:pPr>
              <w:spacing w:after="0"/>
              <w:rPr>
                <w:sz w:val="1"/>
                <w:szCs w:val="1"/>
                <w:color w:val="auto"/>
              </w:rPr>
            </w:pPr>
          </w:p>
        </w:tc>
      </w:tr>
      <w:tr>
        <w:trPr>
          <w:trHeight w:val="73"/>
        </w:trPr>
        <w:tc>
          <w:tcPr>
            <w:tcW w:w="82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8,930</w:t>
            </w:r>
          </w:p>
        </w:tc>
        <w:tc>
          <w:tcPr>
            <w:tcW w:w="12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3,864</w:t>
            </w:r>
          </w:p>
        </w:tc>
        <w:tc>
          <w:tcPr>
            <w:tcW w:w="0" w:type="dxa"/>
            <w:vAlign w:val="bottom"/>
          </w:tcPr>
          <w:p>
            <w:pPr>
              <w:spacing w:after="0"/>
              <w:rPr>
                <w:sz w:val="1"/>
                <w:szCs w:val="1"/>
                <w:color w:val="auto"/>
              </w:rPr>
            </w:pPr>
          </w:p>
        </w:tc>
      </w:tr>
      <w:tr>
        <w:trPr>
          <w:trHeight w:val="60"/>
        </w:trPr>
        <w:tc>
          <w:tcPr>
            <w:tcW w:w="82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8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paid (received) for:</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82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220" w:type="dxa"/>
            <w:vAlign w:val="bottom"/>
          </w:tcPr>
          <w:p>
            <w:pPr>
              <w:ind w:left="180"/>
              <w:spacing w:after="0"/>
              <w:rPr>
                <w:sz w:val="20"/>
                <w:szCs w:val="20"/>
                <w:color w:val="auto"/>
              </w:rPr>
            </w:pPr>
            <w:r>
              <w:rPr>
                <w:rFonts w:ascii="Arial" w:cs="Arial" w:eastAsia="Arial" w:hAnsi="Arial"/>
                <w:sz w:val="14"/>
                <w:szCs w:val="14"/>
                <w:color w:val="auto"/>
              </w:rPr>
              <w:t>Interest</w:t>
            </w: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00"/>
        </w:trPr>
        <w:tc>
          <w:tcPr>
            <w:tcW w:w="82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22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Income tax</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0"/>
        </w:trPr>
        <w:tc>
          <w:tcPr>
            <w:tcW w:w="82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240" w:type="dxa"/>
            <w:vAlign w:val="bottom"/>
            <w:gridSpan w:val="2"/>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ectPr>
          <w:pgSz w:w="11900" w:h="16838" w:orient="portrait"/>
          <w:cols w:equalWidth="0" w:num="1">
            <w:col w:w="11240"/>
          </w:cols>
          <w:pgMar w:left="320" w:top="126" w:right="3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6" w:right="339" w:bottom="1440" w:gutter="0" w:footer="0" w:header="0"/>
          <w:type w:val="continuous"/>
        </w:sectPr>
      </w:pPr>
    </w:p>
    <w:bookmarkStart w:id="6" w:name="page7"/>
    <w:bookmarkEnd w:id="6"/>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333" w:lineRule="exact"/>
        <w:rPr>
          <w:sz w:val="20"/>
          <w:szCs w:val="20"/>
          <w:color w:val="auto"/>
        </w:rPr>
      </w:pPr>
    </w:p>
    <w:p>
      <w:pPr>
        <w:ind w:right="4940"/>
        <w:spacing w:after="0" w:line="378" w:lineRule="auto"/>
        <w:rPr>
          <w:sz w:val="20"/>
          <w:szCs w:val="20"/>
          <w:color w:val="auto"/>
        </w:rPr>
      </w:pPr>
      <w:r>
        <w:rPr>
          <w:rFonts w:ascii="Arial" w:cs="Arial" w:eastAsia="Arial" w:hAnsi="Arial"/>
          <w:sz w:val="18"/>
          <w:szCs w:val="18"/>
          <w:b w:val="1"/>
          <w:bCs w:val="1"/>
          <w:color w:val="auto"/>
        </w:rPr>
        <w:t xml:space="preserve">1. Business, Basis of Presentation and Summary of Significant Accounting Policies </w:t>
      </w:r>
      <w:r>
        <w:rPr>
          <w:rFonts w:ascii="Arial" w:cs="Arial" w:eastAsia="Arial" w:hAnsi="Arial"/>
          <w:sz w:val="18"/>
          <w:szCs w:val="18"/>
          <w:b w:val="1"/>
          <w:bCs w:val="1"/>
          <w:i w:val="1"/>
          <w:iCs w:val="1"/>
          <w:color w:val="auto"/>
        </w:rPr>
        <w:t>Business</w:t>
      </w:r>
    </w:p>
    <w:p>
      <w:pPr>
        <w:jc w:val="both"/>
        <w:ind w:firstLine="324"/>
        <w:spacing w:after="0" w:line="255" w:lineRule="auto"/>
        <w:rPr>
          <w:sz w:val="20"/>
          <w:szCs w:val="20"/>
          <w:color w:val="auto"/>
        </w:rPr>
      </w:pPr>
      <w:r>
        <w:rPr>
          <w:rFonts w:ascii="Arial" w:cs="Arial" w:eastAsia="Arial" w:hAnsi="Arial"/>
          <w:sz w:val="18"/>
          <w:szCs w:val="18"/>
          <w:color w:val="auto"/>
        </w:rPr>
        <w:t>“Brighthouse Financial” and the “Company” refer to Brighthouse Financial, Inc. and its subsidiaries. Brighthouse Financial, Inc. (“BHF”) is a holding company formed in 2016 to own the legal entities that historically operated a substantial portion of MetLife, Inc.’s former retail segment until becoming a separate, publicly-traded company in August 2017. Brighthouse Financial is one of the largest providers of annuity and life insurance products in the United States through multiple independent distribution channels and marketing arrangements with a diverse network of distribution partners. The Company is organized into three segments: Annuities; Life; and Run-off. In addition, the Company reports certain of its results of operations in Corporate &amp; Other.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Consolidation</w:t>
      </w:r>
    </w:p>
    <w:p>
      <w:pPr>
        <w:spacing w:after="0" w:line="117"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The accompanying interim condensed consolidated financial statements include the accounts of Brighthouse Financial, as well as partnerships and limited liability companies (“LLCs”) in which the Company has control. Intercompany accounts and transactions have been eliminated.</w:t>
      </w:r>
    </w:p>
    <w:p>
      <w:pPr>
        <w:spacing w:after="0" w:line="38" w:lineRule="exact"/>
        <w:rPr>
          <w:sz w:val="20"/>
          <w:szCs w:val="20"/>
          <w:color w:val="auto"/>
        </w:rPr>
      </w:pPr>
    </w:p>
    <w:p>
      <w:pPr>
        <w:jc w:val="both"/>
        <w:ind w:left="180" w:firstLine="324"/>
        <w:spacing w:after="0" w:line="301" w:lineRule="auto"/>
        <w:rPr>
          <w:sz w:val="20"/>
          <w:szCs w:val="20"/>
          <w:color w:val="auto"/>
        </w:rPr>
      </w:pPr>
      <w:r>
        <w:rPr>
          <w:rFonts w:ascii="Arial" w:cs="Arial" w:eastAsia="Arial" w:hAnsi="Arial"/>
          <w:sz w:val="16"/>
          <w:szCs w:val="16"/>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117"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Certain amounts in the prior year periods’ interim condensed consolidated financial statements and related footnotes thereto have been reclassified to conform with the current period presentation as may be discussed when applicable in the Notes to the Interim Condensed Consolidated Financial Statements.</w:t>
      </w:r>
    </w:p>
    <w:p>
      <w:pPr>
        <w:spacing w:after="0" w:line="76"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2019 consolidated balance sheet data was derived from audited consolidated financial statements included in Brighthouse Financial, Inc.’s Annual Report on Form 10-K for the year ended December 31, 2019 (the “2019 Annual Report”), which include all disclosures required by GAAP. Therefore, these interim condensed consolidated financial statements should be read in conjunction with the consolidated financial statements of the Company included in the 2019 Annual Report.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34" w:right="3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1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Changes to GAAP are established by the Financial Accounting Standards Board (“FASB”) in the form of accounting standards updates (“ASUs”) to the FASB Accounting Standards Codification. The Company considers the applicability and impact of all ASUs. ASUs not listed below were assessed and determined to be either not applicable or are not expected to have a material impact on the Company’s consolidated financial statements. ASUs adopted as of March 31, 2020 are summarized as follows:</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Standard</w:t>
            </w:r>
          </w:p>
        </w:tc>
        <w:tc>
          <w:tcPr>
            <w:tcW w:w="4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16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Effective Date</w:t>
            </w:r>
          </w:p>
        </w:tc>
        <w:tc>
          <w:tcPr>
            <w:tcW w:w="3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Impact on Financial Statements</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r>
      <w:tr>
        <w:trPr>
          <w:trHeight w:val="213"/>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2016-13, Financial</w:t>
            </w: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amendments to Topic 326 replace the incurred loss</w:t>
            </w: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2020 using</w:t>
            </w: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Company recorded an after tax net</w:t>
            </w:r>
          </w:p>
        </w:tc>
      </w:tr>
      <w:tr>
        <w:trPr>
          <w:trHeight w:val="203"/>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Instruments-Credit Losses</w:t>
            </w: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impairment methodology for certain financial instruments with</w:t>
            </w: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modified</w:t>
            </w: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decrease to retained earnings of $14 million</w:t>
            </w:r>
          </w:p>
        </w:tc>
      </w:tr>
      <w:tr>
        <w:trPr>
          <w:trHeight w:val="203"/>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(Topic 326): Measurement of</w:t>
            </w: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one that reflects expected credit losses based on historical loss</w:t>
            </w: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retrospective method</w:t>
            </w: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and a net increase to accumulated other</w:t>
            </w:r>
          </w:p>
        </w:tc>
      </w:tr>
      <w:tr>
        <w:trPr>
          <w:trHeight w:val="203"/>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Credit Losses on Financial</w:t>
            </w: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information, current conditions, and reasonable and supportable</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comprehensive income (loss) (“AOCI”) of</w:t>
            </w:r>
          </w:p>
        </w:tc>
      </w:tr>
      <w:tr>
        <w:trPr>
          <w:trHeight w:val="203"/>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Instruments (“ASU 2016-13”)</w:t>
            </w: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forecasts. The new guidance also requires that an other-than-</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$3 million for the cumulative effect of</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temporary impairment on a debt security will be recognized as an</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adoption. The adjustment included</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8"/>
              </w:rPr>
              <w:t>allowance going forward, such that improvements in expected</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establishing or updating the allowance for</w:t>
            </w:r>
          </w:p>
        </w:tc>
      </w:tr>
      <w:tr>
        <w:trPr>
          <w:trHeight w:val="202"/>
        </w:trPr>
        <w:tc>
          <w:tcPr>
            <w:tcW w:w="218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future cash flows after an impairment will no longer be reflected</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credit losses on fixed maturity securities,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as a prospective yield adjustment through net investment income,</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mortgage loans, and other invested assets.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but rather a reversal of the previous impairment and recognized</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r>
      <w:tr>
        <w:trPr>
          <w:trHeight w:val="206"/>
        </w:trPr>
        <w:tc>
          <w:tcPr>
            <w:tcW w:w="218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through realized investment gains and losses.</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ASUs issued but not yet adopted as of March 31, 2020 are summarized as follows:</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1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Standard</w:t>
            </w:r>
          </w:p>
        </w:tc>
        <w:tc>
          <w:tcPr>
            <w:tcW w:w="43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Description</w:t>
            </w:r>
          </w:p>
        </w:tc>
        <w:tc>
          <w:tcPr>
            <w:tcW w:w="16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Effective Date</w:t>
            </w:r>
          </w:p>
        </w:tc>
        <w:tc>
          <w:tcPr>
            <w:tcW w:w="3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Impact on Financial Statements</w:t>
            </w: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r>
      <w:tr>
        <w:trPr>
          <w:trHeight w:val="213"/>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ASU 2018-12, Financial</w:t>
            </w: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The amendments to Topic 944 will result in significant changes to</w:t>
            </w:r>
          </w:p>
        </w:tc>
        <w:tc>
          <w:tcPr>
            <w:tcW w:w="16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January 1, 2022</w:t>
            </w: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Company is in the early stages of</w:t>
            </w:r>
          </w:p>
        </w:tc>
      </w:tr>
      <w:tr>
        <w:trPr>
          <w:trHeight w:val="203"/>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2"/>
              </w:rPr>
              <w:t>Services-Insurance (Topic 944):</w:t>
            </w: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the accounting for long-duration insurance contracts. These</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evaluating the new guidance and therefore is</w:t>
            </w:r>
          </w:p>
        </w:tc>
      </w:tr>
      <w:tr>
        <w:trPr>
          <w:trHeight w:val="203"/>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w w:val="97"/>
              </w:rPr>
              <w:t>Targeted Improvements to the</w:t>
            </w: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changes (1) require all guarantees that qualify as market risk</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unable to estimate the impact to its financial</w:t>
            </w:r>
          </w:p>
        </w:tc>
      </w:tr>
      <w:tr>
        <w:trPr>
          <w:trHeight w:val="203"/>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Accounting for Long-Duration</w:t>
            </w: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6"/>
              </w:rPr>
              <w:t>benefits to be measured at fair value, (2) require more frequent</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9"/>
              </w:rPr>
              <w:t>statements. The most significant impact is</w:t>
            </w:r>
          </w:p>
        </w:tc>
      </w:tr>
      <w:tr>
        <w:trPr>
          <w:trHeight w:val="203"/>
        </w:trPr>
        <w:tc>
          <w:tcPr>
            <w:tcW w:w="21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Contracts</w:t>
            </w: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updating of assumptions and modify existing discount rate</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expected to be the measurement of liabilities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requirements for certain insurance liabilities, (3) modify the</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for variable annuity guarantees.</w:t>
            </w: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methods of amortization for deferred policy acquisition costs</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(“DAC”), and (4) require new qualitative and quantitative</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3"/>
              </w:rPr>
              <w:t>disclosures around insurance contract asset and liability balances</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and the judgments, assumptions and methods used to measure</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2"/>
              </w:rPr>
              <w:t>those balances. The market risk benefit guidance is required to be</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1"/>
              </w:rPr>
              <w:t>applied on a retrospective basis, while the changes to guidance for</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w w:val="95"/>
              </w:rPr>
              <w:t>insurance liabilities and DAC may be applied to existing carrying</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r>
      <w:tr>
        <w:trPr>
          <w:trHeight w:val="206"/>
        </w:trPr>
        <w:tc>
          <w:tcPr>
            <w:tcW w:w="2180" w:type="dxa"/>
            <w:vAlign w:val="bottom"/>
            <w:tcBorders>
              <w:left w:val="single" w:sz="8" w:color="auto"/>
              <w:right w:val="single" w:sz="8" w:color="auto"/>
            </w:tcBorders>
          </w:tcPr>
          <w:p>
            <w:pPr>
              <w:spacing w:after="0"/>
              <w:rPr>
                <w:sz w:val="17"/>
                <w:szCs w:val="17"/>
                <w:color w:val="auto"/>
              </w:rPr>
            </w:pPr>
          </w:p>
        </w:tc>
        <w:tc>
          <w:tcPr>
            <w:tcW w:w="43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amounts on the effective date or on a retrospective basis.</w:t>
            </w:r>
          </w:p>
        </w:tc>
        <w:tc>
          <w:tcPr>
            <w:tcW w:w="1680" w:type="dxa"/>
            <w:vAlign w:val="bottom"/>
            <w:tcBorders>
              <w:right w:val="single" w:sz="8" w:color="auto"/>
            </w:tcBorders>
          </w:tcPr>
          <w:p>
            <w:pPr>
              <w:spacing w:after="0"/>
              <w:rPr>
                <w:sz w:val="17"/>
                <w:szCs w:val="17"/>
                <w:color w:val="auto"/>
              </w:rPr>
            </w:pPr>
          </w:p>
        </w:tc>
        <w:tc>
          <w:tcPr>
            <w:tcW w:w="3020" w:type="dxa"/>
            <w:vAlign w:val="bottom"/>
            <w:tcBorders>
              <w:right w:val="single" w:sz="8" w:color="auto"/>
            </w:tcBorders>
          </w:tcPr>
          <w:p>
            <w:pPr>
              <w:spacing w:after="0"/>
              <w:rPr>
                <w:sz w:val="17"/>
                <w:szCs w:val="17"/>
                <w:color w:val="auto"/>
              </w:rPr>
            </w:pPr>
          </w:p>
        </w:tc>
      </w:tr>
      <w:tr>
        <w:trPr>
          <w:trHeight w:val="33"/>
        </w:trPr>
        <w:tc>
          <w:tcPr>
            <w:tcW w:w="2180" w:type="dxa"/>
            <w:vAlign w:val="bottom"/>
            <w:tcBorders>
              <w:left w:val="single" w:sz="8" w:color="auto"/>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CARES Act</w:t>
      </w:r>
    </w:p>
    <w:p>
      <w:pPr>
        <w:spacing w:after="0" w:line="117"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In response to the worldwide pandemic sparked by the novel coronavirus (the “COVID-19 pandemic”), on March 27, 2020, Congress enacted the Coronavirus Aid, Relief, and Economic Security Act (the “CARES Act”). The CARES Act contains numerous provisions intended to provide swift aid, including through tax relief, to businesses and individuals affected by the COVID-19 pandemic. The Company does not believe that the CARES Act will have a material impact to its consolidated financial statements at this time. The Company will continue to closely monitor developments related to the COVID-19 pandemic and the CARES Act.</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320" w:top="234" w:right="319" w:bottom="1440" w:gutter="0" w:footer="0" w:header="0"/>
        </w:sectPr>
      </w:pPr>
    </w:p>
    <w:bookmarkStart w:id="8" w:name="page9"/>
    <w:bookmarkEnd w:id="8"/>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is organized into three segments: Annuities; Life; and Run-off. In addition, the Company reports certain of its results of operations in Corporate &amp; Other.</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Life segment consists of insurance products and services, including term, universal, whole and variable life products designed to address policyholders’ needs for financial security and protected wealth transfer, which may be provided on a tax-advantaged basis.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7"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The Run-off segment consists of products no longer actively sold and which are separately managed, including structured settlements, pension risk transfer contracts, certain company-owned life insurance policies, funding agreements and universal life with secondary guarantees.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Corporate &amp; Other</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Corporate &amp; Other contains the excess capital not allocated to the segments and interest expense related to the majority of the Company’s outstanding debt, as well as expenses associated with certain legal proceedings and income tax audit issues. Corporate &amp; Other also includes long-term care and workers’ compensation business reinsured through 100% quota share reinsurance agreements and term life insurance sold direct to consumers, which is no longer being offered for new sales.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Measures and Segment Accounting Policies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Adjusted earnings is a financial measure used by management to evaluate performance, allocate resources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Adjusted earnings should not be viewed as a substitute for net income (loss) available to BHF’s common shareholders and excludes net income (loss) attributable to noncontrolling interests and preferred stock dividends.</w:t>
      </w:r>
    </w:p>
    <w:p>
      <w:pPr>
        <w:spacing w:after="0" w:line="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Adjusted earnings, which may be positive or negative, focuses on the Company’s primary businesses principally by excluding the impact of market volatility, which could distort trends.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significant items excluded from total revenues,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derivative gains (losses) except earned income and amortization of premium on derivatives that are hedges of investments or that are used to replicate certain investments, but do not qualify for hedge accounting treatment;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variable annuity guaranteed minimum income benefits (“GMIBs”) fees (“GMIB Fees”).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significant items excluded from total expenses, net of income tax, in calculating adjusted earnings:</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Amortization of DAC and value of business acquired (“VOBA”) related to: (i) net investment gains (losses), (ii) net derivative gains (losses), (iii) GMIB Fees and GMIB Costs and (iv) Market Value Adjustments.</w:t>
      </w:r>
    </w:p>
    <w:p>
      <w:pPr>
        <w:spacing w:after="0" w:line="6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The tax impact of the adjustments mentioned above is calculated net of the statutory tax rate, which could differ from the Company’s effective tax rate.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88" w:right="339" w:bottom="1440" w:gutter="0" w:footer="0" w:header="0"/>
        </w:sectPr>
      </w:pPr>
    </w:p>
    <w:bookmarkStart w:id="9" w:name="page10"/>
    <w:bookmarkEnd w:id="9"/>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spacing w:after="0" w:line="7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segments, if any, are held in Corporate &amp; Other. Segment net investment income reflects the performance of each segment’s respective invested assets.</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results by segment, as well as Corporate &amp; Other, were as follows: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5"/>
              </w:rPr>
              <w:t>Three Months Ended March 31, 2020</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3"/>
                <w:szCs w:val="13"/>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3"/>
                <w:szCs w:val="13"/>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Run-off</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Corporate</w:t>
            </w:r>
          </w:p>
        </w:tc>
        <w:tc>
          <w:tcPr>
            <w:tcW w:w="220" w:type="dxa"/>
            <w:vAlign w:val="bottom"/>
          </w:tcPr>
          <w:p>
            <w:pPr>
              <w:spacing w:after="0"/>
              <w:rPr>
                <w:sz w:val="13"/>
                <w:szCs w:val="13"/>
                <w:color w:val="auto"/>
              </w:rPr>
            </w:pPr>
          </w:p>
        </w:tc>
        <w:tc>
          <w:tcPr>
            <w:tcW w:w="720" w:type="dxa"/>
            <w:vAlign w:val="bottom"/>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5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84"/>
        </w:trPr>
        <w:tc>
          <w:tcPr>
            <w:tcW w:w="57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Adjusted earnings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CCEEFF"/>
            </w:tcBorders>
          </w:tcPr>
          <w:p>
            <w:pPr>
              <w:spacing w:after="0"/>
              <w:rPr>
                <w:sz w:val="24"/>
                <w:szCs w:val="24"/>
                <w:color w:val="auto"/>
              </w:rPr>
            </w:pPr>
          </w:p>
        </w:tc>
        <w:tc>
          <w:tcPr>
            <w:tcW w:w="72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3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for:</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6,902</w:t>
            </w: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(1,260)</w:t>
            </w:r>
          </w:p>
        </w:tc>
        <w:tc>
          <w:tcPr>
            <w:tcW w:w="0" w:type="dxa"/>
            <w:vAlign w:val="bottom"/>
          </w:tcPr>
          <w:p>
            <w:pPr>
              <w:spacing w:after="0"/>
              <w:rPr>
                <w:sz w:val="1"/>
                <w:szCs w:val="1"/>
                <w:color w:val="auto"/>
              </w:rPr>
            </w:pPr>
          </w:p>
        </w:tc>
      </w:tr>
      <w:tr>
        <w:trPr>
          <w:trHeight w:val="283"/>
        </w:trPr>
        <w:tc>
          <w:tcPr>
            <w:tcW w:w="578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w w:val="96"/>
              </w:rPr>
              <w:t>Net income (loss) available to Brighthouse Financial, Inc.’s common shareholders</w:t>
            </w:r>
          </w:p>
        </w:tc>
        <w:tc>
          <w:tcPr>
            <w:tcW w:w="1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4,950</w:t>
            </w:r>
          </w:p>
        </w:tc>
        <w:tc>
          <w:tcPr>
            <w:tcW w:w="0" w:type="dxa"/>
            <w:vAlign w:val="bottom"/>
          </w:tcPr>
          <w:p>
            <w:pPr>
              <w:spacing w:after="0"/>
              <w:rPr>
                <w:sz w:val="1"/>
                <w:szCs w:val="1"/>
                <w:color w:val="auto"/>
              </w:rPr>
            </w:pPr>
          </w:p>
        </w:tc>
      </w:tr>
      <w:tr>
        <w:trPr>
          <w:trHeight w:val="217"/>
        </w:trPr>
        <w:tc>
          <w:tcPr>
            <w:tcW w:w="5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78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34" w:right="339" w:bottom="1440" w:gutter="0" w:footer="0" w:header="0"/>
        </w:sectPr>
      </w:pPr>
    </w:p>
    <w:bookmarkStart w:id="10" w:name="page11"/>
    <w:bookmarkEnd w:id="10"/>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4"/>
              </w:rPr>
              <w:t>Three Months Ended March 31, 2019</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20" w:type="dxa"/>
            <w:vAlign w:val="bottom"/>
          </w:tcPr>
          <w:p>
            <w:pPr>
              <w:spacing w:after="0"/>
              <w:rPr>
                <w:sz w:val="13"/>
                <w:szCs w:val="13"/>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Life</w:t>
            </w:r>
          </w:p>
        </w:tc>
        <w:tc>
          <w:tcPr>
            <w:tcW w:w="18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Run-off</w:t>
            </w:r>
          </w:p>
        </w:tc>
        <w:tc>
          <w:tcPr>
            <w:tcW w:w="18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Corporate</w:t>
            </w:r>
          </w:p>
        </w:tc>
        <w:tc>
          <w:tcPr>
            <w:tcW w:w="200" w:type="dxa"/>
            <w:vAlign w:val="bottom"/>
          </w:tcPr>
          <w:p>
            <w:pPr>
              <w:spacing w:after="0"/>
              <w:rPr>
                <w:sz w:val="13"/>
                <w:szCs w:val="13"/>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&amp; Other</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Pre-tax adjusted earnings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4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5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Post-tax adjusted earnings</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14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Preferred stock dividends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Adjusted earnings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740" w:type="dxa"/>
            <w:vAlign w:val="bottom"/>
            <w:tcBorders>
              <w:top w:val="single" w:sz="8" w:color="auto"/>
              <w:bottom w:val="single" w:sz="8" w:color="CCEEFF"/>
            </w:tcBorders>
          </w:tcPr>
          <w:p>
            <w:pPr>
              <w:jc w:val="right"/>
              <w:ind w:right="2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for:</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Net investment gains (losses)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derivative gains (losses)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Other adjustments to net income (loss)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83"/>
        </w:trPr>
        <w:tc>
          <w:tcPr>
            <w:tcW w:w="58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1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Interest 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21"/>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0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 by segment, as well as Corporate &amp; Other, were as follows:</w:t>
      </w:r>
    </w:p>
    <w:p>
      <w:pPr>
        <w:spacing w:after="0" w:line="325"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13335</wp:posOffset>
            </wp:positionV>
            <wp:extent cx="23399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11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2019</w:t>
            </w:r>
          </w:p>
        </w:tc>
      </w:tr>
      <w:tr>
        <w:trPr>
          <w:trHeight w:val="250"/>
        </w:trPr>
        <w:tc>
          <w:tcPr>
            <w:tcW w:w="7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6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r>
      <w:tr>
        <w:trPr>
          <w:trHeight w:val="256"/>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1180" w:type="dxa"/>
            <w:vAlign w:val="bottom"/>
            <w:tcBorders>
              <w:bottom w:val="single" w:sz="8" w:color="CCEEFF"/>
            </w:tcBorders>
            <w:shd w:val="clear" w:color="auto" w:fill="CCEEFF"/>
          </w:tcPr>
          <w:p>
            <w:pPr>
              <w:jc w:val="right"/>
              <w:ind w:right="100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1,117</w:t>
            </w: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color w:val="auto"/>
              </w:rPr>
              <w:t>Life</w:t>
            </w:r>
          </w:p>
        </w:tc>
        <w:tc>
          <w:tcPr>
            <w:tcW w:w="1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303</w:t>
            </w:r>
          </w:p>
        </w:tc>
      </w:tr>
      <w:tr>
        <w:trPr>
          <w:trHeight w:val="33"/>
        </w:trPr>
        <w:tc>
          <w:tcPr>
            <w:tcW w:w="7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493</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476</w:t>
            </w: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1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43</w:t>
            </w:r>
          </w:p>
        </w:tc>
      </w:tr>
      <w:tr>
        <w:trPr>
          <w:trHeight w:val="33"/>
        </w:trPr>
        <w:tc>
          <w:tcPr>
            <w:tcW w:w="7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1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6,945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(1,248)</w:t>
            </w:r>
          </w:p>
        </w:tc>
      </w:tr>
      <w:tr>
        <w:trPr>
          <w:trHeight w:val="217"/>
        </w:trPr>
        <w:tc>
          <w:tcPr>
            <w:tcW w:w="7560" w:type="dxa"/>
            <w:vAlign w:val="bottom"/>
          </w:tcPr>
          <w:p>
            <w:pPr>
              <w:ind w:left="200"/>
              <w:spacing w:after="0"/>
              <w:rPr>
                <w:sz w:val="20"/>
                <w:szCs w:val="20"/>
                <w:color w:val="auto"/>
              </w:rPr>
            </w:pPr>
            <w:r>
              <w:rPr>
                <w:rFonts w:ascii="Arial" w:cs="Arial" w:eastAsia="Arial" w:hAnsi="Arial"/>
                <w:sz w:val="16"/>
                <w:szCs w:val="16"/>
                <w:color w:val="auto"/>
              </w:rPr>
              <w:t>Total</w:t>
            </w:r>
          </w:p>
        </w:tc>
        <w:tc>
          <w:tcPr>
            <w:tcW w:w="1180" w:type="dxa"/>
            <w:vAlign w:val="bottom"/>
            <w:tcBorders>
              <w:top w:val="single" w:sz="8" w:color="auto"/>
            </w:tcBorders>
          </w:tcPr>
          <w:p>
            <w:pPr>
              <w:jc w:val="right"/>
              <w:ind w:right="1002"/>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8,985</w:t>
            </w:r>
          </w:p>
        </w:tc>
        <w:tc>
          <w:tcPr>
            <w:tcW w:w="12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691</w:t>
            </w:r>
          </w:p>
        </w:tc>
      </w:tr>
      <w:tr>
        <w:trPr>
          <w:trHeight w:val="33"/>
        </w:trPr>
        <w:tc>
          <w:tcPr>
            <w:tcW w:w="756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75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 by segment, as well as Corporate &amp; Other, were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w w:val="99"/>
              </w:rPr>
              <w:t>December 31, 2019</w:t>
            </w:r>
          </w:p>
        </w:tc>
      </w:tr>
      <w:tr>
        <w:trPr>
          <w:trHeight w:val="250"/>
        </w:trPr>
        <w:tc>
          <w:tcPr>
            <w:tcW w:w="7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20" w:type="dxa"/>
            <w:vAlign w:val="bottom"/>
            <w:gridSpan w:val="4"/>
          </w:tcPr>
          <w:p>
            <w:pPr>
              <w:jc w:val="right"/>
              <w:ind w:right="1381"/>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146,897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156,965</w:t>
            </w: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color w:val="auto"/>
              </w:rPr>
              <w:t>Life</w:t>
            </w:r>
          </w:p>
        </w:tc>
        <w:tc>
          <w:tcPr>
            <w:tcW w:w="260" w:type="dxa"/>
            <w:vAlign w:val="bottom"/>
          </w:tcPr>
          <w:p>
            <w:pPr>
              <w:spacing w:after="0"/>
              <w:rPr>
                <w:sz w:val="20"/>
                <w:szCs w:val="20"/>
                <w:color w:val="auto"/>
              </w:rPr>
            </w:pPr>
          </w:p>
        </w:tc>
        <w:tc>
          <w:tcPr>
            <w:tcW w:w="1520" w:type="dxa"/>
            <w:vAlign w:val="bottom"/>
          </w:tcPr>
          <w:p>
            <w:pPr>
              <w:jc w:val="right"/>
              <w:ind w:right="22"/>
              <w:spacing w:after="0"/>
              <w:rPr>
                <w:sz w:val="20"/>
                <w:szCs w:val="20"/>
                <w:color w:val="auto"/>
              </w:rPr>
            </w:pPr>
            <w:r>
              <w:rPr>
                <w:rFonts w:ascii="Arial" w:cs="Arial" w:eastAsia="Arial" w:hAnsi="Arial"/>
                <w:sz w:val="16"/>
                <w:szCs w:val="16"/>
                <w:color w:val="auto"/>
              </w:rPr>
              <w:t>20,923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21,876</w:t>
            </w:r>
          </w:p>
        </w:tc>
      </w:tr>
      <w:tr>
        <w:trPr>
          <w:trHeight w:val="33"/>
        </w:trPr>
        <w:tc>
          <w:tcPr>
            <w:tcW w:w="7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36,510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35,112</w:t>
            </w: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260" w:type="dxa"/>
            <w:vAlign w:val="bottom"/>
          </w:tcPr>
          <w:p>
            <w:pPr>
              <w:spacing w:after="0"/>
              <w:rPr>
                <w:sz w:val="20"/>
                <w:szCs w:val="20"/>
                <w:color w:val="auto"/>
              </w:rPr>
            </w:pPr>
          </w:p>
        </w:tc>
        <w:tc>
          <w:tcPr>
            <w:tcW w:w="1520" w:type="dxa"/>
            <w:vAlign w:val="bottom"/>
          </w:tcPr>
          <w:p>
            <w:pPr>
              <w:jc w:val="right"/>
              <w:ind w:right="22"/>
              <w:spacing w:after="0"/>
              <w:rPr>
                <w:sz w:val="20"/>
                <w:szCs w:val="20"/>
                <w:color w:val="auto"/>
              </w:rPr>
            </w:pPr>
            <w:r>
              <w:rPr>
                <w:rFonts w:ascii="Arial" w:cs="Arial" w:eastAsia="Arial" w:hAnsi="Arial"/>
                <w:sz w:val="16"/>
                <w:szCs w:val="16"/>
                <w:color w:val="auto"/>
              </w:rPr>
              <w:t>19,623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13,306</w:t>
            </w:r>
          </w:p>
        </w:tc>
      </w:tr>
      <w:tr>
        <w:trPr>
          <w:trHeight w:val="33"/>
        </w:trPr>
        <w:tc>
          <w:tcPr>
            <w:tcW w:w="7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223,953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227,259</w:t>
            </w:r>
          </w:p>
        </w:tc>
      </w:tr>
      <w:tr>
        <w:trPr>
          <w:trHeight w:val="20"/>
        </w:trPr>
        <w:tc>
          <w:tcPr>
            <w:tcW w:w="7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4"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234" w:right="339" w:bottom="1440" w:gutter="0" w:footer="0" w:header="0"/>
          <w:type w:val="continuous"/>
        </w:sectPr>
      </w:pPr>
    </w:p>
    <w:bookmarkStart w:id="11" w:name="page12"/>
    <w:bookmarkEnd w:id="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discussed in Notes 1 and 3 of the Notes to the Consolidated Financial Statements included in the 2019 Annual Report, the Company issues variable annuity contracts with guaranteed minimum benefits. Guaranteed minimum accumulation benefits (“GMABs”), the non-life-contingent portion of guaranteed minimum withdrawal benefits (“GMWBs”) and the portion of certain GMIBs that do not require annuitization are accounted for as embedded derivatives in policyholder account balances and are further discussed in Note 5.</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also has universal and variable life insurance contracts with secondary 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the Company’s guarantee exposure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right"/>
              <w:ind w:right="868"/>
              <w:spacing w:after="0"/>
              <w:rPr>
                <w:sz w:val="20"/>
                <w:szCs w:val="20"/>
                <w:color w:val="auto"/>
              </w:rPr>
            </w:pPr>
            <w:r>
              <w:rPr>
                <w:rFonts w:ascii="Arial" w:cs="Arial" w:eastAsia="Arial" w:hAnsi="Arial"/>
                <w:sz w:val="14"/>
                <w:szCs w:val="14"/>
                <w:b w:val="1"/>
                <w:bCs w:val="1"/>
                <w:color w:val="auto"/>
              </w:rPr>
              <w:t>March 31, 2020</w:t>
            </w:r>
          </w:p>
        </w:tc>
        <w:tc>
          <w:tcPr>
            <w:tcW w:w="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4"/>
                <w:szCs w:val="14"/>
                <w:b w:val="1"/>
                <w:bCs w:val="1"/>
                <w:color w:val="auto"/>
              </w:rPr>
              <w:t>December 31, 2019</w:t>
            </w:r>
          </w:p>
        </w:tc>
        <w:tc>
          <w:tcPr>
            <w:tcW w:w="7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52"/>
        </w:trPr>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403"/>
              <w:spacing w:after="0" w:line="153" w:lineRule="exact"/>
              <w:rPr>
                <w:sz w:val="20"/>
                <w:szCs w:val="20"/>
                <w:color w:val="auto"/>
              </w:rPr>
            </w:pPr>
            <w:r>
              <w:rPr>
                <w:rFonts w:ascii="Arial" w:cs="Arial" w:eastAsia="Arial" w:hAnsi="Arial"/>
                <w:sz w:val="14"/>
                <w:szCs w:val="14"/>
                <w:b w:val="1"/>
                <w:bCs w:val="1"/>
                <w:color w:val="auto"/>
              </w:rPr>
              <w:t>In the</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408"/>
              <w:spacing w:after="0" w:line="153" w:lineRule="exact"/>
              <w:rPr>
                <w:sz w:val="20"/>
                <w:szCs w:val="20"/>
                <w:color w:val="auto"/>
              </w:rPr>
            </w:pPr>
            <w:r>
              <w:rPr>
                <w:rFonts w:ascii="Arial" w:cs="Arial" w:eastAsia="Arial" w:hAnsi="Arial"/>
                <w:sz w:val="14"/>
                <w:szCs w:val="14"/>
                <w:b w:val="1"/>
                <w:bCs w:val="1"/>
                <w:color w:val="auto"/>
              </w:rPr>
              <w:t>At</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242"/>
              <w:spacing w:after="0" w:line="153" w:lineRule="exact"/>
              <w:rPr>
                <w:sz w:val="20"/>
                <w:szCs w:val="20"/>
                <w:color w:val="auto"/>
              </w:rPr>
            </w:pPr>
            <w:r>
              <w:rPr>
                <w:rFonts w:ascii="Arial" w:cs="Arial" w:eastAsia="Arial" w:hAnsi="Arial"/>
                <w:sz w:val="14"/>
                <w:szCs w:val="14"/>
                <w:b w:val="1"/>
                <w:bCs w:val="1"/>
                <w:color w:val="auto"/>
              </w:rPr>
              <w:t>In the</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gridSpan w:val="2"/>
          </w:tcPr>
          <w:p>
            <w:pPr>
              <w:jc w:val="right"/>
              <w:ind w:right="860"/>
              <w:spacing w:after="0" w:line="153" w:lineRule="exact"/>
              <w:rPr>
                <w:sz w:val="20"/>
                <w:szCs w:val="20"/>
                <w:color w:val="auto"/>
              </w:rPr>
            </w:pPr>
            <w:r>
              <w:rPr>
                <w:rFonts w:ascii="Arial" w:cs="Arial" w:eastAsia="Arial" w:hAnsi="Arial"/>
                <w:sz w:val="14"/>
                <w:szCs w:val="14"/>
                <w:b w:val="1"/>
                <w:bCs w:val="1"/>
                <w:color w:val="auto"/>
              </w:rPr>
              <w:t>At</w:t>
            </w:r>
          </w:p>
        </w:tc>
      </w:tr>
      <w:tr>
        <w:trPr>
          <w:trHeight w:val="192"/>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123"/>
              <w:spacing w:after="0"/>
              <w:rPr>
                <w:sz w:val="20"/>
                <w:szCs w:val="20"/>
                <w:color w:val="auto"/>
              </w:rPr>
            </w:pPr>
            <w:r>
              <w:rPr>
                <w:rFonts w:ascii="Arial" w:cs="Arial" w:eastAsia="Arial" w:hAnsi="Arial"/>
                <w:sz w:val="14"/>
                <w:szCs w:val="14"/>
                <w:b w:val="1"/>
                <w:bCs w:val="1"/>
                <w:color w:val="auto"/>
                <w:w w:val="97"/>
              </w:rPr>
              <w:t>Event of Death</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w w:val="99"/>
              </w:rPr>
              <w:t>Annuitization</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5"/>
              </w:rPr>
              <w:t>Event of Death</w:t>
            </w:r>
          </w:p>
        </w:tc>
        <w:tc>
          <w:tcPr>
            <w:tcW w:w="180" w:type="dxa"/>
            <w:vAlign w:val="bottom"/>
          </w:tcPr>
          <w:p>
            <w:pPr>
              <w:spacing w:after="0"/>
              <w:rPr>
                <w:sz w:val="16"/>
                <w:szCs w:val="16"/>
                <w:color w:val="auto"/>
              </w:rPr>
            </w:pPr>
          </w:p>
        </w:tc>
        <w:tc>
          <w:tcPr>
            <w:tcW w:w="18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Annuitization</w:t>
            </w:r>
          </w:p>
        </w:tc>
      </w:tr>
      <w:tr>
        <w:trPr>
          <w:trHeight w:val="250"/>
        </w:trPr>
        <w:tc>
          <w:tcPr>
            <w:tcW w:w="47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56"/>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Annuity Contracts (1), (2)</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6"/>
                <w:szCs w:val="16"/>
                <w:b w:val="1"/>
                <w:bCs w:val="1"/>
                <w:color w:val="auto"/>
              </w:rPr>
              <w:t>Variable Annuity Guarantees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3"/>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account value (3)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87,549</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50,267</w:t>
            </w: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104,271</w:t>
            </w:r>
          </w:p>
        </w:tc>
        <w:tc>
          <w:tcPr>
            <w:tcW w:w="760" w:type="dxa"/>
            <w:vAlign w:val="bottom"/>
            <w:tcBorders>
              <w:bottom w:val="single" w:sz="8" w:color="CCEEFF"/>
            </w:tcBorders>
            <w:shd w:val="clear" w:color="auto" w:fill="CCEEFF"/>
          </w:tcPr>
          <w:p>
            <w:pPr>
              <w:jc w:val="right"/>
              <w:ind w:right="283"/>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59,859</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6"/>
                <w:szCs w:val="16"/>
                <w:color w:val="auto"/>
              </w:rPr>
              <w:t>Separate account value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82,557</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49,065</w:t>
            </w:r>
          </w:p>
        </w:tc>
        <w:tc>
          <w:tcPr>
            <w:tcW w:w="56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99,385</w:t>
            </w:r>
          </w:p>
        </w:tc>
        <w:tc>
          <w:tcPr>
            <w:tcW w:w="76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58,694</w:t>
            </w:r>
          </w:p>
        </w:tc>
        <w:tc>
          <w:tcPr>
            <w:tcW w:w="320" w:type="dxa"/>
            <w:vAlign w:val="bottom"/>
          </w:tcPr>
          <w:p>
            <w:pPr>
              <w:spacing w:after="0"/>
              <w:rPr>
                <w:sz w:val="20"/>
                <w:szCs w:val="20"/>
                <w:color w:val="auto"/>
              </w:rPr>
            </w:pPr>
          </w:p>
        </w:tc>
      </w:tr>
      <w:tr>
        <w:trPr>
          <w:trHeight w:val="33"/>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6"/>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amount at risk</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12,998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10,402</w:t>
            </w: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 $</w:t>
            </w:r>
          </w:p>
        </w:tc>
        <w:tc>
          <w:tcPr>
            <w:tcW w:w="12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6,671</w:t>
            </w:r>
          </w:p>
        </w:tc>
        <w:tc>
          <w:tcPr>
            <w:tcW w:w="760" w:type="dxa"/>
            <w:vAlign w:val="bottom"/>
            <w:tcBorders>
              <w:bottom w:val="single" w:sz="8" w:color="CCEEFF"/>
            </w:tcBorders>
            <w:shd w:val="clear" w:color="auto" w:fill="CCEEFF"/>
          </w:tcPr>
          <w:p>
            <w:pPr>
              <w:jc w:val="right"/>
              <w:ind w:right="283"/>
              <w:spacing w:after="0"/>
              <w:rPr>
                <w:sz w:val="20"/>
                <w:szCs w:val="20"/>
                <w:color w:val="auto"/>
              </w:rPr>
            </w:pPr>
            <w:r>
              <w:rPr>
                <w:rFonts w:ascii="Arial" w:cs="Arial" w:eastAsia="Arial" w:hAnsi="Arial"/>
                <w:sz w:val="16"/>
                <w:szCs w:val="16"/>
                <w:color w:val="auto"/>
              </w:rPr>
              <w:t>(4) $</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4,750  (5)</w:t>
            </w:r>
          </w:p>
        </w:tc>
      </w:tr>
      <w:tr>
        <w:trPr>
          <w:trHeight w:val="237"/>
        </w:trPr>
        <w:tc>
          <w:tcPr>
            <w:tcW w:w="4740" w:type="dxa"/>
            <w:vAlign w:val="bottom"/>
          </w:tcPr>
          <w:p>
            <w:pPr>
              <w:ind w:left="40"/>
              <w:spacing w:after="0"/>
              <w:rPr>
                <w:sz w:val="20"/>
                <w:szCs w:val="20"/>
                <w:color w:val="auto"/>
              </w:rPr>
            </w:pPr>
            <w:r>
              <w:rPr>
                <w:rFonts w:ascii="Arial" w:cs="Arial" w:eastAsia="Arial" w:hAnsi="Arial"/>
                <w:sz w:val="16"/>
                <w:szCs w:val="16"/>
                <w:color w:val="auto"/>
              </w:rPr>
              <w:t>Average attained age of contract holders</w:t>
            </w:r>
          </w:p>
        </w:tc>
        <w:tc>
          <w:tcPr>
            <w:tcW w:w="160" w:type="dxa"/>
            <w:vAlign w:val="bottom"/>
          </w:tcPr>
          <w:p>
            <w:pPr>
              <w:spacing w:after="0"/>
              <w:rPr>
                <w:sz w:val="20"/>
                <w:szCs w:val="20"/>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68 years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59"/>
              <w:spacing w:after="0"/>
              <w:rPr>
                <w:sz w:val="20"/>
                <w:szCs w:val="20"/>
                <w:color w:val="auto"/>
              </w:rPr>
            </w:pPr>
            <w:r>
              <w:rPr>
                <w:rFonts w:ascii="Arial" w:cs="Arial" w:eastAsia="Arial" w:hAnsi="Arial"/>
                <w:sz w:val="16"/>
                <w:szCs w:val="16"/>
                <w:color w:val="auto"/>
              </w:rPr>
              <w:t>68 years</w:t>
            </w:r>
          </w:p>
        </w:tc>
        <w:tc>
          <w:tcPr>
            <w:tcW w:w="76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68 years</w:t>
            </w:r>
          </w:p>
        </w:tc>
      </w:tr>
      <w:tr>
        <w:trPr>
          <w:trHeight w:val="540"/>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502"/>
              <w:spacing w:after="0"/>
              <w:rPr>
                <w:sz w:val="20"/>
                <w:szCs w:val="20"/>
                <w:color w:val="auto"/>
              </w:rPr>
            </w:pPr>
            <w:r>
              <w:rPr>
                <w:rFonts w:ascii="Arial" w:cs="Arial" w:eastAsia="Arial" w:hAnsi="Arial"/>
                <w:sz w:val="14"/>
                <w:szCs w:val="14"/>
                <w:b w:val="1"/>
                <w:bCs w:val="1"/>
                <w:color w:val="auto"/>
                <w:w w:val="98"/>
              </w:rPr>
              <w:t>March 31, 2020</w:t>
            </w: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4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4"/>
                <w:szCs w:val="14"/>
                <w:b w:val="1"/>
                <w:bCs w:val="1"/>
                <w:color w:val="auto"/>
              </w:rPr>
              <w:t>Secondary Guarantees</w:t>
            </w:r>
          </w:p>
        </w:tc>
        <w:tc>
          <w:tcPr>
            <w:tcW w:w="7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r>
      <w:tr>
        <w:trPr>
          <w:trHeight w:val="250"/>
        </w:trPr>
        <w:tc>
          <w:tcPr>
            <w:tcW w:w="4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3"/>
          </w:tcPr>
          <w:p>
            <w:pPr>
              <w:jc w:val="right"/>
              <w:ind w:right="243"/>
              <w:spacing w:after="0"/>
              <w:rPr>
                <w:sz w:val="20"/>
                <w:szCs w:val="20"/>
                <w:color w:val="auto"/>
              </w:rPr>
            </w:pPr>
            <w:r>
              <w:rPr>
                <w:rFonts w:ascii="Arial" w:cs="Arial" w:eastAsia="Arial" w:hAnsi="Arial"/>
                <w:sz w:val="14"/>
                <w:szCs w:val="14"/>
                <w:b w:val="1"/>
                <w:bCs w:val="1"/>
                <w:color w:val="auto"/>
              </w:rPr>
              <w:t>(Dollars in millions)</w:t>
            </w: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56"/>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Universal Life Contracts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6"/>
                <w:szCs w:val="16"/>
                <w:color w:val="auto"/>
              </w:rPr>
              <w:t>Total account value (3)</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5,917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5,957</w:t>
            </w:r>
          </w:p>
        </w:tc>
      </w:tr>
      <w:tr>
        <w:trPr>
          <w:trHeight w:val="33"/>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amount at risk (6)</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70,588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71,124</w:t>
            </w:r>
          </w:p>
        </w:tc>
      </w:tr>
      <w:tr>
        <w:trPr>
          <w:trHeight w:val="237"/>
        </w:trPr>
        <w:tc>
          <w:tcPr>
            <w:tcW w:w="4740" w:type="dxa"/>
            <w:vAlign w:val="bottom"/>
          </w:tcPr>
          <w:p>
            <w:pPr>
              <w:ind w:left="40"/>
              <w:spacing w:after="0"/>
              <w:rPr>
                <w:sz w:val="20"/>
                <w:szCs w:val="20"/>
                <w:color w:val="auto"/>
              </w:rPr>
            </w:pPr>
            <w:r>
              <w:rPr>
                <w:rFonts w:ascii="Arial" w:cs="Arial" w:eastAsia="Arial" w:hAnsi="Arial"/>
                <w:sz w:val="16"/>
                <w:szCs w:val="16"/>
                <w:color w:val="auto"/>
              </w:rPr>
              <w:t>Average attained age of policyholders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66 years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66 years</w:t>
            </w:r>
          </w:p>
        </w:tc>
      </w:tr>
      <w:tr>
        <w:trPr>
          <w:trHeight w:val="33"/>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97"/>
        </w:trPr>
        <w:tc>
          <w:tcPr>
            <w:tcW w:w="4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Variable Life Contracts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3"/>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account value (3)</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3,247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3,526</w:t>
            </w:r>
          </w:p>
        </w:tc>
      </w:tr>
      <w:tr>
        <w:trPr>
          <w:trHeight w:val="237"/>
        </w:trPr>
        <w:tc>
          <w:tcPr>
            <w:tcW w:w="4740" w:type="dxa"/>
            <w:vAlign w:val="bottom"/>
          </w:tcPr>
          <w:p>
            <w:pPr>
              <w:ind w:left="40"/>
              <w:spacing w:after="0"/>
              <w:rPr>
                <w:sz w:val="20"/>
                <w:szCs w:val="20"/>
                <w:color w:val="auto"/>
              </w:rPr>
            </w:pPr>
            <w:r>
              <w:rPr>
                <w:rFonts w:ascii="Arial" w:cs="Arial" w:eastAsia="Arial" w:hAnsi="Arial"/>
                <w:sz w:val="16"/>
                <w:szCs w:val="16"/>
                <w:color w:val="auto"/>
              </w:rPr>
              <w:t>Net amount at risk (6)</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21,146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21,325</w:t>
            </w:r>
          </w:p>
        </w:tc>
      </w:tr>
      <w:tr>
        <w:trPr>
          <w:trHeight w:val="33"/>
        </w:trPr>
        <w:tc>
          <w:tcPr>
            <w:tcW w:w="4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attained age of policyholders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51 years</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 years</w:t>
            </w:r>
          </w:p>
        </w:tc>
      </w:tr>
      <w:tr>
        <w:trPr>
          <w:trHeight w:val="182"/>
        </w:trPr>
        <w:tc>
          <w:tcPr>
            <w:tcW w:w="4740" w:type="dxa"/>
            <w:vAlign w:val="bottom"/>
          </w:tcPr>
          <w:p>
            <w:pPr>
              <w:spacing w:after="0"/>
              <w:rPr>
                <w:sz w:val="20"/>
                <w:szCs w:val="20"/>
                <w:color w:val="auto"/>
              </w:rPr>
            </w:pPr>
            <w:r>
              <w:rPr>
                <w:rFonts w:ascii="Arial" w:cs="Arial" w:eastAsia="Arial" w:hAnsi="Arial"/>
                <w:sz w:val="14"/>
                <w:szCs w:val="14"/>
                <w:color w:val="auto"/>
              </w:rPr>
              <w:t>_______________</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r>
    </w:tbl>
    <w:p>
      <w:pPr>
        <w:spacing w:after="0" w:line="73" w:lineRule="exact"/>
        <w:rPr>
          <w:sz w:val="20"/>
          <w:szCs w:val="20"/>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annuity contracts with guarantees may offer more than one type of guarantee in each contract. Therefore, the amounts listed above may not be mutually exclusive.</w:t>
      </w:r>
    </w:p>
    <w:p>
      <w:pPr>
        <w:spacing w:after="0" w:line="62"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5 of the Notes to the Consolidated Financial Statements included in the 2019 Annual Report for a discussion of guaranteed minimum benefits which have been reinsured.</w:t>
      </w:r>
    </w:p>
    <w:p>
      <w:pPr>
        <w:spacing w:after="0" w:line="78"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the contract holder’s investments in the general account and separate account, if applicable.</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34" w:right="339" w:bottom="1440" w:gutter="0" w:footer="0" w:header="0"/>
        </w:sectPr>
      </w:pPr>
    </w:p>
    <w:bookmarkStart w:id="12" w:name="page13"/>
    <w:bookmarkEnd w:id="1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337" w:lineRule="exact"/>
        <w:rPr>
          <w:sz w:val="20"/>
          <w:szCs w:val="20"/>
          <w:color w:val="auto"/>
        </w:rPr>
      </w:pPr>
    </w:p>
    <w:p>
      <w:pPr>
        <w:jc w:val="both"/>
        <w:ind w:left="340" w:hanging="332"/>
        <w:spacing w:after="0" w:line="30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 holders were to annuitize on the balance sheet date, even though the contracts contain terms that allow annuitization of the guaranteed amount only after the 10th anniversary of the contract, which not all contract holders have achieved.</w:t>
      </w:r>
    </w:p>
    <w:p>
      <w:pPr>
        <w:spacing w:after="0" w:line="49"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Defined as the guarantee amount less the account value, as of the balance sheet date. It represents the amount of the claim that the Company would incur if death claims were filed on all contracts on the balance sheet date.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See Note 1 of the Notes to the Consolidated Financial Statements included in the 2019 Annual Report for a description of the Company’s accounting policies for investments and Note 6 for information about the fair value hierarchy for investments and the related valuation methodologies. In connection with the adoption of new guidance related to the credit losses (see Note 1), effective January 1, 2020, the Company updated its accounting policies on certain investments. Any accounting policy updates required by the new guidance are described in this footnote.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by Sector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Fixed maturity securities by sector were as follows at: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rPr>
              <w:t>March 31, 2020</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w w:val="92"/>
              </w:rPr>
              <w:t>December 31, 2019</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5"/>
          </w:tcPr>
          <w:p>
            <w:pPr>
              <w:ind w:left="160"/>
              <w:spacing w:after="0"/>
              <w:rPr>
                <w:sz w:val="20"/>
                <w:szCs w:val="20"/>
                <w:color w:val="auto"/>
              </w:rPr>
            </w:pPr>
            <w:r>
              <w:rPr>
                <w:rFonts w:ascii="Arial" w:cs="Arial" w:eastAsia="Arial" w:hAnsi="Arial"/>
                <w:sz w:val="13"/>
                <w:szCs w:val="13"/>
                <w:b w:val="1"/>
                <w:bCs w:val="1"/>
                <w:color w:val="auto"/>
              </w:rPr>
              <w:t>Gross Unrealized</w:t>
            </w:r>
          </w:p>
        </w:tc>
        <w:tc>
          <w:tcPr>
            <w:tcW w:w="100" w:type="dxa"/>
            <w:vAlign w:val="bottom"/>
          </w:tcPr>
          <w:p>
            <w:pPr>
              <w:spacing w:after="0"/>
              <w:rPr>
                <w:sz w:val="20"/>
                <w:szCs w:val="2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5"/>
          </w:tcPr>
          <w:p>
            <w:pPr>
              <w:ind w:left="140"/>
              <w:spacing w:after="0"/>
              <w:rPr>
                <w:sz w:val="20"/>
                <w:szCs w:val="20"/>
                <w:color w:val="auto"/>
              </w:rPr>
            </w:pPr>
            <w:r>
              <w:rPr>
                <w:rFonts w:ascii="Arial" w:cs="Arial" w:eastAsia="Arial" w:hAnsi="Arial"/>
                <w:sz w:val="13"/>
                <w:szCs w:val="13"/>
                <w:b w:val="1"/>
                <w:bCs w:val="1"/>
                <w:color w:val="auto"/>
              </w:rPr>
              <w:t>Gross Unrealized</w:t>
            </w:r>
          </w:p>
        </w:tc>
        <w:tc>
          <w:tcPr>
            <w:tcW w:w="100" w:type="dxa"/>
            <w:vAlign w:val="bottom"/>
          </w:tcPr>
          <w:p>
            <w:pPr>
              <w:spacing w:after="0"/>
              <w:rPr>
                <w:sz w:val="20"/>
                <w:szCs w:val="20"/>
                <w:color w:val="auto"/>
              </w:rPr>
            </w:pPr>
          </w:p>
        </w:tc>
        <w:tc>
          <w:tcPr>
            <w:tcW w:w="660" w:type="dxa"/>
            <w:vAlign w:val="bottom"/>
          </w:tcPr>
          <w:p>
            <w:pPr>
              <w:jc w:val="center"/>
              <w:ind w:right="50"/>
              <w:spacing w:after="0"/>
              <w:rPr>
                <w:sz w:val="20"/>
                <w:szCs w:val="20"/>
                <w:color w:val="auto"/>
              </w:rPr>
            </w:pPr>
            <w:r>
              <w:rPr>
                <w:rFonts w:ascii="Arial" w:cs="Arial" w:eastAsia="Arial" w:hAnsi="Arial"/>
                <w:sz w:val="13"/>
                <w:szCs w:val="13"/>
                <w:b w:val="1"/>
                <w:bCs w:val="1"/>
                <w:color w:val="auto"/>
                <w:w w:val="86"/>
              </w:rPr>
              <w:t>Estimated</w:t>
            </w:r>
          </w:p>
        </w:tc>
        <w:tc>
          <w:tcPr>
            <w:tcW w:w="0" w:type="dxa"/>
            <w:vAlign w:val="bottom"/>
          </w:tcPr>
          <w:p>
            <w:pPr>
              <w:spacing w:after="0"/>
              <w:rPr>
                <w:sz w:val="1"/>
                <w:szCs w:val="1"/>
                <w:color w:val="auto"/>
              </w:rPr>
            </w:pPr>
          </w:p>
        </w:tc>
      </w:tr>
      <w:tr>
        <w:trPr>
          <w:trHeight w:val="32"/>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1040" w:type="dxa"/>
            <w:vAlign w:val="bottom"/>
            <w:gridSpan w:val="3"/>
            <w:vMerge w:val="restart"/>
          </w:tcPr>
          <w:p>
            <w:pPr>
              <w:ind w:left="100"/>
              <w:spacing w:after="0" w:line="135" w:lineRule="exact"/>
              <w:rPr>
                <w:sz w:val="20"/>
                <w:szCs w:val="20"/>
                <w:color w:val="auto"/>
              </w:rPr>
            </w:pPr>
            <w:r>
              <w:rPr>
                <w:rFonts w:ascii="Arial" w:cs="Arial" w:eastAsia="Arial" w:hAnsi="Arial"/>
                <w:sz w:val="13"/>
                <w:szCs w:val="13"/>
                <w:b w:val="1"/>
                <w:bCs w:val="1"/>
                <w:color w:val="auto"/>
              </w:rPr>
              <w:t>Allowance for</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2"/>
                <w:szCs w:val="2"/>
                <w:color w:val="auto"/>
              </w:rPr>
            </w:pPr>
          </w:p>
        </w:tc>
        <w:tc>
          <w:tcPr>
            <w:tcW w:w="86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Amortized</w:t>
            </w:r>
          </w:p>
        </w:tc>
        <w:tc>
          <w:tcPr>
            <w:tcW w:w="1000" w:type="dxa"/>
            <w:vAlign w:val="bottom"/>
            <w:gridSpan w:val="3"/>
            <w:vMerge w:val="restart"/>
          </w:tcPr>
          <w:p>
            <w:pPr>
              <w:ind w:left="60"/>
              <w:spacing w:after="0" w:line="135" w:lineRule="exact"/>
              <w:rPr>
                <w:sz w:val="20"/>
                <w:szCs w:val="20"/>
                <w:color w:val="auto"/>
              </w:rPr>
            </w:pPr>
            <w:r>
              <w:rPr>
                <w:rFonts w:ascii="Arial" w:cs="Arial" w:eastAsia="Arial" w:hAnsi="Arial"/>
                <w:sz w:val="13"/>
                <w:szCs w:val="13"/>
                <w:b w:val="1"/>
                <w:bCs w:val="1"/>
                <w:color w:val="auto"/>
              </w:rPr>
              <w:t>Allowance for</w:t>
            </w: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vMerge w:val="restart"/>
          </w:tcPr>
          <w:p>
            <w:pPr>
              <w:jc w:val="center"/>
              <w:ind w:right="30"/>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83"/>
        </w:trPr>
        <w:tc>
          <w:tcPr>
            <w:tcW w:w="2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9"/>
              </w:rPr>
              <w:t>Cost</w:t>
            </w:r>
          </w:p>
        </w:tc>
        <w:tc>
          <w:tcPr>
            <w:tcW w:w="104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Credit Losses</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Gains</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Losses</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2"/>
              </w:rPr>
              <w:t>Cost</w:t>
            </w:r>
          </w:p>
        </w:tc>
        <w:tc>
          <w:tcPr>
            <w:tcW w:w="100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Credit Losses</w:t>
            </w: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Gains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Losses</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249"/>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gridSpan w:val="5"/>
          </w:tcPr>
          <w:p>
            <w:pPr>
              <w:ind w:left="300"/>
              <w:spacing w:after="0"/>
              <w:rPr>
                <w:sz w:val="20"/>
                <w:szCs w:val="20"/>
                <w:color w:val="auto"/>
              </w:rPr>
            </w:pPr>
            <w:r>
              <w:rPr>
                <w:rFonts w:ascii="Arial" w:cs="Arial" w:eastAsia="Arial" w:hAnsi="Arial"/>
                <w:sz w:val="13"/>
                <w:szCs w:val="13"/>
                <w:b w:val="1"/>
                <w:bCs w:val="1"/>
                <w:color w:val="auto"/>
              </w:rPr>
              <w:t>(In millions)</w:t>
            </w: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corporate</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29,146</w:t>
            </w:r>
          </w:p>
        </w:tc>
        <w:tc>
          <w:tcPr>
            <w:tcW w:w="12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13"/>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2,343</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811</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30,670</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28,375</w:t>
            </w:r>
          </w:p>
        </w:tc>
        <w:tc>
          <w:tcPr>
            <w:tcW w:w="10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93"/>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2,852</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31,160</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40"/>
              <w:spacing w:after="0"/>
              <w:rPr>
                <w:sz w:val="20"/>
                <w:szCs w:val="20"/>
                <w:color w:val="auto"/>
              </w:rPr>
            </w:pPr>
            <w:r>
              <w:rPr>
                <w:rFonts w:ascii="Arial" w:cs="Arial" w:eastAsia="Arial" w:hAnsi="Arial"/>
                <w:sz w:val="14"/>
                <w:szCs w:val="14"/>
                <w:color w:val="auto"/>
              </w:rPr>
              <w:t>Foreign corporate</w:t>
            </w:r>
          </w:p>
        </w:tc>
        <w:tc>
          <w:tcPr>
            <w:tcW w:w="12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9,335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4"/>
                <w:szCs w:val="14"/>
                <w:color w:val="auto"/>
              </w:rPr>
              <w:t>352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51"/>
              <w:spacing w:after="0"/>
              <w:rPr>
                <w:sz w:val="20"/>
                <w:szCs w:val="20"/>
                <w:color w:val="auto"/>
              </w:rPr>
            </w:pPr>
            <w:r>
              <w:rPr>
                <w:rFonts w:ascii="Arial" w:cs="Arial" w:eastAsia="Arial" w:hAnsi="Arial"/>
                <w:sz w:val="14"/>
                <w:szCs w:val="14"/>
                <w:color w:val="auto"/>
              </w:rPr>
              <w:t>9,244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9,177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vMerge w:val="restart"/>
          </w:tcPr>
          <w:p>
            <w:pPr>
              <w:jc w:val="right"/>
              <w:ind w:right="50"/>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9,844</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RMBS</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8,408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544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8,900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8,692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9,118</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40"/>
              <w:spacing w:after="0"/>
              <w:rPr>
                <w:sz w:val="20"/>
                <w:szCs w:val="20"/>
                <w:color w:val="auto"/>
              </w:rPr>
            </w:pPr>
            <w:r>
              <w:rPr>
                <w:rFonts w:ascii="Arial" w:cs="Arial" w:eastAsia="Arial" w:hAnsi="Arial"/>
                <w:sz w:val="14"/>
                <w:szCs w:val="14"/>
                <w:color w:val="auto"/>
              </w:rPr>
              <w:t>U.S. government and agency</w:t>
            </w:r>
          </w:p>
        </w:tc>
        <w:tc>
          <w:tcPr>
            <w:tcW w:w="12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5,669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4"/>
                <w:szCs w:val="14"/>
                <w:color w:val="auto"/>
              </w:rPr>
              <w:t>3,257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51"/>
              <w:spacing w:after="0"/>
              <w:rPr>
                <w:sz w:val="20"/>
                <w:szCs w:val="20"/>
                <w:color w:val="auto"/>
              </w:rPr>
            </w:pPr>
            <w:r>
              <w:rPr>
                <w:rFonts w:ascii="Arial" w:cs="Arial" w:eastAsia="Arial" w:hAnsi="Arial"/>
                <w:sz w:val="14"/>
                <w:szCs w:val="14"/>
                <w:color w:val="auto"/>
              </w:rPr>
              <w:t>8,926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5,529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vMerge w:val="restart"/>
          </w:tcPr>
          <w:p>
            <w:pPr>
              <w:jc w:val="right"/>
              <w:ind w:right="50"/>
              <w:spacing w:after="0"/>
              <w:rPr>
                <w:sz w:val="20"/>
                <w:szCs w:val="20"/>
                <w:color w:val="auto"/>
              </w:rPr>
            </w:pPr>
            <w:r>
              <w:rPr>
                <w:rFonts w:ascii="Arial" w:cs="Arial" w:eastAsia="Arial" w:hAnsi="Arial"/>
                <w:sz w:val="14"/>
                <w:szCs w:val="14"/>
                <w:color w:val="auto"/>
              </w:rPr>
              <w:t>1,869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7,396</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5,601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5,745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5,500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5,755</w:t>
            </w:r>
          </w:p>
        </w:tc>
        <w:tc>
          <w:tcPr>
            <w:tcW w:w="0" w:type="dxa"/>
            <w:vAlign w:val="bottom"/>
          </w:tcPr>
          <w:p>
            <w:pPr>
              <w:spacing w:after="0"/>
              <w:rPr>
                <w:sz w:val="1"/>
                <w:szCs w:val="1"/>
                <w:color w:val="auto"/>
              </w:rPr>
            </w:pPr>
          </w:p>
        </w:tc>
      </w:tr>
      <w:tr>
        <w:trPr>
          <w:trHeight w:val="80"/>
        </w:trPr>
        <w:tc>
          <w:tcPr>
            <w:tcW w:w="2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380" w:type="dxa"/>
            <w:vAlign w:val="bottom"/>
          </w:tcPr>
          <w:p>
            <w:pPr>
              <w:ind w:left="40"/>
              <w:spacing w:after="0"/>
              <w:rPr>
                <w:sz w:val="20"/>
                <w:szCs w:val="20"/>
                <w:color w:val="auto"/>
              </w:rPr>
            </w:pPr>
            <w:r>
              <w:rPr>
                <w:rFonts w:ascii="Arial" w:cs="Arial" w:eastAsia="Arial" w:hAnsi="Arial"/>
                <w:sz w:val="14"/>
                <w:szCs w:val="14"/>
                <w:color w:val="auto"/>
              </w:rPr>
              <w:t>State and political subdivision</w:t>
            </w:r>
          </w:p>
        </w:tc>
        <w:tc>
          <w:tcPr>
            <w:tcW w:w="12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3,401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4"/>
                <w:szCs w:val="14"/>
                <w:color w:val="auto"/>
              </w:rPr>
              <w:t>748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51"/>
              <w:spacing w:after="0"/>
              <w:rPr>
                <w:sz w:val="20"/>
                <w:szCs w:val="20"/>
                <w:color w:val="auto"/>
              </w:rPr>
            </w:pPr>
            <w:r>
              <w:rPr>
                <w:rFonts w:ascii="Arial" w:cs="Arial" w:eastAsia="Arial" w:hAnsi="Arial"/>
                <w:sz w:val="14"/>
                <w:szCs w:val="14"/>
                <w:color w:val="auto"/>
              </w:rPr>
              <w:t>4,143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3,358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vMerge w:val="restart"/>
          </w:tcPr>
          <w:p>
            <w:pPr>
              <w:jc w:val="right"/>
              <w:ind w:right="50"/>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4,057</w:t>
            </w:r>
          </w:p>
        </w:tc>
        <w:tc>
          <w:tcPr>
            <w:tcW w:w="0" w:type="dxa"/>
            <w:vAlign w:val="bottom"/>
          </w:tcPr>
          <w:p>
            <w:pPr>
              <w:spacing w:after="0"/>
              <w:rPr>
                <w:sz w:val="1"/>
                <w:szCs w:val="1"/>
                <w:color w:val="auto"/>
              </w:rPr>
            </w:pPr>
          </w:p>
        </w:tc>
      </w:tr>
      <w:tr>
        <w:trPr>
          <w:trHeight w:val="73"/>
        </w:trPr>
        <w:tc>
          <w:tcPr>
            <w:tcW w:w="2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ABS</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2,170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2,027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79"/>
        </w:trPr>
        <w:tc>
          <w:tcPr>
            <w:tcW w:w="2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80" w:type="dxa"/>
            <w:vAlign w:val="bottom"/>
          </w:tcPr>
          <w:p>
            <w:pPr>
              <w:ind w:left="40"/>
              <w:spacing w:after="0"/>
              <w:rPr>
                <w:sz w:val="20"/>
                <w:szCs w:val="20"/>
                <w:color w:val="auto"/>
              </w:rPr>
            </w:pPr>
            <w:r>
              <w:rPr>
                <w:rFonts w:ascii="Arial" w:cs="Arial" w:eastAsia="Arial" w:hAnsi="Arial"/>
                <w:sz w:val="14"/>
                <w:szCs w:val="14"/>
                <w:color w:val="auto"/>
              </w:rPr>
              <w:t>Foreign government</w:t>
            </w:r>
          </w:p>
        </w:tc>
        <w:tc>
          <w:tcPr>
            <w:tcW w:w="12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1,507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ind w:right="49"/>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51"/>
              <w:spacing w:after="0"/>
              <w:rPr>
                <w:sz w:val="20"/>
                <w:szCs w:val="20"/>
                <w:color w:val="auto"/>
              </w:rPr>
            </w:pPr>
            <w:r>
              <w:rPr>
                <w:rFonts w:ascii="Arial" w:cs="Arial" w:eastAsia="Arial" w:hAnsi="Arial"/>
                <w:sz w:val="14"/>
                <w:szCs w:val="14"/>
                <w:color w:val="auto"/>
              </w:rPr>
              <w:t>1,647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1,503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restart"/>
          </w:tcPr>
          <w:p>
            <w:pPr>
              <w:jc w:val="right"/>
              <w:ind w:right="50"/>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1,751</w:t>
            </w:r>
          </w:p>
        </w:tc>
        <w:tc>
          <w:tcPr>
            <w:tcW w:w="0" w:type="dxa"/>
            <w:vAlign w:val="bottom"/>
          </w:tcPr>
          <w:p>
            <w:pPr>
              <w:spacing w:after="0"/>
              <w:rPr>
                <w:sz w:val="1"/>
                <w:szCs w:val="1"/>
                <w:color w:val="auto"/>
              </w:rPr>
            </w:pPr>
          </w:p>
        </w:tc>
      </w:tr>
      <w:tr>
        <w:trPr>
          <w:trHeight w:val="73"/>
        </w:trPr>
        <w:tc>
          <w:tcPr>
            <w:tcW w:w="23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3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fixed maturity securities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65,237</w:t>
            </w:r>
          </w:p>
        </w:tc>
        <w:tc>
          <w:tcPr>
            <w:tcW w:w="120" w:type="dxa"/>
            <w:vAlign w:val="bottom"/>
            <w:shd w:val="clear" w:color="auto" w:fill="CCEEFF"/>
          </w:tcPr>
          <w:p>
            <w:pPr>
              <w:spacing w:after="0"/>
              <w:rPr>
                <w:sz w:val="15"/>
                <w:szCs w:val="15"/>
                <w:color w:val="auto"/>
              </w:rPr>
            </w:pPr>
          </w:p>
        </w:tc>
        <w:tc>
          <w:tcPr>
            <w:tcW w:w="380" w:type="dxa"/>
            <w:vAlign w:val="bottom"/>
            <w:vMerge w:val="restart"/>
            <w:shd w:val="clear" w:color="auto" w:fill="CCEEFF"/>
          </w:tcPr>
          <w:p>
            <w:pPr>
              <w:jc w:val="right"/>
              <w:ind w:right="213"/>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7,664</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1,589</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71,302</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64,079</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93"/>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7,136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71,036</w:t>
            </w:r>
          </w:p>
        </w:tc>
        <w:tc>
          <w:tcPr>
            <w:tcW w:w="0" w:type="dxa"/>
            <w:vAlign w:val="bottom"/>
          </w:tcPr>
          <w:p>
            <w:pPr>
              <w:spacing w:after="0"/>
              <w:rPr>
                <w:sz w:val="1"/>
                <w:szCs w:val="1"/>
                <w:color w:val="auto"/>
              </w:rPr>
            </w:pPr>
          </w:p>
        </w:tc>
      </w:tr>
      <w:tr>
        <w:trPr>
          <w:trHeight w:val="60"/>
        </w:trPr>
        <w:tc>
          <w:tcPr>
            <w:tcW w:w="238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64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Company held non-income producing fixed maturity securities with an estimated fair value of $1 million at March 31, 2020. The Company did not hold any non-income producing fixed maturity securities at December 31, 2019.</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Maturities of Fixed Maturity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amortized cost and estimated fair value of fixed maturity securities, by contractual maturity date, were as follows at March 31, 2020: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Due in One</w:t>
            </w:r>
          </w:p>
        </w:tc>
        <w:tc>
          <w:tcPr>
            <w:tcW w:w="280" w:type="dxa"/>
            <w:vAlign w:val="bottom"/>
          </w:tcPr>
          <w:p>
            <w:pPr>
              <w:spacing w:after="0"/>
              <w:rPr>
                <w:sz w:val="14"/>
                <w:szCs w:val="14"/>
                <w:color w:val="auto"/>
              </w:rPr>
            </w:pPr>
          </w:p>
        </w:tc>
        <w:tc>
          <w:tcPr>
            <w:tcW w:w="1220" w:type="dxa"/>
            <w:vAlign w:val="bottom"/>
          </w:tcPr>
          <w:p>
            <w:pPr>
              <w:jc w:val="center"/>
              <w:ind w:right="124"/>
              <w:spacing w:after="0"/>
              <w:rPr>
                <w:sz w:val="20"/>
                <w:szCs w:val="20"/>
                <w:color w:val="auto"/>
              </w:rPr>
            </w:pPr>
            <w:r>
              <w:rPr>
                <w:rFonts w:ascii="Arial" w:cs="Arial" w:eastAsia="Arial" w:hAnsi="Arial"/>
                <w:sz w:val="14"/>
                <w:szCs w:val="14"/>
                <w:b w:val="1"/>
                <w:bCs w:val="1"/>
                <w:color w:val="auto"/>
                <w:w w:val="95"/>
              </w:rPr>
              <w:t>Due After One</w:t>
            </w:r>
          </w:p>
        </w:tc>
        <w:tc>
          <w:tcPr>
            <w:tcW w:w="260" w:type="dxa"/>
            <w:vAlign w:val="bottom"/>
          </w:tcPr>
          <w:p>
            <w:pPr>
              <w:spacing w:after="0"/>
              <w:rPr>
                <w:sz w:val="14"/>
                <w:szCs w:val="14"/>
                <w:color w:val="auto"/>
              </w:rPr>
            </w:pPr>
          </w:p>
        </w:tc>
        <w:tc>
          <w:tcPr>
            <w:tcW w:w="1200" w:type="dxa"/>
            <w:vAlign w:val="bottom"/>
          </w:tcPr>
          <w:p>
            <w:pPr>
              <w:jc w:val="center"/>
              <w:ind w:right="124"/>
              <w:spacing w:after="0"/>
              <w:rPr>
                <w:sz w:val="20"/>
                <w:szCs w:val="20"/>
                <w:color w:val="auto"/>
              </w:rPr>
            </w:pPr>
            <w:r>
              <w:rPr>
                <w:rFonts w:ascii="Arial" w:cs="Arial" w:eastAsia="Arial" w:hAnsi="Arial"/>
                <w:sz w:val="14"/>
                <w:szCs w:val="14"/>
                <w:b w:val="1"/>
                <w:bCs w:val="1"/>
                <w:color w:val="auto"/>
                <w:w w:val="96"/>
              </w:rPr>
              <w:t>Due After Five</w:t>
            </w:r>
          </w:p>
        </w:tc>
        <w:tc>
          <w:tcPr>
            <w:tcW w:w="220" w:type="dxa"/>
            <w:vAlign w:val="bottom"/>
          </w:tcPr>
          <w:p>
            <w:pPr>
              <w:spacing w:after="0"/>
              <w:rPr>
                <w:sz w:val="14"/>
                <w:szCs w:val="14"/>
                <w:color w:val="auto"/>
              </w:rPr>
            </w:pPr>
          </w:p>
        </w:tc>
        <w:tc>
          <w:tcPr>
            <w:tcW w:w="108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5"/>
              </w:rPr>
              <w:t>Due After Ten</w:t>
            </w:r>
          </w:p>
        </w:tc>
        <w:tc>
          <w:tcPr>
            <w:tcW w:w="280" w:type="dxa"/>
            <w:vAlign w:val="bottom"/>
          </w:tcPr>
          <w:p>
            <w:pPr>
              <w:spacing w:after="0"/>
              <w:rPr>
                <w:sz w:val="14"/>
                <w:szCs w:val="14"/>
                <w:color w:val="auto"/>
              </w:rPr>
            </w:pPr>
          </w:p>
        </w:tc>
        <w:tc>
          <w:tcPr>
            <w:tcW w:w="116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Structured</w:t>
            </w:r>
          </w:p>
        </w:tc>
        <w:tc>
          <w:tcPr>
            <w:tcW w:w="320" w:type="dxa"/>
            <w:vAlign w:val="bottom"/>
          </w:tcPr>
          <w:p>
            <w:pPr>
              <w:spacing w:after="0"/>
              <w:rPr>
                <w:sz w:val="14"/>
                <w:szCs w:val="14"/>
                <w:color w:val="auto"/>
              </w:rPr>
            </w:pPr>
          </w:p>
        </w:tc>
        <w:tc>
          <w:tcPr>
            <w:tcW w:w="1120" w:type="dxa"/>
            <w:vAlign w:val="bottom"/>
          </w:tcPr>
          <w:p>
            <w:pPr>
              <w:jc w:val="center"/>
              <w:ind w:right="144"/>
              <w:spacing w:after="0"/>
              <w:rPr>
                <w:sz w:val="20"/>
                <w:szCs w:val="20"/>
                <w:color w:val="auto"/>
              </w:rPr>
            </w:pPr>
            <w:r>
              <w:rPr>
                <w:rFonts w:ascii="Arial" w:cs="Arial" w:eastAsia="Arial" w:hAnsi="Arial"/>
                <w:sz w:val="14"/>
                <w:szCs w:val="14"/>
                <w:b w:val="1"/>
                <w:bCs w:val="1"/>
                <w:color w:val="auto"/>
                <w:w w:val="94"/>
              </w:rPr>
              <w:t>Total Fixed</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4"/>
              </w:rPr>
              <w:t>Year Through</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Years Through Ten</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2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w w:val="99"/>
              </w:rPr>
              <w:t>Year or Less</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Five Years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4"/>
              </w:rPr>
              <w:t>Years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w w:val="97"/>
              </w:rPr>
              <w:t>Securities (1)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00" w:type="dxa"/>
            <w:vAlign w:val="bottom"/>
            <w:gridSpan w:val="3"/>
          </w:tcPr>
          <w:p>
            <w:pPr>
              <w:jc w:val="right"/>
              <w:ind w:right="924"/>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1,960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7,149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12,984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26,965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16,179</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65,237</w:t>
            </w:r>
          </w:p>
        </w:tc>
        <w:tc>
          <w:tcPr>
            <w:tcW w:w="0" w:type="dxa"/>
            <w:vAlign w:val="bottom"/>
          </w:tcPr>
          <w:p>
            <w:pPr>
              <w:spacing w:after="0"/>
              <w:rPr>
                <w:sz w:val="1"/>
                <w:szCs w:val="1"/>
                <w:color w:val="auto"/>
              </w:rPr>
            </w:pPr>
          </w:p>
        </w:tc>
      </w:tr>
      <w:tr>
        <w:trPr>
          <w:trHeight w:val="237"/>
        </w:trPr>
        <w:tc>
          <w:tcPr>
            <w:tcW w:w="2700" w:type="dxa"/>
            <w:vAlign w:val="bottom"/>
          </w:tcPr>
          <w:p>
            <w:pPr>
              <w:ind w:left="40"/>
              <w:spacing w:after="0"/>
              <w:rPr>
                <w:sz w:val="20"/>
                <w:szCs w:val="20"/>
                <w:color w:val="auto"/>
              </w:rPr>
            </w:pPr>
            <w:r>
              <w:rPr>
                <w:rFonts w:ascii="Arial" w:cs="Arial" w:eastAsia="Arial" w:hAnsi="Arial"/>
                <w:sz w:val="16"/>
                <w:szCs w:val="16"/>
                <w:color w:val="auto"/>
              </w:rPr>
              <w:t>Estimated fair value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4"/>
              <w:spacing w:after="0"/>
              <w:rPr>
                <w:sz w:val="20"/>
                <w:szCs w:val="20"/>
                <w:color w:val="auto"/>
              </w:rPr>
            </w:pPr>
            <w:r>
              <w:rPr>
                <w:rFonts w:ascii="Arial" w:cs="Arial" w:eastAsia="Arial" w:hAnsi="Arial"/>
                <w:sz w:val="16"/>
                <w:szCs w:val="16"/>
                <w:color w:val="auto"/>
              </w:rPr>
              <w:t>1,950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64"/>
              <w:spacing w:after="0"/>
              <w:rPr>
                <w:sz w:val="20"/>
                <w:szCs w:val="20"/>
                <w:color w:val="auto"/>
              </w:rPr>
            </w:pPr>
            <w:r>
              <w:rPr>
                <w:rFonts w:ascii="Arial" w:cs="Arial" w:eastAsia="Arial" w:hAnsi="Arial"/>
                <w:sz w:val="16"/>
                <w:szCs w:val="16"/>
                <w:color w:val="auto"/>
              </w:rPr>
              <w:t>7,100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4"/>
              <w:spacing w:after="0"/>
              <w:rPr>
                <w:sz w:val="20"/>
                <w:szCs w:val="20"/>
                <w:color w:val="auto"/>
              </w:rPr>
            </w:pPr>
            <w:r>
              <w:rPr>
                <w:rFonts w:ascii="Arial" w:cs="Arial" w:eastAsia="Arial" w:hAnsi="Arial"/>
                <w:sz w:val="16"/>
                <w:szCs w:val="16"/>
                <w:color w:val="auto"/>
              </w:rPr>
              <w:t>13,122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4"/>
              <w:spacing w:after="0"/>
              <w:rPr>
                <w:sz w:val="20"/>
                <w:szCs w:val="20"/>
                <w:color w:val="auto"/>
              </w:rPr>
            </w:pPr>
            <w:r>
              <w:rPr>
                <w:rFonts w:ascii="Arial" w:cs="Arial" w:eastAsia="Arial" w:hAnsi="Arial"/>
                <w:sz w:val="16"/>
                <w:szCs w:val="16"/>
                <w:color w:val="auto"/>
              </w:rPr>
              <w:t>32,458</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16,672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71,302</w:t>
            </w:r>
          </w:p>
        </w:tc>
        <w:tc>
          <w:tcPr>
            <w:tcW w:w="0" w:type="dxa"/>
            <w:vAlign w:val="bottom"/>
          </w:tcPr>
          <w:p>
            <w:pPr>
              <w:spacing w:after="0"/>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ind w:left="340" w:hanging="332"/>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Structured securities include residential mortgage-backed securities (“RMBS”), commercial mortgage-backed securities (“CMBS”) and asset-backed securities (“ABS”) (collectively, “Structured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288" w:right="3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37"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Continuous Gross Unrealized Losses for Fixed Maturity Securities by Sector</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estimated fair value and gross unrealized losses of fixed maturity securities in an unrealized loss position, by sector and by length of time that the securities have been in a continuous unrealized loss position, were as follows at:</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3"/>
                <w:szCs w:val="13"/>
                <w:b w:val="1"/>
                <w:bCs w:val="1"/>
                <w:color w:val="auto"/>
              </w:rPr>
              <w:t>March 31, 2020</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3"/>
                <w:szCs w:val="13"/>
                <w:b w:val="1"/>
                <w:bCs w:val="1"/>
                <w:color w:val="auto"/>
              </w:rPr>
              <w:t>December 31, 2019</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3"/>
                <w:szCs w:val="13"/>
                <w:b w:val="1"/>
                <w:bCs w:val="1"/>
                <w:color w:val="auto"/>
              </w:rPr>
              <w:t>Less than 12 Months</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3"/>
                <w:szCs w:val="13"/>
                <w:b w:val="1"/>
                <w:bCs w:val="1"/>
                <w:color w:val="auto"/>
              </w:rPr>
              <w:t>12 Months or Greater</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3"/>
                <w:szCs w:val="13"/>
                <w:b w:val="1"/>
                <w:bCs w:val="1"/>
                <w:color w:val="auto"/>
              </w:rPr>
              <w:t>Less than 12 Months</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3"/>
                <w:szCs w:val="13"/>
                <w:b w:val="1"/>
                <w:bCs w:val="1"/>
                <w:color w:val="auto"/>
              </w:rPr>
              <w:t>12 Months or Greater</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91"/>
              <w:spacing w:after="0" w:line="144" w:lineRule="exact"/>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2"/>
                <w:szCs w:val="12"/>
                <w:color w:val="auto"/>
              </w:rPr>
            </w:pPr>
          </w:p>
        </w:tc>
        <w:tc>
          <w:tcPr>
            <w:tcW w:w="840" w:type="dxa"/>
            <w:vAlign w:val="bottom"/>
          </w:tcPr>
          <w:p>
            <w:pPr>
              <w:jc w:val="center"/>
              <w:ind w:right="111"/>
              <w:spacing w:after="0" w:line="144" w:lineRule="exact"/>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79"/>
              </w:rPr>
              <w:t>Gross</w:t>
            </w:r>
          </w:p>
        </w:tc>
        <w:tc>
          <w:tcPr>
            <w:tcW w:w="120" w:type="dxa"/>
            <w:vAlign w:val="bottom"/>
          </w:tcPr>
          <w:p>
            <w:pPr>
              <w:spacing w:after="0"/>
              <w:rPr>
                <w:sz w:val="12"/>
                <w:szCs w:val="12"/>
                <w:color w:val="auto"/>
              </w:rPr>
            </w:pPr>
          </w:p>
        </w:tc>
        <w:tc>
          <w:tcPr>
            <w:tcW w:w="760" w:type="dxa"/>
            <w:vAlign w:val="bottom"/>
          </w:tcPr>
          <w:p>
            <w:pPr>
              <w:jc w:val="center"/>
              <w:ind w:right="71"/>
              <w:spacing w:after="0" w:line="144" w:lineRule="exact"/>
              <w:rPr>
                <w:sz w:val="20"/>
                <w:szCs w:val="20"/>
                <w:color w:val="auto"/>
              </w:rPr>
            </w:pPr>
            <w:r>
              <w:rPr>
                <w:rFonts w:ascii="Arial" w:cs="Arial" w:eastAsia="Arial" w:hAnsi="Arial"/>
                <w:sz w:val="13"/>
                <w:szCs w:val="13"/>
                <w:b w:val="1"/>
                <w:bCs w:val="1"/>
                <w:color w:val="auto"/>
                <w:w w:val="86"/>
              </w:rPr>
              <w:t>Estimated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79"/>
              </w:rPr>
              <w:t>Gross</w:t>
            </w:r>
          </w:p>
        </w:tc>
        <w:tc>
          <w:tcPr>
            <w:tcW w:w="160" w:type="dxa"/>
            <w:vAlign w:val="bottom"/>
          </w:tcPr>
          <w:p>
            <w:pPr>
              <w:spacing w:after="0"/>
              <w:rPr>
                <w:sz w:val="12"/>
                <w:szCs w:val="12"/>
                <w:color w:val="auto"/>
              </w:rPr>
            </w:pPr>
          </w:p>
        </w:tc>
        <w:tc>
          <w:tcPr>
            <w:tcW w:w="820" w:type="dxa"/>
            <w:vAlign w:val="bottom"/>
          </w:tcPr>
          <w:p>
            <w:pPr>
              <w:jc w:val="center"/>
              <w:ind w:right="91"/>
              <w:spacing w:after="0" w:line="144" w:lineRule="exact"/>
              <w:rPr>
                <w:sz w:val="20"/>
                <w:szCs w:val="20"/>
                <w:color w:val="auto"/>
              </w:rPr>
            </w:pPr>
            <w:r>
              <w:rPr>
                <w:rFonts w:ascii="Arial" w:cs="Arial" w:eastAsia="Arial" w:hAnsi="Arial"/>
                <w:sz w:val="13"/>
                <w:szCs w:val="13"/>
                <w:b w:val="1"/>
                <w:bCs w:val="1"/>
                <w:color w:val="auto"/>
                <w:w w:val="86"/>
              </w:rPr>
              <w:t>Estimated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90"/>
              <w:spacing w:after="0" w:line="144" w:lineRule="exact"/>
              <w:rPr>
                <w:sz w:val="20"/>
                <w:szCs w:val="20"/>
                <w:color w:val="auto"/>
              </w:rPr>
            </w:pPr>
            <w:r>
              <w:rPr>
                <w:rFonts w:ascii="Arial" w:cs="Arial" w:eastAsia="Arial" w:hAnsi="Arial"/>
                <w:sz w:val="13"/>
                <w:szCs w:val="13"/>
                <w:b w:val="1"/>
                <w:bCs w:val="1"/>
                <w:color w:val="auto"/>
                <w:w w:val="85"/>
              </w:rPr>
              <w:t>Gross</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80" w:type="dxa"/>
            <w:vAlign w:val="bottom"/>
          </w:tcPr>
          <w:p>
            <w:pPr>
              <w:spacing w:after="0"/>
              <w:rPr>
                <w:sz w:val="11"/>
                <w:szCs w:val="11"/>
                <w:color w:val="auto"/>
              </w:rPr>
            </w:pPr>
          </w:p>
        </w:tc>
        <w:tc>
          <w:tcPr>
            <w:tcW w:w="84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760" w:type="dxa"/>
            <w:vAlign w:val="bottom"/>
          </w:tcPr>
          <w:p>
            <w:pPr>
              <w:jc w:val="center"/>
              <w:ind w:right="71"/>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tcPr>
          <w:p>
            <w:pPr>
              <w:spacing w:after="0"/>
              <w:rPr>
                <w:sz w:val="11"/>
                <w:szCs w:val="11"/>
                <w:color w:val="auto"/>
              </w:rPr>
            </w:pPr>
          </w:p>
        </w:tc>
        <w:tc>
          <w:tcPr>
            <w:tcW w:w="82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91"/>
              </w:rPr>
              <w:t>Unrealized</w:t>
            </w:r>
          </w:p>
        </w:tc>
        <w:tc>
          <w:tcPr>
            <w:tcW w:w="0" w:type="dxa"/>
            <w:vAlign w:val="bottom"/>
          </w:tcPr>
          <w:p>
            <w:pPr>
              <w:spacing w:after="0"/>
              <w:rPr>
                <w:sz w:val="1"/>
                <w:szCs w:val="1"/>
                <w:color w:val="auto"/>
              </w:rPr>
            </w:pPr>
          </w:p>
        </w:tc>
      </w:tr>
      <w:tr>
        <w:trPr>
          <w:trHeight w:val="174"/>
        </w:trPr>
        <w:tc>
          <w:tcPr>
            <w:tcW w:w="2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75"/>
              </w:rPr>
              <w:t>Losses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75"/>
              </w:rPr>
              <w:t>Losses</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75"/>
              </w:rPr>
              <w:t>Losses</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0"/>
              </w:rPr>
              <w:t>Losses</w:t>
            </w:r>
          </w:p>
        </w:tc>
        <w:tc>
          <w:tcPr>
            <w:tcW w:w="0" w:type="dxa"/>
            <w:vAlign w:val="bottom"/>
          </w:tcPr>
          <w:p>
            <w:pPr>
              <w:spacing w:after="0"/>
              <w:rPr>
                <w:sz w:val="1"/>
                <w:szCs w:val="1"/>
                <w:color w:val="auto"/>
              </w:rPr>
            </w:pPr>
          </w:p>
        </w:tc>
      </w:tr>
      <w:tr>
        <w:trPr>
          <w:trHeight w:val="248"/>
        </w:trPr>
        <w:tc>
          <w:tcPr>
            <w:tcW w:w="2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4"/>
          </w:tcPr>
          <w:p>
            <w:pPr>
              <w:jc w:val="right"/>
              <w:ind w:right="411"/>
              <w:spacing w:after="0"/>
              <w:rPr>
                <w:sz w:val="20"/>
                <w:szCs w:val="20"/>
                <w:color w:val="auto"/>
              </w:rPr>
            </w:pPr>
            <w:r>
              <w:rPr>
                <w:rFonts w:ascii="Arial" w:cs="Arial" w:eastAsia="Arial" w:hAnsi="Arial"/>
                <w:sz w:val="13"/>
                <w:szCs w:val="13"/>
                <w:b w:val="1"/>
                <w:bCs w:val="1"/>
                <w:color w:val="auto"/>
              </w:rPr>
              <w:t>(Dollars in millions)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8,683</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756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277</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2,017</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326</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80"/>
        </w:trPr>
        <w:tc>
          <w:tcPr>
            <w:tcW w:w="25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80" w:type="dxa"/>
            <w:vAlign w:val="bottom"/>
            <w:gridSpan w:val="2"/>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8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60" w:type="dxa"/>
            <w:vAlign w:val="bottom"/>
            <w:gridSpan w:val="2"/>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260" w:type="dxa"/>
            <w:vAlign w:val="bottom"/>
            <w:gridSpan w:val="2"/>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58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3,756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color w:val="auto"/>
              </w:rPr>
              <w:t>550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4"/>
                <w:szCs w:val="14"/>
                <w:color w:val="auto"/>
              </w:rPr>
              <w:t>576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561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73"/>
        </w:trPr>
        <w:tc>
          <w:tcPr>
            <w:tcW w:w="2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RMBS</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992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857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0"/>
        </w:trPr>
        <w:tc>
          <w:tcPr>
            <w:tcW w:w="25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580" w:type="dxa"/>
            <w:vAlign w:val="bottom"/>
          </w:tcPr>
          <w:p>
            <w:pPr>
              <w:ind w:left="20"/>
              <w:spacing w:after="0"/>
              <w:rPr>
                <w:sz w:val="20"/>
                <w:szCs w:val="20"/>
                <w:color w:val="auto"/>
              </w:rPr>
            </w:pPr>
            <w:r>
              <w:rPr>
                <w:rFonts w:ascii="Arial" w:cs="Arial" w:eastAsia="Arial" w:hAnsi="Arial"/>
                <w:sz w:val="14"/>
                <w:szCs w:val="14"/>
                <w:color w:val="auto"/>
              </w:rPr>
              <w:t>U.S. government and agency</w:t>
            </w: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2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1,560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25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58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2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ABS</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1,197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522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80"/>
        </w:trPr>
        <w:tc>
          <w:tcPr>
            <w:tcW w:w="25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8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140" w:type="dxa"/>
            <w:vAlign w:val="bottom"/>
          </w:tcPr>
          <w:p>
            <w:pPr>
              <w:spacing w:after="0"/>
              <w:rPr>
                <w:sz w:val="16"/>
                <w:szCs w:val="16"/>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25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16,890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1,515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4,619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2,128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ind w:left="180"/>
              <w:spacing w:after="0" w:line="156" w:lineRule="exact"/>
              <w:rPr>
                <w:sz w:val="20"/>
                <w:szCs w:val="20"/>
                <w:color w:val="auto"/>
              </w:rPr>
            </w:pPr>
            <w:r>
              <w:rPr>
                <w:rFonts w:ascii="Arial" w:cs="Arial" w:eastAsia="Arial" w:hAnsi="Arial"/>
                <w:sz w:val="14"/>
                <w:szCs w:val="14"/>
                <w:color w:val="auto"/>
              </w:rPr>
              <w:t>Total number of securities in an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5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color w:val="auto"/>
              </w:rPr>
              <w:t>2,896</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vMerge w:val="restart"/>
          </w:tcPr>
          <w:p>
            <w:pPr>
              <w:jc w:val="right"/>
              <w:ind w:right="51"/>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51"/>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31"/>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80" w:type="dxa"/>
            <w:vAlign w:val="bottom"/>
          </w:tcPr>
          <w:p>
            <w:pPr>
              <w:ind w:left="340"/>
              <w:spacing w:after="0"/>
              <w:rPr>
                <w:sz w:val="20"/>
                <w:szCs w:val="20"/>
                <w:color w:val="auto"/>
              </w:rPr>
            </w:pPr>
            <w:r>
              <w:rPr>
                <w:rFonts w:ascii="Arial" w:cs="Arial" w:eastAsia="Arial" w:hAnsi="Arial"/>
                <w:sz w:val="14"/>
                <w:szCs w:val="14"/>
                <w:color w:val="auto"/>
              </w:rPr>
              <w:t>unrealized loss position</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Allowance for Credit Losses for Fixed Maturity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7" w:lineRule="exact"/>
        <w:rPr>
          <w:sz w:val="20"/>
          <w:szCs w:val="20"/>
          <w:color w:val="auto"/>
        </w:rPr>
      </w:pPr>
    </w:p>
    <w:p>
      <w:pPr>
        <w:jc w:val="both"/>
        <w:ind w:left="340" w:firstLine="324"/>
        <w:spacing w:after="0" w:line="268" w:lineRule="auto"/>
        <w:rPr>
          <w:sz w:val="20"/>
          <w:szCs w:val="20"/>
          <w:color w:val="auto"/>
        </w:rPr>
      </w:pPr>
      <w:r>
        <w:rPr>
          <w:rFonts w:ascii="Arial" w:cs="Arial" w:eastAsia="Arial" w:hAnsi="Arial"/>
          <w:sz w:val="17"/>
          <w:szCs w:val="17"/>
          <w:color w:val="auto"/>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other comprehensive income (loss) (“OCI”).</w:t>
      </w:r>
    </w:p>
    <w:p>
      <w:pPr>
        <w:spacing w:after="0" w:line="76"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76" w:lineRule="exact"/>
        <w:rPr>
          <w:sz w:val="20"/>
          <w:szCs w:val="20"/>
          <w:color w:val="auto"/>
        </w:rPr>
      </w:pPr>
    </w:p>
    <w:p>
      <w:pPr>
        <w:jc w:val="both"/>
        <w:ind w:left="340" w:right="20" w:firstLine="324"/>
        <w:spacing w:after="0" w:line="263" w:lineRule="auto"/>
        <w:rPr>
          <w:sz w:val="20"/>
          <w:szCs w:val="20"/>
          <w:color w:val="auto"/>
        </w:rPr>
      </w:pPr>
      <w:r>
        <w:rPr>
          <w:rFonts w:ascii="Arial" w:cs="Arial" w:eastAsia="Arial" w:hAnsi="Arial"/>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34" w:right="3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3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$528 million at March 31, 2020 and is included in accrued investment income.</w:t>
      </w:r>
    </w:p>
    <w:p>
      <w:pPr>
        <w:spacing w:after="0" w:line="79" w:lineRule="exact"/>
        <w:rPr>
          <w:sz w:val="20"/>
          <w:szCs w:val="20"/>
          <w:color w:val="auto"/>
        </w:rPr>
      </w:pPr>
    </w:p>
    <w:p>
      <w:pPr>
        <w:jc w:val="both"/>
        <w:ind w:left="340" w:firstLine="324"/>
        <w:spacing w:after="0" w:line="290" w:lineRule="auto"/>
        <w:rPr>
          <w:sz w:val="20"/>
          <w:szCs w:val="20"/>
          <w:color w:val="auto"/>
        </w:rPr>
      </w:pPr>
      <w:r>
        <w:rPr>
          <w:rFonts w:ascii="Arial" w:cs="Arial" w:eastAsia="Arial" w:hAnsi="Arial"/>
          <w:sz w:val="16"/>
          <w:szCs w:val="16"/>
          <w:color w:val="auto"/>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Current Period Evaluation</w:t>
      </w:r>
    </w:p>
    <w:p>
      <w:pPr>
        <w:spacing w:after="0" w:line="117"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Based on the Company’s current evaluation of its fixed maturity securities in an unrealized loss position and the current intent or requirement to sell, the Company recorded an allowance for credit losses of $10 million, relating to 21 securities at March 31, 2020.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Rollforward of the Allowance for Credit Losses for Fixed Maturity Securities by Sector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allowance for credit losses by sector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U.S. Corporate</w:t>
            </w: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Foreign Corporate</w:t>
            </w: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Foreign</w:t>
            </w:r>
          </w:p>
        </w:tc>
        <w:tc>
          <w:tcPr>
            <w:tcW w:w="280" w:type="dxa"/>
            <w:vAlign w:val="bottom"/>
          </w:tcPr>
          <w:p>
            <w:pPr>
              <w:spacing w:after="0"/>
              <w:rPr>
                <w:sz w:val="14"/>
                <w:szCs w:val="14"/>
                <w:color w:val="auto"/>
              </w:rPr>
            </w:pPr>
          </w:p>
        </w:tc>
        <w:tc>
          <w:tcPr>
            <w:tcW w:w="9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Government</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18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January 1, 2020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0"/>
        </w:trPr>
        <w:tc>
          <w:tcPr>
            <w:tcW w:w="598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980" w:type="dxa"/>
            <w:vAlign w:val="bottom"/>
          </w:tcPr>
          <w:p>
            <w:pPr>
              <w:ind w:left="40"/>
              <w:spacing w:after="0"/>
              <w:rPr>
                <w:sz w:val="20"/>
                <w:szCs w:val="20"/>
                <w:color w:val="auto"/>
              </w:rPr>
            </w:pPr>
            <w:r>
              <w:rPr>
                <w:rFonts w:ascii="Arial" w:cs="Arial" w:eastAsia="Arial" w:hAnsi="Arial"/>
                <w:sz w:val="14"/>
                <w:szCs w:val="14"/>
                <w:color w:val="auto"/>
              </w:rPr>
              <w:t>Allowance on securities where credit losses were not previously recorded</w:t>
            </w:r>
          </w:p>
        </w:tc>
        <w:tc>
          <w:tcPr>
            <w:tcW w:w="120" w:type="dxa"/>
            <w:vAlign w:val="bottom"/>
          </w:tcPr>
          <w:p>
            <w:pPr>
              <w:spacing w:after="0"/>
              <w:rPr>
                <w:sz w:val="16"/>
                <w:szCs w:val="16"/>
                <w:color w:val="auto"/>
              </w:rPr>
            </w:pP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73"/>
        </w:trPr>
        <w:tc>
          <w:tcPr>
            <w:tcW w:w="5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Allowance on securities that had an allowance recorded in a previous period</w:t>
            </w:r>
          </w:p>
        </w:tc>
        <w:tc>
          <w:tcPr>
            <w:tcW w:w="1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5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980" w:type="dxa"/>
            <w:vAlign w:val="bottom"/>
          </w:tcPr>
          <w:p>
            <w:pPr>
              <w:ind w:left="40"/>
              <w:spacing w:after="0"/>
              <w:rPr>
                <w:sz w:val="20"/>
                <w:szCs w:val="20"/>
                <w:color w:val="auto"/>
              </w:rPr>
            </w:pPr>
            <w:r>
              <w:rPr>
                <w:rFonts w:ascii="Arial" w:cs="Arial" w:eastAsia="Arial" w:hAnsi="Arial"/>
                <w:sz w:val="14"/>
                <w:szCs w:val="14"/>
                <w:color w:val="auto"/>
              </w:rPr>
              <w:t>Write-offs charged against allowance (1)</w:t>
            </w:r>
          </w:p>
        </w:tc>
        <w:tc>
          <w:tcPr>
            <w:tcW w:w="12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73"/>
        </w:trPr>
        <w:tc>
          <w:tcPr>
            <w:tcW w:w="5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March 31, 2020</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60"/>
        </w:trPr>
        <w:tc>
          <w:tcPr>
            <w:tcW w:w="598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0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9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-98425</wp:posOffset>
            </wp:positionV>
            <wp:extent cx="33432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93" w:lineRule="exact"/>
        <w:rPr>
          <w:sz w:val="20"/>
          <w:szCs w:val="20"/>
          <w:color w:val="auto"/>
        </w:rPr>
      </w:pPr>
    </w:p>
    <w:p>
      <w:pPr>
        <w:ind w:left="340" w:right="3560" w:hanging="332"/>
        <w:spacing w:after="0" w:line="37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Company recorded total write-offs of $12 million during the three months ended March 31, 2020. </w:t>
      </w:r>
      <w:r>
        <w:rPr>
          <w:rFonts w:ascii="Arial" w:cs="Arial" w:eastAsia="Arial" w:hAnsi="Arial"/>
          <w:sz w:val="18"/>
          <w:szCs w:val="18"/>
          <w:i w:val="1"/>
          <w:iCs w:val="1"/>
          <w:u w:val="single" w:color="auto"/>
          <w:color w:val="auto"/>
        </w:rPr>
        <w:t>PCD Fixed Maturity Securities</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did not purchase any PCD fixed maturity securities during the three months ended March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34" w:right="33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 by Portfolio Segment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Mortgage loans are summarized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w w:val="98"/>
              </w:rPr>
              <w:t>March 31, 2020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5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3"/>
          </w:tcPr>
          <w:p>
            <w:pPr>
              <w:jc w:val="center"/>
              <w:ind w:right="760"/>
              <w:spacing w:after="0" w:line="153" w:lineRule="exact"/>
              <w:rPr>
                <w:sz w:val="20"/>
                <w:szCs w:val="20"/>
                <w:color w:val="auto"/>
              </w:rPr>
            </w:pPr>
            <w:r>
              <w:rPr>
                <w:rFonts w:ascii="Arial" w:cs="Arial" w:eastAsia="Arial" w:hAnsi="Arial"/>
                <w:sz w:val="14"/>
                <w:szCs w:val="14"/>
                <w:b w:val="1"/>
                <w:bCs w:val="1"/>
                <w:color w:val="auto"/>
              </w:rPr>
              <w:t>Carrying</w:t>
            </w:r>
          </w:p>
        </w:tc>
        <w:tc>
          <w:tcPr>
            <w:tcW w:w="9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2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0" w:type="dxa"/>
            <w:vAlign w:val="bottom"/>
          </w:tcPr>
          <w:p>
            <w:pPr>
              <w:jc w:val="right"/>
              <w:ind w:right="381"/>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14"/>
                <w:szCs w:val="14"/>
                <w:b w:val="1"/>
                <w:bCs w:val="1"/>
                <w:color w:val="auto"/>
                <w:w w:val="90"/>
              </w:rPr>
              <w:t>Value</w:t>
            </w: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2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40" w:type="dxa"/>
            <w:vAlign w:val="bottom"/>
            <w:gridSpan w:val="5"/>
          </w:tcPr>
          <w:p>
            <w:pPr>
              <w:ind w:left="240"/>
              <w:spacing w:after="0"/>
              <w:rPr>
                <w:sz w:val="20"/>
                <w:szCs w:val="20"/>
                <w:color w:val="auto"/>
              </w:rPr>
            </w:pPr>
            <w:r>
              <w:rPr>
                <w:rFonts w:ascii="Arial" w:cs="Arial" w:eastAsia="Arial" w:hAnsi="Arial"/>
                <w:sz w:val="14"/>
                <w:szCs w:val="14"/>
                <w:b w:val="1"/>
                <w:bCs w:val="1"/>
                <w:color w:val="auto"/>
              </w:rPr>
              <w:t>(Dollars in millions)</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9,512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61.2 %</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9,721</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61.7 %</w:t>
            </w:r>
          </w:p>
        </w:tc>
        <w:tc>
          <w:tcPr>
            <w:tcW w:w="0" w:type="dxa"/>
            <w:vAlign w:val="bottom"/>
          </w:tcPr>
          <w:p>
            <w:pPr>
              <w:spacing w:after="0"/>
              <w:rPr>
                <w:sz w:val="1"/>
                <w:szCs w:val="1"/>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6"/>
                <w:szCs w:val="16"/>
                <w:color w:val="auto"/>
              </w:rPr>
              <w:t>Agricultural</w:t>
            </w:r>
          </w:p>
        </w:tc>
        <w:tc>
          <w:tcPr>
            <w:tcW w:w="24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3,403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ind w:right="122"/>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3,388</w:t>
            </w:r>
          </w:p>
        </w:tc>
        <w:tc>
          <w:tcPr>
            <w:tcW w:w="100" w:type="dxa"/>
            <w:vAlign w:val="bottom"/>
          </w:tcPr>
          <w:p>
            <w:pPr>
              <w:spacing w:after="0"/>
              <w:rPr>
                <w:sz w:val="20"/>
                <w:szCs w:val="20"/>
                <w:color w:val="auto"/>
              </w:rPr>
            </w:pP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2,708</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7"/>
        </w:trPr>
        <w:tc>
          <w:tcPr>
            <w:tcW w:w="5840" w:type="dxa"/>
            <w:vAlign w:val="bottom"/>
          </w:tcPr>
          <w:p>
            <w:pPr>
              <w:ind w:left="200"/>
              <w:spacing w:after="0"/>
              <w:rPr>
                <w:sz w:val="20"/>
                <w:szCs w:val="20"/>
                <w:color w:val="auto"/>
              </w:rPr>
            </w:pPr>
            <w:r>
              <w:rPr>
                <w:rFonts w:ascii="Arial" w:cs="Arial" w:eastAsia="Arial" w:hAnsi="Arial"/>
                <w:sz w:val="16"/>
                <w:szCs w:val="16"/>
                <w:color w:val="auto"/>
              </w:rPr>
              <w:t>Total mortgage loans (1)</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15,616</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15,817</w:t>
            </w:r>
          </w:p>
        </w:tc>
        <w:tc>
          <w:tcPr>
            <w:tcW w:w="100" w:type="dxa"/>
            <w:vAlign w:val="bottom"/>
          </w:tcPr>
          <w:p>
            <w:pPr>
              <w:spacing w:after="0"/>
              <w:rPr>
                <w:sz w:val="18"/>
                <w:szCs w:val="18"/>
                <w:color w:val="auto"/>
              </w:rPr>
            </w:pPr>
          </w:p>
        </w:tc>
        <w:tc>
          <w:tcPr>
            <w:tcW w:w="120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33"/>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credit losses</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7"/>
        </w:trPr>
        <w:tc>
          <w:tcPr>
            <w:tcW w:w="5840" w:type="dxa"/>
            <w:vAlign w:val="bottom"/>
          </w:tcPr>
          <w:p>
            <w:pPr>
              <w:ind w:left="200"/>
              <w:spacing w:after="0"/>
              <w:rPr>
                <w:sz w:val="20"/>
                <w:szCs w:val="20"/>
                <w:color w:val="auto"/>
              </w:rPr>
            </w:pPr>
            <w:r>
              <w:rPr>
                <w:rFonts w:ascii="Arial" w:cs="Arial" w:eastAsia="Arial" w:hAnsi="Arial"/>
                <w:sz w:val="16"/>
                <w:szCs w:val="16"/>
                <w:color w:val="auto"/>
              </w:rPr>
              <w:t>Total mortgage loans, net</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15,547</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15,753</w:t>
            </w:r>
          </w:p>
        </w:tc>
        <w:tc>
          <w:tcPr>
            <w:tcW w:w="1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33"/>
        </w:trPr>
        <w:tc>
          <w:tcPr>
            <w:tcW w:w="584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right="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Purchases of mortgage loans from third parties were $157 million and $477 million for the three months ended March 31, 2020 and 2019, respectively, and were primarily comprised of residential mortgage loans.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Allowance for Credit Losses for Mortgage Loans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7" w:lineRule="exact"/>
        <w:rPr>
          <w:sz w:val="20"/>
          <w:szCs w:val="20"/>
          <w:color w:val="auto"/>
        </w:rPr>
      </w:pPr>
    </w:p>
    <w:p>
      <w:pPr>
        <w:jc w:val="both"/>
        <w:ind w:left="340" w:right="20" w:firstLine="324"/>
        <w:spacing w:after="0" w:line="263" w:lineRule="auto"/>
        <w:rPr>
          <w:sz w:val="20"/>
          <w:szCs w:val="20"/>
          <w:color w:val="auto"/>
        </w:rPr>
      </w:pPr>
      <w:r>
        <w:rPr>
          <w:rFonts w:ascii="Arial" w:cs="Arial" w:eastAsia="Arial" w:hAnsi="Arial"/>
          <w:sz w:val="18"/>
          <w:szCs w:val="18"/>
          <w:color w:val="auto"/>
        </w:rPr>
        <w:t>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w:t>
      </w:r>
    </w:p>
    <w:p>
      <w:pPr>
        <w:spacing w:after="0" w:line="76"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Accrued interest receivables are presented separate from the amortized cost basis of mortgage loans. An allowance for credit losses is not estimated on an accrued interest receivable, rather when a loan is placed in nonaccrual status the associated accrued interest receivable balance is written off with a corresponding reduction to net investment income. The accrued interest receivable on mortgage loans totaled $77 million at March 31, 2020 and is included in accrued investment income.</w:t>
      </w:r>
    </w:p>
    <w:p>
      <w:pPr>
        <w:spacing w:after="0" w:line="7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two-years is used with an input reversion period of one-year.</w:t>
      </w:r>
    </w:p>
    <w:p>
      <w:pPr>
        <w:spacing w:after="0" w:line="79"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expected troubled debt restructurings (“TDRs”), foreclosure probable loans, and loans with dissimilar risk characteristics.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34" w:right="3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37" w:lineRule="exact"/>
        <w:rPr>
          <w:sz w:val="20"/>
          <w:szCs w:val="20"/>
          <w:color w:val="auto"/>
        </w:rPr>
      </w:pPr>
    </w:p>
    <w:p>
      <w:pPr>
        <w:jc w:val="both"/>
        <w:ind w:left="340" w:firstLine="324"/>
        <w:spacing w:after="0" w:line="269" w:lineRule="auto"/>
        <w:rPr>
          <w:sz w:val="20"/>
          <w:szCs w:val="20"/>
          <w:color w:val="auto"/>
        </w:rPr>
      </w:pPr>
      <w:r>
        <w:rPr>
          <w:rFonts w:ascii="Arial" w:cs="Arial" w:eastAsia="Arial" w:hAnsi="Arial"/>
          <w:sz w:val="17"/>
          <w:szCs w:val="17"/>
          <w:color w:val="auto"/>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discounts which have both credit and non-credit components. 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which is accreted into net investment income over the remaining life of the loan. Any subsequent PCD mortgage loan allowance for credit losses is evaluated in a manner similar to the process described above for each of the three portfolio segments.</w:t>
      </w:r>
    </w:p>
    <w:p>
      <w:pPr>
        <w:spacing w:after="0" w:line="77" w:lineRule="exact"/>
        <w:rPr>
          <w:sz w:val="20"/>
          <w:szCs w:val="20"/>
          <w:color w:val="auto"/>
        </w:rPr>
      </w:pPr>
    </w:p>
    <w:p>
      <w:pPr>
        <w:jc w:val="right"/>
        <w:ind w:left="340" w:right="4440"/>
        <w:spacing w:after="0" w:line="483" w:lineRule="auto"/>
        <w:rPr>
          <w:sz w:val="20"/>
          <w:szCs w:val="20"/>
          <w:color w:val="auto"/>
        </w:rPr>
      </w:pPr>
      <w:r>
        <w:rPr>
          <w:rFonts w:ascii="Arial" w:cs="Arial" w:eastAsia="Arial" w:hAnsi="Arial"/>
          <w:sz w:val="16"/>
          <w:szCs w:val="16"/>
          <w:i w:val="1"/>
          <w:iCs w:val="1"/>
          <w:u w:val="single" w:color="auto"/>
          <w:color w:val="auto"/>
        </w:rPr>
        <w:t xml:space="preserve">Rollforward of the Allowance for Credit Losses for Mortgage Loans by Portfolio Segment </w:t>
      </w:r>
      <w:r>
        <w:rPr>
          <w:rFonts w:ascii="Arial" w:cs="Arial" w:eastAsia="Arial" w:hAnsi="Arial"/>
          <w:sz w:val="16"/>
          <w:szCs w:val="16"/>
          <w:color w:val="auto"/>
        </w:rPr>
        <w:t>The changes in the allowance for credit losses by portfolio segment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Commercial</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Agricultural</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Total</w:t>
            </w:r>
          </w:p>
        </w:tc>
      </w:tr>
      <w:tr>
        <w:trPr>
          <w:trHeight w:val="250"/>
        </w:trPr>
        <w:tc>
          <w:tcPr>
            <w:tcW w:w="50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(In millions)</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2019</w:t>
            </w:r>
          </w:p>
        </w:tc>
        <w:tc>
          <w:tcPr>
            <w:tcW w:w="112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w:t>
            </w: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Cumulative effect of change in accounting principle</w:t>
            </w:r>
          </w:p>
        </w:tc>
        <w:tc>
          <w:tcPr>
            <w:tcW w:w="1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1"/>
              </w:rPr>
              <w:t>(20)</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jc w:val="right"/>
              <w:ind w:right="4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w:t>
            </w:r>
          </w:p>
        </w:tc>
      </w:tr>
      <w:tr>
        <w:trPr>
          <w:trHeight w:val="33"/>
        </w:trPr>
        <w:tc>
          <w:tcPr>
            <w:tcW w:w="50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January 1, 2020</w:t>
            </w:r>
          </w:p>
        </w:tc>
        <w:tc>
          <w:tcPr>
            <w:tcW w:w="1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w:t>
            </w: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Current period provision</w:t>
            </w:r>
          </w:p>
        </w:tc>
        <w:tc>
          <w:tcPr>
            <w:tcW w:w="1120" w:type="dxa"/>
            <w:vAlign w:val="bottom"/>
          </w:tcPr>
          <w:p>
            <w:pPr>
              <w:spacing w:after="0"/>
              <w:rPr>
                <w:sz w:val="20"/>
                <w:szCs w:val="2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0"/>
                <w:szCs w:val="20"/>
                <w:color w:val="auto"/>
              </w:rPr>
            </w:pPr>
          </w:p>
        </w:tc>
        <w:tc>
          <w:tcPr>
            <w:tcW w:w="34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w:t>
            </w:r>
          </w:p>
        </w:tc>
      </w:tr>
      <w:tr>
        <w:trPr>
          <w:trHeight w:val="33"/>
        </w:trPr>
        <w:tc>
          <w:tcPr>
            <w:tcW w:w="50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March 31, 2020</w:t>
            </w:r>
          </w:p>
        </w:tc>
        <w:tc>
          <w:tcPr>
            <w:tcW w:w="112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PCD Mortgage Loans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purchase any PCD mortgage loans during the three months ended March 31,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234" w:right="3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337"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Mortgage Loans by Portfolio Segment</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amortized cost of mortgage loans by year of origination and credit quality indicator was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50"/>
        </w:trPr>
        <w:tc>
          <w:tcPr>
            <w:tcW w:w="3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6"/>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2020</w:t>
            </w:r>
          </w:p>
        </w:tc>
        <w:tc>
          <w:tcPr>
            <w:tcW w:w="6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24"/>
        </w:trPr>
        <w:tc>
          <w:tcPr>
            <w:tcW w:w="3500" w:type="dxa"/>
            <w:vAlign w:val="bottom"/>
          </w:tcPr>
          <w:p>
            <w:pPr>
              <w:ind w:left="40"/>
              <w:spacing w:after="0"/>
              <w:rPr>
                <w:sz w:val="20"/>
                <w:szCs w:val="20"/>
                <w:color w:val="auto"/>
              </w:rPr>
            </w:pPr>
            <w:r>
              <w:rPr>
                <w:rFonts w:ascii="Arial" w:cs="Arial" w:eastAsia="Arial" w:hAnsi="Arial"/>
                <w:sz w:val="16"/>
                <w:szCs w:val="16"/>
                <w:b w:val="1"/>
                <w:bCs w:val="1"/>
                <w:color w:val="auto"/>
              </w:rPr>
              <w:t>Commercial mortgage loans</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46"/>
        </w:trPr>
        <w:tc>
          <w:tcPr>
            <w:tcW w:w="3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Loan-to-value ratios:</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Less than 65%</w:t>
            </w:r>
          </w:p>
        </w:tc>
        <w:tc>
          <w:tcPr>
            <w:tcW w:w="660" w:type="dxa"/>
            <w:vAlign w:val="bottom"/>
          </w:tcPr>
          <w:p>
            <w:pPr>
              <w:jc w:val="right"/>
              <w:ind w:right="482"/>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1,829</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1,409</w:t>
            </w:r>
          </w:p>
        </w:tc>
        <w:tc>
          <w:tcPr>
            <w:tcW w:w="100" w:type="dxa"/>
            <w:vAlign w:val="bottom"/>
          </w:tcPr>
          <w:p>
            <w:pPr>
              <w:spacing w:after="0"/>
              <w:rPr>
                <w:sz w:val="20"/>
                <w:szCs w:val="20"/>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1,126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3,448</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8,529</w:t>
            </w:r>
          </w:p>
        </w:tc>
      </w:tr>
      <w:tr>
        <w:trPr>
          <w:trHeight w:val="33"/>
        </w:trPr>
        <w:tc>
          <w:tcPr>
            <w:tcW w:w="3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65% to 75%</w:t>
            </w:r>
          </w:p>
        </w:tc>
        <w:tc>
          <w:tcPr>
            <w:tcW w:w="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799</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76% to 80%</w:t>
            </w:r>
          </w:p>
        </w:tc>
        <w:tc>
          <w:tcPr>
            <w:tcW w:w="66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184</w:t>
            </w:r>
          </w:p>
        </w:tc>
      </w:tr>
      <w:tr>
        <w:trPr>
          <w:trHeight w:val="33"/>
        </w:trPr>
        <w:tc>
          <w:tcPr>
            <w:tcW w:w="35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commercial mortgage loans</w:t>
            </w:r>
          </w:p>
        </w:tc>
        <w:tc>
          <w:tcPr>
            <w:tcW w:w="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9,512</w:t>
            </w:r>
          </w:p>
        </w:tc>
      </w:tr>
      <w:tr>
        <w:trPr>
          <w:trHeight w:val="204"/>
        </w:trPr>
        <w:tc>
          <w:tcPr>
            <w:tcW w:w="3500" w:type="dxa"/>
            <w:vAlign w:val="bottom"/>
          </w:tcPr>
          <w:p>
            <w:pPr>
              <w:ind w:left="40"/>
              <w:spacing w:after="0"/>
              <w:rPr>
                <w:sz w:val="20"/>
                <w:szCs w:val="20"/>
                <w:color w:val="auto"/>
              </w:rPr>
            </w:pPr>
            <w:r>
              <w:rPr>
                <w:rFonts w:ascii="Arial" w:cs="Arial" w:eastAsia="Arial" w:hAnsi="Arial"/>
                <w:sz w:val="16"/>
                <w:szCs w:val="16"/>
                <w:b w:val="1"/>
                <w:bCs w:val="1"/>
                <w:color w:val="auto"/>
              </w:rPr>
              <w:t>Agricultural mortgage loans</w:t>
            </w:r>
          </w:p>
        </w:tc>
        <w:tc>
          <w:tcPr>
            <w:tcW w:w="6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60"/>
        </w:trPr>
        <w:tc>
          <w:tcPr>
            <w:tcW w:w="3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Loan-to-value ratios:</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Less than 65%</w:t>
            </w:r>
          </w:p>
        </w:tc>
        <w:tc>
          <w:tcPr>
            <w:tcW w:w="660" w:type="dxa"/>
            <w:vAlign w:val="bottom"/>
          </w:tcPr>
          <w:p>
            <w:pPr>
              <w:spacing w:after="0"/>
              <w:rPr>
                <w:sz w:val="20"/>
                <w:szCs w:val="20"/>
                <w:color w:val="auto"/>
              </w:rPr>
            </w:pP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459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3,184</w:t>
            </w:r>
          </w:p>
        </w:tc>
      </w:tr>
      <w:tr>
        <w:trPr>
          <w:trHeight w:val="33"/>
        </w:trPr>
        <w:tc>
          <w:tcPr>
            <w:tcW w:w="3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65% to 75%</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w:t>
            </w:r>
          </w:p>
        </w:tc>
      </w:tr>
      <w:tr>
        <w:trPr>
          <w:trHeight w:val="224"/>
        </w:trPr>
        <w:tc>
          <w:tcPr>
            <w:tcW w:w="3500" w:type="dxa"/>
            <w:vAlign w:val="bottom"/>
          </w:tcPr>
          <w:p>
            <w:pPr>
              <w:ind w:left="40"/>
              <w:spacing w:after="0"/>
              <w:rPr>
                <w:sz w:val="20"/>
                <w:szCs w:val="20"/>
                <w:color w:val="auto"/>
              </w:rPr>
            </w:pPr>
            <w:r>
              <w:rPr>
                <w:rFonts w:ascii="Arial" w:cs="Arial" w:eastAsia="Arial" w:hAnsi="Arial"/>
                <w:sz w:val="16"/>
                <w:szCs w:val="16"/>
                <w:color w:val="auto"/>
              </w:rPr>
              <w:t>Greater than 80%</w:t>
            </w:r>
          </w:p>
        </w:tc>
        <w:tc>
          <w:tcPr>
            <w:tcW w:w="66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33"/>
        </w:trPr>
        <w:tc>
          <w:tcPr>
            <w:tcW w:w="35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agricultural mortgage loans</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3,403</w:t>
            </w:r>
          </w:p>
        </w:tc>
      </w:tr>
      <w:tr>
        <w:trPr>
          <w:trHeight w:val="203"/>
        </w:trPr>
        <w:tc>
          <w:tcPr>
            <w:tcW w:w="3500" w:type="dxa"/>
            <w:vAlign w:val="bottom"/>
          </w:tcPr>
          <w:p>
            <w:pPr>
              <w:ind w:left="40"/>
              <w:spacing w:after="0"/>
              <w:rPr>
                <w:sz w:val="20"/>
                <w:szCs w:val="20"/>
                <w:color w:val="auto"/>
              </w:rPr>
            </w:pPr>
            <w:r>
              <w:rPr>
                <w:rFonts w:ascii="Arial" w:cs="Arial" w:eastAsia="Arial" w:hAnsi="Arial"/>
                <w:sz w:val="16"/>
                <w:szCs w:val="16"/>
                <w:b w:val="1"/>
                <w:bCs w:val="1"/>
                <w:color w:val="auto"/>
              </w:rPr>
              <w:t>Residential mortgage loans</w:t>
            </w:r>
          </w:p>
        </w:tc>
        <w:tc>
          <w:tcPr>
            <w:tcW w:w="6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60"/>
        </w:trPr>
        <w:tc>
          <w:tcPr>
            <w:tcW w:w="3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Performing</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2,661</w:t>
            </w: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Nonperforming</w:t>
            </w:r>
          </w:p>
        </w:tc>
        <w:tc>
          <w:tcPr>
            <w:tcW w:w="66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40</w:t>
            </w:r>
          </w:p>
        </w:tc>
      </w:tr>
      <w:tr>
        <w:trPr>
          <w:trHeight w:val="33"/>
        </w:trPr>
        <w:tc>
          <w:tcPr>
            <w:tcW w:w="35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residential mortgage loans</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2,701</w:t>
            </w:r>
          </w:p>
        </w:tc>
      </w:tr>
      <w:tr>
        <w:trPr>
          <w:trHeight w:val="244"/>
        </w:trPr>
        <w:tc>
          <w:tcPr>
            <w:tcW w:w="3500" w:type="dxa"/>
            <w:vAlign w:val="bottom"/>
          </w:tcPr>
          <w:p>
            <w:pPr>
              <w:ind w:left="200"/>
              <w:spacing w:after="0"/>
              <w:rPr>
                <w:sz w:val="20"/>
                <w:szCs w:val="20"/>
                <w:color w:val="auto"/>
              </w:rPr>
            </w:pPr>
            <w:r>
              <w:rPr>
                <w:rFonts w:ascii="Arial" w:cs="Arial" w:eastAsia="Arial" w:hAnsi="Arial"/>
                <w:sz w:val="16"/>
                <w:szCs w:val="16"/>
                <w:color w:val="auto"/>
              </w:rPr>
              <w:t>Total</w:t>
            </w:r>
          </w:p>
        </w:tc>
        <w:tc>
          <w:tcPr>
            <w:tcW w:w="6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2"/>
              </w:rPr>
              <w:t>118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3,115</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3,089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1,570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1,797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5,927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15,616</w:t>
            </w:r>
          </w:p>
        </w:tc>
      </w:tr>
      <w:tr>
        <w:trPr>
          <w:trHeight w:val="20"/>
        </w:trPr>
        <w:tc>
          <w:tcPr>
            <w:tcW w:w="3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amortized cost of commercial mortgage loans by debt-service coverage ratio was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6"/>
              </w:rPr>
              <w:t>March 31, 2020</w:t>
            </w:r>
          </w:p>
        </w:tc>
        <w:tc>
          <w:tcPr>
            <w:tcW w:w="3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742"/>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5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360" w:type="dxa"/>
            <w:vAlign w:val="bottom"/>
          </w:tcPr>
          <w:p>
            <w:pPr>
              <w:ind w:left="60"/>
              <w:spacing w:after="0" w:line="153" w:lineRule="exact"/>
              <w:rPr>
                <w:sz w:val="20"/>
                <w:szCs w:val="20"/>
                <w:color w:val="auto"/>
              </w:rPr>
            </w:pPr>
            <w:r>
              <w:rPr>
                <w:rFonts w:ascii="Arial" w:cs="Arial" w:eastAsia="Arial" w:hAnsi="Arial"/>
                <w:sz w:val="14"/>
                <w:szCs w:val="14"/>
                <w:b w:val="1"/>
                <w:bCs w:val="1"/>
                <w:color w:val="auto"/>
                <w:w w:val="94"/>
              </w:rPr>
              <w:t>% of</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400" w:type="dxa"/>
            <w:vAlign w:val="bottom"/>
          </w:tcPr>
          <w:p>
            <w:pPr>
              <w:jc w:val="right"/>
              <w:ind w:right="462"/>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Total</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14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40" w:type="dxa"/>
            <w:vAlign w:val="bottom"/>
            <w:gridSpan w:val="6"/>
          </w:tcPr>
          <w:p>
            <w:pPr>
              <w:ind w:left="360"/>
              <w:spacing w:after="0"/>
              <w:rPr>
                <w:sz w:val="20"/>
                <w:szCs w:val="20"/>
                <w:color w:val="auto"/>
              </w:rPr>
            </w:pPr>
            <w:r>
              <w:rPr>
                <w:rFonts w:ascii="Arial" w:cs="Arial" w:eastAsia="Arial" w:hAnsi="Arial"/>
                <w:sz w:val="14"/>
                <w:szCs w:val="14"/>
                <w:b w:val="1"/>
                <w:bCs w:val="1"/>
                <w:color w:val="auto"/>
              </w:rPr>
              <w:t>(Dollars in millions)</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Debt-Service Coverage Ratios:</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Greater than 1.20x</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9,141</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96.1%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9,257</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1.00x - 1.20x</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Less than 1.00x</w:t>
            </w:r>
          </w:p>
        </w:tc>
        <w:tc>
          <w:tcPr>
            <w:tcW w:w="14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9,512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9,721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ectPr>
          <w:pgSz w:w="11900" w:h="16838" w:orient="portrait"/>
          <w:cols w:equalWidth="0" w:num="1">
            <w:col w:w="11240"/>
          </w:cols>
          <w:pgMar w:left="320" w:top="234"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234" w:right="33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Past Due Mortgage Loans by Portfolio Segment</w:t>
      </w:r>
    </w:p>
    <w:p>
      <w:pPr>
        <w:spacing w:after="0" w:line="117"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The Company has a high-quality, well-performing mortgage loan portfolio, with over 99% of all mortgage loans classified as performing at both March 31, 2020 and December 31, 2019. Delinquency is defined consistent with industry practice, when mortgage loans are past due as follows: commercial and residential mortgage loans — 60 days and agricultural mortgage loans — 90 days. To the extent a payment deferral is agreed to with a borrower, in response to the COVID-19 pandemic, the impacted loans will not be considered past due during the period of deferral.</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aging of the amortized cost of past due mortgage loans by portfolio segment was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March 31, 2020</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17"/>
        </w:trPr>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Agricultural</w:t>
            </w:r>
          </w:p>
        </w:tc>
        <w:tc>
          <w:tcPr>
            <w:tcW w:w="3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340" w:type="dxa"/>
            <w:vAlign w:val="bottom"/>
          </w:tcPr>
          <w:p>
            <w:pPr>
              <w:spacing w:after="0"/>
              <w:rPr>
                <w:sz w:val="18"/>
                <w:szCs w:val="18"/>
                <w:color w:val="auto"/>
              </w:rPr>
            </w:pPr>
          </w:p>
        </w:tc>
        <w:tc>
          <w:tcPr>
            <w:tcW w:w="1100" w:type="dxa"/>
            <w:vAlign w:val="bottom"/>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53"/>
        </w:trPr>
        <w:tc>
          <w:tcPr>
            <w:tcW w:w="50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4"/>
        </w:trPr>
        <w:tc>
          <w:tcPr>
            <w:tcW w:w="5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3,374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15,545</w:t>
            </w: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30-59 days past due</w:t>
            </w:r>
          </w:p>
        </w:tc>
        <w:tc>
          <w:tcPr>
            <w:tcW w:w="2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w:t>
            </w:r>
          </w:p>
        </w:tc>
      </w:tr>
      <w:tr>
        <w:trPr>
          <w:trHeight w:val="33"/>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60-89 days past due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90-179 days past due</w:t>
            </w:r>
          </w:p>
        </w:tc>
        <w:tc>
          <w:tcPr>
            <w:tcW w:w="2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w:t>
            </w:r>
          </w:p>
        </w:tc>
      </w:tr>
      <w:tr>
        <w:trPr>
          <w:trHeight w:val="33"/>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180+ days past due</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r>
      <w:tr>
        <w:trPr>
          <w:trHeight w:val="243"/>
        </w:trPr>
        <w:tc>
          <w:tcPr>
            <w:tcW w:w="5080" w:type="dxa"/>
            <w:vAlign w:val="bottom"/>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9,512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3,403</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2,701</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15,616</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 in Nonaccrual Status by Portfolio Segment</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Mortgage loans are placed in a nonaccrual status if there are concerns regarding collectability of future payments or the loan is past due, unless the past due loan is well collateralized and in the process of foreclosure. To the extent a payment deferral is agreed to with a borrower in response to the COVID-19 pandemic, the impacted loans will not be reported as in a nonaccrual status during the period of deferral.</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Mortgage loans in a nonaccrual status by portfolio segment were as follows at:</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4"/>
                <w:szCs w:val="14"/>
                <w:b w:val="1"/>
                <w:bCs w:val="1"/>
                <w:color w:val="auto"/>
              </w:rPr>
              <w:t>Commercial (2)</w:t>
            </w:r>
          </w:p>
        </w:tc>
        <w:tc>
          <w:tcPr>
            <w:tcW w:w="300" w:type="dxa"/>
            <w:vAlign w:val="bottom"/>
          </w:tcPr>
          <w:p>
            <w:pPr>
              <w:spacing w:after="0"/>
              <w:rPr>
                <w:sz w:val="16"/>
                <w:szCs w:val="16"/>
                <w:color w:val="auto"/>
              </w:rPr>
            </w:pPr>
          </w:p>
        </w:tc>
        <w:tc>
          <w:tcPr>
            <w:tcW w:w="1280" w:type="dxa"/>
            <w:vAlign w:val="bottom"/>
          </w:tcPr>
          <w:p>
            <w:pPr>
              <w:jc w:val="right"/>
              <w:ind w:right="164"/>
              <w:spacing w:after="0"/>
              <w:rPr>
                <w:sz w:val="20"/>
                <w:szCs w:val="20"/>
                <w:color w:val="auto"/>
              </w:rPr>
            </w:pPr>
            <w:r>
              <w:rPr>
                <w:rFonts w:ascii="Arial" w:cs="Arial" w:eastAsia="Arial" w:hAnsi="Arial"/>
                <w:sz w:val="14"/>
                <w:szCs w:val="14"/>
                <w:b w:val="1"/>
                <w:bCs w:val="1"/>
                <w:color w:val="auto"/>
              </w:rPr>
              <w:t>Agricultural (2)</w:t>
            </w:r>
          </w:p>
        </w:tc>
        <w:tc>
          <w:tcPr>
            <w:tcW w:w="300" w:type="dxa"/>
            <w:vAlign w:val="bottom"/>
          </w:tcPr>
          <w:p>
            <w:pPr>
              <w:spacing w:after="0"/>
              <w:rPr>
                <w:sz w:val="16"/>
                <w:szCs w:val="16"/>
                <w:color w:val="auto"/>
              </w:rPr>
            </w:pPr>
          </w:p>
        </w:tc>
        <w:tc>
          <w:tcPr>
            <w:tcW w:w="1260" w:type="dxa"/>
            <w:vAlign w:val="bottom"/>
          </w:tcPr>
          <w:p>
            <w:pPr>
              <w:jc w:val="right"/>
              <w:ind w:right="202"/>
              <w:spacing w:after="0"/>
              <w:rPr>
                <w:sz w:val="20"/>
                <w:szCs w:val="20"/>
                <w:color w:val="auto"/>
              </w:rPr>
            </w:pPr>
            <w:r>
              <w:rPr>
                <w:rFonts w:ascii="Arial" w:cs="Arial" w:eastAsia="Arial" w:hAnsi="Arial"/>
                <w:sz w:val="14"/>
                <w:szCs w:val="14"/>
                <w:b w:val="1"/>
                <w:bCs w:val="1"/>
                <w:color w:val="auto"/>
              </w:rPr>
              <w:t>Residential (2)</w:t>
            </w:r>
          </w:p>
        </w:tc>
        <w:tc>
          <w:tcPr>
            <w:tcW w:w="380" w:type="dxa"/>
            <w:vAlign w:val="bottom"/>
          </w:tcPr>
          <w:p>
            <w:pPr>
              <w:spacing w:after="0"/>
              <w:rPr>
                <w:sz w:val="16"/>
                <w:szCs w:val="16"/>
                <w:color w:val="auto"/>
              </w:rPr>
            </w:pPr>
          </w:p>
        </w:tc>
        <w:tc>
          <w:tcPr>
            <w:tcW w:w="1160" w:type="dxa"/>
            <w:vAlign w:val="bottom"/>
          </w:tcPr>
          <w:p>
            <w:pPr>
              <w:jc w:val="right"/>
              <w:ind w:right="382"/>
              <w:spacing w:after="0"/>
              <w:rPr>
                <w:sz w:val="20"/>
                <w:szCs w:val="20"/>
                <w:color w:val="auto"/>
              </w:rPr>
            </w:pPr>
            <w:r>
              <w:rPr>
                <w:rFonts w:ascii="Arial" w:cs="Arial" w:eastAsia="Arial" w:hAnsi="Arial"/>
                <w:sz w:val="14"/>
                <w:szCs w:val="14"/>
                <w:b w:val="1"/>
                <w:bCs w:val="1"/>
                <w:color w:val="auto"/>
              </w:rPr>
              <w:t>Total (2)</w:t>
            </w:r>
          </w:p>
        </w:tc>
      </w:tr>
      <w:tr>
        <w:trPr>
          <w:trHeight w:val="53"/>
        </w:trPr>
        <w:tc>
          <w:tcPr>
            <w:tcW w:w="50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40" w:type="dxa"/>
            <w:vAlign w:val="bottom"/>
            <w:tcBorders>
              <w:bottom w:val="single" w:sz="8" w:color="auto"/>
            </w:tcBorders>
            <w:gridSpan w:val="3"/>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4"/>
        </w:trPr>
        <w:tc>
          <w:tcPr>
            <w:tcW w:w="5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40" w:type="dxa"/>
            <w:vAlign w:val="bottom"/>
            <w:gridSpan w:val="3"/>
          </w:tcPr>
          <w:p>
            <w:pPr>
              <w:jc w:val="right"/>
              <w:ind w:right="1082"/>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Amortized cost at December 31,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21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37</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58</w:t>
            </w: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Amortized cost at March 31, 2020 (1)</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ind w:left="102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4"/>
              <w:spacing w:after="0"/>
              <w:rPr>
                <w:sz w:val="20"/>
                <w:szCs w:val="20"/>
                <w:color w:val="auto"/>
              </w:rPr>
            </w:pPr>
            <w:r>
              <w:rPr>
                <w:rFonts w:ascii="Arial" w:cs="Arial" w:eastAsia="Arial" w:hAnsi="Arial"/>
                <w:sz w:val="16"/>
                <w:szCs w:val="16"/>
                <w:color w:val="auto"/>
              </w:rPr>
              <w:t>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2"/>
              <w:spacing w:after="0"/>
              <w:rPr>
                <w:sz w:val="20"/>
                <w:szCs w:val="20"/>
                <w:color w:val="auto"/>
              </w:rPr>
            </w:pPr>
            <w:r>
              <w:rPr>
                <w:rFonts w:ascii="Arial" w:cs="Arial" w:eastAsia="Arial" w:hAnsi="Arial"/>
                <w:sz w:val="16"/>
                <w:szCs w:val="16"/>
                <w:color w:val="auto"/>
              </w:rPr>
              <w:t>40</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41</w:t>
            </w:r>
          </w:p>
        </w:tc>
      </w:tr>
      <w:tr>
        <w:trPr>
          <w:trHeight w:val="197"/>
        </w:trPr>
        <w:tc>
          <w:tcPr>
            <w:tcW w:w="5080" w:type="dxa"/>
            <w:vAlign w:val="bottom"/>
          </w:tcPr>
          <w:p>
            <w:pPr>
              <w:jc w:val="right"/>
              <w:ind w:right="3922"/>
              <w:spacing w:after="0"/>
              <w:rPr>
                <w:sz w:val="20"/>
                <w:szCs w:val="20"/>
                <w:color w:val="auto"/>
              </w:rPr>
            </w:pPr>
            <w:r>
              <w:rPr>
                <w:rFonts w:ascii="Arial" w:cs="Arial" w:eastAsia="Arial" w:hAnsi="Arial"/>
                <w:sz w:val="14"/>
                <w:szCs w:val="14"/>
                <w:color w:val="auto"/>
                <w:w w:val="90"/>
              </w:rPr>
              <w:t>_______________</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bl>
    <w:p>
      <w:pPr>
        <w:spacing w:after="0" w:line="9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mortgage loans in nonaccrual status had a related allowance for credit losses.</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had $20 million of agricultural mortgage loans that were 90 days or more past due but were not in a nonaccrual status for the three months ended March 31, 2020.</w:t>
      </w:r>
    </w:p>
    <w:p>
      <w:pPr>
        <w:spacing w:after="0" w:line="62" w:lineRule="exact"/>
        <w:rPr>
          <w:sz w:val="20"/>
          <w:szCs w:val="20"/>
          <w:color w:val="auto"/>
        </w:rPr>
      </w:pPr>
    </w:p>
    <w:p>
      <w:pPr>
        <w:ind w:left="180" w:right="440" w:firstLine="324"/>
        <w:spacing w:after="0" w:line="375" w:lineRule="auto"/>
        <w:rPr>
          <w:sz w:val="20"/>
          <w:szCs w:val="20"/>
          <w:color w:val="auto"/>
        </w:rPr>
      </w:pPr>
      <w:r>
        <w:rPr>
          <w:rFonts w:ascii="Arial" w:cs="Arial" w:eastAsia="Arial" w:hAnsi="Arial"/>
          <w:sz w:val="18"/>
          <w:szCs w:val="18"/>
          <w:color w:val="auto"/>
        </w:rPr>
        <w:t xml:space="preserve">Current period investment income on mortgage loans in nonaccrual status was less than $1 million for the three months ended March 31, 2020. </w:t>
      </w:r>
      <w:r>
        <w:rPr>
          <w:rFonts w:ascii="Arial" w:cs="Arial" w:eastAsia="Arial" w:hAnsi="Arial"/>
          <w:sz w:val="18"/>
          <w:szCs w:val="18"/>
          <w:b w:val="1"/>
          <w:bCs w:val="1"/>
          <w:i w:val="1"/>
          <w:iCs w:val="1"/>
          <w:u w:val="single" w:color="auto"/>
          <w:color w:val="auto"/>
        </w:rPr>
        <w:t>Modified Mortgage Loans by Portfolio Segment</w:t>
      </w:r>
    </w:p>
    <w:p>
      <w:pPr>
        <w:spacing w:after="0" w:line="1"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Under certain circumstances, modifications are granted to non-performing mortgage loans. Each modification is evaluated to determine if a TDR has occurred. A modification is a TDR when the borrower is in financial difficulty and the creditor makes concessions. Generally, the types of concessions may include reducing the amount of debt owed, reducing the contractual interest rate, extending the maturity date at an interest rate lower than current market interest rates and/or reducing accrued interest. The Company did not have a significant amount of mortgage loans modified in a troubled debt restructuring during the three months ended March 31, 2020.</w:t>
      </w:r>
    </w:p>
    <w:p>
      <w:pPr>
        <w:spacing w:after="0" w:line="80"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Short-term modifications made on a good faith basis to borrowers who were current prior to any relief and in response to the COVID-19 pandemic are not considered TDRs. Such short-term modifications include payment deferrals, fee waivers, extension of repayment terms, or other delays in payment that are insignificant.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34" w:right="3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Over 90% of other invested assets is comprised of freestanding derivatives with positive estimated fair values. See Note 5 for information about freestanding derivatives with positive estimated fair values. Other invested assets also includes tax credit and renewable energy partnerships, leveraged leases and Federal Home Loan Bank stock.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Leveraged Leases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carrying value of leveraged leases at March 31, 2020 and December 31, 2019 was $51 million and $64 million, respectively, net of allowance for credit losses of $13 million and $0, respectively. Rental receivables are generally due in periodic installments. The payment periods for leveraged leases generally range from one to 15 years. For rental receivables, the primary credit quality indicator is whether the rental receivable is performing or nonperforming, which is assessed monthly. Nonperforming rental receivables are generally defined as those that are 90 days or more past due. At both March 31, 2020 and December 31, 2019, all leveraged leases were performing.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Investment Gains (Losses)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Unrealized investment gains (losses) on fixed maturity securities and the effect on DAC, VOBA, deferred sales inducements (“DSI”) and future policy benefits, that would result from the realization of the unrealized gains (losses), are included in net unrealized investment gains (losses) in AOCI.</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unrealized investment gains (losses), included in AOCI, were as follows at:</w:t>
      </w:r>
    </w:p>
    <w:p>
      <w:pPr>
        <w:sectPr>
          <w:pgSz w:w="11900" w:h="16838" w:orient="portrait"/>
          <w:cols w:equalWidth="0" w:num="1">
            <w:col w:w="11240"/>
          </w:cols>
          <w:pgMar w:left="320" w:top="2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Fixed maturity securities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Derivatives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Subtotal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Amounts allocated from:</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Future policy benefits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DAC, VOBA and DSI</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Subtotal</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income tax benefit (expense)</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Net unrealized investment gains (losses)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3"/>
              </w:rPr>
              <w:t>December 31, 2019</w:t>
            </w:r>
          </w:p>
        </w:tc>
      </w:tr>
      <w:tr>
        <w:trPr>
          <w:trHeight w:val="244"/>
        </w:trPr>
        <w:tc>
          <w:tcPr>
            <w:tcW w:w="220" w:type="dxa"/>
            <w:vAlign w:val="bottom"/>
          </w:tcPr>
          <w:p>
            <w:pPr>
              <w:spacing w:after="0"/>
              <w:rPr>
                <w:sz w:val="21"/>
                <w:szCs w:val="21"/>
                <w:color w:val="auto"/>
              </w:rPr>
            </w:pPr>
          </w:p>
        </w:tc>
        <w:tc>
          <w:tcPr>
            <w:tcW w:w="304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(In millions)</w:t>
            </w:r>
          </w:p>
        </w:tc>
      </w:tr>
      <w:tr>
        <w:trPr>
          <w:trHeight w:val="249"/>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6,075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6,957</w:t>
            </w:r>
          </w:p>
        </w:tc>
      </w:tr>
      <w:tr>
        <w:trPr>
          <w:trHeight w:val="270"/>
        </w:trPr>
        <w:tc>
          <w:tcPr>
            <w:tcW w:w="220" w:type="dxa"/>
            <w:vAlign w:val="bottom"/>
          </w:tcPr>
          <w:p>
            <w:pPr>
              <w:spacing w:after="0"/>
              <w:rPr>
                <w:sz w:val="23"/>
                <w:szCs w:val="23"/>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245</w:t>
            </w:r>
          </w:p>
        </w:tc>
      </w:tr>
      <w:tr>
        <w:trPr>
          <w:trHeight w:val="270"/>
        </w:trPr>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6,858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7,189</w:t>
            </w:r>
          </w:p>
        </w:tc>
      </w:tr>
      <w:tr>
        <w:trPr>
          <w:trHeight w:val="33"/>
        </w:trPr>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500"/>
        </w:trPr>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(3,192)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(2,692)</w:t>
            </w:r>
          </w:p>
        </w:tc>
      </w:tr>
      <w:tr>
        <w:trPr>
          <w:trHeight w:val="270"/>
        </w:trPr>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33"/>
        </w:trPr>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(3,033)</w:t>
            </w:r>
          </w:p>
        </w:tc>
      </w:tr>
      <w:tr>
        <w:trPr>
          <w:trHeight w:val="270"/>
        </w:trPr>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(873)</w:t>
            </w:r>
          </w:p>
        </w:tc>
      </w:tr>
      <w:tr>
        <w:trPr>
          <w:trHeight w:val="33"/>
        </w:trPr>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2,695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3,283</w:t>
            </w:r>
          </w:p>
        </w:tc>
      </w:tr>
      <w:tr>
        <w:trPr>
          <w:trHeight w:val="33"/>
        </w:trPr>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-5061585</wp:posOffset>
            </wp:positionH>
            <wp:positionV relativeFrom="paragraph">
              <wp:posOffset>-1748155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-1405255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-1062355</wp:posOffset>
            </wp:positionV>
            <wp:extent cx="71323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-710565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-5061585</wp:posOffset>
            </wp:positionH>
            <wp:positionV relativeFrom="paragraph">
              <wp:posOffset>-368300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234" w:right="339" w:bottom="1440" w:gutter="0" w:footer="0" w:header="0"/>
          <w:type w:val="continuous"/>
        </w:sectPr>
      </w:pP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net unrealized investment gains (losses)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jc w:val="center"/>
              <w:ind w:right="122"/>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92"/>
        </w:trPr>
        <w:tc>
          <w:tcPr>
            <w:tcW w:w="9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4"/>
              </w:rPr>
              <w:t>March 31, 2020</w:t>
            </w:r>
          </w:p>
        </w:tc>
        <w:tc>
          <w:tcPr>
            <w:tcW w:w="0" w:type="dxa"/>
            <w:vAlign w:val="bottom"/>
          </w:tcPr>
          <w:p>
            <w:pPr>
              <w:spacing w:after="0"/>
              <w:rPr>
                <w:sz w:val="1"/>
                <w:szCs w:val="1"/>
                <w:color w:val="auto"/>
              </w:rPr>
            </w:pPr>
          </w:p>
        </w:tc>
      </w:tr>
      <w:tr>
        <w:trPr>
          <w:trHeight w:val="250"/>
        </w:trPr>
        <w:tc>
          <w:tcPr>
            <w:tcW w:w="9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center"/>
              <w:ind w:right="122"/>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43"/>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2019</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3,283</w:t>
            </w:r>
          </w:p>
        </w:tc>
        <w:tc>
          <w:tcPr>
            <w:tcW w:w="0" w:type="dxa"/>
            <w:vAlign w:val="bottom"/>
          </w:tcPr>
          <w:p>
            <w:pPr>
              <w:spacing w:after="0"/>
              <w:rPr>
                <w:sz w:val="1"/>
                <w:szCs w:val="1"/>
                <w:color w:val="auto"/>
              </w:rPr>
            </w:pPr>
          </w:p>
        </w:tc>
      </w:tr>
      <w:tr>
        <w:trPr>
          <w:trHeight w:val="223"/>
        </w:trPr>
        <w:tc>
          <w:tcPr>
            <w:tcW w:w="9340" w:type="dxa"/>
            <w:vAlign w:val="bottom"/>
          </w:tcPr>
          <w:p>
            <w:pPr>
              <w:ind w:left="40"/>
              <w:spacing w:after="0"/>
              <w:rPr>
                <w:sz w:val="20"/>
                <w:szCs w:val="20"/>
                <w:color w:val="auto"/>
              </w:rPr>
            </w:pPr>
            <w:r>
              <w:rPr>
                <w:rFonts w:ascii="Arial" w:cs="Arial" w:eastAsia="Arial" w:hAnsi="Arial"/>
                <w:sz w:val="16"/>
                <w:szCs w:val="16"/>
                <w:color w:val="auto"/>
              </w:rPr>
              <w:t>Unrealized investment gains (losses) during the period</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33"/>
        </w:trPr>
        <w:tc>
          <w:tcPr>
            <w:tcW w:w="9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investment gains (losses) relating to:</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9340" w:type="dxa"/>
            <w:vAlign w:val="bottom"/>
          </w:tcPr>
          <w:p>
            <w:pPr>
              <w:ind w:left="40"/>
              <w:spacing w:after="0"/>
              <w:rPr>
                <w:sz w:val="20"/>
                <w:szCs w:val="20"/>
                <w:color w:val="auto"/>
              </w:rPr>
            </w:pPr>
            <w:r>
              <w:rPr>
                <w:rFonts w:ascii="Arial" w:cs="Arial" w:eastAsia="Arial" w:hAnsi="Arial"/>
                <w:sz w:val="16"/>
                <w:szCs w:val="16"/>
                <w:color w:val="auto"/>
              </w:rPr>
              <w:t>Future policy benefits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9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DAC, VOBA and DSI</w:t>
            </w: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23"/>
        </w:trPr>
        <w:tc>
          <w:tcPr>
            <w:tcW w:w="9340" w:type="dxa"/>
            <w:vAlign w:val="bottom"/>
          </w:tcPr>
          <w:p>
            <w:pPr>
              <w:ind w:left="40"/>
              <w:spacing w:after="0"/>
              <w:rPr>
                <w:sz w:val="20"/>
                <w:szCs w:val="20"/>
                <w:color w:val="auto"/>
              </w:rPr>
            </w:pPr>
            <w:r>
              <w:rPr>
                <w:rFonts w:ascii="Arial" w:cs="Arial" w:eastAsia="Arial" w:hAnsi="Arial"/>
                <w:sz w:val="16"/>
                <w:szCs w:val="16"/>
                <w:color w:val="auto"/>
              </w:rPr>
              <w:t>Deferred income tax benefit (expense)</w:t>
            </w:r>
          </w:p>
        </w:tc>
        <w:tc>
          <w:tcPr>
            <w:tcW w:w="200" w:type="dxa"/>
            <w:vAlign w:val="bottom"/>
          </w:tcPr>
          <w:p>
            <w:pPr>
              <w:spacing w:after="0"/>
              <w:rPr>
                <w:sz w:val="19"/>
                <w:szCs w:val="19"/>
                <w:color w:val="auto"/>
              </w:rPr>
            </w:pPr>
          </w:p>
        </w:tc>
        <w:tc>
          <w:tcPr>
            <w:tcW w:w="1700" w:type="dxa"/>
            <w:vAlign w:val="bottom"/>
          </w:tcPr>
          <w:p>
            <w:pPr>
              <w:jc w:val="right"/>
              <w:ind w:right="22"/>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33"/>
        </w:trPr>
        <w:tc>
          <w:tcPr>
            <w:tcW w:w="9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9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March 31, 2020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2,695</w:t>
            </w:r>
          </w:p>
        </w:tc>
        <w:tc>
          <w:tcPr>
            <w:tcW w:w="0" w:type="dxa"/>
            <w:vAlign w:val="bottom"/>
          </w:tcPr>
          <w:p>
            <w:pPr>
              <w:spacing w:after="0"/>
              <w:rPr>
                <w:sz w:val="1"/>
                <w:szCs w:val="1"/>
                <w:color w:val="auto"/>
              </w:rPr>
            </w:pPr>
          </w:p>
        </w:tc>
      </w:tr>
      <w:tr>
        <w:trPr>
          <w:trHeight w:val="20"/>
        </w:trPr>
        <w:tc>
          <w:tcPr>
            <w:tcW w:w="9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Change in net unrealized investment gains (losses)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340" w:type="dxa"/>
            <w:vAlign w:val="bottom"/>
            <w:vMerge w:val="continue"/>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33"/>
        </w:trPr>
        <w:tc>
          <w:tcPr>
            <w:tcW w:w="9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investments in any counterparty that were greater than 10% of the Company’s equity, other than the U.S. government and its agencies, at both March 31, 2020 and December 31, 2019.</w:t>
      </w:r>
    </w:p>
    <w:p>
      <w:pPr>
        <w:sectPr>
          <w:pgSz w:w="11900" w:h="16838" w:orient="portrait"/>
          <w:cols w:equalWidth="0" w:num="1">
            <w:col w:w="11240"/>
          </w:cols>
          <w:pgMar w:left="320" w:top="234" w:right="339" w:bottom="1440" w:gutter="0" w:footer="0" w:header="0"/>
          <w:type w:val="continuous"/>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234" w:right="339" w:bottom="1440" w:gutter="0" w:footer="0" w:header="0"/>
          <w:type w:val="continuous"/>
        </w:sectPr>
      </w:pPr>
    </w:p>
    <w:bookmarkStart w:id="20" w:name="page21"/>
    <w:bookmarkEnd w:id="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Elements of the securities lending program are presented below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March 31, 2020</w:t>
            </w:r>
          </w:p>
        </w:tc>
        <w:tc>
          <w:tcPr>
            <w:tcW w:w="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w w:val="91"/>
              </w:rPr>
              <w:t>December 31, 2019</w:t>
            </w:r>
          </w:p>
        </w:tc>
      </w:tr>
      <w:tr>
        <w:trPr>
          <w:trHeight w:val="250"/>
        </w:trPr>
        <w:tc>
          <w:tcPr>
            <w:tcW w:w="7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540" w:type="dxa"/>
            <w:vAlign w:val="bottom"/>
          </w:tcPr>
          <w:p>
            <w:pPr>
              <w:spacing w:after="0"/>
              <w:rPr>
                <w:sz w:val="21"/>
                <w:szCs w:val="2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on loan: (1)</w:t>
            </w:r>
          </w:p>
        </w:tc>
        <w:tc>
          <w:tcPr>
            <w:tcW w:w="3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6"/>
                <w:szCs w:val="16"/>
                <w:color w:val="auto"/>
              </w:rPr>
              <w:t>Amortized cost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42"/>
              <w:spacing w:after="0"/>
              <w:rPr>
                <w:sz w:val="20"/>
                <w:szCs w:val="20"/>
                <w:color w:val="auto"/>
              </w:rPr>
            </w:pPr>
            <w:r>
              <w:rPr>
                <w:rFonts w:ascii="Arial" w:cs="Arial" w:eastAsia="Arial" w:hAnsi="Arial"/>
                <w:sz w:val="16"/>
                <w:szCs w:val="16"/>
                <w:color w:val="auto"/>
              </w:rPr>
              <w:t>1,961</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
              <w:spacing w:after="0"/>
              <w:rPr>
                <w:sz w:val="20"/>
                <w:szCs w:val="20"/>
                <w:color w:val="auto"/>
              </w:rPr>
            </w:pPr>
            <w:r>
              <w:rPr>
                <w:rFonts w:ascii="Arial" w:cs="Arial" w:eastAsia="Arial" w:hAnsi="Arial"/>
                <w:sz w:val="16"/>
                <w:szCs w:val="16"/>
                <w:color w:val="auto"/>
              </w:rPr>
              <w:t>2,031</w:t>
            </w: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Estimated fair value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3,468</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2,996</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Cash collateral received from counterparties (2)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42"/>
              <w:spacing w:after="0"/>
              <w:rPr>
                <w:sz w:val="20"/>
                <w:szCs w:val="20"/>
                <w:color w:val="auto"/>
              </w:rPr>
            </w:pPr>
            <w:r>
              <w:rPr>
                <w:rFonts w:ascii="Arial" w:cs="Arial" w:eastAsia="Arial" w:hAnsi="Arial"/>
                <w:sz w:val="16"/>
                <w:szCs w:val="16"/>
                <w:color w:val="auto"/>
              </w:rPr>
              <w:t>3,584</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1"/>
              <w:spacing w:after="0"/>
              <w:rPr>
                <w:sz w:val="20"/>
                <w:szCs w:val="20"/>
                <w:color w:val="auto"/>
              </w:rPr>
            </w:pPr>
            <w:r>
              <w:rPr>
                <w:rFonts w:ascii="Arial" w:cs="Arial" w:eastAsia="Arial" w:hAnsi="Arial"/>
                <w:sz w:val="16"/>
                <w:szCs w:val="16"/>
                <w:color w:val="auto"/>
              </w:rPr>
              <w:t>3,074</w:t>
            </w: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Reinvestment portfolio — estimated fair value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3,642</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3,174</w:t>
            </w:r>
          </w:p>
        </w:tc>
      </w:tr>
      <w:tr>
        <w:trPr>
          <w:trHeight w:val="182"/>
        </w:trPr>
        <w:tc>
          <w:tcPr>
            <w:tcW w:w="7320" w:type="dxa"/>
            <w:vAlign w:val="bottom"/>
          </w:tcPr>
          <w:p>
            <w:pPr>
              <w:spacing w:after="0"/>
              <w:rPr>
                <w:sz w:val="20"/>
                <w:szCs w:val="20"/>
                <w:color w:val="auto"/>
              </w:rPr>
            </w:pPr>
            <w:r>
              <w:rPr>
                <w:rFonts w:ascii="Arial" w:cs="Arial" w:eastAsia="Arial" w:hAnsi="Arial"/>
                <w:sz w:val="14"/>
                <w:szCs w:val="14"/>
                <w:color w:val="auto"/>
              </w:rPr>
              <w:t>_______________</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spacing w:after="0"/>
              <w:rPr>
                <w:sz w:val="15"/>
                <w:szCs w:val="15"/>
                <w:color w:val="auto"/>
              </w:rPr>
            </w:pPr>
          </w:p>
        </w:tc>
      </w:tr>
    </w:tbl>
    <w:p>
      <w:pPr>
        <w:spacing w:after="0" w:line="7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within fixed maturity securities.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within payables for collateral under securities loaned and other transactions.</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cash collateral liability by loaned security type and remaining tenor of the agreements were as follows at:</w:t>
      </w:r>
    </w:p>
    <w:p>
      <w:pPr>
        <w:spacing w:after="0" w:line="392" w:lineRule="exact"/>
        <w:rPr>
          <w:sz w:val="20"/>
          <w:szCs w:val="20"/>
          <w:color w:val="auto"/>
        </w:rPr>
      </w:pPr>
    </w:p>
    <w:p>
      <w:pPr>
        <w:ind w:left="4980"/>
        <w:spacing w:after="0"/>
        <w:tabs>
          <w:tab w:leader="none" w:pos="8780" w:val="left"/>
        </w:tabs>
        <w:rPr>
          <w:sz w:val="20"/>
          <w:szCs w:val="20"/>
          <w:color w:val="auto"/>
        </w:rPr>
      </w:pPr>
      <w:r>
        <w:rPr>
          <w:rFonts w:ascii="Arial" w:cs="Arial" w:eastAsia="Arial" w:hAnsi="Arial"/>
          <w:sz w:val="14"/>
          <w:szCs w:val="14"/>
          <w:b w:val="1"/>
          <w:bCs w:val="1"/>
          <w:color w:val="auto"/>
        </w:rPr>
        <w:t>March 31, 2020</w:t>
      </w:r>
      <w:r>
        <w:rPr>
          <w:sz w:val="20"/>
          <w:szCs w:val="20"/>
          <w:color w:val="auto"/>
        </w:rPr>
        <w:tab/>
      </w: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23495</wp:posOffset>
            </wp:positionV>
            <wp:extent cx="49206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p>
      <w:pPr>
        <w:spacing w:after="0" w:line="55" w:lineRule="exact"/>
        <w:rPr>
          <w:sz w:val="20"/>
          <w:szCs w:val="20"/>
          <w:color w:val="auto"/>
        </w:rPr>
      </w:pPr>
    </w:p>
    <w:p>
      <w:pPr>
        <w:jc w:val="center"/>
        <w:ind w:left="2980"/>
        <w:spacing w:after="0"/>
        <w:rPr>
          <w:sz w:val="20"/>
          <w:szCs w:val="20"/>
          <w:color w:val="auto"/>
        </w:rPr>
      </w:pPr>
      <w:r>
        <w:rPr>
          <w:rFonts w:ascii="Arial" w:cs="Arial" w:eastAsia="Arial" w:hAnsi="Arial"/>
          <w:sz w:val="12"/>
          <w:szCs w:val="12"/>
          <w:b w:val="1"/>
          <w:bCs w:val="1"/>
          <w:color w:val="auto"/>
        </w:rPr>
        <w:t>Remaining Tenor of Securities Lending</w:t>
      </w:r>
    </w:p>
    <w:p>
      <w:pPr>
        <w:spacing w:after="0" w:line="27" w:lineRule="exact"/>
        <w:rPr>
          <w:sz w:val="20"/>
          <w:szCs w:val="20"/>
          <w:color w:val="auto"/>
        </w:rPr>
      </w:pPr>
    </w:p>
    <w:p>
      <w:pPr>
        <w:jc w:val="center"/>
        <w:ind w:left="2980"/>
        <w:spacing w:after="0"/>
        <w:rPr>
          <w:sz w:val="20"/>
          <w:szCs w:val="20"/>
          <w:color w:val="auto"/>
        </w:rPr>
      </w:pPr>
      <w:r>
        <w:rPr>
          <w:rFonts w:ascii="Arial" w:cs="Arial" w:eastAsia="Arial" w:hAnsi="Arial"/>
          <w:sz w:val="14"/>
          <w:szCs w:val="14"/>
          <w:b w:val="1"/>
          <w:bCs w:val="1"/>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13335</wp:posOffset>
            </wp:positionV>
            <wp:extent cx="19030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1080"/>
        <w:spacing w:after="0"/>
        <w:rPr>
          <w:sz w:val="20"/>
          <w:szCs w:val="20"/>
          <w:color w:val="auto"/>
        </w:rPr>
      </w:pPr>
      <w:r>
        <w:rPr>
          <w:rFonts w:ascii="Arial" w:cs="Arial" w:eastAsia="Arial" w:hAnsi="Arial"/>
          <w:sz w:val="12"/>
          <w:szCs w:val="12"/>
          <w:b w:val="1"/>
          <w:bCs w:val="1"/>
          <w:color w:val="auto"/>
        </w:rPr>
        <w:t>Remaining Tenor of Securities Lending</w:t>
      </w:r>
    </w:p>
    <w:p>
      <w:pPr>
        <w:spacing w:after="0" w:line="27" w:lineRule="exact"/>
        <w:rPr>
          <w:sz w:val="20"/>
          <w:szCs w:val="20"/>
          <w:color w:val="auto"/>
        </w:rPr>
      </w:pPr>
    </w:p>
    <w:p>
      <w:pPr>
        <w:jc w:val="center"/>
        <w:ind w:right="1080"/>
        <w:spacing w:after="0"/>
        <w:rPr>
          <w:sz w:val="20"/>
          <w:szCs w:val="20"/>
          <w:color w:val="auto"/>
        </w:rPr>
      </w:pPr>
      <w:r>
        <w:rPr>
          <w:rFonts w:ascii="Arial" w:cs="Arial" w:eastAsia="Arial" w:hAnsi="Arial"/>
          <w:sz w:val="14"/>
          <w:szCs w:val="14"/>
          <w:b w:val="1"/>
          <w:bCs w:val="1"/>
          <w:color w:val="auto"/>
        </w:rPr>
        <w:t>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13335</wp:posOffset>
            </wp:positionV>
            <wp:extent cx="18084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7020" w:space="720"/>
            <w:col w:w="3500"/>
          </w:cols>
          <w:pgMar w:left="320" w:top="234"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w w:val="98"/>
              </w:rPr>
              <w:t>Open (1)</w:t>
            </w:r>
          </w:p>
        </w:tc>
        <w:tc>
          <w:tcPr>
            <w:tcW w:w="220" w:type="dxa"/>
            <w:vAlign w:val="bottom"/>
          </w:tcPr>
          <w:p>
            <w:pPr>
              <w:spacing w:after="0"/>
              <w:rPr>
                <w:sz w:val="13"/>
                <w:szCs w:val="13"/>
                <w:color w:val="auto"/>
              </w:rPr>
            </w:pPr>
          </w:p>
        </w:tc>
        <w:tc>
          <w:tcPr>
            <w:tcW w:w="820" w:type="dxa"/>
            <w:vAlign w:val="bottom"/>
          </w:tcPr>
          <w:p>
            <w:pPr>
              <w:jc w:val="center"/>
              <w:ind w:right="45"/>
              <w:spacing w:after="0"/>
              <w:rPr>
                <w:sz w:val="20"/>
                <w:szCs w:val="20"/>
                <w:color w:val="auto"/>
              </w:rPr>
            </w:pPr>
            <w:r>
              <w:rPr>
                <w:rFonts w:ascii="Arial" w:cs="Arial" w:eastAsia="Arial" w:hAnsi="Arial"/>
                <w:sz w:val="14"/>
                <w:szCs w:val="14"/>
                <w:b w:val="1"/>
                <w:bCs w:val="1"/>
                <w:color w:val="auto"/>
                <w:w w:val="97"/>
              </w:rPr>
              <w:t>1 Month or</w:t>
            </w: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 to 6 Months</w:t>
            </w:r>
          </w:p>
        </w:tc>
        <w:tc>
          <w:tcPr>
            <w:tcW w:w="88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740" w:type="dxa"/>
            <w:vAlign w:val="bottom"/>
            <w:vMerge w:val="restart"/>
          </w:tcPr>
          <w:p>
            <w:pPr>
              <w:jc w:val="right"/>
              <w:ind w:right="104"/>
              <w:spacing w:after="0"/>
              <w:rPr>
                <w:sz w:val="20"/>
                <w:szCs w:val="20"/>
                <w:color w:val="auto"/>
              </w:rPr>
            </w:pPr>
            <w:r>
              <w:rPr>
                <w:rFonts w:ascii="Arial" w:cs="Arial" w:eastAsia="Arial" w:hAnsi="Arial"/>
                <w:sz w:val="14"/>
                <w:szCs w:val="14"/>
                <w:b w:val="1"/>
                <w:bCs w:val="1"/>
                <w:color w:val="auto"/>
                <w:w w:val="95"/>
              </w:rPr>
              <w:t>Open (1)</w:t>
            </w:r>
          </w:p>
        </w:tc>
        <w:tc>
          <w:tcPr>
            <w:tcW w:w="1000" w:type="dxa"/>
            <w:vAlign w:val="bottom"/>
            <w:gridSpan w:val="2"/>
          </w:tcPr>
          <w:p>
            <w:pPr>
              <w:jc w:val="center"/>
              <w:ind w:left="4"/>
              <w:spacing w:after="0"/>
              <w:rPr>
                <w:sz w:val="20"/>
                <w:szCs w:val="20"/>
                <w:color w:val="auto"/>
              </w:rPr>
            </w:pPr>
            <w:r>
              <w:rPr>
                <w:rFonts w:ascii="Arial" w:cs="Arial" w:eastAsia="Arial" w:hAnsi="Arial"/>
                <w:sz w:val="14"/>
                <w:szCs w:val="14"/>
                <w:b w:val="1"/>
                <w:bCs w:val="1"/>
                <w:color w:val="auto"/>
                <w:w w:val="94"/>
              </w:rPr>
              <w:t>1 Month or</w:t>
            </w:r>
          </w:p>
        </w:tc>
        <w:tc>
          <w:tcPr>
            <w:tcW w:w="240" w:type="dxa"/>
            <w:vAlign w:val="bottom"/>
          </w:tcPr>
          <w:p>
            <w:pPr>
              <w:spacing w:after="0"/>
              <w:rPr>
                <w:sz w:val="13"/>
                <w:szCs w:val="13"/>
                <w:color w:val="auto"/>
              </w:rPr>
            </w:pPr>
          </w:p>
        </w:tc>
        <w:tc>
          <w:tcPr>
            <w:tcW w:w="740" w:type="dxa"/>
            <w:vAlign w:val="bottom"/>
          </w:tcPr>
          <w:p>
            <w:pPr>
              <w:jc w:val="center"/>
              <w:ind w:right="85"/>
              <w:spacing w:after="0"/>
              <w:rPr>
                <w:sz w:val="20"/>
                <w:szCs w:val="20"/>
                <w:color w:val="auto"/>
              </w:rPr>
            </w:pPr>
            <w:r>
              <w:rPr>
                <w:rFonts w:ascii="Arial" w:cs="Arial" w:eastAsia="Arial" w:hAnsi="Arial"/>
                <w:sz w:val="14"/>
                <w:szCs w:val="14"/>
                <w:b w:val="1"/>
                <w:bCs w:val="1"/>
                <w:color w:val="auto"/>
                <w:w w:val="92"/>
              </w:rPr>
              <w:t>1 to 6</w:t>
            </w:r>
          </w:p>
        </w:tc>
        <w:tc>
          <w:tcPr>
            <w:tcW w:w="86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81"/>
              </w:rPr>
              <w:t>Less</w:t>
            </w:r>
          </w:p>
        </w:tc>
        <w:tc>
          <w:tcPr>
            <w:tcW w:w="108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7"/>
              </w:rPr>
              <w:t>Less</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6"/>
              </w:rPr>
              <w:t>Months</w:t>
            </w: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60" w:type="dxa"/>
            <w:vAlign w:val="bottom"/>
            <w:gridSpan w:val="3"/>
          </w:tcPr>
          <w:p>
            <w:pPr>
              <w:jc w:val="right"/>
              <w:ind w:right="564"/>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00" w:type="dxa"/>
            <w:vAlign w:val="bottom"/>
            <w:tcBorders>
              <w:bottom w:val="single" w:sz="8" w:color="CCEEFF"/>
            </w:tcBorders>
            <w:shd w:val="clear" w:color="auto" w:fill="CCEEFF"/>
          </w:tcPr>
          <w:p>
            <w:pPr>
              <w:jc w:val="right"/>
              <w:ind w:right="1504"/>
              <w:spacing w:after="0"/>
              <w:rPr>
                <w:sz w:val="20"/>
                <w:szCs w:val="20"/>
                <w:color w:val="auto"/>
              </w:rPr>
            </w:pPr>
            <w:r>
              <w:rPr>
                <w:rFonts w:ascii="Arial" w:cs="Arial" w:eastAsia="Arial" w:hAnsi="Arial"/>
                <w:sz w:val="16"/>
                <w:szCs w:val="16"/>
                <w:color w:val="auto"/>
                <w:w w:val="91"/>
              </w:rPr>
              <w:t>U.S. government and agency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1,197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65"/>
              <w:spacing w:after="0"/>
              <w:rPr>
                <w:sz w:val="20"/>
                <w:szCs w:val="20"/>
                <w:color w:val="auto"/>
              </w:rPr>
            </w:pPr>
            <w:r>
              <w:rPr>
                <w:rFonts w:ascii="Arial" w:cs="Arial" w:eastAsia="Arial" w:hAnsi="Arial"/>
                <w:sz w:val="16"/>
                <w:szCs w:val="16"/>
                <w:color w:val="auto"/>
              </w:rPr>
              <w:t>1,511</w:t>
            </w:r>
          </w:p>
        </w:tc>
        <w:tc>
          <w:tcPr>
            <w:tcW w:w="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876</w:t>
            </w:r>
          </w:p>
        </w:tc>
        <w:tc>
          <w:tcPr>
            <w:tcW w:w="8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   3,584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1,279</w:t>
            </w:r>
          </w:p>
        </w:tc>
        <w:tc>
          <w:tcPr>
            <w:tcW w:w="3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1,094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701</w:t>
            </w:r>
          </w:p>
        </w:tc>
        <w:tc>
          <w:tcPr>
            <w:tcW w:w="8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  3,074</w:t>
            </w:r>
          </w:p>
        </w:tc>
        <w:tc>
          <w:tcPr>
            <w:tcW w:w="0" w:type="dxa"/>
            <w:vAlign w:val="bottom"/>
          </w:tcPr>
          <w:p>
            <w:pPr>
              <w:spacing w:after="0"/>
              <w:rPr>
                <w:sz w:val="1"/>
                <w:szCs w:val="1"/>
                <w:color w:val="auto"/>
              </w:rPr>
            </w:pPr>
          </w:p>
        </w:tc>
      </w:tr>
      <w:tr>
        <w:trPr>
          <w:trHeight w:val="182"/>
        </w:trPr>
        <w:tc>
          <w:tcPr>
            <w:tcW w:w="3500" w:type="dxa"/>
            <w:vAlign w:val="bottom"/>
          </w:tcPr>
          <w:p>
            <w:pPr>
              <w:jc w:val="right"/>
              <w:ind w:right="2344"/>
              <w:spacing w:after="0"/>
              <w:rPr>
                <w:sz w:val="20"/>
                <w:szCs w:val="20"/>
                <w:color w:val="auto"/>
              </w:rPr>
            </w:pPr>
            <w:r>
              <w:rPr>
                <w:rFonts w:ascii="Arial" w:cs="Arial" w:eastAsia="Arial" w:hAnsi="Arial"/>
                <w:sz w:val="14"/>
                <w:szCs w:val="14"/>
                <w:color w:val="auto"/>
                <w:w w:val="90"/>
              </w:rPr>
              <w:t>_______________</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right="2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related loaned security could be returned to the Company on the next business day which would require the Company to immediately return the cash collateral.</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under normal market conditions, or both. The estimated fair value of the securities on loan related to the cash collateral on open at March 31, 2020 was $1.2 billion, all of which were U.S. government and agency securities which, if put back to the Company, could be immediately sold to satisfy the cash requirement.</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reinvestment portfolio acquired with the cash collateral consisted principally of fixed maturity securities (including agency RMBS, U.S. and foreign corporate securities, ABS, non-agency RMBS and U.S. government and agency securities) with 62% invested in agency RMBS, cash and cash equivalents and U.S. government and agency securities at March 31, 2020.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234" w:right="339" w:bottom="1440" w:gutter="0" w:footer="0" w:header="0"/>
          <w:type w:val="continuous"/>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Invested Assets on Deposit, Held in Trust and Pledged as Collateral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Invested assets on deposit, held in trust and pledged as collateral at estimated fair value were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 2020</w:t>
            </w: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50"/>
        </w:trPr>
        <w:tc>
          <w:tcPr>
            <w:tcW w:w="7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Invested assets on deposit (regulatory deposits) (1)</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9,390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9,349</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Invested assets held in trust (reinsurance agreements) (2)</w:t>
            </w:r>
          </w:p>
        </w:tc>
        <w:tc>
          <w:tcPr>
            <w:tcW w:w="300" w:type="dxa"/>
            <w:vAlign w:val="bottom"/>
          </w:tcPr>
          <w:p>
            <w:pPr>
              <w:spacing w:after="0"/>
              <w:rPr>
                <w:sz w:val="20"/>
                <w:szCs w:val="20"/>
                <w:color w:val="auto"/>
              </w:rPr>
            </w:pPr>
          </w:p>
        </w:tc>
        <w:tc>
          <w:tcPr>
            <w:tcW w:w="1620" w:type="dxa"/>
            <w:vAlign w:val="bottom"/>
          </w:tcPr>
          <w:p>
            <w:pPr>
              <w:jc w:val="right"/>
              <w:ind w:right="42"/>
              <w:spacing w:after="0"/>
              <w:rPr>
                <w:sz w:val="20"/>
                <w:szCs w:val="20"/>
                <w:color w:val="auto"/>
              </w:rPr>
            </w:pPr>
            <w:r>
              <w:rPr>
                <w:rFonts w:ascii="Arial" w:cs="Arial" w:eastAsia="Arial" w:hAnsi="Arial"/>
                <w:sz w:val="16"/>
                <w:szCs w:val="16"/>
                <w:color w:val="auto"/>
              </w:rPr>
              <w:t>5,052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ind w:right="21"/>
              <w:spacing w:after="0"/>
              <w:rPr>
                <w:sz w:val="20"/>
                <w:szCs w:val="20"/>
                <w:color w:val="auto"/>
              </w:rPr>
            </w:pPr>
            <w:r>
              <w:rPr>
                <w:rFonts w:ascii="Arial" w:cs="Arial" w:eastAsia="Arial" w:hAnsi="Arial"/>
                <w:sz w:val="16"/>
                <w:szCs w:val="16"/>
                <w:color w:val="auto"/>
              </w:rPr>
              <w:t>4,561</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Invested assets pledged as collateral (3)</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3,279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3,641</w:t>
            </w:r>
          </w:p>
        </w:tc>
        <w:tc>
          <w:tcPr>
            <w:tcW w:w="0" w:type="dxa"/>
            <w:vAlign w:val="bottom"/>
          </w:tcPr>
          <w:p>
            <w:pPr>
              <w:spacing w:after="0"/>
              <w:rPr>
                <w:sz w:val="1"/>
                <w:szCs w:val="1"/>
                <w:color w:val="auto"/>
              </w:rPr>
            </w:pPr>
          </w:p>
        </w:tc>
      </w:tr>
      <w:tr>
        <w:trPr>
          <w:trHeight w:val="217"/>
        </w:trPr>
        <w:tc>
          <w:tcPr>
            <w:tcW w:w="7320" w:type="dxa"/>
            <w:vAlign w:val="bottom"/>
          </w:tcPr>
          <w:p>
            <w:pPr>
              <w:ind w:left="180"/>
              <w:spacing w:after="0"/>
              <w:rPr>
                <w:sz w:val="20"/>
                <w:szCs w:val="20"/>
                <w:color w:val="auto"/>
              </w:rPr>
            </w:pPr>
            <w:r>
              <w:rPr>
                <w:rFonts w:ascii="Arial" w:cs="Arial" w:eastAsia="Arial" w:hAnsi="Arial"/>
                <w:sz w:val="16"/>
                <w:szCs w:val="16"/>
                <w:color w:val="auto"/>
              </w:rPr>
              <w:t>Total invested assets on deposit, held in trust and pledged as collateral</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17,721</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17,551</w:t>
            </w:r>
          </w:p>
        </w:tc>
        <w:tc>
          <w:tcPr>
            <w:tcW w:w="0" w:type="dxa"/>
            <w:vAlign w:val="bottom"/>
          </w:tcPr>
          <w:p>
            <w:pPr>
              <w:spacing w:after="0"/>
              <w:rPr>
                <w:sz w:val="1"/>
                <w:szCs w:val="1"/>
                <w:color w:val="auto"/>
              </w:rPr>
            </w:pPr>
          </w:p>
        </w:tc>
      </w:tr>
      <w:tr>
        <w:trPr>
          <w:trHeight w:val="33"/>
        </w:trPr>
        <w:tc>
          <w:tcPr>
            <w:tcW w:w="732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3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has assets, primarily fixed maturity securities, on deposit with governmental authorities relating to certain policyholder liabilities, of which $70 million and $69 million of the assets on deposit represents restricted cash and cash equivalents at March 31, 2020 and December 31, 2019, respectively.</w:t>
      </w:r>
    </w:p>
    <w:p>
      <w:pPr>
        <w:spacing w:after="0" w:line="7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 has assets, primarily fixed maturity securities, held in trust relating to certain reinsurance transactions, of which $77 million and $124 million of the assets held in trust balance represents restricted cash and cash equivalents at March 31, 2020 and December 31, 2019, respectively.</w:t>
      </w:r>
    </w:p>
    <w:p>
      <w:pPr>
        <w:spacing w:after="0" w:line="15"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has pledged invested assets in connection with various agreements and transactions, including funding agreements (see Note 3 of the Notes to the Consolidated Financial Statements included in the 2019 Annual Report) and derivative transactions (see Note 5).</w:t>
      </w:r>
    </w:p>
    <w:p>
      <w:pPr>
        <w:spacing w:after="0" w:line="38"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See “— Securities Lending” for information regarding securities on loan.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invested in legal entities that are variable interest entities (“VIEs”). VIEs are consolidated when the investor is the primary beneficiary. A primary beneficiary is the variable interest holder in a VIE with both the power to (i) direct the activities of the VIE that most significantly impact the economic performance of the VIE and (ii) the obligation to absorb losses or the right to receive benefits that could potentially be significant to the VIE.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material VIEs for which the Company has concluded that it is the primary beneficiary at March 31, 2020 or December 31, 2019.</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amount and maximum exposure to loss related to the VIEs for which the Company has concluded that it holds a variable interest, but is not the primary beneficiary, were as follows at: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964"/>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824"/>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3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9"/>
              </w:rPr>
              <w:t>Maximum</w:t>
            </w:r>
          </w:p>
        </w:tc>
        <w:tc>
          <w:tcPr>
            <w:tcW w:w="360" w:type="dxa"/>
            <w:vAlign w:val="bottom"/>
          </w:tcPr>
          <w:p>
            <w:pPr>
              <w:spacing w:after="0"/>
              <w:rPr>
                <w:sz w:val="13"/>
                <w:szCs w:val="13"/>
                <w:color w:val="auto"/>
              </w:rPr>
            </w:pPr>
          </w:p>
        </w:tc>
        <w:tc>
          <w:tcPr>
            <w:tcW w:w="12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1200" w:type="dxa"/>
            <w:vAlign w:val="bottom"/>
          </w:tcPr>
          <w:p>
            <w:pPr>
              <w:jc w:val="center"/>
              <w:ind w:right="204"/>
              <w:spacing w:after="0" w:line="153"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Exposure</w:t>
            </w:r>
          </w:p>
        </w:tc>
        <w:tc>
          <w:tcPr>
            <w:tcW w:w="3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8"/>
              </w:rPr>
              <w:t>to Loss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88"/>
              </w:rPr>
              <w:t>to Loss</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12,696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12,254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13,094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12,454</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Limited partnerships and LLCs</w:t>
            </w:r>
          </w:p>
        </w:tc>
        <w:tc>
          <w:tcPr>
            <w:tcW w:w="26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4"/>
              <w:spacing w:after="0"/>
              <w:rPr>
                <w:sz w:val="20"/>
                <w:szCs w:val="20"/>
                <w:color w:val="auto"/>
              </w:rPr>
            </w:pPr>
            <w:r>
              <w:rPr>
                <w:rFonts w:ascii="Arial" w:cs="Arial" w:eastAsia="Arial" w:hAnsi="Arial"/>
                <w:sz w:val="16"/>
                <w:szCs w:val="16"/>
                <w:color w:val="auto"/>
              </w:rPr>
              <w:t>3,251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color w:val="auto"/>
              </w:rPr>
              <w:t>1,907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24"/>
              <w:spacing w:after="0"/>
              <w:rPr>
                <w:sz w:val="20"/>
                <w:szCs w:val="20"/>
                <w:color w:val="auto"/>
              </w:rPr>
            </w:pPr>
            <w:r>
              <w:rPr>
                <w:rFonts w:ascii="Arial" w:cs="Arial" w:eastAsia="Arial" w:hAnsi="Arial"/>
                <w:sz w:val="16"/>
                <w:szCs w:val="16"/>
                <w:color w:val="auto"/>
              </w:rPr>
              <w:t>3,080</w:t>
            </w:r>
          </w:p>
        </w:tc>
        <w:tc>
          <w:tcPr>
            <w:tcW w:w="0" w:type="dxa"/>
            <w:vAlign w:val="bottom"/>
          </w:tcPr>
          <w:p>
            <w:pPr>
              <w:spacing w:after="0"/>
              <w:rPr>
                <w:sz w:val="1"/>
                <w:szCs w:val="1"/>
                <w:color w:val="auto"/>
              </w:rPr>
            </w:pPr>
          </w:p>
        </w:tc>
      </w:tr>
      <w:tr>
        <w:trPr>
          <w:trHeight w:val="33"/>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14,717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15,505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15,001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15,534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investments in unconsolidated VIEs are described below.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234" w:right="3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w:t>
      </w:r>
    </w:p>
    <w:p>
      <w:pPr>
        <w:spacing w:after="0" w:line="117"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Limited Partnerships and LLCs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holds investments in certain limited partnerships and LLCs which are VIEs. These ventures include limited partnerships, LLCs, private equity funds, hedge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10.</w:t>
      </w:r>
    </w:p>
    <w:p>
      <w:pPr>
        <w:sectPr>
          <w:pgSz w:w="11900" w:h="16838" w:orient="portrait"/>
          <w:cols w:equalWidth="0" w:num="1">
            <w:col w:w="11240"/>
          </w:cols>
          <w:pgMar w:left="320" w:top="234" w:right="339" w:bottom="1440" w:gutter="0" w:footer="0" w:header="0"/>
        </w:sectPr>
      </w:pP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net investment income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680720</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Investment income:</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Fixed maturity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securities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Policy loans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Limited partnerships and LLCs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cash equivalents and short-term investments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 investment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Less: Investment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97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Net investment income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13335</wp:posOffset>
            </wp:positionV>
            <wp:extent cx="17659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19" w:lineRule="exact"/>
        <w:rPr>
          <w:sz w:val="20"/>
          <w:szCs w:val="20"/>
          <w:color w:val="auto"/>
        </w:rPr>
      </w:pPr>
    </w:p>
    <w:p>
      <w:pPr>
        <w:ind w:left="440"/>
        <w:spacing w:after="0"/>
        <w:tabs>
          <w:tab w:leader="none" w:pos="19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23495</wp:posOffset>
            </wp:positionV>
            <wp:extent cx="17659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(In millions)</w:t>
      </w:r>
    </w:p>
    <w:p>
      <w:pPr>
        <w:spacing w:after="0" w:line="324" w:lineRule="exact"/>
        <w:rPr>
          <w:sz w:val="20"/>
          <w:szCs w:val="20"/>
          <w:color w:val="auto"/>
        </w:rPr>
      </w:pPr>
    </w:p>
    <w:p>
      <w:pPr>
        <w:spacing w:after="0"/>
        <w:tabs>
          <w:tab w:leader="none" w:pos="820" w:val="left"/>
          <w:tab w:leader="none" w:pos="1560" w:val="left"/>
          <w:tab w:leader="none" w:pos="23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669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653</w:t>
      </w:r>
    </w:p>
    <w:p>
      <w:pPr>
        <w:spacing w:after="0" w:line="86" w:lineRule="exact"/>
        <w:rPr>
          <w:sz w:val="20"/>
          <w:szCs w:val="20"/>
          <w:color w:val="auto"/>
        </w:rPr>
      </w:pPr>
    </w:p>
    <w:p>
      <w:pPr>
        <w:ind w:left="1000"/>
        <w:spacing w:after="0"/>
        <w:tabs>
          <w:tab w:leader="none" w:pos="256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3</w:t>
      </w:r>
    </w:p>
    <w:p>
      <w:pPr>
        <w:spacing w:after="0" w:line="109" w:lineRule="exact"/>
        <w:rPr>
          <w:sz w:val="20"/>
          <w:szCs w:val="20"/>
          <w:color w:val="auto"/>
        </w:rPr>
      </w:pPr>
    </w:p>
    <w:p>
      <w:pPr>
        <w:ind w:left="840"/>
        <w:spacing w:after="0"/>
        <w:tabs>
          <w:tab w:leader="none" w:pos="2380" w:val="left"/>
        </w:tabs>
        <w:rPr>
          <w:sz w:val="20"/>
          <w:szCs w:val="20"/>
          <w:color w:val="auto"/>
        </w:rPr>
      </w:pPr>
      <w:r>
        <w:rPr>
          <w:rFonts w:ascii="Arial" w:cs="Arial" w:eastAsia="Arial" w:hAnsi="Arial"/>
          <w:sz w:val="15"/>
          <w:szCs w:val="15"/>
          <w:color w:val="auto"/>
        </w:rPr>
        <w:t>166</w:t>
      </w:r>
      <w:r>
        <w:rPr>
          <w:sz w:val="20"/>
          <w:szCs w:val="20"/>
          <w:color w:val="auto"/>
        </w:rPr>
        <w:tab/>
      </w:r>
      <w:r>
        <w:rPr>
          <w:rFonts w:ascii="Arial" w:cs="Arial" w:eastAsia="Arial" w:hAnsi="Arial"/>
          <w:sz w:val="15"/>
          <w:szCs w:val="15"/>
          <w:color w:val="auto"/>
        </w:rPr>
        <w:t>159</w:t>
      </w:r>
    </w:p>
    <w:p>
      <w:pPr>
        <w:spacing w:after="0" w:line="98" w:lineRule="exact"/>
        <w:rPr>
          <w:sz w:val="20"/>
          <w:szCs w:val="20"/>
          <w:color w:val="auto"/>
        </w:rPr>
      </w:pPr>
    </w:p>
    <w:p>
      <w:pPr>
        <w:ind w:left="920"/>
        <w:spacing w:after="0"/>
        <w:tabs>
          <w:tab w:leader="none" w:pos="248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16</w:t>
      </w:r>
    </w:p>
    <w:p>
      <w:pPr>
        <w:spacing w:after="0" w:line="109" w:lineRule="exact"/>
        <w:rPr>
          <w:sz w:val="20"/>
          <w:szCs w:val="20"/>
          <w:color w:val="auto"/>
        </w:rPr>
      </w:pPr>
    </w:p>
    <w:p>
      <w:pPr>
        <w:ind w:left="920"/>
        <w:spacing w:after="0"/>
        <w:tabs>
          <w:tab w:leader="none" w:pos="256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8</w:t>
      </w:r>
    </w:p>
    <w:p>
      <w:pPr>
        <w:spacing w:after="0" w:line="109" w:lineRule="exact"/>
        <w:rPr>
          <w:sz w:val="20"/>
          <w:szCs w:val="20"/>
          <w:color w:val="auto"/>
        </w:rPr>
      </w:pPr>
    </w:p>
    <w:p>
      <w:pPr>
        <w:ind w:left="920"/>
        <w:spacing w:after="0"/>
        <w:tabs>
          <w:tab w:leader="none" w:pos="248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14</w:t>
      </w:r>
    </w:p>
    <w:p>
      <w:pPr>
        <w:spacing w:after="0" w:line="109" w:lineRule="exact"/>
        <w:rPr>
          <w:sz w:val="20"/>
          <w:szCs w:val="20"/>
          <w:color w:val="auto"/>
        </w:rPr>
      </w:pPr>
    </w:p>
    <w:p>
      <w:pPr>
        <w:ind w:left="920"/>
        <w:spacing w:after="0"/>
        <w:tabs>
          <w:tab w:leader="none" w:pos="248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13</w:t>
      </w:r>
    </w:p>
    <w:p>
      <w:pPr>
        <w:spacing w:after="0" w:line="109" w:lineRule="exact"/>
        <w:rPr>
          <w:sz w:val="20"/>
          <w:szCs w:val="20"/>
          <w:color w:val="auto"/>
        </w:rPr>
      </w:pPr>
    </w:p>
    <w:p>
      <w:pPr>
        <w:ind w:left="840"/>
        <w:spacing w:after="0"/>
        <w:tabs>
          <w:tab w:leader="none" w:pos="2380" w:val="left"/>
        </w:tabs>
        <w:rPr>
          <w:sz w:val="20"/>
          <w:szCs w:val="20"/>
          <w:color w:val="auto"/>
        </w:rPr>
      </w:pPr>
      <w:r>
        <w:rPr>
          <w:rFonts w:ascii="Arial" w:cs="Arial" w:eastAsia="Arial" w:hAnsi="Arial"/>
          <w:sz w:val="15"/>
          <w:szCs w:val="15"/>
          <w:color w:val="auto"/>
        </w:rPr>
        <w:t>968</w:t>
      </w:r>
      <w:r>
        <w:rPr>
          <w:sz w:val="20"/>
          <w:szCs w:val="20"/>
          <w:color w:val="auto"/>
        </w:rPr>
        <w:tab/>
      </w:r>
      <w:r>
        <w:rPr>
          <w:rFonts w:ascii="Arial" w:cs="Arial" w:eastAsia="Arial" w:hAnsi="Arial"/>
          <w:sz w:val="15"/>
          <w:szCs w:val="15"/>
          <w:color w:val="auto"/>
        </w:rPr>
        <w:t>866</w:t>
      </w:r>
    </w:p>
    <w:p>
      <w:pPr>
        <w:spacing w:after="0" w:line="98" w:lineRule="exact"/>
        <w:rPr>
          <w:sz w:val="20"/>
          <w:szCs w:val="20"/>
          <w:color w:val="auto"/>
        </w:rPr>
      </w:pPr>
    </w:p>
    <w:p>
      <w:pPr>
        <w:ind w:left="920"/>
        <w:spacing w:after="0"/>
        <w:tabs>
          <w:tab w:leader="none" w:pos="248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55</w:t>
      </w:r>
    </w:p>
    <w:p>
      <w:pPr>
        <w:spacing w:after="0" w:line="109" w:lineRule="exact"/>
        <w:rPr>
          <w:sz w:val="20"/>
          <w:szCs w:val="20"/>
          <w:color w:val="auto"/>
        </w:rPr>
      </w:pPr>
    </w:p>
    <w:p>
      <w:pPr>
        <w:spacing w:after="0"/>
        <w:tabs>
          <w:tab w:leader="none" w:pos="820" w:val="left"/>
          <w:tab w:leader="none" w:pos="1560" w:val="left"/>
          <w:tab w:leader="none" w:pos="24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916</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52070</wp:posOffset>
            </wp:positionV>
            <wp:extent cx="17659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51" w:lineRule="exact"/>
        <w:rPr>
          <w:sz w:val="20"/>
          <w:szCs w:val="20"/>
          <w:color w:val="auto"/>
        </w:rPr>
      </w:pPr>
    </w:p>
    <w:p>
      <w:pPr>
        <w:sectPr>
          <w:pgSz w:w="11900" w:h="16838" w:orient="portrait"/>
          <w:cols w:equalWidth="0" w:num="2">
            <w:col w:w="7760" w:space="720"/>
            <w:col w:w="2760"/>
          </w:cols>
          <w:pgMar w:left="320" w:top="234" w:right="339" w:bottom="1440" w:gutter="0" w:footer="0" w:header="0"/>
          <w:type w:val="continuous"/>
        </w:sect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net investment income pertaining to other limited partnership interests of $73 million and $0 for the three months ended March 31, 2020 and 2019,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234" w:right="339" w:bottom="1440" w:gutter="0" w:footer="0" w:header="0"/>
          <w:type w:val="continuous"/>
        </w:sectPr>
      </w:pPr>
    </w:p>
    <w:bookmarkStart w:id="23" w:name="page24"/>
    <w:bookmarkEnd w:id="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Components of Net Investment Gains (Losses)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investment gains (losses)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2160" w:type="dxa"/>
            <w:vAlign w:val="bottom"/>
            <w:gridSpan w:val="4"/>
          </w:tcPr>
          <w:p>
            <w:pPr>
              <w:jc w:val="center"/>
              <w:ind w:left="404"/>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4"/>
                <w:szCs w:val="14"/>
                <w:color w:val="auto"/>
              </w:rPr>
            </w:pPr>
          </w:p>
        </w:tc>
      </w:tr>
      <w:tr>
        <w:trPr>
          <w:trHeight w:val="192"/>
        </w:trPr>
        <w:tc>
          <w:tcPr>
            <w:tcW w:w="86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222"/>
              <w:spacing w:after="0"/>
              <w:rPr>
                <w:sz w:val="20"/>
                <w:szCs w:val="20"/>
                <w:color w:val="auto"/>
              </w:rPr>
            </w:pPr>
            <w:r>
              <w:rPr>
                <w:rFonts w:ascii="Arial" w:cs="Arial" w:eastAsia="Arial" w:hAnsi="Arial"/>
                <w:sz w:val="14"/>
                <w:szCs w:val="14"/>
                <w:b w:val="1"/>
                <w:bCs w:val="1"/>
                <w:color w:val="auto"/>
                <w:w w:val="99"/>
              </w:rPr>
              <w:t>March 31,</w:t>
            </w:r>
          </w:p>
        </w:tc>
        <w:tc>
          <w:tcPr>
            <w:tcW w:w="460" w:type="dxa"/>
            <w:vAlign w:val="bottom"/>
            <w:tcBorders>
              <w:bottom w:val="single" w:sz="8" w:color="auto"/>
            </w:tcBorders>
          </w:tcPr>
          <w:p>
            <w:pPr>
              <w:spacing w:after="0"/>
              <w:rPr>
                <w:sz w:val="16"/>
                <w:szCs w:val="16"/>
                <w:color w:val="auto"/>
              </w:rPr>
            </w:pPr>
          </w:p>
        </w:tc>
      </w:tr>
      <w:tr>
        <w:trPr>
          <w:trHeight w:val="250"/>
        </w:trPr>
        <w:tc>
          <w:tcPr>
            <w:tcW w:w="862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1"/>
                <w:szCs w:val="21"/>
                <w:color w:val="auto"/>
              </w:rPr>
            </w:pPr>
          </w:p>
        </w:tc>
      </w:tr>
      <w:tr>
        <w:trPr>
          <w:trHeight w:val="196"/>
        </w:trPr>
        <w:tc>
          <w:tcPr>
            <w:tcW w:w="8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gridSpan w:val="3"/>
          </w:tcPr>
          <w:p>
            <w:pPr>
              <w:jc w:val="center"/>
              <w:ind w:right="262"/>
              <w:spacing w:after="0"/>
              <w:rPr>
                <w:sz w:val="20"/>
                <w:szCs w:val="20"/>
                <w:color w:val="auto"/>
              </w:rPr>
            </w:pPr>
            <w:r>
              <w:rPr>
                <w:rFonts w:ascii="Arial" w:cs="Arial" w:eastAsia="Arial" w:hAnsi="Arial"/>
                <w:sz w:val="14"/>
                <w:szCs w:val="14"/>
                <w:b w:val="1"/>
                <w:bCs w:val="1"/>
                <w:color w:val="auto"/>
                <w:w w:val="96"/>
              </w:rPr>
              <w:t>(In millions)</w:t>
            </w:r>
          </w:p>
        </w:tc>
        <w:tc>
          <w:tcPr>
            <w:tcW w:w="460" w:type="dxa"/>
            <w:vAlign w:val="bottom"/>
          </w:tcPr>
          <w:p>
            <w:pPr>
              <w:spacing w:after="0"/>
              <w:rPr>
                <w:sz w:val="17"/>
                <w:szCs w:val="17"/>
                <w:color w:val="auto"/>
              </w:rPr>
            </w:pPr>
          </w:p>
        </w:tc>
      </w:tr>
      <w:tr>
        <w:trPr>
          <w:trHeight w:val="256"/>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w:t>
            </w:r>
          </w:p>
        </w:tc>
        <w:tc>
          <w:tcPr>
            <w:tcW w:w="820" w:type="dxa"/>
            <w:vAlign w:val="bottom"/>
            <w:tcBorders>
              <w:bottom w:val="single" w:sz="8" w:color="CCEEFF"/>
            </w:tcBorders>
            <w:shd w:val="clear" w:color="auto" w:fill="CCEEFF"/>
          </w:tcPr>
          <w:p>
            <w:pPr>
              <w:jc w:val="right"/>
              <w:ind w:right="644"/>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ind w:right="99"/>
              <w:spacing w:after="0"/>
              <w:rPr>
                <w:sz w:val="20"/>
                <w:szCs w:val="20"/>
                <w:color w:val="auto"/>
              </w:rPr>
            </w:pPr>
            <w:r>
              <w:rPr>
                <w:rFonts w:ascii="Arial" w:cs="Arial" w:eastAsia="Arial" w:hAnsi="Arial"/>
                <w:sz w:val="16"/>
                <w:szCs w:val="16"/>
                <w:color w:val="auto"/>
              </w:rPr>
              <w:t>10</w:t>
            </w:r>
          </w:p>
        </w:tc>
      </w:tr>
      <w:tr>
        <w:trPr>
          <w:trHeight w:val="33"/>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loans</w:t>
            </w:r>
          </w:p>
        </w:tc>
        <w:tc>
          <w:tcPr>
            <w:tcW w:w="8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r>
      <w:tr>
        <w:trPr>
          <w:trHeight w:val="237"/>
        </w:trPr>
        <w:tc>
          <w:tcPr>
            <w:tcW w:w="8620" w:type="dxa"/>
            <w:vAlign w:val="bottom"/>
          </w:tcPr>
          <w:p>
            <w:pPr>
              <w:ind w:left="40"/>
              <w:spacing w:after="0"/>
              <w:rPr>
                <w:sz w:val="20"/>
                <w:szCs w:val="20"/>
                <w:color w:val="auto"/>
              </w:rPr>
            </w:pPr>
            <w:r>
              <w:rPr>
                <w:rFonts w:ascii="Arial" w:cs="Arial" w:eastAsia="Arial" w:hAnsi="Arial"/>
                <w:sz w:val="16"/>
                <w:szCs w:val="16"/>
                <w:color w:val="auto"/>
              </w:rPr>
              <w:t>Limited partnerships and LLCs</w:t>
            </w: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(3)</w:t>
            </w:r>
          </w:p>
        </w:tc>
      </w:tr>
      <w:tr>
        <w:trPr>
          <w:trHeight w:val="33"/>
        </w:trPr>
        <w:tc>
          <w:tcPr>
            <w:tcW w:w="8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7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8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r>
      <w:tr>
        <w:trPr>
          <w:trHeight w:val="243"/>
        </w:trPr>
        <w:tc>
          <w:tcPr>
            <w:tcW w:w="8620" w:type="dxa"/>
            <w:vAlign w:val="bottom"/>
          </w:tcPr>
          <w:p>
            <w:pPr>
              <w:ind w:left="200"/>
              <w:spacing w:after="0"/>
              <w:rPr>
                <w:sz w:val="20"/>
                <w:szCs w:val="20"/>
                <w:color w:val="auto"/>
              </w:rPr>
            </w:pPr>
            <w:r>
              <w:rPr>
                <w:rFonts w:ascii="Arial" w:cs="Arial" w:eastAsia="Arial" w:hAnsi="Arial"/>
                <w:sz w:val="16"/>
                <w:szCs w:val="16"/>
                <w:color w:val="auto"/>
              </w:rPr>
              <w:t>Total net investment gains (losses)</w:t>
            </w:r>
          </w:p>
        </w:tc>
        <w:tc>
          <w:tcPr>
            <w:tcW w:w="820" w:type="dxa"/>
            <w:vAlign w:val="bottom"/>
            <w:tcBorders>
              <w:top w:val="single" w:sz="8" w:color="auto"/>
              <w:bottom w:val="single" w:sz="8" w:color="auto"/>
            </w:tcBorders>
          </w:tcPr>
          <w:p>
            <w:pPr>
              <w:jc w:val="right"/>
              <w:ind w:right="644"/>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w:t>
            </w:r>
          </w:p>
        </w:tc>
      </w:tr>
      <w:tr>
        <w:trPr>
          <w:trHeight w:val="20"/>
        </w:trPr>
        <w:tc>
          <w:tcPr>
            <w:tcW w:w="86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Sales or Disposals of Fixed Maturity Securities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follows:</w:t>
      </w:r>
    </w:p>
    <w:p>
      <w:pPr>
        <w:spacing w:after="0" w:line="270"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6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13335</wp:posOffset>
            </wp:positionV>
            <wp:extent cx="1637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3,279</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Gross investment gains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60" w:type="dxa"/>
            <w:vAlign w:val="bottom"/>
            <w:vMerge w:val="continue"/>
          </w:tcPr>
          <w:p>
            <w:pPr>
              <w:spacing w:after="0"/>
              <w:rPr>
                <w:sz w:val="17"/>
                <w:szCs w:val="17"/>
                <w:color w:val="auto"/>
              </w:rPr>
            </w:pPr>
          </w:p>
        </w:tc>
        <w:tc>
          <w:tcPr>
            <w:tcW w:w="840" w:type="dxa"/>
            <w:vAlign w:val="bottom"/>
          </w:tcPr>
          <w:p>
            <w:pPr>
              <w:jc w:val="right"/>
              <w:ind w:right="661"/>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investment losses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7"/>
        </w:trPr>
        <w:tc>
          <w:tcPr>
            <w:tcW w:w="8660" w:type="dxa"/>
            <w:vAlign w:val="bottom"/>
          </w:tcPr>
          <w:p>
            <w:pPr>
              <w:ind w:left="200"/>
              <w:spacing w:after="0"/>
              <w:rPr>
                <w:sz w:val="20"/>
                <w:szCs w:val="20"/>
                <w:color w:val="auto"/>
              </w:rPr>
            </w:pPr>
            <w:r>
              <w:rPr>
                <w:rFonts w:ascii="Arial" w:cs="Arial" w:eastAsia="Arial" w:hAnsi="Arial"/>
                <w:sz w:val="16"/>
                <w:szCs w:val="16"/>
                <w:color w:val="auto"/>
              </w:rPr>
              <w:t>Net investment gains (losses)</w:t>
            </w:r>
          </w:p>
        </w:tc>
        <w:tc>
          <w:tcPr>
            <w:tcW w:w="840" w:type="dxa"/>
            <w:vAlign w:val="bottom"/>
            <w:tcBorders>
              <w:top w:val="single" w:sz="8" w:color="auto"/>
            </w:tcBorders>
          </w:tcPr>
          <w:p>
            <w:pPr>
              <w:jc w:val="right"/>
              <w:ind w:right="661"/>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See Note 1 of the Notes to the Consolidated Financial Statements included in the 2019 Annual Report for a description of the Company’s accounting policies for derivatives and Note 8 for information about the fair value hierarchy for derivatives.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Strategies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Types of Derivative Instruments and Derivative Strategies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Company maintains an overall risk management strategy that incorporates the use of derivative instruments to minimize its exposure to various market risks. Commonly used derivative instruments include, but are not necessarily limited to:</w:t>
      </w:r>
    </w:p>
    <w:p>
      <w:pPr>
        <w:spacing w:after="0" w:line="6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rate derivatives: swaps, caps, swaptions and forwards;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exchange rate derivatives: forwards and swaps;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Equity derivatives: options, total return swaps and variance swaps;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Credit derivatives: single and index reference credit default swaps.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For detailed information on these contracts and the related strategies, see Note 7 of the Notes to the Consolidated Financial Statements included in the 2019 Annual Report.</w:t>
      </w:r>
    </w:p>
    <w:p>
      <w:pPr>
        <w:sectPr>
          <w:pgSz w:w="11900" w:h="16838" w:orient="portrait"/>
          <w:cols w:equalWidth="0" w:num="1">
            <w:col w:w="11240"/>
          </w:cols>
          <w:pgMar w:left="320" w:top="234"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234" w:right="339" w:bottom="1440" w:gutter="0" w:footer="0" w:header="0"/>
          <w:type w:val="continuous"/>
        </w:sectPr>
      </w:pPr>
    </w:p>
    <w:bookmarkStart w:id="24" w:name="page25"/>
    <w:bookmarkEnd w:id="24"/>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Risks Managed by Derivatives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primary underlying risk exposure, gross notional amount and estimated fair value of derivatives held were as follows at:</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March 31, 2020</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December 31, 2019</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7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79"/>
              </w:rPr>
              <w:t>Gross</w:t>
            </w:r>
          </w:p>
        </w:tc>
        <w:tc>
          <w:tcPr>
            <w:tcW w:w="180" w:type="dxa"/>
            <w:vAlign w:val="bottom"/>
          </w:tcPr>
          <w:p>
            <w:pPr>
              <w:spacing w:after="0"/>
              <w:rPr>
                <w:sz w:val="19"/>
                <w:szCs w:val="19"/>
                <w:color w:val="auto"/>
              </w:rPr>
            </w:pPr>
          </w:p>
        </w:tc>
        <w:tc>
          <w:tcPr>
            <w:tcW w:w="1860" w:type="dxa"/>
            <w:vAlign w:val="bottom"/>
            <w:gridSpan w:val="5"/>
          </w:tcPr>
          <w:p>
            <w:pPr>
              <w:ind w:left="220"/>
              <w:spacing w:after="0"/>
              <w:rPr>
                <w:sz w:val="20"/>
                <w:szCs w:val="20"/>
                <w:color w:val="auto"/>
              </w:rPr>
            </w:pPr>
            <w:r>
              <w:rPr>
                <w:rFonts w:ascii="Arial" w:cs="Arial" w:eastAsia="Arial" w:hAnsi="Arial"/>
                <w:sz w:val="13"/>
                <w:szCs w:val="13"/>
                <w:b w:val="1"/>
                <w:bCs w:val="1"/>
                <w:color w:val="auto"/>
              </w:rPr>
              <w:t>Estimated Fair Value</w:t>
            </w:r>
          </w:p>
        </w:tc>
        <w:tc>
          <w:tcPr>
            <w:tcW w:w="140" w:type="dxa"/>
            <w:vAlign w:val="bottom"/>
          </w:tcPr>
          <w:p>
            <w:pPr>
              <w:spacing w:after="0"/>
              <w:rPr>
                <w:sz w:val="19"/>
                <w:szCs w:val="19"/>
                <w:color w:val="auto"/>
              </w:rPr>
            </w:pPr>
          </w:p>
        </w:tc>
        <w:tc>
          <w:tcPr>
            <w:tcW w:w="720" w:type="dxa"/>
            <w:vAlign w:val="bottom"/>
          </w:tcPr>
          <w:p>
            <w:pPr>
              <w:jc w:val="center"/>
              <w:ind w:right="73"/>
              <w:spacing w:after="0"/>
              <w:rPr>
                <w:sz w:val="20"/>
                <w:szCs w:val="20"/>
                <w:color w:val="auto"/>
              </w:rPr>
            </w:pPr>
            <w:r>
              <w:rPr>
                <w:rFonts w:ascii="Arial" w:cs="Arial" w:eastAsia="Arial" w:hAnsi="Arial"/>
                <w:sz w:val="13"/>
                <w:szCs w:val="13"/>
                <w:b w:val="1"/>
                <w:bCs w:val="1"/>
                <w:color w:val="auto"/>
                <w:w w:val="79"/>
              </w:rPr>
              <w:t>Gross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4"/>
          </w:tcPr>
          <w:p>
            <w:pPr>
              <w:ind w:left="200"/>
              <w:spacing w:after="0"/>
              <w:rPr>
                <w:sz w:val="20"/>
                <w:szCs w:val="20"/>
                <w:color w:val="auto"/>
              </w:rPr>
            </w:pPr>
            <w:r>
              <w:rPr>
                <w:rFonts w:ascii="Arial" w:cs="Arial" w:eastAsia="Arial" w:hAnsi="Arial"/>
                <w:sz w:val="13"/>
                <w:szCs w:val="13"/>
                <w:b w:val="1"/>
                <w:bCs w:val="1"/>
                <w:color w:val="auto"/>
              </w:rPr>
              <w:t>Estimated Fair Value</w:t>
            </w:r>
          </w:p>
        </w:tc>
        <w:tc>
          <w:tcPr>
            <w:tcW w:w="0" w:type="dxa"/>
            <w:vAlign w:val="bottom"/>
          </w:tcPr>
          <w:p>
            <w:pPr>
              <w:spacing w:after="0"/>
              <w:rPr>
                <w:sz w:val="1"/>
                <w:szCs w:val="1"/>
                <w:color w:val="auto"/>
              </w:rPr>
            </w:pPr>
          </w:p>
        </w:tc>
      </w:tr>
      <w:tr>
        <w:trPr>
          <w:trHeight w:val="32"/>
        </w:trPr>
        <w:tc>
          <w:tcPr>
            <w:tcW w:w="27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restart"/>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Notional</w:t>
            </w: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restart"/>
          </w:tcPr>
          <w:p>
            <w:pPr>
              <w:jc w:val="center"/>
              <w:ind w:right="73"/>
              <w:spacing w:after="0" w:line="135" w:lineRule="exact"/>
              <w:rPr>
                <w:sz w:val="20"/>
                <w:szCs w:val="20"/>
                <w:color w:val="auto"/>
              </w:rPr>
            </w:pPr>
            <w:r>
              <w:rPr>
                <w:rFonts w:ascii="Arial" w:cs="Arial" w:eastAsia="Arial" w:hAnsi="Arial"/>
                <w:sz w:val="13"/>
                <w:szCs w:val="13"/>
                <w:b w:val="1"/>
                <w:bCs w:val="1"/>
                <w:color w:val="auto"/>
                <w:w w:val="88"/>
              </w:rPr>
              <w:t>Notional</w:t>
            </w: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70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700" w:type="dxa"/>
            <w:vAlign w:val="bottom"/>
          </w:tcPr>
          <w:p>
            <w:pPr>
              <w:spacing w:after="0"/>
              <w:rPr>
                <w:sz w:val="15"/>
                <w:szCs w:val="15"/>
                <w:color w:val="auto"/>
              </w:rPr>
            </w:pPr>
          </w:p>
        </w:tc>
        <w:tc>
          <w:tcPr>
            <w:tcW w:w="2620" w:type="dxa"/>
            <w:vAlign w:val="bottom"/>
            <w:gridSpan w:val="2"/>
          </w:tcPr>
          <w:p>
            <w:pPr>
              <w:ind w:left="40"/>
              <w:spacing w:after="0"/>
              <w:rPr>
                <w:sz w:val="20"/>
                <w:szCs w:val="20"/>
                <w:color w:val="auto"/>
              </w:rPr>
            </w:pPr>
            <w:r>
              <w:rPr>
                <w:rFonts w:ascii="Arial" w:cs="Arial" w:eastAsia="Arial" w:hAnsi="Arial"/>
                <w:sz w:val="13"/>
                <w:szCs w:val="13"/>
                <w:b w:val="1"/>
                <w:bCs w:val="1"/>
                <w:color w:val="auto"/>
              </w:rPr>
              <w:t>Primary Underlying Risk Exposure</w:t>
            </w:r>
          </w:p>
        </w:tc>
        <w:tc>
          <w:tcPr>
            <w:tcW w:w="16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Arial" w:cs="Arial" w:eastAsia="Arial" w:hAnsi="Arial"/>
                <w:sz w:val="13"/>
                <w:szCs w:val="13"/>
                <w:b w:val="1"/>
                <w:bCs w:val="1"/>
                <w:color w:val="auto"/>
              </w:rPr>
              <w:t>Assets</w:t>
            </w:r>
          </w:p>
        </w:tc>
        <w:tc>
          <w:tcPr>
            <w:tcW w:w="14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Liabilities</w:t>
            </w:r>
          </w:p>
        </w:tc>
        <w:tc>
          <w:tcPr>
            <w:tcW w:w="140" w:type="dxa"/>
            <w:vAlign w:val="bottom"/>
          </w:tcPr>
          <w:p>
            <w:pPr>
              <w:spacing w:after="0"/>
              <w:rPr>
                <w:sz w:val="15"/>
                <w:szCs w:val="15"/>
                <w:color w:val="auto"/>
              </w:rPr>
            </w:pPr>
          </w:p>
        </w:tc>
        <w:tc>
          <w:tcPr>
            <w:tcW w:w="720" w:type="dxa"/>
            <w:vAlign w:val="bottom"/>
          </w:tcPr>
          <w:p>
            <w:pPr>
              <w:jc w:val="center"/>
              <w:ind w:right="73"/>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79"/>
              </w:rPr>
              <w:t>Assets</w:t>
            </w:r>
          </w:p>
        </w:tc>
        <w:tc>
          <w:tcPr>
            <w:tcW w:w="14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Arial" w:cs="Arial" w:eastAsia="Arial" w:hAnsi="Arial"/>
                <w:sz w:val="13"/>
                <w:szCs w:val="13"/>
                <w:b w:val="1"/>
                <w:bCs w:val="1"/>
                <w:color w:val="auto"/>
              </w:rPr>
              <w:t>Liabilities</w:t>
            </w:r>
          </w:p>
        </w:tc>
        <w:tc>
          <w:tcPr>
            <w:tcW w:w="0" w:type="dxa"/>
            <w:vAlign w:val="bottom"/>
          </w:tcPr>
          <w:p>
            <w:pPr>
              <w:spacing w:after="0"/>
              <w:rPr>
                <w:sz w:val="1"/>
                <w:szCs w:val="1"/>
                <w:color w:val="auto"/>
              </w:rPr>
            </w:pPr>
          </w:p>
        </w:tc>
      </w:tr>
      <w:tr>
        <w:trPr>
          <w:trHeight w:val="262"/>
        </w:trPr>
        <w:tc>
          <w:tcPr>
            <w:tcW w:w="2700" w:type="dxa"/>
            <w:vAlign w:val="bottom"/>
          </w:tcPr>
          <w:p>
            <w:pPr>
              <w:spacing w:after="0"/>
              <w:rPr>
                <w:sz w:val="22"/>
                <w:szCs w:val="22"/>
                <w:color w:val="auto"/>
              </w:rPr>
            </w:pPr>
          </w:p>
        </w:tc>
        <w:tc>
          <w:tcPr>
            <w:tcW w:w="2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gridSpan w:val="4"/>
          </w:tcPr>
          <w:p>
            <w:pPr>
              <w:jc w:val="right"/>
              <w:ind w:right="573"/>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32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70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70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forwards</w:t>
            </w:r>
          </w:p>
        </w:tc>
        <w:tc>
          <w:tcPr>
            <w:tcW w:w="2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 rate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420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Foreign currency swaps</w:t>
            </w:r>
          </w:p>
        </w:tc>
        <w:tc>
          <w:tcPr>
            <w:tcW w:w="2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Foreign currency exchange rate</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2,825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632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2,765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190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qualifying hedges</w:t>
            </w:r>
          </w:p>
        </w:tc>
        <w:tc>
          <w:tcPr>
            <w:tcW w:w="2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3,215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746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3,185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Derivatives Not Designated or Not Qualifying as Hedging Instruments: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28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Interest rate</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7,559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rPr>
              <w:t>Interest rate caps</w:t>
            </w:r>
          </w:p>
        </w:tc>
        <w:tc>
          <w:tcPr>
            <w:tcW w:w="2840" w:type="dxa"/>
            <w:vAlign w:val="bottom"/>
            <w:gridSpan w:val="2"/>
          </w:tcPr>
          <w:p>
            <w:pPr>
              <w:ind w:left="60"/>
              <w:spacing w:after="0"/>
              <w:rPr>
                <w:sz w:val="20"/>
                <w:szCs w:val="20"/>
                <w:color w:val="auto"/>
              </w:rPr>
            </w:pPr>
            <w:r>
              <w:rPr>
                <w:rFonts w:ascii="Arial" w:cs="Arial" w:eastAsia="Arial" w:hAnsi="Arial"/>
                <w:sz w:val="14"/>
                <w:szCs w:val="14"/>
                <w:color w:val="auto"/>
              </w:rPr>
              <w:t>Interest rate</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3,350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3,350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options</w:t>
            </w:r>
          </w:p>
        </w:tc>
        <w:tc>
          <w:tcPr>
            <w:tcW w:w="28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Interest rate</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27,650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3,657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833</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rPr>
              <w:t>Interest rate forwards</w:t>
            </w:r>
          </w:p>
        </w:tc>
        <w:tc>
          <w:tcPr>
            <w:tcW w:w="2840" w:type="dxa"/>
            <w:vAlign w:val="bottom"/>
            <w:gridSpan w:val="2"/>
          </w:tcPr>
          <w:p>
            <w:pPr>
              <w:ind w:left="60"/>
              <w:spacing w:after="0"/>
              <w:rPr>
                <w:sz w:val="20"/>
                <w:szCs w:val="20"/>
                <w:color w:val="auto"/>
              </w:rPr>
            </w:pPr>
            <w:r>
              <w:rPr>
                <w:rFonts w:ascii="Arial" w:cs="Arial" w:eastAsia="Arial" w:hAnsi="Arial"/>
                <w:sz w:val="14"/>
                <w:szCs w:val="14"/>
                <w:color w:val="auto"/>
              </w:rPr>
              <w:t>Interest rate</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6,656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1,439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114</w:t>
            </w:r>
          </w:p>
        </w:tc>
      </w:tr>
      <w:tr>
        <w:trPr>
          <w:trHeight w:val="276"/>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swaps</w:t>
            </w:r>
          </w:p>
        </w:tc>
        <w:tc>
          <w:tcPr>
            <w:tcW w:w="28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Foreign currency exchange rate</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rPr>
              <w:t>Foreign currency forwards</w:t>
            </w:r>
          </w:p>
        </w:tc>
        <w:tc>
          <w:tcPr>
            <w:tcW w:w="2840" w:type="dxa"/>
            <w:vAlign w:val="bottom"/>
            <w:gridSpan w:val="2"/>
          </w:tcPr>
          <w:p>
            <w:pPr>
              <w:ind w:left="60"/>
              <w:spacing w:after="0"/>
              <w:rPr>
                <w:sz w:val="20"/>
                <w:szCs w:val="20"/>
                <w:color w:val="auto"/>
              </w:rPr>
            </w:pPr>
            <w:r>
              <w:rPr>
                <w:rFonts w:ascii="Arial" w:cs="Arial" w:eastAsia="Arial" w:hAnsi="Arial"/>
                <w:sz w:val="14"/>
                <w:szCs w:val="14"/>
                <w:color w:val="auto"/>
              </w:rPr>
              <w:t>Foreign currency exchange rate</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6"/>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default swaps — purchased</w:t>
            </w:r>
          </w:p>
        </w:tc>
        <w:tc>
          <w:tcPr>
            <w:tcW w:w="28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Credit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rPr>
              <w:t>Credit default swaps — written</w:t>
            </w:r>
          </w:p>
        </w:tc>
        <w:tc>
          <w:tcPr>
            <w:tcW w:w="2840" w:type="dxa"/>
            <w:vAlign w:val="bottom"/>
            <w:gridSpan w:val="2"/>
          </w:tcPr>
          <w:p>
            <w:pPr>
              <w:ind w:left="60"/>
              <w:spacing w:after="0"/>
              <w:rPr>
                <w:sz w:val="20"/>
                <w:szCs w:val="20"/>
                <w:color w:val="auto"/>
              </w:rPr>
            </w:pPr>
            <w:r>
              <w:rPr>
                <w:rFonts w:ascii="Arial" w:cs="Arial" w:eastAsia="Arial" w:hAnsi="Arial"/>
                <w:sz w:val="14"/>
                <w:szCs w:val="14"/>
                <w:color w:val="auto"/>
              </w:rPr>
              <w:t>Credit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1,898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1,635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index options</w:t>
            </w:r>
          </w:p>
        </w:tc>
        <w:tc>
          <w:tcPr>
            <w:tcW w:w="28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Equity market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51,247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1,655</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51,509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1,728</w:t>
            </w: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rPr>
              <w:t>Equity variance swaps</w:t>
            </w:r>
          </w:p>
        </w:tc>
        <w:tc>
          <w:tcPr>
            <w:tcW w:w="2840" w:type="dxa"/>
            <w:vAlign w:val="bottom"/>
            <w:gridSpan w:val="2"/>
          </w:tcPr>
          <w:p>
            <w:pPr>
              <w:ind w:left="60"/>
              <w:spacing w:after="0"/>
              <w:rPr>
                <w:sz w:val="20"/>
                <w:szCs w:val="20"/>
                <w:color w:val="auto"/>
              </w:rPr>
            </w:pPr>
            <w:r>
              <w:rPr>
                <w:rFonts w:ascii="Arial" w:cs="Arial" w:eastAsia="Arial" w:hAnsi="Arial"/>
                <w:sz w:val="14"/>
                <w:szCs w:val="14"/>
                <w:color w:val="auto"/>
              </w:rPr>
              <w:t>Equity market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1,098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69</w:t>
            </w:r>
          </w:p>
        </w:tc>
      </w:tr>
      <w:tr>
        <w:trPr>
          <w:trHeight w:val="276"/>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total return swaps</w:t>
            </w:r>
          </w:p>
        </w:tc>
        <w:tc>
          <w:tcPr>
            <w:tcW w:w="28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Equity market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8,516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367</w:t>
            </w:r>
          </w:p>
        </w:tc>
      </w:tr>
      <w:tr>
        <w:trPr>
          <w:trHeight w:val="137"/>
        </w:trPr>
        <w:tc>
          <w:tcPr>
            <w:tcW w:w="2680" w:type="dxa"/>
            <w:vAlign w:val="bottom"/>
          </w:tcPr>
          <w:p>
            <w:pPr>
              <w:ind w:left="180"/>
              <w:spacing w:after="0" w:line="137" w:lineRule="exact"/>
              <w:rPr>
                <w:sz w:val="20"/>
                <w:szCs w:val="20"/>
                <w:color w:val="auto"/>
              </w:rPr>
            </w:pPr>
            <w:r>
              <w:rPr>
                <w:rFonts w:ascii="Arial" w:cs="Arial" w:eastAsia="Arial" w:hAnsi="Arial"/>
                <w:sz w:val="14"/>
                <w:szCs w:val="14"/>
                <w:color w:val="auto"/>
              </w:rPr>
              <w:t>Total non-designated or non-qualifying</w:t>
            </w:r>
          </w:p>
        </w:tc>
        <w:tc>
          <w:tcPr>
            <w:tcW w:w="26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r>
      <w:tr>
        <w:trPr>
          <w:trHeight w:val="188"/>
        </w:trPr>
        <w:tc>
          <w:tcPr>
            <w:tcW w:w="26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derivatives</w:t>
            </w:r>
          </w:p>
        </w:tc>
        <w:tc>
          <w:tcPr>
            <w:tcW w:w="26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104,673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8,738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2,641</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110,287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2,809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2,510</w:t>
            </w:r>
          </w:p>
        </w:tc>
      </w:tr>
      <w:tr>
        <w:trPr>
          <w:trHeight w:val="269"/>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Embedded derivatives:</w:t>
            </w:r>
          </w:p>
        </w:tc>
        <w:tc>
          <w:tcPr>
            <w:tcW w:w="26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w w:val="94"/>
              </w:rPr>
              <w:t>Ceded guaranteed minimum income benefits</w:t>
            </w:r>
          </w:p>
        </w:tc>
        <w:tc>
          <w:tcPr>
            <w:tcW w:w="2840" w:type="dxa"/>
            <w:vAlign w:val="bottom"/>
            <w:gridSpan w:val="2"/>
          </w:tcPr>
          <w:p>
            <w:pPr>
              <w:ind w:left="60"/>
              <w:spacing w:after="0"/>
              <w:rPr>
                <w:sz w:val="20"/>
                <w:szCs w:val="20"/>
                <w:color w:val="auto"/>
              </w:rPr>
            </w:pPr>
            <w:r>
              <w:rPr>
                <w:rFonts w:ascii="Arial" w:cs="Arial" w:eastAsia="Arial" w:hAnsi="Arial"/>
                <w:sz w:val="14"/>
                <w:szCs w:val="14"/>
                <w:color w:val="auto"/>
              </w:rPr>
              <w:t>Other</w:t>
            </w:r>
          </w:p>
        </w:tc>
        <w:tc>
          <w:tcPr>
            <w:tcW w:w="840" w:type="dxa"/>
            <w:vAlign w:val="bottom"/>
            <w:gridSpan w:val="2"/>
          </w:tcPr>
          <w:p>
            <w:pPr>
              <w:ind w:left="340"/>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22"/>
                <w:szCs w:val="22"/>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52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Direct index-linked annuities</w:t>
            </w:r>
          </w:p>
        </w:tc>
        <w:tc>
          <w:tcPr>
            <w:tcW w:w="28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Other</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N/A</w:t>
            </w:r>
          </w:p>
        </w:tc>
        <w:tc>
          <w:tcPr>
            <w:tcW w:w="28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N/A</w:t>
            </w:r>
          </w:p>
        </w:tc>
        <w:tc>
          <w:tcPr>
            <w:tcW w:w="2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2,253</w:t>
            </w:r>
          </w:p>
        </w:tc>
      </w:tr>
      <w:tr>
        <w:trPr>
          <w:trHeight w:val="264"/>
        </w:trPr>
        <w:tc>
          <w:tcPr>
            <w:tcW w:w="2680" w:type="dxa"/>
            <w:vAlign w:val="bottom"/>
          </w:tcPr>
          <w:p>
            <w:pPr>
              <w:ind w:left="40"/>
              <w:spacing w:after="0"/>
              <w:rPr>
                <w:sz w:val="20"/>
                <w:szCs w:val="20"/>
                <w:color w:val="auto"/>
              </w:rPr>
            </w:pPr>
            <w:r>
              <w:rPr>
                <w:rFonts w:ascii="Arial" w:cs="Arial" w:eastAsia="Arial" w:hAnsi="Arial"/>
                <w:sz w:val="14"/>
                <w:szCs w:val="14"/>
                <w:color w:val="auto"/>
              </w:rPr>
              <w:t>Direct guaranteed minimum benefits</w:t>
            </w:r>
          </w:p>
        </w:tc>
        <w:tc>
          <w:tcPr>
            <w:tcW w:w="2840" w:type="dxa"/>
            <w:vAlign w:val="bottom"/>
            <w:gridSpan w:val="2"/>
          </w:tcPr>
          <w:p>
            <w:pPr>
              <w:ind w:left="60"/>
              <w:spacing w:after="0"/>
              <w:rPr>
                <w:sz w:val="20"/>
                <w:szCs w:val="20"/>
                <w:color w:val="auto"/>
              </w:rPr>
            </w:pPr>
            <w:r>
              <w:rPr>
                <w:rFonts w:ascii="Arial" w:cs="Arial" w:eastAsia="Arial" w:hAnsi="Arial"/>
                <w:sz w:val="14"/>
                <w:szCs w:val="14"/>
                <w:color w:val="auto"/>
              </w:rPr>
              <w:t>Other</w:t>
            </w:r>
          </w:p>
        </w:tc>
        <w:tc>
          <w:tcPr>
            <w:tcW w:w="840" w:type="dxa"/>
            <w:vAlign w:val="bottom"/>
            <w:gridSpan w:val="2"/>
          </w:tcPr>
          <w:p>
            <w:pPr>
              <w:ind w:left="340"/>
              <w:spacing w:after="0"/>
              <w:rPr>
                <w:sz w:val="20"/>
                <w:szCs w:val="20"/>
                <w:color w:val="auto"/>
              </w:rPr>
            </w:pPr>
            <w:r>
              <w:rPr>
                <w:rFonts w:ascii="Arial" w:cs="Arial" w:eastAsia="Arial" w:hAnsi="Arial"/>
                <w:sz w:val="14"/>
                <w:szCs w:val="14"/>
                <w:color w:val="auto"/>
              </w:rPr>
              <w:t>N/A</w:t>
            </w:r>
          </w:p>
        </w:tc>
        <w:tc>
          <w:tcPr>
            <w:tcW w:w="280" w:type="dxa"/>
            <w:vAlign w:val="bottom"/>
          </w:tcPr>
          <w:p>
            <w:pPr>
              <w:spacing w:after="0"/>
              <w:rPr>
                <w:sz w:val="22"/>
                <w:szCs w:val="22"/>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4,415</w:t>
            </w:r>
          </w:p>
        </w:tc>
        <w:tc>
          <w:tcPr>
            <w:tcW w:w="120" w:type="dxa"/>
            <w:vAlign w:val="bottom"/>
          </w:tcPr>
          <w:p>
            <w:pPr>
              <w:spacing w:after="0"/>
              <w:rPr>
                <w:sz w:val="22"/>
                <w:szCs w:val="22"/>
                <w:color w:val="auto"/>
              </w:rPr>
            </w:pPr>
          </w:p>
        </w:tc>
        <w:tc>
          <w:tcPr>
            <w:tcW w:w="980" w:type="dxa"/>
            <w:vAlign w:val="bottom"/>
            <w:gridSpan w:val="2"/>
          </w:tcPr>
          <w:p>
            <w:pPr>
              <w:ind w:left="52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1,656</w:t>
            </w:r>
          </w:p>
        </w:tc>
      </w:tr>
      <w:tr>
        <w:trPr>
          <w:trHeight w:val="270"/>
        </w:trPr>
        <w:tc>
          <w:tcPr>
            <w:tcW w:w="2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Assumed index-linked annuities</w:t>
            </w:r>
          </w:p>
        </w:tc>
        <w:tc>
          <w:tcPr>
            <w:tcW w:w="2640" w:type="dxa"/>
            <w:vAlign w:val="bottom"/>
            <w:shd w:val="clear" w:color="auto" w:fill="CCEEFF"/>
          </w:tcPr>
          <w:p>
            <w:pPr>
              <w:ind w:left="6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c>
          <w:tcPr>
            <w:tcW w:w="1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339</w:t>
            </w:r>
          </w:p>
        </w:tc>
      </w:tr>
      <w:tr>
        <w:trPr>
          <w:trHeight w:val="250"/>
        </w:trPr>
        <w:tc>
          <w:tcPr>
            <w:tcW w:w="26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embedded derivatives</w:t>
            </w:r>
          </w:p>
        </w:tc>
        <w:tc>
          <w:tcPr>
            <w:tcW w:w="26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316</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4,579</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4,248</w:t>
            </w:r>
          </w:p>
        </w:tc>
      </w:tr>
      <w:tr>
        <w:trPr>
          <w:trHeight w:val="248"/>
        </w:trPr>
        <w:tc>
          <w:tcPr>
            <w:tcW w:w="2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2840" w:type="dxa"/>
            <w:vAlign w:val="bottom"/>
            <w:tcBorders>
              <w:bottom w:val="single" w:sz="8" w:color="CCEEFF"/>
            </w:tcBorders>
            <w:gridSpan w:val="2"/>
            <w:shd w:val="clear" w:color="auto" w:fill="CCEEFF"/>
          </w:tcPr>
          <w:p>
            <w:pPr>
              <w:ind w:left="26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107,888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9,800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7,222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   113,472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3,238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6,785</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Based on gross notional amounts, a substantial portion of the Company’s derivatives was not designated or did not qualify as part of a hedging relationship at both March 31, 2020 and December 31, 2019. The Company’s use of derivatives includes (i) derivatives that serve as macro hedges of the Company’s exposure to various risks and generally do not qualify for hedge accounting because they do not meet the criteria required under portfolio hedging rules; (ii) derivatives that economically hedge insurance liabilities and generally do not qualify for hedge accounting because they do not meet the criteria of being “highly effective” as outlined in ASC 815; (iii) derivatives that economically hedge embedded derivatives that do not qualify for hedge accounting because the changes in estimated fair value of the embedded derivatives are already recorded in net income; and (iv) written credit default swaps that are used to create synthetic credit investments and that do not qualify for hedge accounting because they do not involve a hedging relationship.</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234" w:right="339" w:bottom="1440" w:gutter="0" w:footer="0" w:header="0"/>
        </w:sectPr>
      </w:pPr>
    </w:p>
    <w:bookmarkStart w:id="25" w:name="page26"/>
    <w:bookmarkEnd w:id="25"/>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amount and location of gains (losses), including earned income, recognized for derivatives and gains (losses) pertaining to hedged items presented in net derivative gains (losses)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 Derivative Gains</w:t>
            </w:r>
          </w:p>
        </w:tc>
        <w:tc>
          <w:tcPr>
            <w:tcW w:w="100" w:type="dxa"/>
            <w:vAlign w:val="bottom"/>
          </w:tcPr>
          <w:p>
            <w:pPr>
              <w:spacing w:after="0"/>
              <w:rPr>
                <w:sz w:val="14"/>
                <w:szCs w:val="1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Net Derivative Gains</w:t>
            </w:r>
          </w:p>
        </w:tc>
        <w:tc>
          <w:tcPr>
            <w:tcW w:w="140" w:type="dxa"/>
            <w:vAlign w:val="bottom"/>
          </w:tcPr>
          <w:p>
            <w:pPr>
              <w:spacing w:after="0"/>
              <w:rPr>
                <w:sz w:val="14"/>
                <w:szCs w:val="14"/>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Net Investment</w:t>
            </w:r>
          </w:p>
        </w:tc>
        <w:tc>
          <w:tcPr>
            <w:tcW w:w="15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Policyholder Benefits</w:t>
            </w:r>
          </w:p>
        </w:tc>
        <w:tc>
          <w:tcPr>
            <w:tcW w:w="100" w:type="dxa"/>
            <w:vAlign w:val="bottom"/>
          </w:tcPr>
          <w:p>
            <w:pPr>
              <w:spacing w:after="0"/>
              <w:rPr>
                <w:sz w:val="14"/>
                <w:szCs w:val="14"/>
                <w:color w:val="auto"/>
              </w:rPr>
            </w:pPr>
          </w:p>
        </w:tc>
        <w:tc>
          <w:tcPr>
            <w:tcW w:w="134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Amount of Gains</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(Losses) Recognized for</w:t>
            </w:r>
          </w:p>
        </w:tc>
        <w:tc>
          <w:tcPr>
            <w:tcW w:w="100" w:type="dxa"/>
            <w:vAlign w:val="bottom"/>
          </w:tcPr>
          <w:p>
            <w:pPr>
              <w:spacing w:after="0"/>
              <w:rPr>
                <w:sz w:val="12"/>
                <w:szCs w:val="12"/>
                <w:color w:val="auto"/>
              </w:rPr>
            </w:pPr>
          </w:p>
        </w:tc>
        <w:tc>
          <w:tcPr>
            <w:tcW w:w="15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(Losses) Recognized</w:t>
            </w: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(Losses) deferred in</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for Hedged Items</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Income</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and Claims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shd w:val="clear" w:color="auto" w:fill="CCEEFF"/>
              </w:rPr>
              <w:t>Three Months Ended March 31, 2020</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3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3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 hedges:</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3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500" w:type="dxa"/>
            <w:vAlign w:val="bottom"/>
          </w:tcPr>
          <w:p>
            <w:pPr>
              <w:ind w:left="40"/>
              <w:spacing w:after="0"/>
              <w:rPr>
                <w:sz w:val="20"/>
                <w:szCs w:val="20"/>
                <w:color w:val="auto"/>
              </w:rPr>
            </w:pPr>
            <w:r>
              <w:rPr>
                <w:rFonts w:ascii="Arial" w:cs="Arial" w:eastAsia="Arial" w:hAnsi="Arial"/>
                <w:sz w:val="14"/>
                <w:szCs w:val="14"/>
                <w:color w:val="auto"/>
              </w:rPr>
              <w:t>Interest rate derivatives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73"/>
        </w:trPr>
        <w:tc>
          <w:tcPr>
            <w:tcW w:w="35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 derivatives</w:t>
            </w:r>
          </w:p>
        </w:tc>
        <w:tc>
          <w:tcPr>
            <w:tcW w:w="12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463</w:t>
            </w:r>
          </w:p>
        </w:tc>
        <w:tc>
          <w:tcPr>
            <w:tcW w:w="0" w:type="dxa"/>
            <w:vAlign w:val="bottom"/>
          </w:tcPr>
          <w:p>
            <w:pPr>
              <w:spacing w:after="0"/>
              <w:rPr>
                <w:sz w:val="1"/>
                <w:szCs w:val="1"/>
                <w:color w:val="auto"/>
              </w:rPr>
            </w:pPr>
          </w:p>
        </w:tc>
      </w:tr>
      <w:tr>
        <w:trPr>
          <w:trHeight w:val="73"/>
        </w:trPr>
        <w:tc>
          <w:tcPr>
            <w:tcW w:w="35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4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00" w:type="dxa"/>
            <w:vAlign w:val="bottom"/>
          </w:tcPr>
          <w:p>
            <w:pPr>
              <w:ind w:left="180"/>
              <w:spacing w:after="0"/>
              <w:rPr>
                <w:sz w:val="20"/>
                <w:szCs w:val="20"/>
                <w:color w:val="auto"/>
              </w:rPr>
            </w:pPr>
            <w:r>
              <w:rPr>
                <w:rFonts w:ascii="Arial" w:cs="Arial" w:eastAsia="Arial" w:hAnsi="Arial"/>
                <w:sz w:val="14"/>
                <w:szCs w:val="14"/>
                <w:color w:val="auto"/>
              </w:rPr>
              <w:t>Total cash flow hedges</w:t>
            </w:r>
          </w:p>
        </w:tc>
        <w:tc>
          <w:tcPr>
            <w:tcW w:w="120" w:type="dxa"/>
            <w:vAlign w:val="bottom"/>
          </w:tcPr>
          <w:p>
            <w:pPr>
              <w:spacing w:after="0"/>
              <w:rPr>
                <w:sz w:val="21"/>
                <w:szCs w:val="21"/>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39"/>
        </w:trPr>
        <w:tc>
          <w:tcPr>
            <w:tcW w:w="350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Not Designated or Not Qualifying as</w:t>
            </w:r>
          </w:p>
        </w:tc>
        <w:tc>
          <w:tcPr>
            <w:tcW w:w="12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00" w:type="dxa"/>
            <w:vAlign w:val="bottom"/>
          </w:tcPr>
          <w:p>
            <w:pPr>
              <w:ind w:left="40"/>
              <w:spacing w:after="0"/>
              <w:rPr>
                <w:sz w:val="20"/>
                <w:szCs w:val="20"/>
                <w:color w:val="auto"/>
              </w:rPr>
            </w:pPr>
            <w:r>
              <w:rPr>
                <w:rFonts w:ascii="Arial" w:cs="Arial" w:eastAsia="Arial" w:hAnsi="Arial"/>
                <w:sz w:val="14"/>
                <w:szCs w:val="14"/>
                <w:color w:val="auto"/>
              </w:rPr>
              <w:t>Interest rate derivatives</w:t>
            </w:r>
          </w:p>
        </w:tc>
        <w:tc>
          <w:tcPr>
            <w:tcW w:w="120" w:type="dxa"/>
            <w:vAlign w:val="bottom"/>
          </w:tcPr>
          <w:p>
            <w:pPr>
              <w:spacing w:after="0"/>
              <w:rPr>
                <w:sz w:val="16"/>
                <w:szCs w:val="16"/>
                <w:color w:val="auto"/>
              </w:rPr>
            </w:pP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auto"/>
              </w:rPr>
              <w:t>4,921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32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3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 derivatives</w:t>
            </w:r>
          </w:p>
        </w:tc>
        <w:tc>
          <w:tcPr>
            <w:tcW w:w="12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3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00" w:type="dxa"/>
            <w:vAlign w:val="bottom"/>
          </w:tcPr>
          <w:p>
            <w:pPr>
              <w:ind w:left="40"/>
              <w:spacing w:after="0"/>
              <w:rPr>
                <w:sz w:val="20"/>
                <w:szCs w:val="20"/>
                <w:color w:val="auto"/>
              </w:rPr>
            </w:pPr>
            <w:r>
              <w:rPr>
                <w:rFonts w:ascii="Arial" w:cs="Arial" w:eastAsia="Arial" w:hAnsi="Arial"/>
                <w:sz w:val="14"/>
                <w:szCs w:val="14"/>
                <w:color w:val="auto"/>
              </w:rPr>
              <w:t>Credit derivatives</w:t>
            </w:r>
          </w:p>
        </w:tc>
        <w:tc>
          <w:tcPr>
            <w:tcW w:w="12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32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3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derivatives</w:t>
            </w:r>
          </w:p>
        </w:tc>
        <w:tc>
          <w:tcPr>
            <w:tcW w:w="12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1,964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3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500" w:type="dxa"/>
            <w:vAlign w:val="bottom"/>
          </w:tcPr>
          <w:p>
            <w:pPr>
              <w:ind w:left="40"/>
              <w:spacing w:after="0"/>
              <w:rPr>
                <w:sz w:val="20"/>
                <w:szCs w:val="20"/>
                <w:color w:val="auto"/>
              </w:rPr>
            </w:pPr>
            <w:r>
              <w:rPr>
                <w:rFonts w:ascii="Arial" w:cs="Arial" w:eastAsia="Arial" w:hAnsi="Arial"/>
                <w:sz w:val="14"/>
                <w:szCs w:val="14"/>
                <w:color w:val="auto"/>
              </w:rPr>
              <w:t>Embedded derivatives</w:t>
            </w:r>
          </w:p>
        </w:tc>
        <w:tc>
          <w:tcPr>
            <w:tcW w:w="12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35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non-qualifying hedges</w:t>
            </w: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6,908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3500" w:type="dxa"/>
            <w:vAlign w:val="bottom"/>
          </w:tcPr>
          <w:p>
            <w:pPr>
              <w:ind w:left="180"/>
              <w:spacing w:after="0"/>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6,909</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29"/>
        </w:trPr>
        <w:tc>
          <w:tcPr>
            <w:tcW w:w="3500" w:type="dxa"/>
            <w:vAlign w:val="bottom"/>
            <w:tcBorders>
              <w:top w:val="single" w:sz="8" w:color="CCEEFF"/>
            </w:tcBorders>
            <w:shd w:val="clear" w:color="auto" w:fill="CCEEFF"/>
          </w:tcPr>
          <w:p>
            <w:pPr>
              <w:ind w:left="40"/>
              <w:spacing w:after="0" w:line="129" w:lineRule="exact"/>
              <w:rPr>
                <w:sz w:val="20"/>
                <w:szCs w:val="20"/>
                <w:color w:val="auto"/>
              </w:rPr>
            </w:pPr>
            <w:r>
              <w:rPr>
                <w:rFonts w:ascii="Arial" w:cs="Arial" w:eastAsia="Arial" w:hAnsi="Arial"/>
                <w:sz w:val="14"/>
                <w:szCs w:val="14"/>
                <w:b w:val="1"/>
                <w:bCs w:val="1"/>
                <w:color w:val="auto"/>
                <w:shd w:val="clear" w:color="auto" w:fill="CCEEFF"/>
              </w:rPr>
              <w:t>Three Months Ended March 31, 2019</w:t>
            </w:r>
          </w:p>
        </w:tc>
        <w:tc>
          <w:tcPr>
            <w:tcW w:w="120" w:type="dxa"/>
            <w:vAlign w:val="bottom"/>
            <w:tcBorders>
              <w:top w:val="single" w:sz="8" w:color="auto"/>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3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 hedges:</w:t>
            </w: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3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500" w:type="dxa"/>
            <w:vAlign w:val="bottom"/>
          </w:tcPr>
          <w:p>
            <w:pPr>
              <w:ind w:left="40"/>
              <w:spacing w:after="0"/>
              <w:rPr>
                <w:sz w:val="20"/>
                <w:szCs w:val="20"/>
                <w:color w:val="auto"/>
              </w:rPr>
            </w:pPr>
            <w:r>
              <w:rPr>
                <w:rFonts w:ascii="Arial" w:cs="Arial" w:eastAsia="Arial" w:hAnsi="Arial"/>
                <w:sz w:val="14"/>
                <w:szCs w:val="14"/>
                <w:color w:val="auto"/>
              </w:rPr>
              <w:t>Interest rate derivatives</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35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 derivatives</w:t>
            </w:r>
          </w:p>
        </w:tc>
        <w:tc>
          <w:tcPr>
            <w:tcW w:w="12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73"/>
        </w:trPr>
        <w:tc>
          <w:tcPr>
            <w:tcW w:w="35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4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00" w:type="dxa"/>
            <w:vAlign w:val="bottom"/>
          </w:tcPr>
          <w:p>
            <w:pPr>
              <w:ind w:left="180"/>
              <w:spacing w:after="0"/>
              <w:rPr>
                <w:sz w:val="20"/>
                <w:szCs w:val="20"/>
                <w:color w:val="auto"/>
              </w:rPr>
            </w:pPr>
            <w:r>
              <w:rPr>
                <w:rFonts w:ascii="Arial" w:cs="Arial" w:eastAsia="Arial" w:hAnsi="Arial"/>
                <w:sz w:val="14"/>
                <w:szCs w:val="14"/>
                <w:color w:val="auto"/>
              </w:rPr>
              <w:t>Total cash flow hedges</w:t>
            </w:r>
          </w:p>
        </w:tc>
        <w:tc>
          <w:tcPr>
            <w:tcW w:w="120" w:type="dxa"/>
            <w:vAlign w:val="bottom"/>
          </w:tcPr>
          <w:p>
            <w:pPr>
              <w:spacing w:after="0"/>
              <w:rPr>
                <w:sz w:val="21"/>
                <w:szCs w:val="21"/>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39"/>
        </w:trPr>
        <w:tc>
          <w:tcPr>
            <w:tcW w:w="3500" w:type="dxa"/>
            <w:vAlign w:val="bottom"/>
            <w:tcBorders>
              <w:top w:val="single" w:sz="8" w:color="CCEEFF"/>
            </w:tcBorders>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Derivatives Not Designated or Not Qualifying as</w:t>
            </w:r>
          </w:p>
        </w:tc>
        <w:tc>
          <w:tcPr>
            <w:tcW w:w="120" w:type="dxa"/>
            <w:vAlign w:val="bottom"/>
            <w:tcBorders>
              <w:top w:val="single" w:sz="8" w:color="auto"/>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00" w:type="dxa"/>
            <w:vAlign w:val="bottom"/>
          </w:tcPr>
          <w:p>
            <w:pPr>
              <w:ind w:left="40"/>
              <w:spacing w:after="0"/>
              <w:rPr>
                <w:sz w:val="20"/>
                <w:szCs w:val="20"/>
                <w:color w:val="auto"/>
              </w:rPr>
            </w:pPr>
            <w:r>
              <w:rPr>
                <w:rFonts w:ascii="Arial" w:cs="Arial" w:eastAsia="Arial" w:hAnsi="Arial"/>
                <w:sz w:val="14"/>
                <w:szCs w:val="14"/>
                <w:color w:val="auto"/>
              </w:rPr>
              <w:t>Interest rate derivatives</w:t>
            </w:r>
          </w:p>
        </w:tc>
        <w:tc>
          <w:tcPr>
            <w:tcW w:w="120" w:type="dxa"/>
            <w:vAlign w:val="bottom"/>
          </w:tcPr>
          <w:p>
            <w:pPr>
              <w:spacing w:after="0"/>
              <w:rPr>
                <w:sz w:val="16"/>
                <w:szCs w:val="16"/>
                <w:color w:val="auto"/>
              </w:rPr>
            </w:pP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32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3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exchange rate derivatives</w:t>
            </w:r>
          </w:p>
        </w:tc>
        <w:tc>
          <w:tcPr>
            <w:tcW w:w="12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3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00" w:type="dxa"/>
            <w:vAlign w:val="bottom"/>
          </w:tcPr>
          <w:p>
            <w:pPr>
              <w:ind w:left="40"/>
              <w:spacing w:after="0"/>
              <w:rPr>
                <w:sz w:val="20"/>
                <w:szCs w:val="20"/>
                <w:color w:val="auto"/>
              </w:rPr>
            </w:pPr>
            <w:r>
              <w:rPr>
                <w:rFonts w:ascii="Arial" w:cs="Arial" w:eastAsia="Arial" w:hAnsi="Arial"/>
                <w:sz w:val="14"/>
                <w:szCs w:val="14"/>
                <w:color w:val="auto"/>
              </w:rPr>
              <w:t>Credit derivatives</w:t>
            </w:r>
          </w:p>
        </w:tc>
        <w:tc>
          <w:tcPr>
            <w:tcW w:w="120" w:type="dxa"/>
            <w:vAlign w:val="bottom"/>
          </w:tcPr>
          <w:p>
            <w:pPr>
              <w:spacing w:after="0"/>
              <w:rPr>
                <w:sz w:val="16"/>
                <w:szCs w:val="16"/>
                <w:color w:val="auto"/>
              </w:rPr>
            </w:pPr>
          </w:p>
        </w:tc>
        <w:tc>
          <w:tcPr>
            <w:tcW w:w="1460" w:type="dxa"/>
            <w:vAlign w:val="bottom"/>
            <w:vMerge w:val="restart"/>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32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3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derivatives</w:t>
            </w:r>
          </w:p>
        </w:tc>
        <w:tc>
          <w:tcPr>
            <w:tcW w:w="120" w:type="dxa"/>
            <w:vAlign w:val="bottom"/>
            <w:shd w:val="clear" w:color="auto" w:fill="CCEEFF"/>
          </w:tcPr>
          <w:p>
            <w:pPr>
              <w:spacing w:after="0"/>
              <w:rPr>
                <w:sz w:val="17"/>
                <w:szCs w:val="17"/>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9"/>
        </w:trPr>
        <w:tc>
          <w:tcPr>
            <w:tcW w:w="3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500" w:type="dxa"/>
            <w:vAlign w:val="bottom"/>
          </w:tcPr>
          <w:p>
            <w:pPr>
              <w:ind w:left="40"/>
              <w:spacing w:after="0"/>
              <w:rPr>
                <w:sz w:val="20"/>
                <w:szCs w:val="20"/>
                <w:color w:val="auto"/>
              </w:rPr>
            </w:pPr>
            <w:r>
              <w:rPr>
                <w:rFonts w:ascii="Arial" w:cs="Arial" w:eastAsia="Arial" w:hAnsi="Arial"/>
                <w:sz w:val="14"/>
                <w:szCs w:val="14"/>
                <w:color w:val="auto"/>
              </w:rPr>
              <w:t>Embedded derivatives</w:t>
            </w:r>
          </w:p>
        </w:tc>
        <w:tc>
          <w:tcPr>
            <w:tcW w:w="12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35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non-qualifying hedges</w:t>
            </w:r>
          </w:p>
        </w:tc>
        <w:tc>
          <w:tcPr>
            <w:tcW w:w="1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(1,303)</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2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0" w:firstLine="324"/>
        <w:spacing w:after="0" w:line="375" w:lineRule="auto"/>
        <w:rPr>
          <w:sz w:val="20"/>
          <w:szCs w:val="20"/>
          <w:color w:val="auto"/>
        </w:rPr>
      </w:pPr>
      <w:r>
        <w:rPr>
          <w:rFonts w:ascii="Arial" w:cs="Arial" w:eastAsia="Arial" w:hAnsi="Arial"/>
          <w:sz w:val="18"/>
          <w:szCs w:val="18"/>
          <w:color w:val="auto"/>
        </w:rPr>
        <w:t xml:space="preserve">At March 31, 2020 and December 31, 2019, the balance in AOCI associated with cash flow hedges was $803 million and $245 million, respectively. </w:t>
      </w:r>
      <w:r>
        <w:rPr>
          <w:rFonts w:ascii="Arial" w:cs="Arial" w:eastAsia="Arial" w:hAnsi="Arial"/>
          <w:sz w:val="18"/>
          <w:szCs w:val="18"/>
          <w:b w:val="1"/>
          <w:bCs w:val="1"/>
          <w:i w:val="1"/>
          <w:iCs w:val="1"/>
          <w:color w:val="auto"/>
        </w:rPr>
        <w:t>Credit Derivatives</w:t>
      </w:r>
    </w:p>
    <w:p>
      <w:pPr>
        <w:spacing w:after="0" w:line="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234" w:right="339" w:bottom="1440" w:gutter="0" w:footer="0" w:header="0"/>
        </w:sectPr>
      </w:pPr>
    </w:p>
    <w:bookmarkStart w:id="26" w:name="page27"/>
    <w:bookmarkEnd w:id="26"/>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estimated fair value, maximum amount of future payments and weighted average years to maturity of written credit default swaps were as follows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b w:val="1"/>
                <w:bCs w:val="1"/>
                <w:color w:val="auto"/>
              </w:rPr>
              <w:t>March 31, 2020</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December 31, 2019</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3"/>
                <w:szCs w:val="13"/>
                <w:color w:val="auto"/>
              </w:rPr>
            </w:pPr>
          </w:p>
        </w:tc>
        <w:tc>
          <w:tcPr>
            <w:tcW w:w="1300" w:type="dxa"/>
            <w:vAlign w:val="bottom"/>
          </w:tcPr>
          <w:p>
            <w:pPr>
              <w:jc w:val="center"/>
              <w:ind w:right="105"/>
              <w:spacing w:after="0" w:line="153" w:lineRule="exact"/>
              <w:rPr>
                <w:sz w:val="20"/>
                <w:szCs w:val="20"/>
                <w:color w:val="auto"/>
              </w:rPr>
            </w:pPr>
            <w:r>
              <w:rPr>
                <w:rFonts w:ascii="Arial" w:cs="Arial" w:eastAsia="Arial" w:hAnsi="Arial"/>
                <w:sz w:val="14"/>
                <w:szCs w:val="14"/>
                <w:b w:val="1"/>
                <w:bCs w:val="1"/>
                <w:color w:val="auto"/>
                <w:w w:val="99"/>
              </w:rPr>
              <w:t>Maximum</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Estimated</w:t>
            </w:r>
          </w:p>
        </w:tc>
        <w:tc>
          <w:tcPr>
            <w:tcW w:w="180" w:type="dxa"/>
            <w:vAlign w:val="bottom"/>
          </w:tcPr>
          <w:p>
            <w:pPr>
              <w:spacing w:after="0"/>
              <w:rPr>
                <w:sz w:val="13"/>
                <w:szCs w:val="13"/>
                <w:color w:val="auto"/>
              </w:rPr>
            </w:pPr>
          </w:p>
        </w:tc>
        <w:tc>
          <w:tcPr>
            <w:tcW w:w="1280" w:type="dxa"/>
            <w:vAlign w:val="bottom"/>
          </w:tcPr>
          <w:p>
            <w:pPr>
              <w:jc w:val="center"/>
              <w:ind w:right="125"/>
              <w:spacing w:after="0" w:line="153" w:lineRule="exact"/>
              <w:rPr>
                <w:sz w:val="20"/>
                <w:szCs w:val="20"/>
                <w:color w:val="auto"/>
              </w:rPr>
            </w:pPr>
            <w:r>
              <w:rPr>
                <w:rFonts w:ascii="Arial" w:cs="Arial" w:eastAsia="Arial" w:hAnsi="Arial"/>
                <w:sz w:val="14"/>
                <w:szCs w:val="14"/>
                <w:b w:val="1"/>
                <w:bCs w:val="1"/>
                <w:color w:val="auto"/>
                <w:w w:val="99"/>
              </w:rPr>
              <w:t>Maximum</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4"/>
              </w:rPr>
              <w:t>Amount of</w:t>
            </w: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4"/>
              </w:rPr>
              <w:t>Amount of</w:t>
            </w:r>
          </w:p>
        </w:tc>
        <w:tc>
          <w:tcPr>
            <w:tcW w:w="1220" w:type="dxa"/>
            <w:vAlign w:val="bottom"/>
            <w:vMerge w:val="restart"/>
          </w:tcPr>
          <w:p>
            <w:pPr>
              <w:jc w:val="center"/>
              <w:ind w:left="24"/>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6"/>
              </w:rPr>
              <w:t>Future</w:t>
            </w: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2"/>
                <w:szCs w:val="12"/>
                <w:color w:val="auto"/>
              </w:rPr>
            </w:pPr>
          </w:p>
        </w:tc>
        <w:tc>
          <w:tcPr>
            <w:tcW w:w="128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6"/>
              </w:rPr>
              <w:t>Future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Rating Agency Designation of Referenced</w:t>
            </w: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of Credit</w:t>
            </w: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3"/>
              </w:rPr>
              <w:t>Payments under</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of Credit</w:t>
            </w:r>
          </w:p>
        </w:tc>
        <w:tc>
          <w:tcPr>
            <w:tcW w:w="180" w:type="dxa"/>
            <w:vAlign w:val="bottom"/>
          </w:tcPr>
          <w:p>
            <w:pPr>
              <w:spacing w:after="0"/>
              <w:rPr>
                <w:sz w:val="12"/>
                <w:szCs w:val="12"/>
                <w:color w:val="auto"/>
              </w:rPr>
            </w:pPr>
          </w:p>
        </w:tc>
        <w:tc>
          <w:tcPr>
            <w:tcW w:w="128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3"/>
              </w:rPr>
              <w:t>Payments under</w:t>
            </w:r>
          </w:p>
        </w:tc>
        <w:tc>
          <w:tcPr>
            <w:tcW w:w="122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3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Default</w:t>
            </w:r>
          </w:p>
        </w:tc>
        <w:tc>
          <w:tcPr>
            <w:tcW w:w="160" w:type="dxa"/>
            <w:vAlign w:val="bottom"/>
          </w:tcPr>
          <w:p>
            <w:pPr>
              <w:spacing w:after="0"/>
              <w:rPr>
                <w:sz w:val="12"/>
                <w:szCs w:val="12"/>
                <w:color w:val="auto"/>
              </w:rPr>
            </w:pPr>
          </w:p>
        </w:tc>
        <w:tc>
          <w:tcPr>
            <w:tcW w:w="130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8"/>
              </w:rPr>
              <w:t>Credit Default</w:t>
            </w: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Years to</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Default</w:t>
            </w:r>
          </w:p>
        </w:tc>
        <w:tc>
          <w:tcPr>
            <w:tcW w:w="180" w:type="dxa"/>
            <w:vAlign w:val="bottom"/>
          </w:tcPr>
          <w:p>
            <w:pPr>
              <w:spacing w:after="0"/>
              <w:rPr>
                <w:sz w:val="12"/>
                <w:szCs w:val="12"/>
                <w:color w:val="auto"/>
              </w:rPr>
            </w:pPr>
          </w:p>
        </w:tc>
        <w:tc>
          <w:tcPr>
            <w:tcW w:w="1280" w:type="dxa"/>
            <w:vAlign w:val="bottom"/>
          </w:tcPr>
          <w:p>
            <w:pPr>
              <w:jc w:val="center"/>
              <w:ind w:right="105"/>
              <w:spacing w:after="0" w:line="149" w:lineRule="exact"/>
              <w:rPr>
                <w:sz w:val="20"/>
                <w:szCs w:val="20"/>
                <w:color w:val="auto"/>
              </w:rPr>
            </w:pPr>
            <w:r>
              <w:rPr>
                <w:rFonts w:ascii="Arial" w:cs="Arial" w:eastAsia="Arial" w:hAnsi="Arial"/>
                <w:sz w:val="14"/>
                <w:szCs w:val="14"/>
                <w:b w:val="1"/>
                <w:bCs w:val="1"/>
                <w:color w:val="auto"/>
                <w:w w:val="98"/>
              </w:rPr>
              <w:t>Credit Default</w:t>
            </w:r>
          </w:p>
        </w:tc>
        <w:tc>
          <w:tcPr>
            <w:tcW w:w="122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86"/>
              </w:rPr>
              <w:t>Years to</w:t>
            </w:r>
          </w:p>
        </w:tc>
        <w:tc>
          <w:tcPr>
            <w:tcW w:w="0" w:type="dxa"/>
            <w:vAlign w:val="bottom"/>
          </w:tcPr>
          <w:p>
            <w:pPr>
              <w:spacing w:after="0"/>
              <w:rPr>
                <w:sz w:val="1"/>
                <w:szCs w:val="1"/>
                <w:color w:val="auto"/>
              </w:rPr>
            </w:pPr>
          </w:p>
        </w:tc>
      </w:tr>
      <w:tr>
        <w:trPr>
          <w:trHeight w:val="192"/>
        </w:trPr>
        <w:tc>
          <w:tcPr>
            <w:tcW w:w="3740" w:type="dxa"/>
            <w:vAlign w:val="bottom"/>
            <w:gridSpan w:val="2"/>
          </w:tcPr>
          <w:p>
            <w:pPr>
              <w:ind w:left="40"/>
              <w:spacing w:after="0"/>
              <w:rPr>
                <w:sz w:val="20"/>
                <w:szCs w:val="20"/>
                <w:color w:val="auto"/>
              </w:rPr>
            </w:pPr>
            <w:r>
              <w:rPr>
                <w:rFonts w:ascii="Arial" w:cs="Arial" w:eastAsia="Arial" w:hAnsi="Arial"/>
                <w:sz w:val="14"/>
                <w:szCs w:val="14"/>
                <w:b w:val="1"/>
                <w:bCs w:val="1"/>
                <w:color w:val="auto"/>
              </w:rPr>
              <w:t>Credit Obligations (1)</w:t>
            </w:r>
          </w:p>
        </w:tc>
        <w:tc>
          <w:tcPr>
            <w:tcW w:w="12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Swaps</w:t>
            </w:r>
          </w:p>
        </w:tc>
        <w:tc>
          <w:tcPr>
            <w:tcW w:w="160" w:type="dxa"/>
            <w:vAlign w:val="bottom"/>
          </w:tcPr>
          <w:p>
            <w:pPr>
              <w:spacing w:after="0"/>
              <w:rPr>
                <w:sz w:val="16"/>
                <w:szCs w:val="16"/>
                <w:color w:val="auto"/>
              </w:rPr>
            </w:pPr>
          </w:p>
        </w:tc>
        <w:tc>
          <w:tcPr>
            <w:tcW w:w="1300" w:type="dxa"/>
            <w:vAlign w:val="bottom"/>
          </w:tcPr>
          <w:p>
            <w:pPr>
              <w:jc w:val="center"/>
              <w:ind w:right="85"/>
              <w:spacing w:after="0"/>
              <w:rPr>
                <w:sz w:val="20"/>
                <w:szCs w:val="20"/>
                <w:color w:val="auto"/>
              </w:rPr>
            </w:pPr>
            <w:r>
              <w:rPr>
                <w:rFonts w:ascii="Arial" w:cs="Arial" w:eastAsia="Arial" w:hAnsi="Arial"/>
                <w:sz w:val="14"/>
                <w:szCs w:val="14"/>
                <w:b w:val="1"/>
                <w:bCs w:val="1"/>
                <w:color w:val="auto"/>
                <w:w w:val="85"/>
              </w:rPr>
              <w:t>Swaps</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Maturity (2)</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Swaps</w:t>
            </w:r>
          </w:p>
        </w:tc>
        <w:tc>
          <w:tcPr>
            <w:tcW w:w="180" w:type="dxa"/>
            <w:vAlign w:val="bottom"/>
          </w:tcPr>
          <w:p>
            <w:pPr>
              <w:spacing w:after="0"/>
              <w:rPr>
                <w:sz w:val="16"/>
                <w:szCs w:val="16"/>
                <w:color w:val="auto"/>
              </w:rPr>
            </w:pPr>
          </w:p>
        </w:tc>
        <w:tc>
          <w:tcPr>
            <w:tcW w:w="1280" w:type="dxa"/>
            <w:vAlign w:val="bottom"/>
          </w:tcPr>
          <w:p>
            <w:pPr>
              <w:jc w:val="center"/>
              <w:ind w:right="105"/>
              <w:spacing w:after="0"/>
              <w:rPr>
                <w:sz w:val="20"/>
                <w:szCs w:val="20"/>
                <w:color w:val="auto"/>
              </w:rPr>
            </w:pPr>
            <w:r>
              <w:rPr>
                <w:rFonts w:ascii="Arial" w:cs="Arial" w:eastAsia="Arial" w:hAnsi="Arial"/>
                <w:sz w:val="14"/>
                <w:szCs w:val="14"/>
                <w:b w:val="1"/>
                <w:bCs w:val="1"/>
                <w:color w:val="auto"/>
                <w:w w:val="85"/>
              </w:rPr>
              <w:t>Swaps</w:t>
            </w:r>
          </w:p>
        </w:tc>
        <w:tc>
          <w:tcPr>
            <w:tcW w:w="1220" w:type="dxa"/>
            <w:vAlign w:val="bottom"/>
          </w:tcPr>
          <w:p>
            <w:pPr>
              <w:jc w:val="center"/>
              <w:ind w:left="24"/>
              <w:spacing w:after="0"/>
              <w:rPr>
                <w:sz w:val="20"/>
                <w:szCs w:val="20"/>
                <w:color w:val="auto"/>
              </w:rPr>
            </w:pPr>
            <w:r>
              <w:rPr>
                <w:rFonts w:ascii="Arial" w:cs="Arial" w:eastAsia="Arial" w:hAnsi="Arial"/>
                <w:sz w:val="14"/>
                <w:szCs w:val="14"/>
                <w:b w:val="1"/>
                <w:bCs w:val="1"/>
                <w:color w:val="auto"/>
              </w:rPr>
              <w:t>Maturity (2)</w:t>
            </w:r>
          </w:p>
        </w:tc>
        <w:tc>
          <w:tcPr>
            <w:tcW w:w="0" w:type="dxa"/>
            <w:vAlign w:val="bottom"/>
          </w:tcPr>
          <w:p>
            <w:pPr>
              <w:spacing w:after="0"/>
              <w:rPr>
                <w:sz w:val="1"/>
                <w:szCs w:val="1"/>
                <w:color w:val="auto"/>
              </w:rPr>
            </w:pPr>
          </w:p>
        </w:tc>
      </w:tr>
      <w:tr>
        <w:trPr>
          <w:trHeight w:val="264"/>
        </w:trPr>
        <w:tc>
          <w:tcPr>
            <w:tcW w:w="3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2320" w:type="dxa"/>
            <w:vAlign w:val="bottom"/>
            <w:tcBorders>
              <w:top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Aaa/Aa/A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680</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615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7"/>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Baa</w:t>
            </w:r>
          </w:p>
        </w:tc>
        <w:tc>
          <w:tcPr>
            <w:tcW w:w="120" w:type="dxa"/>
            <w:vAlign w:val="bottom"/>
          </w:tcPr>
          <w:p>
            <w:pPr>
              <w:spacing w:after="0"/>
              <w:rPr>
                <w:sz w:val="20"/>
                <w:szCs w:val="20"/>
                <w:color w:val="auto"/>
              </w:rPr>
            </w:pPr>
          </w:p>
        </w:tc>
        <w:tc>
          <w:tcPr>
            <w:tcW w:w="800" w:type="dxa"/>
            <w:vAlign w:val="bottom"/>
          </w:tcPr>
          <w:p>
            <w:pPr>
              <w:jc w:val="right"/>
              <w:ind w:right="5"/>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25"/>
              <w:spacing w:after="0"/>
              <w:rPr>
                <w:sz w:val="20"/>
                <w:szCs w:val="20"/>
                <w:color w:val="auto"/>
              </w:rPr>
            </w:pPr>
            <w:r>
              <w:rPr>
                <w:rFonts w:ascii="Arial" w:cs="Arial" w:eastAsia="Arial" w:hAnsi="Arial"/>
                <w:sz w:val="16"/>
                <w:szCs w:val="16"/>
                <w:color w:val="auto"/>
              </w:rPr>
              <w:t>1,218</w:t>
            </w:r>
          </w:p>
        </w:tc>
        <w:tc>
          <w:tcPr>
            <w:tcW w:w="12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5"/>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5"/>
              <w:spacing w:after="0"/>
              <w:rPr>
                <w:sz w:val="20"/>
                <w:szCs w:val="20"/>
                <w:color w:val="auto"/>
              </w:rPr>
            </w:pPr>
            <w:r>
              <w:rPr>
                <w:rFonts w:ascii="Arial" w:cs="Arial" w:eastAsia="Arial" w:hAnsi="Arial"/>
                <w:sz w:val="16"/>
                <w:szCs w:val="16"/>
                <w:color w:val="auto"/>
              </w:rPr>
              <w:t>1,020</w:t>
            </w:r>
          </w:p>
        </w:tc>
        <w:tc>
          <w:tcPr>
            <w:tcW w:w="12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3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1,898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1,635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has written credit protection on both single name and index references. The rating agency designations are based on availability and the midpoint of the applicable ratings among Moody’s, S&amp;P and Fitch. If no rating is available from a rating agency, then an internally developed rating is used.</w:t>
      </w:r>
    </w:p>
    <w:p>
      <w:pPr>
        <w:spacing w:after="0" w:line="7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weighted average years to maturity of the credit default swaps is calculated based on weighted average gross notional amounts.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manages its credit risk by: (i) entering into derivative transactions with creditworthy counterparties governed by master netting agreements; (ii) 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a description of the impact of credit risk on the valuation of derivatives.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fair values of net derivative assets and net derivative liabilities after the application of master netting agreements and collateral were as follows at:</w:t>
      </w:r>
    </w:p>
    <w:p>
      <w:pPr>
        <w:spacing w:after="0" w:line="216" w:lineRule="exact"/>
        <w:rPr>
          <w:sz w:val="20"/>
          <w:szCs w:val="20"/>
          <w:color w:val="auto"/>
        </w:rPr>
      </w:pPr>
    </w:p>
    <w:p>
      <w:pPr>
        <w:jc w:val="center"/>
        <w:ind w:right="1080"/>
        <w:spacing w:after="0"/>
        <w:rPr>
          <w:sz w:val="20"/>
          <w:szCs w:val="20"/>
          <w:color w:val="auto"/>
        </w:rPr>
      </w:pPr>
      <w:r>
        <w:rPr>
          <w:rFonts w:ascii="Arial" w:cs="Arial" w:eastAsia="Arial" w:hAnsi="Arial"/>
          <w:sz w:val="14"/>
          <w:szCs w:val="14"/>
          <w:b w:val="1"/>
          <w:bCs w:val="1"/>
          <w:color w:val="auto"/>
        </w:rPr>
        <w:t>Gross Amounts Not Offset on the Consolidated</w:t>
      </w:r>
    </w:p>
    <w:p>
      <w:pPr>
        <w:spacing w:after="0" w:line="4" w:lineRule="exact"/>
        <w:rPr>
          <w:sz w:val="20"/>
          <w:szCs w:val="20"/>
          <w:color w:val="auto"/>
        </w:rPr>
      </w:pPr>
    </w:p>
    <w:p>
      <w:pPr>
        <w:jc w:val="center"/>
        <w:ind w:right="1080"/>
        <w:spacing w:after="0"/>
        <w:rPr>
          <w:sz w:val="20"/>
          <w:szCs w:val="20"/>
          <w:color w:val="auto"/>
        </w:rPr>
      </w:pPr>
      <w:r>
        <w:rPr>
          <w:rFonts w:ascii="Arial" w:cs="Arial" w:eastAsia="Arial" w:hAnsi="Arial"/>
          <w:sz w:val="14"/>
          <w:szCs w:val="14"/>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13335</wp:posOffset>
            </wp:positionV>
            <wp:extent cx="19284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242"/>
              <w:spacing w:after="0"/>
              <w:rPr>
                <w:sz w:val="20"/>
                <w:szCs w:val="20"/>
                <w:color w:val="auto"/>
              </w:rPr>
            </w:pPr>
            <w:r>
              <w:rPr>
                <w:rFonts w:ascii="Arial" w:cs="Arial" w:eastAsia="Arial" w:hAnsi="Arial"/>
                <w:sz w:val="14"/>
                <w:szCs w:val="14"/>
                <w:b w:val="1"/>
                <w:bCs w:val="1"/>
                <w:color w:val="auto"/>
                <w:w w:val="98"/>
              </w:rPr>
              <w:t>Gross Amount</w:t>
            </w:r>
          </w:p>
        </w:tc>
        <w:tc>
          <w:tcPr>
            <w:tcW w:w="162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rPr>
              <w:t>Financial Instruments</w:t>
            </w:r>
          </w:p>
        </w:tc>
        <w:tc>
          <w:tcPr>
            <w:tcW w:w="340" w:type="dxa"/>
            <w:vAlign w:val="bottom"/>
          </w:tcPr>
          <w:p>
            <w:pPr>
              <w:spacing w:after="0"/>
              <w:rPr>
                <w:sz w:val="14"/>
                <w:szCs w:val="14"/>
                <w:color w:val="auto"/>
              </w:rPr>
            </w:pPr>
          </w:p>
        </w:tc>
        <w:tc>
          <w:tcPr>
            <w:tcW w:w="1220" w:type="dxa"/>
            <w:vAlign w:val="bottom"/>
          </w:tcPr>
          <w:p>
            <w:pPr>
              <w:jc w:val="right"/>
              <w:ind w:right="382"/>
              <w:spacing w:after="0"/>
              <w:rPr>
                <w:sz w:val="20"/>
                <w:szCs w:val="20"/>
                <w:color w:val="auto"/>
              </w:rPr>
            </w:pPr>
            <w:r>
              <w:rPr>
                <w:rFonts w:ascii="Arial" w:cs="Arial" w:eastAsia="Arial" w:hAnsi="Arial"/>
                <w:sz w:val="14"/>
                <w:szCs w:val="14"/>
                <w:b w:val="1"/>
                <w:bCs w:val="1"/>
                <w:color w:val="auto"/>
              </w:rPr>
              <w:t>Collateral</w:t>
            </w:r>
          </w:p>
        </w:tc>
        <w:tc>
          <w:tcPr>
            <w:tcW w:w="380" w:type="dxa"/>
            <w:vAlign w:val="bottom"/>
          </w:tcPr>
          <w:p>
            <w:pPr>
              <w:spacing w:after="0"/>
              <w:rPr>
                <w:sz w:val="14"/>
                <w:szCs w:val="14"/>
                <w:color w:val="auto"/>
              </w:rPr>
            </w:pPr>
          </w:p>
        </w:tc>
        <w:tc>
          <w:tcPr>
            <w:tcW w:w="114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w w:val="98"/>
              </w:rPr>
              <w:t>Net Amount</w:t>
            </w:r>
          </w:p>
        </w:tc>
        <w:tc>
          <w:tcPr>
            <w:tcW w:w="158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rPr>
              <w:t>Securities Collateral</w:t>
            </w:r>
          </w:p>
        </w:tc>
        <w:tc>
          <w:tcPr>
            <w:tcW w:w="220" w:type="dxa"/>
            <w:vAlign w:val="bottom"/>
          </w:tcPr>
          <w:p>
            <w:pPr>
              <w:spacing w:after="0"/>
              <w:rPr>
                <w:sz w:val="14"/>
                <w:szCs w:val="14"/>
                <w:color w:val="auto"/>
              </w:rPr>
            </w:pPr>
          </w:p>
        </w:tc>
        <w:tc>
          <w:tcPr>
            <w:tcW w:w="1300" w:type="dxa"/>
            <w:vAlign w:val="bottom"/>
          </w:tcPr>
          <w:p>
            <w:pPr>
              <w:jc w:val="right"/>
              <w:ind w:right="81"/>
              <w:spacing w:after="0"/>
              <w:rPr>
                <w:sz w:val="20"/>
                <w:szCs w:val="20"/>
                <w:color w:val="auto"/>
              </w:rPr>
            </w:pPr>
            <w:r>
              <w:rPr>
                <w:rFonts w:ascii="Arial" w:cs="Arial" w:eastAsia="Arial" w:hAnsi="Arial"/>
                <w:sz w:val="14"/>
                <w:szCs w:val="14"/>
                <w:b w:val="1"/>
                <w:bCs w:val="1"/>
                <w:color w:val="auto"/>
                <w:w w:val="96"/>
              </w:rPr>
              <w:t>Net Amount After</w:t>
            </w:r>
          </w:p>
        </w:tc>
        <w:tc>
          <w:tcPr>
            <w:tcW w:w="0" w:type="dxa"/>
            <w:vAlign w:val="bottom"/>
          </w:tcPr>
          <w:p>
            <w:pPr>
              <w:spacing w:after="0"/>
              <w:rPr>
                <w:sz w:val="1"/>
                <w:szCs w:val="1"/>
                <w:color w:val="auto"/>
              </w:rPr>
            </w:pPr>
          </w:p>
        </w:tc>
      </w:tr>
      <w:tr>
        <w:trPr>
          <w:trHeight w:val="192"/>
        </w:trPr>
        <w:tc>
          <w:tcPr>
            <w:tcW w:w="1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Recognized</w:t>
            </w:r>
          </w:p>
        </w:tc>
        <w:tc>
          <w:tcPr>
            <w:tcW w:w="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(1)</w:t>
            </w:r>
          </w:p>
        </w:tc>
        <w:tc>
          <w:tcPr>
            <w:tcW w:w="156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b w:val="1"/>
                <w:bCs w:val="1"/>
                <w:color w:val="auto"/>
              </w:rPr>
              <w:t>Received/Pledged (2)</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5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Received/Pledged (3)</w:t>
            </w:r>
          </w:p>
        </w:tc>
        <w:tc>
          <w:tcPr>
            <w:tcW w:w="152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Securities Collateral</w:t>
            </w:r>
          </w:p>
        </w:tc>
        <w:tc>
          <w:tcPr>
            <w:tcW w:w="0" w:type="dxa"/>
            <w:vAlign w:val="bottom"/>
          </w:tcPr>
          <w:p>
            <w:pPr>
              <w:spacing w:after="0"/>
              <w:rPr>
                <w:sz w:val="1"/>
                <w:szCs w:val="1"/>
                <w:color w:val="auto"/>
              </w:rPr>
            </w:pPr>
          </w:p>
        </w:tc>
      </w:tr>
      <w:tr>
        <w:trPr>
          <w:trHeight w:val="250"/>
        </w:trPr>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March 31, 2020</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940" w:type="dxa"/>
            <w:vAlign w:val="bottom"/>
          </w:tcPr>
          <w:p>
            <w:pPr>
              <w:ind w:left="40"/>
              <w:spacing w:after="0"/>
              <w:rPr>
                <w:sz w:val="20"/>
                <w:szCs w:val="20"/>
                <w:color w:val="auto"/>
              </w:rPr>
            </w:pPr>
            <w:r>
              <w:rPr>
                <w:rFonts w:ascii="Arial" w:cs="Arial" w:eastAsia="Arial" w:hAnsi="Arial"/>
                <w:sz w:val="16"/>
                <w:szCs w:val="16"/>
                <w:color w:val="auto"/>
              </w:rPr>
              <w:t>Derivative assets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9,532</w:t>
            </w:r>
          </w:p>
        </w:tc>
        <w:tc>
          <w:tcPr>
            <w:tcW w:w="4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(2,101)</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(6,878)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553</w:t>
            </w:r>
          </w:p>
        </w:tc>
        <w:tc>
          <w:tcPr>
            <w:tcW w:w="6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(542)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1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liabilities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2,639</w:t>
            </w:r>
          </w:p>
        </w:tc>
        <w:tc>
          <w:tcPr>
            <w:tcW w:w="4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(2,101)</w:t>
            </w:r>
          </w:p>
        </w:tc>
        <w:tc>
          <w:tcPr>
            <w:tcW w:w="3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533</w:t>
            </w:r>
          </w:p>
        </w:tc>
        <w:tc>
          <w:tcPr>
            <w:tcW w:w="62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3"/>
        </w:trPr>
        <w:tc>
          <w:tcPr>
            <w:tcW w:w="1940" w:type="dxa"/>
            <w:vAlign w:val="bottom"/>
          </w:tcPr>
          <w:p>
            <w:pPr>
              <w:ind w:left="40"/>
              <w:spacing w:after="0"/>
              <w:rPr>
                <w:sz w:val="20"/>
                <w:szCs w:val="20"/>
                <w:color w:val="auto"/>
              </w:rPr>
            </w:pPr>
            <w:r>
              <w:rPr>
                <w:rFonts w:ascii="Arial" w:cs="Arial" w:eastAsia="Arial" w:hAnsi="Arial"/>
                <w:sz w:val="16"/>
                <w:szCs w:val="16"/>
                <w:b w:val="1"/>
                <w:bCs w:val="1"/>
                <w:color w:val="auto"/>
              </w:rPr>
              <w:t>December 31, 2019</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3,062</w:t>
            </w:r>
          </w:p>
        </w:tc>
        <w:tc>
          <w:tcPr>
            <w:tcW w:w="48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(1,458)</w:t>
            </w:r>
          </w:p>
        </w:tc>
        <w:tc>
          <w:tcPr>
            <w:tcW w:w="3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(1,115)</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489</w:t>
            </w:r>
          </w:p>
        </w:tc>
        <w:tc>
          <w:tcPr>
            <w:tcW w:w="62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1940" w:type="dxa"/>
            <w:vAlign w:val="bottom"/>
          </w:tcPr>
          <w:p>
            <w:pPr>
              <w:ind w:left="40"/>
              <w:spacing w:after="0"/>
              <w:rPr>
                <w:sz w:val="20"/>
                <w:szCs w:val="20"/>
                <w:color w:val="auto"/>
              </w:rPr>
            </w:pPr>
            <w:r>
              <w:rPr>
                <w:rFonts w:ascii="Arial" w:cs="Arial" w:eastAsia="Arial" w:hAnsi="Arial"/>
                <w:sz w:val="16"/>
                <w:szCs w:val="16"/>
                <w:color w:val="auto"/>
              </w:rPr>
              <w:t>Derivative liabilities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2,522</w:t>
            </w:r>
          </w:p>
        </w:tc>
        <w:tc>
          <w:tcPr>
            <w:tcW w:w="4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(1,458)</w:t>
            </w:r>
          </w:p>
        </w:tc>
        <w:tc>
          <w:tcPr>
            <w:tcW w:w="3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1,064</w:t>
            </w:r>
          </w:p>
        </w:tc>
        <w:tc>
          <w:tcPr>
            <w:tcW w:w="620" w:type="dxa"/>
            <w:vAlign w:val="bottom"/>
          </w:tcPr>
          <w:p>
            <w:pPr>
              <w:jc w:val="right"/>
              <w:ind w:right="32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(1,061)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7"/>
        </w:trPr>
        <w:tc>
          <w:tcPr>
            <w:tcW w:w="1940" w:type="dxa"/>
            <w:vAlign w:val="bottom"/>
          </w:tcPr>
          <w:p>
            <w:pPr>
              <w:spacing w:after="0"/>
              <w:rPr>
                <w:sz w:val="20"/>
                <w:szCs w:val="20"/>
                <w:color w:val="auto"/>
              </w:rPr>
            </w:pPr>
            <w:r>
              <w:rPr>
                <w:rFonts w:ascii="Arial" w:cs="Arial" w:eastAsia="Arial" w:hAnsi="Arial"/>
                <w:sz w:val="14"/>
                <w:szCs w:val="14"/>
                <w:color w:val="auto"/>
              </w:rPr>
              <w:t>_______________</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amounts subject to an enforceable master netting agreement or similar agreement.</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 of cash collateral offset in the table above is limited to the net estimated fair value of derivatives after application of netting agreement.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234" w:right="339" w:bottom="1440" w:gutter="0" w:footer="0" w:header="0"/>
        </w:sectPr>
      </w:pPr>
    </w:p>
    <w:bookmarkStart w:id="27" w:name="page28"/>
    <w:bookmarkEnd w:id="27"/>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(3) Securities collateral received by the Company is not recorded on the balance sheet. Amounts do not include excess of collateral pledged or received.</w:t>
      </w:r>
    </w:p>
    <w:p>
      <w:pPr>
        <w:spacing w:after="0" w:line="14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aggregate estimated fair values of derivatives in a net liability position containing such credit-contingent provisions and the aggregate estimated fair value of assets posted as collateral for such instruments were as follows at: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6"/>
              </w:rPr>
              <w:t>December 31, 2019</w:t>
            </w:r>
          </w:p>
        </w:tc>
      </w:tr>
      <w:tr>
        <w:trPr>
          <w:trHeight w:val="250"/>
        </w:trPr>
        <w:tc>
          <w:tcPr>
            <w:tcW w:w="7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40" w:type="dxa"/>
            <w:vAlign w:val="bottom"/>
            <w:gridSpan w:val="3"/>
          </w:tcPr>
          <w:p>
            <w:pPr>
              <w:jc w:val="right"/>
              <w:ind w:right="1262"/>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Estimated fair value of derivatives in a net liability position (1)</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538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1,064</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Estimated Fair Value of Collateral Provided (2):</w:t>
            </w: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Fixed maturity securities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1,079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1,473</w:t>
            </w:r>
          </w:p>
        </w:tc>
      </w:tr>
      <w:tr>
        <w:trPr>
          <w:trHeight w:val="182"/>
        </w:trPr>
        <w:tc>
          <w:tcPr>
            <w:tcW w:w="7780" w:type="dxa"/>
            <w:vAlign w:val="bottom"/>
          </w:tcPr>
          <w:p>
            <w:pPr>
              <w:jc w:val="right"/>
              <w:ind w:right="6621"/>
              <w:spacing w:after="0"/>
              <w:rPr>
                <w:sz w:val="20"/>
                <w:szCs w:val="20"/>
                <w:color w:val="auto"/>
              </w:rPr>
            </w:pPr>
            <w:r>
              <w:rPr>
                <w:rFonts w:ascii="Arial" w:cs="Arial" w:eastAsia="Arial" w:hAnsi="Arial"/>
                <w:sz w:val="14"/>
                <w:szCs w:val="14"/>
                <w:color w:val="auto"/>
                <w:w w:val="90"/>
              </w:rPr>
              <w:t>_______________</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7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After taking into consideration the existence of netting agreements.</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234" w:right="3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p>
      <w:pPr>
        <w:spacing w:after="0" w:line="315" w:lineRule="exact"/>
        <w:rPr>
          <w:sz w:val="20"/>
          <w:szCs w:val="20"/>
          <w:color w:val="auto"/>
        </w:rPr>
      </w:pPr>
    </w:p>
    <w:p>
      <w:pPr>
        <w:ind w:left="8200"/>
        <w:spacing w:after="0"/>
        <w:rPr>
          <w:sz w:val="20"/>
          <w:szCs w:val="20"/>
          <w:color w:val="auto"/>
        </w:rPr>
      </w:pPr>
      <w:r>
        <w:rPr>
          <w:rFonts w:ascii="Arial" w:cs="Arial" w:eastAsia="Arial" w:hAnsi="Arial"/>
          <w:sz w:val="13"/>
          <w:szCs w:val="13"/>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19685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14" w:lineRule="exact"/>
        <w:rPr>
          <w:sz w:val="20"/>
          <w:szCs w:val="20"/>
          <w:color w:val="auto"/>
        </w:rPr>
      </w:pPr>
    </w:p>
    <w:tbl>
      <w:tblPr>
        <w:tblLayout w:type="fixed"/>
        <w:tblInd w:w="5960" w:type="dxa"/>
        <w:tblCellMar>
          <w:top w:w="0" w:type="dxa"/>
          <w:left w:w="0" w:type="dxa"/>
          <w:bottom w:w="0" w:type="dxa"/>
          <w:right w:w="0" w:type="dxa"/>
        </w:tblCellMar>
      </w:tblPr>
      <w:tr>
        <w:trPr>
          <w:trHeight w:val="174"/>
        </w:trPr>
        <w:tc>
          <w:tcPr>
            <w:tcW w:w="1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90"/>
              </w:rPr>
              <w:t>Fair Value Hierarchy</w:t>
            </w:r>
          </w:p>
        </w:tc>
        <w:tc>
          <w:tcPr>
            <w:tcW w:w="880" w:type="dxa"/>
            <w:vAlign w:val="bottom"/>
            <w:tcBorders>
              <w:bottom w:val="single" w:sz="8" w:color="auto"/>
            </w:tcBorders>
          </w:tcPr>
          <w:p>
            <w:pPr>
              <w:spacing w:after="0"/>
              <w:rPr>
                <w:sz w:val="15"/>
                <w:szCs w:val="15"/>
                <w:color w:val="auto"/>
              </w:rPr>
            </w:pPr>
          </w:p>
        </w:tc>
        <w:tc>
          <w:tcPr>
            <w:tcW w:w="1320" w:type="dxa"/>
            <w:vAlign w:val="bottom"/>
          </w:tcPr>
          <w:p>
            <w:pPr>
              <w:spacing w:after="0"/>
              <w:rPr>
                <w:sz w:val="15"/>
                <w:szCs w:val="15"/>
                <w:color w:val="auto"/>
              </w:rPr>
            </w:pPr>
          </w:p>
        </w:tc>
      </w:tr>
      <w:tr>
        <w:trPr>
          <w:trHeight w:val="130"/>
        </w:trPr>
        <w:tc>
          <w:tcPr>
            <w:tcW w:w="11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tcPr>
          <w:p>
            <w:pPr>
              <w:jc w:val="center"/>
              <w:ind w:left="37"/>
              <w:spacing w:after="0" w:line="131" w:lineRule="exact"/>
              <w:rPr>
                <w:sz w:val="20"/>
                <w:szCs w:val="20"/>
                <w:color w:val="auto"/>
              </w:rPr>
            </w:pPr>
            <w:r>
              <w:rPr>
                <w:rFonts w:ascii="Arial" w:cs="Arial" w:eastAsia="Arial" w:hAnsi="Arial"/>
                <w:sz w:val="13"/>
                <w:szCs w:val="13"/>
                <w:b w:val="1"/>
                <w:bCs w:val="1"/>
                <w:color w:val="auto"/>
                <w:w w:val="88"/>
              </w:rPr>
              <w:t>Total Estimated</w:t>
            </w:r>
          </w:p>
        </w:tc>
      </w:tr>
      <w:tr>
        <w:trPr>
          <w:trHeight w:val="174"/>
        </w:trPr>
        <w:tc>
          <w:tcPr>
            <w:tcW w:w="112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Level 1</w:t>
            </w:r>
          </w:p>
        </w:tc>
        <w:tc>
          <w:tcPr>
            <w:tcW w:w="196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86"/>
              </w:rPr>
              <w:t>Level 2</w:t>
            </w: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Level 3</w:t>
            </w:r>
          </w:p>
        </w:tc>
        <w:tc>
          <w:tcPr>
            <w:tcW w:w="1320" w:type="dxa"/>
            <w:vAlign w:val="bottom"/>
            <w:tcBorders>
              <w:bottom w:val="single" w:sz="8" w:color="auto"/>
            </w:tcBorders>
          </w:tcPr>
          <w:p>
            <w:pPr>
              <w:jc w:val="center"/>
              <w:ind w:left="57"/>
              <w:spacing w:after="0"/>
              <w:rPr>
                <w:sz w:val="20"/>
                <w:szCs w:val="20"/>
                <w:color w:val="auto"/>
              </w:rPr>
            </w:pPr>
            <w:r>
              <w:rPr>
                <w:rFonts w:ascii="Arial" w:cs="Arial" w:eastAsia="Arial" w:hAnsi="Arial"/>
                <w:sz w:val="13"/>
                <w:szCs w:val="13"/>
                <w:b w:val="1"/>
                <w:bCs w:val="1"/>
                <w:color w:val="auto"/>
                <w:w w:val="90"/>
              </w:rPr>
              <w:t>Fair Value</w:t>
            </w:r>
          </w:p>
        </w:tc>
      </w:tr>
      <w:tr>
        <w:trPr>
          <w:trHeight w:val="241"/>
        </w:trPr>
        <w:tc>
          <w:tcPr>
            <w:tcW w:w="1120" w:type="dxa"/>
            <w:vAlign w:val="bottom"/>
          </w:tcPr>
          <w:p>
            <w:pPr>
              <w:spacing w:after="0"/>
              <w:rPr>
                <w:sz w:val="20"/>
                <w:szCs w:val="20"/>
                <w:color w:val="auto"/>
              </w:rPr>
            </w:pPr>
          </w:p>
        </w:tc>
        <w:tc>
          <w:tcPr>
            <w:tcW w:w="1960" w:type="dxa"/>
            <w:vAlign w:val="bottom"/>
          </w:tcPr>
          <w:p>
            <w:pPr>
              <w:ind w:left="1200"/>
              <w:spacing w:after="0"/>
              <w:rPr>
                <w:sz w:val="20"/>
                <w:szCs w:val="20"/>
                <w:color w:val="auto"/>
              </w:rPr>
            </w:pPr>
            <w:r>
              <w:rPr>
                <w:rFonts w:ascii="Arial" w:cs="Arial" w:eastAsia="Arial" w:hAnsi="Arial"/>
                <w:sz w:val="13"/>
                <w:szCs w:val="13"/>
                <w:b w:val="1"/>
                <w:bCs w:val="1"/>
                <w:color w:val="auto"/>
              </w:rPr>
              <w:t>(In millions)</w:t>
            </w:r>
          </w:p>
        </w:tc>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Assets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Fixed maturity securities: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U.S. corporate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corporate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RMBS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U.S. government and agency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CMBS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State and political subdivision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ABS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government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fixed maturity securities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 securities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Short-term investments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assets: (1)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exchange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Credit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 market</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derivative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2"/>
          <w:szCs w:val="12"/>
          <w:color w:val="auto"/>
        </w:rPr>
        <w:t>Embedded derivatives within asset host contracts (2)</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Separate account assets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assets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Liabilities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Derivative liabilities: (1)</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exchange rate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Credit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Equity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30,028</w:t>
            </w:r>
          </w:p>
        </w:tc>
        <w:tc>
          <w:tcPr>
            <w:tcW w:w="100" w:type="dxa"/>
            <w:vAlign w:val="bottom"/>
          </w:tcPr>
          <w:p>
            <w:pPr>
              <w:spacing w:after="0"/>
              <w:rPr>
                <w:sz w:val="15"/>
                <w:szCs w:val="15"/>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30,670</w:t>
            </w:r>
          </w:p>
        </w:tc>
      </w:tr>
      <w:tr>
        <w:trPr>
          <w:trHeight w:val="270"/>
        </w:trPr>
        <w:tc>
          <w:tcPr>
            <w:tcW w:w="4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9,035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9,244</w:t>
            </w:r>
          </w:p>
        </w:tc>
      </w:tr>
      <w:tr>
        <w:trPr>
          <w:trHeight w:val="270"/>
        </w:trPr>
        <w:tc>
          <w:tcPr>
            <w:tcW w:w="4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8,817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8,900</w:t>
            </w:r>
          </w:p>
        </w:tc>
      </w:tr>
      <w:tr>
        <w:trPr>
          <w:trHeight w:val="270"/>
        </w:trPr>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1,895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7,031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8,926</w:t>
            </w:r>
          </w:p>
        </w:tc>
      </w:tr>
      <w:tr>
        <w:trPr>
          <w:trHeight w:val="270"/>
        </w:trPr>
        <w:tc>
          <w:tcPr>
            <w:tcW w:w="4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5,726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5,745</w:t>
            </w:r>
          </w:p>
        </w:tc>
      </w:tr>
      <w:tr>
        <w:trPr>
          <w:trHeight w:val="270"/>
        </w:trPr>
        <w:tc>
          <w:tcPr>
            <w:tcW w:w="4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4,070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4,143</w:t>
            </w:r>
          </w:p>
        </w:tc>
      </w:tr>
      <w:tr>
        <w:trPr>
          <w:trHeight w:val="270"/>
        </w:trPr>
        <w:tc>
          <w:tcPr>
            <w:tcW w:w="4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1,911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2,027</w:t>
            </w:r>
          </w:p>
        </w:tc>
      </w:tr>
      <w:tr>
        <w:trPr>
          <w:trHeight w:val="276"/>
        </w:trPr>
        <w:tc>
          <w:tcPr>
            <w:tcW w:w="4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1,640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1,647</w:t>
            </w:r>
          </w:p>
        </w:tc>
      </w:tr>
      <w:tr>
        <w:trPr>
          <w:trHeight w:val="250"/>
        </w:trPr>
        <w:tc>
          <w:tcPr>
            <w:tcW w:w="4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1,895</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68,258</w:t>
            </w:r>
          </w:p>
        </w:tc>
        <w:tc>
          <w:tcPr>
            <w:tcW w:w="10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1,149</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71,302</w:t>
            </w:r>
          </w:p>
        </w:tc>
      </w:tr>
      <w:tr>
        <w:trPr>
          <w:trHeight w:val="244"/>
        </w:trPr>
        <w:tc>
          <w:tcPr>
            <w:tcW w:w="46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122</w:t>
            </w:r>
          </w:p>
        </w:tc>
      </w:tr>
      <w:tr>
        <w:trPr>
          <w:trHeight w:val="270"/>
        </w:trPr>
        <w:tc>
          <w:tcPr>
            <w:tcW w:w="46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2,581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1,765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4,348</w:t>
            </w:r>
          </w:p>
        </w:tc>
      </w:tr>
      <w:tr>
        <w:trPr>
          <w:trHeight w:val="540"/>
        </w:trPr>
        <w:tc>
          <w:tcPr>
            <w:tcW w:w="46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5,950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5,950</w:t>
            </w:r>
          </w:p>
        </w:tc>
      </w:tr>
      <w:tr>
        <w:trPr>
          <w:trHeight w:val="270"/>
        </w:trPr>
        <w:tc>
          <w:tcPr>
            <w:tcW w:w="4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810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850</w:t>
            </w:r>
          </w:p>
        </w:tc>
      </w:tr>
      <w:tr>
        <w:trPr>
          <w:trHeight w:val="270"/>
        </w:trPr>
        <w:tc>
          <w:tcPr>
            <w:tcW w:w="4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w:t>
            </w:r>
          </w:p>
        </w:tc>
      </w:tr>
      <w:tr>
        <w:trPr>
          <w:trHeight w:val="276"/>
        </w:trPr>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2,633</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2,677</w:t>
            </w:r>
          </w:p>
        </w:tc>
      </w:tr>
      <w:tr>
        <w:trPr>
          <w:trHeight w:val="250"/>
        </w:trPr>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9,393</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9,484</w:t>
            </w:r>
          </w:p>
        </w:tc>
      </w:tr>
      <w:tr>
        <w:trPr>
          <w:trHeight w:val="244"/>
        </w:trPr>
        <w:tc>
          <w:tcPr>
            <w:tcW w:w="4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316</w:t>
            </w:r>
          </w:p>
        </w:tc>
      </w:tr>
      <w:tr>
        <w:trPr>
          <w:trHeight w:val="276"/>
        </w:trPr>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88,806</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89,008</w:t>
            </w:r>
          </w:p>
        </w:tc>
      </w:tr>
      <w:tr>
        <w:trPr>
          <w:trHeight w:val="237"/>
        </w:trPr>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4,685</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168,329</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1,566</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174,580</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85"/>
        </w:trPr>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840</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840</w:t>
            </w:r>
          </w:p>
        </w:tc>
      </w:tr>
      <w:tr>
        <w:trPr>
          <w:trHeight w:val="270"/>
        </w:trPr>
        <w:tc>
          <w:tcPr>
            <w:tcW w:w="4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0"/>
        </w:trPr>
        <w:tc>
          <w:tcPr>
            <w:tcW w:w="4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0"/>
        </w:trPr>
        <w:tc>
          <w:tcPr>
            <w:tcW w:w="46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1,737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-4466590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-4123690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-3780790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-3437890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-3094990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-2752090</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-2409190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-2066290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-1723390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-1380490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-1037590</wp:posOffset>
            </wp:positionV>
            <wp:extent cx="713232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-677545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-334645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40" w:space="720"/>
            <w:col w:w="5280"/>
          </w:cols>
          <w:pgMar w:left="320" w:top="234"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59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derivative liabilities</w:t>
            </w:r>
          </w:p>
        </w:tc>
        <w:tc>
          <w:tcPr>
            <w:tcW w:w="540" w:type="dxa"/>
            <w:vAlign w:val="bottom"/>
            <w:tcBorders>
              <w:top w:val="single" w:sz="8" w:color="auto"/>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2,643</w:t>
            </w:r>
          </w:p>
        </w:tc>
        <w:tc>
          <w:tcPr>
            <w:tcW w:w="0" w:type="dxa"/>
            <w:vAlign w:val="bottom"/>
          </w:tcPr>
          <w:p>
            <w:pPr>
              <w:spacing w:after="0"/>
              <w:rPr>
                <w:sz w:val="1"/>
                <w:szCs w:val="1"/>
                <w:color w:val="auto"/>
              </w:rPr>
            </w:pPr>
          </w:p>
        </w:tc>
      </w:tr>
      <w:tr>
        <w:trPr>
          <w:trHeight w:val="170"/>
        </w:trPr>
        <w:tc>
          <w:tcPr>
            <w:tcW w:w="5960" w:type="dxa"/>
            <w:vAlign w:val="bottom"/>
          </w:tcPr>
          <w:p>
            <w:pPr>
              <w:ind w:left="40"/>
              <w:spacing w:after="0"/>
              <w:rPr>
                <w:sz w:val="20"/>
                <w:szCs w:val="20"/>
                <w:color w:val="auto"/>
              </w:rPr>
            </w:pPr>
            <w:r>
              <w:rPr>
                <w:rFonts w:ascii="Arial" w:cs="Arial" w:eastAsia="Arial" w:hAnsi="Arial"/>
                <w:sz w:val="14"/>
                <w:szCs w:val="14"/>
                <w:color w:val="auto"/>
              </w:rPr>
              <w:t>Embedded derivatives within liability host contracts (2)</w:t>
            </w:r>
          </w:p>
        </w:tc>
        <w:tc>
          <w:tcPr>
            <w:tcW w:w="5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vMerge w:val="restart"/>
          </w:tcPr>
          <w:p>
            <w:pPr>
              <w:ind w:left="46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4,579</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4,579</w:t>
            </w:r>
          </w:p>
        </w:tc>
        <w:tc>
          <w:tcPr>
            <w:tcW w:w="0" w:type="dxa"/>
            <w:vAlign w:val="bottom"/>
          </w:tcPr>
          <w:p>
            <w:pPr>
              <w:spacing w:after="0"/>
              <w:rPr>
                <w:sz w:val="1"/>
                <w:szCs w:val="1"/>
                <w:color w:val="auto"/>
              </w:rPr>
            </w:pPr>
          </w:p>
        </w:tc>
      </w:tr>
      <w:tr>
        <w:trPr>
          <w:trHeight w:val="74"/>
        </w:trPr>
        <w:tc>
          <w:tcPr>
            <w:tcW w:w="596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5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liabilities</w:t>
            </w:r>
          </w:p>
        </w:tc>
        <w:tc>
          <w:tcPr>
            <w:tcW w:w="54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4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2,602</w:t>
            </w:r>
          </w:p>
        </w:tc>
        <w:tc>
          <w:tcPr>
            <w:tcW w:w="1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4,620</w:t>
            </w:r>
          </w:p>
        </w:tc>
        <w:tc>
          <w:tcPr>
            <w:tcW w:w="1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7,222</w:t>
            </w:r>
          </w:p>
        </w:tc>
        <w:tc>
          <w:tcPr>
            <w:tcW w:w="0" w:type="dxa"/>
            <w:vAlign w:val="bottom"/>
          </w:tcPr>
          <w:p>
            <w:pPr>
              <w:spacing w:after="0"/>
              <w:rPr>
                <w:sz w:val="1"/>
                <w:szCs w:val="1"/>
                <w:color w:val="auto"/>
              </w:rPr>
            </w:pPr>
          </w:p>
        </w:tc>
      </w:tr>
      <w:tr>
        <w:trPr>
          <w:trHeight w:val="60"/>
        </w:trPr>
        <w:tc>
          <w:tcPr>
            <w:tcW w:w="5960" w:type="dxa"/>
            <w:vAlign w:val="bottom"/>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4"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40"/>
          </w:cols>
          <w:pgMar w:left="320" w:top="234" w:right="339" w:bottom="1440" w:gutter="0" w:footer="0" w:header="0"/>
          <w:type w:val="continuous"/>
        </w:sectPr>
      </w:pPr>
    </w:p>
    <w:bookmarkStart w:id="29" w:name="page30"/>
    <w:bookmarkEnd w:id="2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ind w:left="500"/>
              <w:spacing w:after="0"/>
              <w:rPr>
                <w:sz w:val="20"/>
                <w:szCs w:val="20"/>
                <w:color w:val="auto"/>
              </w:rPr>
            </w:pPr>
            <w:r>
              <w:rPr>
                <w:rFonts w:ascii="Arial" w:cs="Arial" w:eastAsia="Arial" w:hAnsi="Arial"/>
                <w:sz w:val="13"/>
                <w:szCs w:val="13"/>
                <w:b w:val="1"/>
                <w:bCs w:val="1"/>
                <w:color w:val="auto"/>
              </w:rPr>
              <w:t>December 31, 2019</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9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Fair Value Hierarchy</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5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ind w:right="109"/>
              <w:spacing w:after="0" w:line="131" w:lineRule="exact"/>
              <w:rPr>
                <w:sz w:val="20"/>
                <w:szCs w:val="20"/>
                <w:color w:val="auto"/>
              </w:rPr>
            </w:pPr>
            <w:r>
              <w:rPr>
                <w:rFonts w:ascii="Arial" w:cs="Arial" w:eastAsia="Arial" w:hAnsi="Arial"/>
                <w:sz w:val="13"/>
                <w:szCs w:val="13"/>
                <w:b w:val="1"/>
                <w:bCs w:val="1"/>
                <w:color w:val="auto"/>
                <w:w w:val="90"/>
              </w:rPr>
              <w:t>Total Estimated</w:t>
            </w:r>
          </w:p>
        </w:tc>
        <w:tc>
          <w:tcPr>
            <w:tcW w:w="0" w:type="dxa"/>
            <w:vAlign w:val="bottom"/>
          </w:tcPr>
          <w:p>
            <w:pPr>
              <w:spacing w:after="0"/>
              <w:rPr>
                <w:sz w:val="1"/>
                <w:szCs w:val="1"/>
                <w:color w:val="auto"/>
              </w:rPr>
            </w:pPr>
          </w:p>
        </w:tc>
      </w:tr>
      <w:tr>
        <w:trPr>
          <w:trHeight w:val="174"/>
        </w:trPr>
        <w:tc>
          <w:tcPr>
            <w:tcW w:w="5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Level 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Level 2</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Level 3</w:t>
            </w: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248"/>
        </w:trPr>
        <w:tc>
          <w:tcPr>
            <w:tcW w:w="5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jc w:val="right"/>
              <w:ind w:right="28"/>
              <w:spacing w:after="0"/>
              <w:rPr>
                <w:sz w:val="20"/>
                <w:szCs w:val="20"/>
                <w:color w:val="auto"/>
              </w:rPr>
            </w:pPr>
            <w:r>
              <w:rPr>
                <w:rFonts w:ascii="Arial" w:cs="Arial" w:eastAsia="Arial" w:hAnsi="Arial"/>
                <w:sz w:val="13"/>
                <w:szCs w:val="13"/>
                <w:b w:val="1"/>
                <w:bCs w:val="1"/>
                <w:color w:val="auto"/>
              </w:rPr>
              <w:t>(In millions)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9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960" w:type="dxa"/>
            <w:vAlign w:val="bottom"/>
          </w:tcPr>
          <w:p>
            <w:pPr>
              <w:ind w:left="40"/>
              <w:spacing w:after="0"/>
              <w:rPr>
                <w:sz w:val="20"/>
                <w:szCs w:val="20"/>
                <w:color w:val="auto"/>
              </w:rPr>
            </w:pPr>
            <w:r>
              <w:rPr>
                <w:rFonts w:ascii="Arial" w:cs="Arial" w:eastAsia="Arial" w:hAnsi="Arial"/>
                <w:sz w:val="14"/>
                <w:szCs w:val="14"/>
                <w:color w:val="auto"/>
              </w:rPr>
              <w:t>Fixed maturity securities: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corporate</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30,831</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31,160</w:t>
            </w:r>
          </w:p>
        </w:tc>
        <w:tc>
          <w:tcPr>
            <w:tcW w:w="0" w:type="dxa"/>
            <w:vAlign w:val="bottom"/>
          </w:tcPr>
          <w:p>
            <w:pPr>
              <w:spacing w:after="0"/>
              <w:rPr>
                <w:sz w:val="1"/>
                <w:szCs w:val="1"/>
                <w:color w:val="auto"/>
              </w:rPr>
            </w:pPr>
          </w:p>
        </w:tc>
      </w:tr>
      <w:tr>
        <w:trPr>
          <w:trHeight w:val="80"/>
        </w:trPr>
        <w:tc>
          <w:tcPr>
            <w:tcW w:w="596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960" w:type="dxa"/>
            <w:vAlign w:val="bottom"/>
          </w:tcPr>
          <w:p>
            <w:pPr>
              <w:ind w:left="40"/>
              <w:spacing w:after="0"/>
              <w:rPr>
                <w:sz w:val="20"/>
                <w:szCs w:val="20"/>
                <w:color w:val="auto"/>
              </w:rPr>
            </w:pPr>
            <w:r>
              <w:rPr>
                <w:rFonts w:ascii="Arial" w:cs="Arial" w:eastAsia="Arial" w:hAnsi="Arial"/>
                <w:sz w:val="14"/>
                <w:szCs w:val="14"/>
                <w:color w:val="auto"/>
              </w:rPr>
              <w:t>Foreign corporate</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9,712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9,844</w:t>
            </w:r>
          </w:p>
        </w:tc>
        <w:tc>
          <w:tcPr>
            <w:tcW w:w="0" w:type="dxa"/>
            <w:vAlign w:val="bottom"/>
          </w:tcPr>
          <w:p>
            <w:pPr>
              <w:spacing w:after="0"/>
              <w:rPr>
                <w:sz w:val="1"/>
                <w:szCs w:val="1"/>
                <w:color w:val="auto"/>
              </w:rPr>
            </w:pPr>
          </w:p>
        </w:tc>
      </w:tr>
      <w:tr>
        <w:trPr>
          <w:trHeight w:val="73"/>
        </w:trPr>
        <w:tc>
          <w:tcPr>
            <w:tcW w:w="5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RMBS</w:t>
            </w:r>
          </w:p>
        </w:tc>
        <w:tc>
          <w:tcPr>
            <w:tcW w:w="2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9,074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9,118</w:t>
            </w:r>
          </w:p>
        </w:tc>
        <w:tc>
          <w:tcPr>
            <w:tcW w:w="0" w:type="dxa"/>
            <w:vAlign w:val="bottom"/>
          </w:tcPr>
          <w:p>
            <w:pPr>
              <w:spacing w:after="0"/>
              <w:rPr>
                <w:sz w:val="1"/>
                <w:szCs w:val="1"/>
                <w:color w:val="auto"/>
              </w:rPr>
            </w:pPr>
          </w:p>
        </w:tc>
      </w:tr>
      <w:tr>
        <w:trPr>
          <w:trHeight w:val="80"/>
        </w:trPr>
        <w:tc>
          <w:tcPr>
            <w:tcW w:w="59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960" w:type="dxa"/>
            <w:vAlign w:val="bottom"/>
          </w:tcPr>
          <w:p>
            <w:pPr>
              <w:ind w:left="40"/>
              <w:spacing w:after="0"/>
              <w:rPr>
                <w:sz w:val="20"/>
                <w:szCs w:val="20"/>
                <w:color w:val="auto"/>
              </w:rPr>
            </w:pPr>
            <w:r>
              <w:rPr>
                <w:rFonts w:ascii="Arial" w:cs="Arial" w:eastAsia="Arial" w:hAnsi="Arial"/>
                <w:sz w:val="14"/>
                <w:szCs w:val="14"/>
                <w:color w:val="auto"/>
              </w:rPr>
              <w:t>U.S. government and agency</w:t>
            </w:r>
          </w:p>
        </w:tc>
        <w:tc>
          <w:tcPr>
            <w:tcW w:w="2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1,636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5,760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7,396</w:t>
            </w:r>
          </w:p>
        </w:tc>
        <w:tc>
          <w:tcPr>
            <w:tcW w:w="0" w:type="dxa"/>
            <w:vAlign w:val="bottom"/>
          </w:tcPr>
          <w:p>
            <w:pPr>
              <w:spacing w:after="0"/>
              <w:rPr>
                <w:sz w:val="1"/>
                <w:szCs w:val="1"/>
                <w:color w:val="auto"/>
              </w:rPr>
            </w:pPr>
          </w:p>
        </w:tc>
      </w:tr>
      <w:tr>
        <w:trPr>
          <w:trHeight w:val="73"/>
        </w:trPr>
        <w:tc>
          <w:tcPr>
            <w:tcW w:w="5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2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5,755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5,755</w:t>
            </w:r>
          </w:p>
        </w:tc>
        <w:tc>
          <w:tcPr>
            <w:tcW w:w="0" w:type="dxa"/>
            <w:vAlign w:val="bottom"/>
          </w:tcPr>
          <w:p>
            <w:pPr>
              <w:spacing w:after="0"/>
              <w:rPr>
                <w:sz w:val="1"/>
                <w:szCs w:val="1"/>
                <w:color w:val="auto"/>
              </w:rPr>
            </w:pPr>
          </w:p>
        </w:tc>
      </w:tr>
      <w:tr>
        <w:trPr>
          <w:trHeight w:val="80"/>
        </w:trPr>
        <w:tc>
          <w:tcPr>
            <w:tcW w:w="59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960" w:type="dxa"/>
            <w:vAlign w:val="bottom"/>
          </w:tcPr>
          <w:p>
            <w:pPr>
              <w:ind w:left="40"/>
              <w:spacing w:after="0"/>
              <w:rPr>
                <w:sz w:val="20"/>
                <w:szCs w:val="20"/>
                <w:color w:val="auto"/>
              </w:rPr>
            </w:pPr>
            <w:r>
              <w:rPr>
                <w:rFonts w:ascii="Arial" w:cs="Arial" w:eastAsia="Arial" w:hAnsi="Arial"/>
                <w:sz w:val="14"/>
                <w:szCs w:val="14"/>
                <w:color w:val="auto"/>
              </w:rPr>
              <w:t>State and political subdivision</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3,984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4,057</w:t>
            </w:r>
          </w:p>
        </w:tc>
        <w:tc>
          <w:tcPr>
            <w:tcW w:w="0" w:type="dxa"/>
            <w:vAlign w:val="bottom"/>
          </w:tcPr>
          <w:p>
            <w:pPr>
              <w:spacing w:after="0"/>
              <w:rPr>
                <w:sz w:val="1"/>
                <w:szCs w:val="1"/>
                <w:color w:val="auto"/>
              </w:rPr>
            </w:pPr>
          </w:p>
        </w:tc>
      </w:tr>
      <w:tr>
        <w:trPr>
          <w:trHeight w:val="73"/>
        </w:trPr>
        <w:tc>
          <w:tcPr>
            <w:tcW w:w="5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ABS</w:t>
            </w:r>
          </w:p>
        </w:tc>
        <w:tc>
          <w:tcPr>
            <w:tcW w:w="2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1,882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80"/>
        </w:trPr>
        <w:tc>
          <w:tcPr>
            <w:tcW w:w="59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960" w:type="dxa"/>
            <w:vAlign w:val="bottom"/>
          </w:tcPr>
          <w:p>
            <w:pPr>
              <w:ind w:left="40"/>
              <w:spacing w:after="0"/>
              <w:rPr>
                <w:sz w:val="20"/>
                <w:szCs w:val="20"/>
                <w:color w:val="auto"/>
              </w:rPr>
            </w:pPr>
            <w:r>
              <w:rPr>
                <w:rFonts w:ascii="Arial" w:cs="Arial" w:eastAsia="Arial" w:hAnsi="Arial"/>
                <w:sz w:val="14"/>
                <w:szCs w:val="14"/>
                <w:color w:val="auto"/>
              </w:rPr>
              <w:t>Foreign government</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1,751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1,751</w:t>
            </w:r>
          </w:p>
        </w:tc>
        <w:tc>
          <w:tcPr>
            <w:tcW w:w="0" w:type="dxa"/>
            <w:vAlign w:val="bottom"/>
          </w:tcPr>
          <w:p>
            <w:pPr>
              <w:spacing w:after="0"/>
              <w:rPr>
                <w:sz w:val="1"/>
                <w:szCs w:val="1"/>
                <w:color w:val="auto"/>
              </w:rPr>
            </w:pPr>
          </w:p>
        </w:tc>
      </w:tr>
      <w:tr>
        <w:trPr>
          <w:trHeight w:val="73"/>
        </w:trPr>
        <w:tc>
          <w:tcPr>
            <w:tcW w:w="5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9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fixed maturity securities</w:t>
            </w: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1,636</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68,749</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651</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71,036</w:t>
            </w:r>
          </w:p>
        </w:tc>
        <w:tc>
          <w:tcPr>
            <w:tcW w:w="0" w:type="dxa"/>
            <w:vAlign w:val="bottom"/>
          </w:tcPr>
          <w:p>
            <w:pPr>
              <w:spacing w:after="0"/>
              <w:rPr>
                <w:sz w:val="1"/>
                <w:szCs w:val="1"/>
                <w:color w:val="auto"/>
              </w:rPr>
            </w:pPr>
          </w:p>
        </w:tc>
      </w:tr>
      <w:tr>
        <w:trPr>
          <w:trHeight w:val="80"/>
        </w:trPr>
        <w:tc>
          <w:tcPr>
            <w:tcW w:w="596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5960" w:type="dxa"/>
            <w:vAlign w:val="bottom"/>
          </w:tcPr>
          <w:p>
            <w:pPr>
              <w:ind w:left="40"/>
              <w:spacing w:after="0"/>
              <w:rPr>
                <w:sz w:val="20"/>
                <w:szCs w:val="20"/>
                <w:color w:val="auto"/>
              </w:rPr>
            </w:pPr>
            <w:r>
              <w:rPr>
                <w:rFonts w:ascii="Arial" w:cs="Arial" w:eastAsia="Arial" w:hAnsi="Arial"/>
                <w:sz w:val="14"/>
                <w:szCs w:val="14"/>
                <w:color w:val="auto"/>
              </w:rPr>
              <w:t>Equity securities</w:t>
            </w:r>
          </w:p>
        </w:tc>
        <w:tc>
          <w:tcPr>
            <w:tcW w:w="2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73"/>
        </w:trPr>
        <w:tc>
          <w:tcPr>
            <w:tcW w:w="5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1,271</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1,958</w:t>
            </w:r>
          </w:p>
        </w:tc>
        <w:tc>
          <w:tcPr>
            <w:tcW w:w="0" w:type="dxa"/>
            <w:vAlign w:val="bottom"/>
          </w:tcPr>
          <w:p>
            <w:pPr>
              <w:spacing w:after="0"/>
              <w:rPr>
                <w:sz w:val="1"/>
                <w:szCs w:val="1"/>
                <w:color w:val="auto"/>
              </w:rPr>
            </w:pPr>
          </w:p>
        </w:tc>
      </w:tr>
      <w:tr>
        <w:trPr>
          <w:trHeight w:val="80"/>
        </w:trPr>
        <w:tc>
          <w:tcPr>
            <w:tcW w:w="59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960" w:type="dxa"/>
            <w:vAlign w:val="bottom"/>
          </w:tcPr>
          <w:p>
            <w:pPr>
              <w:ind w:left="40"/>
              <w:spacing w:after="0"/>
              <w:rPr>
                <w:sz w:val="20"/>
                <w:szCs w:val="20"/>
                <w:color w:val="auto"/>
              </w:rPr>
            </w:pPr>
            <w:r>
              <w:rPr>
                <w:rFonts w:ascii="Arial" w:cs="Arial" w:eastAsia="Arial" w:hAnsi="Arial"/>
                <w:sz w:val="14"/>
                <w:szCs w:val="14"/>
                <w:color w:val="auto"/>
              </w:rPr>
              <w:t>Derivative assets: (1)</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w:t>
            </w:r>
          </w:p>
        </w:tc>
        <w:tc>
          <w:tcPr>
            <w:tcW w:w="26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1,778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1,778</w:t>
            </w:r>
          </w:p>
        </w:tc>
        <w:tc>
          <w:tcPr>
            <w:tcW w:w="0" w:type="dxa"/>
            <w:vAlign w:val="bottom"/>
          </w:tcPr>
          <w:p>
            <w:pPr>
              <w:spacing w:after="0"/>
              <w:rPr>
                <w:sz w:val="1"/>
                <w:szCs w:val="1"/>
                <w:color w:val="auto"/>
              </w:rPr>
            </w:pPr>
          </w:p>
        </w:tc>
      </w:tr>
      <w:tr>
        <w:trPr>
          <w:trHeight w:val="80"/>
        </w:trPr>
        <w:tc>
          <w:tcPr>
            <w:tcW w:w="59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960" w:type="dxa"/>
            <w:vAlign w:val="bottom"/>
          </w:tcPr>
          <w:p>
            <w:pPr>
              <w:ind w:left="40"/>
              <w:spacing w:after="0"/>
              <w:rPr>
                <w:sz w:val="20"/>
                <w:szCs w:val="20"/>
                <w:color w:val="auto"/>
              </w:rPr>
            </w:pPr>
            <w:r>
              <w:rPr>
                <w:rFonts w:ascii="Arial" w:cs="Arial" w:eastAsia="Arial" w:hAnsi="Arial"/>
                <w:sz w:val="14"/>
                <w:szCs w:val="14"/>
                <w:color w:val="auto"/>
              </w:rPr>
              <w:t>Foreign currency exchange rate</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281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73"/>
        </w:trPr>
        <w:tc>
          <w:tcPr>
            <w:tcW w:w="5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w:t>
            </w:r>
          </w:p>
        </w:tc>
        <w:tc>
          <w:tcPr>
            <w:tcW w:w="26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79"/>
        </w:trPr>
        <w:tc>
          <w:tcPr>
            <w:tcW w:w="59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960" w:type="dxa"/>
            <w:vAlign w:val="bottom"/>
          </w:tcPr>
          <w:p>
            <w:pPr>
              <w:ind w:left="40"/>
              <w:spacing w:after="0"/>
              <w:rPr>
                <w:sz w:val="20"/>
                <w:szCs w:val="20"/>
                <w:color w:val="auto"/>
              </w:rPr>
            </w:pPr>
            <w:r>
              <w:rPr>
                <w:rFonts w:ascii="Arial" w:cs="Arial" w:eastAsia="Arial" w:hAnsi="Arial"/>
                <w:sz w:val="14"/>
                <w:szCs w:val="14"/>
                <w:color w:val="auto"/>
              </w:rPr>
              <w:t>Equity market</w:t>
            </w:r>
          </w:p>
        </w:tc>
        <w:tc>
          <w:tcPr>
            <w:tcW w:w="2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73"/>
        </w:trPr>
        <w:tc>
          <w:tcPr>
            <w:tcW w:w="59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9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derivative assets</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2,934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3,021</w:t>
            </w:r>
          </w:p>
        </w:tc>
        <w:tc>
          <w:tcPr>
            <w:tcW w:w="0" w:type="dxa"/>
            <w:vAlign w:val="bottom"/>
          </w:tcPr>
          <w:p>
            <w:pPr>
              <w:spacing w:after="0"/>
              <w:rPr>
                <w:sz w:val="1"/>
                <w:szCs w:val="1"/>
                <w:color w:val="auto"/>
              </w:rPr>
            </w:pPr>
          </w:p>
        </w:tc>
      </w:tr>
      <w:tr>
        <w:trPr>
          <w:trHeight w:val="79"/>
        </w:trPr>
        <w:tc>
          <w:tcPr>
            <w:tcW w:w="596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960" w:type="dxa"/>
            <w:vAlign w:val="bottom"/>
          </w:tcPr>
          <w:p>
            <w:pPr>
              <w:ind w:left="40"/>
              <w:spacing w:after="0"/>
              <w:rPr>
                <w:sz w:val="20"/>
                <w:szCs w:val="20"/>
                <w:color w:val="auto"/>
              </w:rPr>
            </w:pPr>
            <w:r>
              <w:rPr>
                <w:rFonts w:ascii="Arial" w:cs="Arial" w:eastAsia="Arial" w:hAnsi="Arial"/>
                <w:sz w:val="14"/>
                <w:szCs w:val="14"/>
                <w:color w:val="auto"/>
              </w:rPr>
              <w:t>Embedded derivatives within asset host contracts (2)</w:t>
            </w:r>
          </w:p>
        </w:tc>
        <w:tc>
          <w:tcPr>
            <w:tcW w:w="260" w:type="dxa"/>
            <w:vAlign w:val="bottom"/>
          </w:tcPr>
          <w:p>
            <w:pPr>
              <w:spacing w:after="0"/>
              <w:rPr>
                <w:sz w:val="14"/>
                <w:szCs w:val="14"/>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73"/>
        </w:trPr>
        <w:tc>
          <w:tcPr>
            <w:tcW w:w="5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Separate account assets</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106,924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107,107</w:t>
            </w:r>
          </w:p>
        </w:tc>
        <w:tc>
          <w:tcPr>
            <w:tcW w:w="0" w:type="dxa"/>
            <w:vAlign w:val="bottom"/>
          </w:tcPr>
          <w:p>
            <w:pPr>
              <w:spacing w:after="0"/>
              <w:rPr>
                <w:sz w:val="1"/>
                <w:szCs w:val="1"/>
                <w:color w:val="auto"/>
              </w:rPr>
            </w:pPr>
          </w:p>
        </w:tc>
      </w:tr>
      <w:tr>
        <w:trPr>
          <w:trHeight w:val="79"/>
        </w:trPr>
        <w:tc>
          <w:tcPr>
            <w:tcW w:w="596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960" w:type="dxa"/>
            <w:vAlign w:val="bottom"/>
          </w:tcPr>
          <w:p>
            <w:pPr>
              <w:ind w:left="200"/>
              <w:spacing w:after="0"/>
              <w:rPr>
                <w:sz w:val="20"/>
                <w:szCs w:val="20"/>
                <w:color w:val="auto"/>
              </w:rPr>
            </w:pPr>
            <w:r>
              <w:rPr>
                <w:rFonts w:ascii="Arial" w:cs="Arial" w:eastAsia="Arial" w:hAnsi="Arial"/>
                <w:sz w:val="14"/>
                <w:szCs w:val="14"/>
                <w:color w:val="auto"/>
              </w:rPr>
              <w:t>Total assets</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3,101</w:t>
            </w:r>
          </w:p>
        </w:tc>
        <w:tc>
          <w:tcPr>
            <w:tcW w:w="120" w:type="dxa"/>
            <w:vAlign w:val="bottom"/>
          </w:tcPr>
          <w:p>
            <w:pPr>
              <w:spacing w:after="0"/>
              <w:rPr>
                <w:sz w:val="14"/>
                <w:szCs w:val="14"/>
                <w:color w:val="auto"/>
              </w:rPr>
            </w:pP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179,414</w:t>
            </w:r>
          </w:p>
        </w:tc>
        <w:tc>
          <w:tcPr>
            <w:tcW w:w="100" w:type="dxa"/>
            <w:vAlign w:val="bottom"/>
          </w:tcPr>
          <w:p>
            <w:pPr>
              <w:spacing w:after="0"/>
              <w:rPr>
                <w:sz w:val="14"/>
                <w:szCs w:val="14"/>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971</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183,486</w:t>
            </w:r>
          </w:p>
        </w:tc>
        <w:tc>
          <w:tcPr>
            <w:tcW w:w="0" w:type="dxa"/>
            <w:vAlign w:val="bottom"/>
          </w:tcPr>
          <w:p>
            <w:pPr>
              <w:spacing w:after="0"/>
              <w:rPr>
                <w:sz w:val="1"/>
                <w:szCs w:val="1"/>
                <w:color w:val="auto"/>
              </w:rPr>
            </w:pPr>
          </w:p>
        </w:tc>
      </w:tr>
      <w:tr>
        <w:trPr>
          <w:trHeight w:val="100"/>
        </w:trPr>
        <w:tc>
          <w:tcPr>
            <w:tcW w:w="596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40" w:type="dxa"/>
            <w:vAlign w:val="bottom"/>
            <w:tcBorders>
              <w:bottom w:val="single" w:sz="8" w:color="auto"/>
            </w:tcBorders>
            <w:vMerge w:val="continue"/>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96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Liabilities</w:t>
            </w: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59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5960" w:type="dxa"/>
            <w:vAlign w:val="bottom"/>
          </w:tcPr>
          <w:p>
            <w:pPr>
              <w:ind w:left="40"/>
              <w:spacing w:after="0"/>
              <w:rPr>
                <w:sz w:val="20"/>
                <w:szCs w:val="20"/>
                <w:color w:val="auto"/>
              </w:rPr>
            </w:pPr>
            <w:r>
              <w:rPr>
                <w:rFonts w:ascii="Arial" w:cs="Arial" w:eastAsia="Arial" w:hAnsi="Arial"/>
                <w:sz w:val="14"/>
                <w:szCs w:val="14"/>
                <w:color w:val="auto"/>
              </w:rPr>
              <w:t>Derivative liabilities: (1)</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80"/>
        </w:trPr>
        <w:tc>
          <w:tcPr>
            <w:tcW w:w="596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5960" w:type="dxa"/>
            <w:vAlign w:val="bottom"/>
          </w:tcPr>
          <w:p>
            <w:pPr>
              <w:ind w:left="40"/>
              <w:spacing w:after="0"/>
              <w:rPr>
                <w:sz w:val="20"/>
                <w:szCs w:val="20"/>
                <w:color w:val="auto"/>
              </w:rPr>
            </w:pPr>
            <w:r>
              <w:rPr>
                <w:rFonts w:ascii="Arial" w:cs="Arial" w:eastAsia="Arial" w:hAnsi="Arial"/>
                <w:sz w:val="14"/>
                <w:szCs w:val="14"/>
                <w:color w:val="auto"/>
              </w:rPr>
              <w:t>Foreign currency exchange rate</w:t>
            </w:r>
          </w:p>
        </w:tc>
        <w:tc>
          <w:tcPr>
            <w:tcW w:w="260" w:type="dxa"/>
            <w:vAlign w:val="bottom"/>
          </w:tcPr>
          <w:p>
            <w:pPr>
              <w:spacing w:after="0"/>
              <w:rPr>
                <w:sz w:val="16"/>
                <w:szCs w:val="16"/>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74"/>
        </w:trPr>
        <w:tc>
          <w:tcPr>
            <w:tcW w:w="5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market</w:t>
            </w: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2,093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2,164</w:t>
            </w:r>
          </w:p>
        </w:tc>
        <w:tc>
          <w:tcPr>
            <w:tcW w:w="0" w:type="dxa"/>
            <w:vAlign w:val="bottom"/>
          </w:tcPr>
          <w:p>
            <w:pPr>
              <w:spacing w:after="0"/>
              <w:rPr>
                <w:sz w:val="1"/>
                <w:szCs w:val="1"/>
                <w:color w:val="auto"/>
              </w:rPr>
            </w:pPr>
          </w:p>
        </w:tc>
      </w:tr>
      <w:tr>
        <w:trPr>
          <w:trHeight w:val="80"/>
        </w:trPr>
        <w:tc>
          <w:tcPr>
            <w:tcW w:w="596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5960" w:type="dxa"/>
            <w:vAlign w:val="bottom"/>
          </w:tcPr>
          <w:p>
            <w:pPr>
              <w:ind w:left="200"/>
              <w:spacing w:after="0"/>
              <w:rPr>
                <w:sz w:val="20"/>
                <w:szCs w:val="20"/>
                <w:color w:val="auto"/>
              </w:rPr>
            </w:pPr>
            <w:r>
              <w:rPr>
                <w:rFonts w:ascii="Arial" w:cs="Arial" w:eastAsia="Arial" w:hAnsi="Arial"/>
                <w:sz w:val="14"/>
                <w:szCs w:val="14"/>
                <w:color w:val="auto"/>
              </w:rPr>
              <w:t>Total derivative liabilities</w:t>
            </w:r>
          </w:p>
        </w:tc>
        <w:tc>
          <w:tcPr>
            <w:tcW w:w="2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2,466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2,537</w:t>
            </w:r>
          </w:p>
        </w:tc>
        <w:tc>
          <w:tcPr>
            <w:tcW w:w="0" w:type="dxa"/>
            <w:vAlign w:val="bottom"/>
          </w:tcPr>
          <w:p>
            <w:pPr>
              <w:spacing w:after="0"/>
              <w:rPr>
                <w:sz w:val="1"/>
                <w:szCs w:val="1"/>
                <w:color w:val="auto"/>
              </w:rPr>
            </w:pPr>
          </w:p>
        </w:tc>
      </w:tr>
      <w:tr>
        <w:trPr>
          <w:trHeight w:val="74"/>
        </w:trPr>
        <w:tc>
          <w:tcPr>
            <w:tcW w:w="59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5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Embedded derivatives within liability host contracts (2)</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4,248</w:t>
            </w:r>
          </w:p>
        </w:tc>
        <w:tc>
          <w:tcPr>
            <w:tcW w:w="0" w:type="dxa"/>
            <w:vAlign w:val="bottom"/>
          </w:tcPr>
          <w:p>
            <w:pPr>
              <w:spacing w:after="0"/>
              <w:rPr>
                <w:sz w:val="1"/>
                <w:szCs w:val="1"/>
                <w:color w:val="auto"/>
              </w:rPr>
            </w:pPr>
          </w:p>
        </w:tc>
      </w:tr>
      <w:tr>
        <w:trPr>
          <w:trHeight w:val="80"/>
        </w:trPr>
        <w:tc>
          <w:tcPr>
            <w:tcW w:w="596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5960" w:type="dxa"/>
            <w:vAlign w:val="bottom"/>
          </w:tcPr>
          <w:p>
            <w:pPr>
              <w:ind w:left="200"/>
              <w:spacing w:after="0"/>
              <w:rPr>
                <w:sz w:val="20"/>
                <w:szCs w:val="20"/>
                <w:color w:val="auto"/>
              </w:rPr>
            </w:pPr>
            <w:r>
              <w:rPr>
                <w:rFonts w:ascii="Arial" w:cs="Arial" w:eastAsia="Arial" w:hAnsi="Arial"/>
                <w:sz w:val="14"/>
                <w:szCs w:val="14"/>
                <w:color w:val="auto"/>
              </w:rPr>
              <w:t>Total liabilities</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2,466</w:t>
            </w:r>
          </w:p>
        </w:tc>
        <w:tc>
          <w:tcPr>
            <w:tcW w:w="100" w:type="dxa"/>
            <w:vAlign w:val="bottom"/>
          </w:tcPr>
          <w:p>
            <w:pPr>
              <w:spacing w:after="0"/>
              <w:rPr>
                <w:sz w:val="14"/>
                <w:szCs w:val="14"/>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color w:val="auto"/>
              </w:rPr>
              <w:t>4,319</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6,785</w:t>
            </w:r>
          </w:p>
        </w:tc>
        <w:tc>
          <w:tcPr>
            <w:tcW w:w="0" w:type="dxa"/>
            <w:vAlign w:val="bottom"/>
          </w:tcPr>
          <w:p>
            <w:pPr>
              <w:spacing w:after="0"/>
              <w:rPr>
                <w:sz w:val="1"/>
                <w:szCs w:val="1"/>
                <w:color w:val="auto"/>
              </w:rPr>
            </w:pPr>
          </w:p>
        </w:tc>
      </w:tr>
      <w:tr>
        <w:trPr>
          <w:trHeight w:val="54"/>
        </w:trPr>
        <w:tc>
          <w:tcPr>
            <w:tcW w:w="596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7620</wp:posOffset>
            </wp:positionV>
            <wp:extent cx="33515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-98425</wp:posOffset>
            </wp:positionV>
            <wp:extent cx="33515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3" w:lineRule="exact"/>
        <w:rPr>
          <w:sz w:val="20"/>
          <w:szCs w:val="20"/>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Derivative assets are presented within other invested assets on the consolidated balance sheets and derivative liabilities are presented within other liabilities on the consolidated balance sheets. The amounts are presented gross in the tables above to reflect the presentation on the consolidated balance sheets.</w:t>
      </w:r>
    </w:p>
    <w:p>
      <w:pPr>
        <w:spacing w:after="0" w:line="7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Embedded derivatives within asset host contracts are presented within premiums, reinsurance and other receivables and other invested assets on the consolidated balance sheets. Embedded derivatives within liability host contracts are presented within policyholder account balances on the consolidated balance sheets.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288" w:right="3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Valuation Controls and Procedures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Financial’s Board of Directors regarding compliance with fair value accounting standards.</w:t>
      </w:r>
    </w:p>
    <w:p>
      <w:pPr>
        <w:spacing w:after="0" w:line="84" w:lineRule="exact"/>
        <w:rPr>
          <w:sz w:val="20"/>
          <w:szCs w:val="20"/>
          <w:color w:val="auto"/>
        </w:rPr>
      </w:pPr>
    </w:p>
    <w:p>
      <w:pPr>
        <w:jc w:val="both"/>
        <w:ind w:left="180" w:firstLine="324"/>
        <w:spacing w:after="0" w:line="270" w:lineRule="auto"/>
        <w:rPr>
          <w:sz w:val="20"/>
          <w:szCs w:val="20"/>
          <w:color w:val="auto"/>
        </w:rPr>
      </w:pPr>
      <w:r>
        <w:rPr>
          <w:rFonts w:ascii="Arial" w:cs="Arial" w:eastAsia="Arial" w:hAnsi="Arial"/>
          <w:sz w:val="17"/>
          <w:szCs w:val="17"/>
          <w:color w:val="auto"/>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73"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spacing w:after="0" w:line="79"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Additional controls are performed, such as, balance sheet analytics to assess reasonableness of period to 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three months ended March 31, 2020.</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Determination of Fair Value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Fixed Maturity Securities</w:t>
      </w:r>
    </w:p>
    <w:p>
      <w:pPr>
        <w:spacing w:after="0" w:line="117"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spacing w:after="0" w:line="130"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i w:val="1"/>
          <w:iCs w:val="1"/>
          <w:color w:val="auto"/>
        </w:rPr>
        <w:t xml:space="preserve">U.S. corporate and foreign corporate securities: </w:t>
      </w:r>
      <w:r>
        <w:rPr>
          <w:rFonts w:ascii="Arial" w:cs="Arial" w:eastAsia="Arial" w:hAnsi="Arial"/>
          <w:sz w:val="18"/>
          <w:szCs w:val="18"/>
          <w:color w:val="auto"/>
        </w:rPr>
        <w:t>Fair value is determined using third-party commercial pricing services, with the primary inputs</w:t>
      </w:r>
      <w:r>
        <w:rPr>
          <w:rFonts w:ascii="Arial" w:cs="Arial" w:eastAsia="Arial" w:hAnsi="Arial"/>
          <w:sz w:val="18"/>
          <w:szCs w:val="18"/>
          <w:i w:val="1"/>
          <w:iCs w:val="1"/>
          <w:color w:val="auto"/>
        </w:rPr>
        <w:t xml:space="preserve"> </w:t>
      </w:r>
      <w:r>
        <w:rPr>
          <w:rFonts w:ascii="Arial" w:cs="Arial" w:eastAsia="Arial" w:hAnsi="Arial"/>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34"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i w:val="1"/>
          <w:iCs w:val="1"/>
          <w:color w:val="auto"/>
        </w:rPr>
        <w:t xml:space="preserve">U.S. government and agency, state and political subdivision and foreign government securities: </w:t>
      </w:r>
      <w:r>
        <w:rPr>
          <w:rFonts w:ascii="Arial" w:cs="Arial" w:eastAsia="Arial" w:hAnsi="Arial"/>
          <w:sz w:val="18"/>
          <w:szCs w:val="18"/>
          <w:color w:val="auto"/>
        </w:rPr>
        <w:t>Fair value is determined using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288" w:right="3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91" w:lineRule="exact"/>
        <w:rPr>
          <w:sz w:val="20"/>
          <w:szCs w:val="20"/>
          <w:color w:val="auto"/>
        </w:rPr>
      </w:pPr>
    </w:p>
    <w:p>
      <w:pPr>
        <w:jc w:val="both"/>
        <w:ind w:left="340" w:firstLine="324"/>
        <w:spacing w:after="0" w:line="275" w:lineRule="auto"/>
        <w:rPr>
          <w:sz w:val="20"/>
          <w:szCs w:val="20"/>
          <w:color w:val="auto"/>
        </w:rPr>
      </w:pPr>
      <w:r>
        <w:rPr>
          <w:rFonts w:ascii="Arial" w:cs="Arial" w:eastAsia="Arial" w:hAnsi="Arial"/>
          <w:sz w:val="17"/>
          <w:szCs w:val="17"/>
          <w:i w:val="1"/>
          <w:iCs w:val="1"/>
          <w:color w:val="auto"/>
        </w:rPr>
        <w:t xml:space="preserve">Structured Securities: </w:t>
      </w:r>
      <w:r>
        <w:rPr>
          <w:rFonts w:ascii="Arial" w:cs="Arial" w:eastAsia="Arial" w:hAnsi="Arial"/>
          <w:sz w:val="17"/>
          <w:szCs w:val="17"/>
          <w:color w:val="auto"/>
        </w:rPr>
        <w:t>Fair value is determined using third-party commercial pricing services, with the primary inputs being quoted prices in</w:t>
      </w:r>
      <w:r>
        <w:rPr>
          <w:rFonts w:ascii="Arial" w:cs="Arial" w:eastAsia="Arial" w:hAnsi="Arial"/>
          <w:sz w:val="17"/>
          <w:szCs w:val="17"/>
          <w:i w:val="1"/>
          <w:iCs w:val="1"/>
          <w:color w:val="auto"/>
        </w:rPr>
        <w:t xml:space="preserve"> </w:t>
      </w:r>
      <w:r>
        <w:rPr>
          <w:rFonts w:ascii="Arial" w:cs="Arial" w:eastAsia="Arial" w:hAnsi="Arial"/>
          <w:sz w:val="17"/>
          <w:szCs w:val="17"/>
          <w:color w:val="auto"/>
        </w:rPr>
        <w:t>markets 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Equity Securities and Short-term Investments</w:t>
      </w:r>
    </w:p>
    <w:p>
      <w:pPr>
        <w:spacing w:after="0" w:line="117"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The fair value for actively traded equity securities and short-term investments are determined using quoted market prices and are classified as Level 1 assets. For financial instruments classified as Level 2 assets or liabilities, fair values are determined using a market approach and are valued based on a variety of observable inputs as described below.</w:t>
      </w:r>
    </w:p>
    <w:p>
      <w:pPr>
        <w:spacing w:after="0" w:line="130"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Equity securities and short-term investments: </w:t>
      </w:r>
      <w:r>
        <w:rPr>
          <w:rFonts w:ascii="Arial" w:cs="Arial" w:eastAsia="Arial" w:hAnsi="Arial"/>
          <w:sz w:val="18"/>
          <w:szCs w:val="18"/>
          <w:color w:val="auto"/>
        </w:rPr>
        <w:t>Fair value is determined using third-party commercial pricing services, with the primary input being</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markets that are not active.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w:t>
      </w:r>
    </w:p>
    <w:p>
      <w:pPr>
        <w:spacing w:after="0" w:line="7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9"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84"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57" w:lineRule="exact"/>
        <w:rPr>
          <w:sz w:val="20"/>
          <w:szCs w:val="20"/>
          <w:color w:val="auto"/>
        </w:rPr>
      </w:pPr>
    </w:p>
    <w:p>
      <w:pPr>
        <w:jc w:val="both"/>
        <w:ind w:left="340" w:firstLine="324"/>
        <w:spacing w:after="0" w:line="270" w:lineRule="auto"/>
        <w:rPr>
          <w:sz w:val="20"/>
          <w:szCs w:val="20"/>
          <w:color w:val="auto"/>
        </w:rPr>
      </w:pPr>
      <w:r>
        <w:rPr>
          <w:rFonts w:ascii="Arial" w:cs="Arial" w:eastAsia="Arial" w:hAnsi="Arial"/>
          <w:sz w:val="17"/>
          <w:szCs w:val="17"/>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7" w:lineRule="exact"/>
        <w:rPr>
          <w:sz w:val="20"/>
          <w:szCs w:val="20"/>
          <w:color w:val="auto"/>
        </w:rPr>
      </w:pPr>
    </w:p>
    <w:p>
      <w:pPr>
        <w:jc w:val="both"/>
        <w:ind w:left="340" w:right="20" w:firstLine="324"/>
        <w:spacing w:after="0" w:line="308" w:lineRule="auto"/>
        <w:rPr>
          <w:sz w:val="20"/>
          <w:szCs w:val="20"/>
          <w:color w:val="auto"/>
        </w:rPr>
      </w:pPr>
      <w:r>
        <w:rPr>
          <w:rFonts w:ascii="Arial" w:cs="Arial" w:eastAsia="Arial" w:hAnsi="Arial"/>
          <w:sz w:val="17"/>
          <w:szCs w:val="17"/>
          <w:color w:val="auto"/>
        </w:rPr>
        <w:t>Embedded derivatives principally include certain direct and ceded variable annuity guarantees and equity crediting rates within index-linked annuity contracts. Embedded derivatives are recorded at estimated fair value with changes in estimated fair value reported in net income.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88" w:right="33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3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Company issues certain variable annuity products with guaranteed minimum benefits. GMWBs, GMABs and certain GMIBs contain embedded derivatives, which are measured at estimated fair value separately from the host variable annuity contract, with changes in estimated fair value reported in net derivative gains (losses). These embedded derivatives are classified within policyholder account balances on the consolidated balance sheets.</w:t>
      </w:r>
    </w:p>
    <w:p>
      <w:pPr>
        <w:spacing w:after="0" w:line="79"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The Company determines the fair value of these embedded derivatives by estimating the present value of projected future benefits minus the present value of projected future fees using actuarial and capital market assumptions including expectations of policyholder behavior. The calculation is based on in-force business and is performed using standard actuarial valuation software which projects future cash flows from the embedded derivative over multiple risk neutral stochastic scenarios using observable risk-free rates. The percentage of fees included in the initial fair value measurement is not updated in subsequent periods.</w:t>
      </w:r>
    </w:p>
    <w:p>
      <w:pPr>
        <w:spacing w:after="0" w:line="80"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Capital market assumptions, such as risk-free rates and implied volatilities, are based on market prices for publicly-traded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spacing w:after="0" w:line="7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valuation of these guarantee liabilities includes nonperformance risk adjustments and adjustments for a risk margin related to non-capital market inputs. The nonperformance adjustment is determined by taking into consideration publicly available information relating to spreads in the secondary market for BHF’s debt. These observable spreads are then adjusted to reflect the priority of these liabilities and claims-paying ability of the issuing insurance subsidiaries as compared to BHF’s overall financial strength.</w:t>
      </w:r>
    </w:p>
    <w:p>
      <w:pPr>
        <w:spacing w:after="0" w:line="7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Risk margins are established to capture the non-capital market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w:t>
      </w:r>
    </w:p>
    <w:p>
      <w:pPr>
        <w:spacing w:after="0" w:line="79"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Company issues and assumes through reinsurance index-linked annuities which allow the policyholder to participate in returns from equity indices. The crediting rates associated with these features are embedded derivatives which are measured at estimated fair value separately from the host fixed annuity contract, with changes in estimated fair value reported in net derivative gains (losses). These embedded derivatives are classified within policyholder account balances on the consolidated balance sheets.</w:t>
      </w:r>
    </w:p>
    <w:p>
      <w:pPr>
        <w:spacing w:after="0" w:line="79"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Transfers Into or Out of Level 3:</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288" w:right="3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Assets and Liabilities Measured at Fair Value Using Significant Unobservable Inputs (Level 3)</w:t>
      </w:r>
    </w:p>
    <w:p>
      <w:pPr>
        <w:spacing w:after="0" w:line="117"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90"/>
              </w:rPr>
              <w:t>March 31, 2020</w:t>
            </w:r>
          </w:p>
        </w:tc>
        <w:tc>
          <w:tcPr>
            <w:tcW w:w="16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7"/>
              </w:rPr>
              <w:t>December 31, 2019</w:t>
            </w:r>
          </w:p>
        </w:tc>
        <w:tc>
          <w:tcPr>
            <w:tcW w:w="10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9"/>
              </w:rPr>
              <w:t>Impact of</w:t>
            </w:r>
          </w:p>
        </w:tc>
        <w:tc>
          <w:tcPr>
            <w:tcW w:w="0" w:type="dxa"/>
            <w:vAlign w:val="bottom"/>
          </w:tcPr>
          <w:p>
            <w:pPr>
              <w:spacing w:after="0"/>
              <w:rPr>
                <w:sz w:val="1"/>
                <w:szCs w:val="1"/>
                <w:color w:val="auto"/>
              </w:rPr>
            </w:pPr>
          </w:p>
        </w:tc>
      </w:tr>
      <w:tr>
        <w:trPr>
          <w:trHeight w:val="126"/>
        </w:trPr>
        <w:tc>
          <w:tcPr>
            <w:tcW w:w="30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80" w:type="dxa"/>
            <w:vAlign w:val="bottom"/>
            <w:gridSpan w:val="4"/>
            <w:vMerge w:val="continue"/>
          </w:tcPr>
          <w:p>
            <w:pPr>
              <w:spacing w:after="0"/>
              <w:rPr>
                <w:sz w:val="10"/>
                <w:szCs w:val="10"/>
                <w:color w:val="auto"/>
              </w:rPr>
            </w:pPr>
          </w:p>
        </w:tc>
        <w:tc>
          <w:tcPr>
            <w:tcW w:w="16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6"/>
              </w:rPr>
              <w:t>Increase in Input</w:t>
            </w:r>
          </w:p>
        </w:tc>
        <w:tc>
          <w:tcPr>
            <w:tcW w:w="0" w:type="dxa"/>
            <w:vAlign w:val="bottom"/>
          </w:tcPr>
          <w:p>
            <w:pPr>
              <w:spacing w:after="0"/>
              <w:rPr>
                <w:sz w:val="1"/>
                <w:szCs w:val="1"/>
                <w:color w:val="auto"/>
              </w:rPr>
            </w:pPr>
          </w:p>
        </w:tc>
      </w:tr>
      <w:tr>
        <w:trPr>
          <w:trHeight w:val="124"/>
        </w:trPr>
        <w:tc>
          <w:tcPr>
            <w:tcW w:w="30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ind w:left="300"/>
              <w:spacing w:after="0" w:line="124" w:lineRule="exact"/>
              <w:rPr>
                <w:sz w:val="20"/>
                <w:szCs w:val="20"/>
                <w:color w:val="auto"/>
              </w:rPr>
            </w:pPr>
            <w:r>
              <w:rPr>
                <w:rFonts w:ascii="Arial" w:cs="Arial" w:eastAsia="Arial" w:hAnsi="Arial"/>
                <w:sz w:val="13"/>
                <w:szCs w:val="13"/>
                <w:b w:val="1"/>
                <w:bCs w:val="1"/>
                <w:color w:val="auto"/>
              </w:rPr>
              <w:t>Significant</w:t>
            </w:r>
          </w:p>
        </w:tc>
        <w:tc>
          <w:tcPr>
            <w:tcW w:w="6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88"/>
              </w:rPr>
              <w:t>on Estimated</w:t>
            </w:r>
          </w:p>
        </w:tc>
        <w:tc>
          <w:tcPr>
            <w:tcW w:w="0" w:type="dxa"/>
            <w:vAlign w:val="bottom"/>
          </w:tcPr>
          <w:p>
            <w:pPr>
              <w:spacing w:after="0"/>
              <w:rPr>
                <w:sz w:val="1"/>
                <w:szCs w:val="1"/>
                <w:color w:val="auto"/>
              </w:rPr>
            </w:pPr>
          </w:p>
        </w:tc>
      </w:tr>
      <w:tr>
        <w:trPr>
          <w:trHeight w:val="174"/>
        </w:trPr>
        <w:tc>
          <w:tcPr>
            <w:tcW w:w="3040" w:type="dxa"/>
            <w:vAlign w:val="bottom"/>
          </w:tcPr>
          <w:p>
            <w:pPr>
              <w:spacing w:after="0"/>
              <w:rPr>
                <w:sz w:val="15"/>
                <w:szCs w:val="15"/>
                <w:color w:val="auto"/>
              </w:rPr>
            </w:pPr>
          </w:p>
        </w:tc>
        <w:tc>
          <w:tcPr>
            <w:tcW w:w="1640" w:type="dxa"/>
            <w:vAlign w:val="bottom"/>
            <w:gridSpan w:val="2"/>
          </w:tcPr>
          <w:p>
            <w:pPr>
              <w:ind w:left="180"/>
              <w:spacing w:after="0"/>
              <w:rPr>
                <w:sz w:val="20"/>
                <w:szCs w:val="20"/>
                <w:color w:val="auto"/>
              </w:rPr>
            </w:pPr>
            <w:r>
              <w:rPr>
                <w:rFonts w:ascii="Arial" w:cs="Arial" w:eastAsia="Arial" w:hAnsi="Arial"/>
                <w:sz w:val="13"/>
                <w:szCs w:val="13"/>
                <w:b w:val="1"/>
                <w:bCs w:val="1"/>
                <w:color w:val="auto"/>
              </w:rPr>
              <w:t>Valuation Techniques</w:t>
            </w:r>
          </w:p>
        </w:tc>
        <w:tc>
          <w:tcPr>
            <w:tcW w:w="18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Arial" w:cs="Arial" w:eastAsia="Arial" w:hAnsi="Arial"/>
                <w:sz w:val="13"/>
                <w:szCs w:val="13"/>
                <w:b w:val="1"/>
                <w:bCs w:val="1"/>
                <w:color w:val="auto"/>
              </w:rPr>
              <w:t>Unobservable Inputs</w:t>
            </w:r>
          </w:p>
        </w:tc>
        <w:tc>
          <w:tcPr>
            <w:tcW w:w="62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85"/>
              </w:rPr>
              <w:t>Range</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3"/>
                <w:szCs w:val="13"/>
                <w:b w:val="1"/>
                <w:bCs w:val="1"/>
                <w:color w:val="auto"/>
                <w:w w:val="85"/>
              </w:rPr>
              <w:t>Range</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60"/>
        </w:trPr>
        <w:tc>
          <w:tcPr>
            <w:tcW w:w="30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Embedded derivatives</w:t>
            </w:r>
          </w:p>
        </w:tc>
        <w:tc>
          <w:tcPr>
            <w:tcW w:w="1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04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6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 xml:space="preserve">Direct, assumed and ceded guaranteed minimum benefits   </w:t>
            </w:r>
            <w:r>
              <w:rPr>
                <w:rFonts w:ascii="Arial" w:cs="Arial" w:eastAsia="Arial" w:hAnsi="Arial"/>
                <w:sz w:val="13"/>
                <w:szCs w:val="13"/>
                <w:b w:val="1"/>
                <w:bCs w:val="1"/>
                <w:color w:val="auto"/>
              </w:rPr>
              <w:t>•</w:t>
            </w:r>
            <w:r>
              <w:rPr>
                <w:rFonts w:ascii="Arial" w:cs="Arial" w:eastAsia="Arial" w:hAnsi="Arial"/>
                <w:sz w:val="13"/>
                <w:szCs w:val="13"/>
                <w:color w:val="auto"/>
              </w:rPr>
              <w:t xml:space="preserve">  Option pricing</w:t>
            </w:r>
          </w:p>
        </w:tc>
        <w:tc>
          <w:tcPr>
            <w:tcW w:w="180" w:type="dxa"/>
            <w:vAlign w:val="bottom"/>
          </w:tcPr>
          <w:p>
            <w:pPr>
              <w:ind w:left="80"/>
              <w:spacing w:after="0" w:line="148" w:lineRule="exact"/>
              <w:rPr>
                <w:sz w:val="20"/>
                <w:szCs w:val="20"/>
                <w:color w:val="auto"/>
              </w:rPr>
            </w:pPr>
            <w:r>
              <w:rPr>
                <w:rFonts w:ascii="Arial" w:cs="Arial" w:eastAsia="Arial" w:hAnsi="Arial"/>
                <w:sz w:val="13"/>
                <w:szCs w:val="13"/>
                <w:b w:val="1"/>
                <w:bCs w:val="1"/>
                <w:color w:val="auto"/>
              </w:rPr>
              <w:t>•</w:t>
            </w:r>
          </w:p>
        </w:tc>
        <w:tc>
          <w:tcPr>
            <w:tcW w:w="148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Mortality rates</w:t>
            </w:r>
          </w:p>
        </w:tc>
        <w:tc>
          <w:tcPr>
            <w:tcW w:w="620" w:type="dxa"/>
            <w:vAlign w:val="bottom"/>
          </w:tcPr>
          <w:p>
            <w:pPr>
              <w:jc w:val="center"/>
              <w:ind w:left="97"/>
              <w:spacing w:after="0" w:line="148" w:lineRule="exact"/>
              <w:rPr>
                <w:sz w:val="20"/>
                <w:szCs w:val="20"/>
                <w:color w:val="auto"/>
              </w:rPr>
            </w:pPr>
            <w:r>
              <w:rPr>
                <w:rFonts w:ascii="Arial" w:cs="Arial" w:eastAsia="Arial" w:hAnsi="Arial"/>
                <w:sz w:val="13"/>
                <w:szCs w:val="13"/>
                <w:color w:val="auto"/>
                <w:w w:val="92"/>
              </w:rPr>
              <w:t>0.02%</w:t>
            </w:r>
          </w:p>
        </w:tc>
        <w:tc>
          <w:tcPr>
            <w:tcW w:w="4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tcPr>
          <w:p>
            <w:pPr>
              <w:jc w:val="center"/>
              <w:ind w:right="77"/>
              <w:spacing w:after="0" w:line="148" w:lineRule="exact"/>
              <w:rPr>
                <w:sz w:val="20"/>
                <w:szCs w:val="20"/>
                <w:color w:val="auto"/>
              </w:rPr>
            </w:pPr>
            <w:r>
              <w:rPr>
                <w:rFonts w:ascii="Arial" w:cs="Arial" w:eastAsia="Arial" w:hAnsi="Arial"/>
                <w:sz w:val="13"/>
                <w:szCs w:val="13"/>
                <w:color w:val="auto"/>
                <w:w w:val="86"/>
              </w:rPr>
              <w:t>11.31%</w:t>
            </w:r>
          </w:p>
        </w:tc>
        <w:tc>
          <w:tcPr>
            <w:tcW w:w="100" w:type="dxa"/>
            <w:vAlign w:val="bottom"/>
          </w:tcPr>
          <w:p>
            <w:pPr>
              <w:spacing w:after="0"/>
              <w:rPr>
                <w:sz w:val="12"/>
                <w:szCs w:val="12"/>
                <w:color w:val="auto"/>
              </w:rPr>
            </w:pPr>
          </w:p>
        </w:tc>
        <w:tc>
          <w:tcPr>
            <w:tcW w:w="620" w:type="dxa"/>
            <w:vAlign w:val="bottom"/>
          </w:tcPr>
          <w:p>
            <w:pPr>
              <w:jc w:val="center"/>
              <w:ind w:left="117"/>
              <w:spacing w:after="0" w:line="148" w:lineRule="exact"/>
              <w:rPr>
                <w:sz w:val="20"/>
                <w:szCs w:val="20"/>
                <w:color w:val="auto"/>
              </w:rPr>
            </w:pPr>
            <w:r>
              <w:rPr>
                <w:rFonts w:ascii="Arial" w:cs="Arial" w:eastAsia="Arial" w:hAnsi="Arial"/>
                <w:sz w:val="13"/>
                <w:szCs w:val="13"/>
                <w:color w:val="auto"/>
                <w:w w:val="86"/>
              </w:rPr>
              <w:t>0.02%</w:t>
            </w:r>
          </w:p>
        </w:tc>
        <w:tc>
          <w:tcPr>
            <w:tcW w:w="4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tcPr>
          <w:p>
            <w:pPr>
              <w:jc w:val="center"/>
              <w:ind w:right="77"/>
              <w:spacing w:after="0" w:line="148" w:lineRule="exact"/>
              <w:rPr>
                <w:sz w:val="20"/>
                <w:szCs w:val="20"/>
                <w:color w:val="auto"/>
              </w:rPr>
            </w:pPr>
            <w:r>
              <w:rPr>
                <w:rFonts w:ascii="Arial" w:cs="Arial" w:eastAsia="Arial" w:hAnsi="Arial"/>
                <w:sz w:val="13"/>
                <w:szCs w:val="13"/>
                <w:color w:val="auto"/>
                <w:w w:val="86"/>
              </w:rPr>
              <w:t>11.31%</w:t>
            </w:r>
          </w:p>
        </w:tc>
        <w:tc>
          <w:tcPr>
            <w:tcW w:w="10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Arial" w:cs="Arial" w:eastAsia="Arial" w:hAnsi="Arial"/>
                <w:sz w:val="13"/>
                <w:szCs w:val="13"/>
                <w:color w:val="auto"/>
                <w:w w:val="85"/>
              </w:rPr>
              <w:t>Decrease (1)</w:t>
            </w:r>
          </w:p>
        </w:tc>
        <w:tc>
          <w:tcPr>
            <w:tcW w:w="0" w:type="dxa"/>
            <w:vAlign w:val="bottom"/>
          </w:tcPr>
          <w:p>
            <w:pPr>
              <w:spacing w:after="0"/>
              <w:rPr>
                <w:sz w:val="1"/>
                <w:szCs w:val="1"/>
                <w:color w:val="auto"/>
              </w:rPr>
            </w:pPr>
          </w:p>
        </w:tc>
      </w:tr>
      <w:tr>
        <w:trPr>
          <w:trHeight w:val="168"/>
        </w:trPr>
        <w:tc>
          <w:tcPr>
            <w:tcW w:w="3040" w:type="dxa"/>
            <w:vAlign w:val="bottom"/>
          </w:tcPr>
          <w:p>
            <w:pPr>
              <w:spacing w:after="0"/>
              <w:rPr>
                <w:sz w:val="14"/>
                <w:szCs w:val="14"/>
                <w:color w:val="auto"/>
              </w:rPr>
            </w:pPr>
          </w:p>
        </w:tc>
        <w:tc>
          <w:tcPr>
            <w:tcW w:w="1640" w:type="dxa"/>
            <w:vAlign w:val="bottom"/>
            <w:gridSpan w:val="2"/>
          </w:tcPr>
          <w:p>
            <w:pPr>
              <w:ind w:left="400"/>
              <w:spacing w:after="0"/>
              <w:rPr>
                <w:sz w:val="20"/>
                <w:szCs w:val="20"/>
                <w:color w:val="auto"/>
              </w:rPr>
            </w:pPr>
            <w:r>
              <w:rPr>
                <w:rFonts w:ascii="Arial" w:cs="Arial" w:eastAsia="Arial" w:hAnsi="Arial"/>
                <w:sz w:val="13"/>
                <w:szCs w:val="13"/>
                <w:color w:val="auto"/>
              </w:rPr>
              <w:t>techniques</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w:t>
            </w:r>
          </w:p>
        </w:tc>
        <w:tc>
          <w:tcPr>
            <w:tcW w:w="14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Lapse rates</w:t>
            </w:r>
          </w:p>
        </w:tc>
        <w:tc>
          <w:tcPr>
            <w:tcW w:w="62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92"/>
              </w:rPr>
              <w:t>0.25%</w:t>
            </w:r>
          </w:p>
        </w:tc>
        <w:tc>
          <w:tcPr>
            <w:tcW w:w="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90"/>
              </w:rPr>
              <w:t>16.00%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center"/>
              <w:ind w:left="117"/>
              <w:spacing w:after="0"/>
              <w:rPr>
                <w:sz w:val="20"/>
                <w:szCs w:val="20"/>
                <w:color w:val="auto"/>
              </w:rPr>
            </w:pPr>
            <w:r>
              <w:rPr>
                <w:rFonts w:ascii="Arial" w:cs="Arial" w:eastAsia="Arial" w:hAnsi="Arial"/>
                <w:sz w:val="13"/>
                <w:szCs w:val="13"/>
                <w:color w:val="auto"/>
                <w:w w:val="86"/>
              </w:rPr>
              <w:t>0.25%</w:t>
            </w:r>
          </w:p>
        </w:tc>
        <w:tc>
          <w:tcPr>
            <w:tcW w:w="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6"/>
              </w:rPr>
              <w:t>16.00%</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Decrease (2)</w:t>
            </w:r>
          </w:p>
        </w:tc>
        <w:tc>
          <w:tcPr>
            <w:tcW w:w="0" w:type="dxa"/>
            <w:vAlign w:val="bottom"/>
          </w:tcPr>
          <w:p>
            <w:pPr>
              <w:spacing w:after="0"/>
              <w:rPr>
                <w:sz w:val="1"/>
                <w:szCs w:val="1"/>
                <w:color w:val="auto"/>
              </w:rPr>
            </w:pPr>
          </w:p>
        </w:tc>
      </w:tr>
      <w:tr>
        <w:trPr>
          <w:trHeight w:val="97"/>
        </w:trPr>
        <w:tc>
          <w:tcPr>
            <w:tcW w:w="30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1480" w:type="dxa"/>
            <w:vAlign w:val="bottom"/>
            <w:gridSpan w:val="2"/>
          </w:tcPr>
          <w:p>
            <w:pPr>
              <w:ind w:left="60"/>
              <w:spacing w:after="0"/>
              <w:rPr>
                <w:sz w:val="20"/>
                <w:szCs w:val="20"/>
                <w:color w:val="auto"/>
              </w:rPr>
            </w:pPr>
            <w:r>
              <w:rPr>
                <w:rFonts w:ascii="Arial" w:cs="Arial" w:eastAsia="Arial" w:hAnsi="Arial"/>
                <w:sz w:val="13"/>
                <w:szCs w:val="13"/>
                <w:color w:val="auto"/>
              </w:rPr>
              <w:t>Utilization rates</w:t>
            </w:r>
          </w:p>
        </w:tc>
        <w:tc>
          <w:tcPr>
            <w:tcW w:w="620" w:type="dxa"/>
            <w:vAlign w:val="bottom"/>
          </w:tcPr>
          <w:p>
            <w:pPr>
              <w:jc w:val="center"/>
              <w:ind w:left="97"/>
              <w:spacing w:after="0"/>
              <w:rPr>
                <w:sz w:val="20"/>
                <w:szCs w:val="20"/>
                <w:color w:val="auto"/>
              </w:rPr>
            </w:pPr>
            <w:r>
              <w:rPr>
                <w:rFonts w:ascii="Arial" w:cs="Arial" w:eastAsia="Arial" w:hAnsi="Arial"/>
                <w:sz w:val="13"/>
                <w:szCs w:val="13"/>
                <w:color w:val="auto"/>
                <w:w w:val="92"/>
              </w:rPr>
              <w:t>0.00%</w:t>
            </w:r>
          </w:p>
        </w:tc>
        <w:tc>
          <w:tcPr>
            <w:tcW w:w="4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tcPr>
          <w:p>
            <w:pPr>
              <w:jc w:val="center"/>
              <w:ind w:right="97"/>
              <w:spacing w:after="0"/>
              <w:rPr>
                <w:sz w:val="20"/>
                <w:szCs w:val="20"/>
                <w:color w:val="auto"/>
              </w:rPr>
            </w:pPr>
            <w:r>
              <w:rPr>
                <w:rFonts w:ascii="Arial" w:cs="Arial" w:eastAsia="Arial" w:hAnsi="Arial"/>
                <w:sz w:val="13"/>
                <w:szCs w:val="13"/>
                <w:color w:val="auto"/>
                <w:w w:val="90"/>
              </w:rPr>
              <w:t>25.00%</w:t>
            </w:r>
          </w:p>
        </w:tc>
        <w:tc>
          <w:tcPr>
            <w:tcW w:w="100" w:type="dxa"/>
            <w:vAlign w:val="bottom"/>
          </w:tcPr>
          <w:p>
            <w:pPr>
              <w:spacing w:after="0"/>
              <w:rPr>
                <w:sz w:val="15"/>
                <w:szCs w:val="15"/>
                <w:color w:val="auto"/>
              </w:rPr>
            </w:pPr>
          </w:p>
        </w:tc>
        <w:tc>
          <w:tcPr>
            <w:tcW w:w="620" w:type="dxa"/>
            <w:vAlign w:val="bottom"/>
          </w:tcPr>
          <w:p>
            <w:pPr>
              <w:jc w:val="center"/>
              <w:ind w:left="117"/>
              <w:spacing w:after="0"/>
              <w:rPr>
                <w:sz w:val="20"/>
                <w:szCs w:val="20"/>
                <w:color w:val="auto"/>
              </w:rPr>
            </w:pPr>
            <w:r>
              <w:rPr>
                <w:rFonts w:ascii="Arial" w:cs="Arial" w:eastAsia="Arial" w:hAnsi="Arial"/>
                <w:sz w:val="13"/>
                <w:szCs w:val="13"/>
                <w:color w:val="auto"/>
                <w:w w:val="86"/>
              </w:rPr>
              <w:t>0.00%</w:t>
            </w:r>
          </w:p>
        </w:tc>
        <w:tc>
          <w:tcPr>
            <w:tcW w:w="4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tcPr>
          <w:p>
            <w:pPr>
              <w:jc w:val="center"/>
              <w:ind w:right="77"/>
              <w:spacing w:after="0"/>
              <w:rPr>
                <w:sz w:val="20"/>
                <w:szCs w:val="20"/>
                <w:color w:val="auto"/>
              </w:rPr>
            </w:pPr>
            <w:r>
              <w:rPr>
                <w:rFonts w:ascii="Arial" w:cs="Arial" w:eastAsia="Arial" w:hAnsi="Arial"/>
                <w:sz w:val="13"/>
                <w:szCs w:val="13"/>
                <w:color w:val="auto"/>
                <w:w w:val="86"/>
              </w:rPr>
              <w:t>25.00%</w:t>
            </w: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86"/>
              </w:rPr>
              <w:t>Increase (3)</w:t>
            </w:r>
          </w:p>
        </w:tc>
        <w:tc>
          <w:tcPr>
            <w:tcW w:w="0" w:type="dxa"/>
            <w:vAlign w:val="bottom"/>
          </w:tcPr>
          <w:p>
            <w:pPr>
              <w:spacing w:after="0"/>
              <w:rPr>
                <w:sz w:val="1"/>
                <w:szCs w:val="1"/>
                <w:color w:val="auto"/>
              </w:rPr>
            </w:pPr>
          </w:p>
        </w:tc>
      </w:tr>
      <w:tr>
        <w:trPr>
          <w:trHeight w:val="97"/>
        </w:trPr>
        <w:tc>
          <w:tcPr>
            <w:tcW w:w="30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30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w:t>
            </w:r>
          </w:p>
        </w:tc>
        <w:tc>
          <w:tcPr>
            <w:tcW w:w="14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Withdrawal rates</w:t>
            </w:r>
          </w:p>
        </w:tc>
        <w:tc>
          <w:tcPr>
            <w:tcW w:w="620" w:type="dxa"/>
            <w:vAlign w:val="bottom"/>
            <w:shd w:val="clear" w:color="auto" w:fill="CCEEFF"/>
          </w:tcPr>
          <w:p>
            <w:pPr>
              <w:jc w:val="center"/>
              <w:ind w:left="97"/>
              <w:spacing w:after="0"/>
              <w:rPr>
                <w:sz w:val="20"/>
                <w:szCs w:val="20"/>
                <w:color w:val="auto"/>
              </w:rPr>
            </w:pPr>
            <w:r>
              <w:rPr>
                <w:rFonts w:ascii="Arial" w:cs="Arial" w:eastAsia="Arial" w:hAnsi="Arial"/>
                <w:sz w:val="13"/>
                <w:szCs w:val="13"/>
                <w:color w:val="auto"/>
                <w:w w:val="92"/>
              </w:rPr>
              <w:t>0.25%</w:t>
            </w:r>
          </w:p>
        </w:tc>
        <w:tc>
          <w:tcPr>
            <w:tcW w:w="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shd w:val="clear" w:color="auto" w:fill="CCEEFF"/>
          </w:tcPr>
          <w:p>
            <w:pPr>
              <w:jc w:val="center"/>
              <w:ind w:right="97"/>
              <w:spacing w:after="0"/>
              <w:rPr>
                <w:sz w:val="20"/>
                <w:szCs w:val="20"/>
                <w:color w:val="auto"/>
              </w:rPr>
            </w:pPr>
            <w:r>
              <w:rPr>
                <w:rFonts w:ascii="Arial" w:cs="Arial" w:eastAsia="Arial" w:hAnsi="Arial"/>
                <w:sz w:val="13"/>
                <w:szCs w:val="13"/>
                <w:color w:val="auto"/>
                <w:w w:val="90"/>
              </w:rPr>
              <w:t>10.00%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center"/>
              <w:ind w:left="117"/>
              <w:spacing w:after="0"/>
              <w:rPr>
                <w:sz w:val="20"/>
                <w:szCs w:val="20"/>
                <w:color w:val="auto"/>
              </w:rPr>
            </w:pPr>
            <w:r>
              <w:rPr>
                <w:rFonts w:ascii="Arial" w:cs="Arial" w:eastAsia="Arial" w:hAnsi="Arial"/>
                <w:sz w:val="13"/>
                <w:szCs w:val="13"/>
                <w:color w:val="auto"/>
                <w:w w:val="86"/>
              </w:rPr>
              <w:t>0.25%</w:t>
            </w:r>
          </w:p>
        </w:tc>
        <w:tc>
          <w:tcPr>
            <w:tcW w:w="4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shd w:val="clear" w:color="auto" w:fill="CCEEFF"/>
          </w:tcPr>
          <w:p>
            <w:pPr>
              <w:jc w:val="center"/>
              <w:ind w:right="77"/>
              <w:spacing w:after="0"/>
              <w:rPr>
                <w:sz w:val="20"/>
                <w:szCs w:val="20"/>
                <w:color w:val="auto"/>
              </w:rPr>
            </w:pPr>
            <w:r>
              <w:rPr>
                <w:rFonts w:ascii="Arial" w:cs="Arial" w:eastAsia="Arial" w:hAnsi="Arial"/>
                <w:sz w:val="13"/>
                <w:szCs w:val="13"/>
                <w:color w:val="auto"/>
                <w:w w:val="86"/>
              </w:rPr>
              <w:t>10.00%</w:t>
            </w:r>
          </w:p>
        </w:tc>
        <w:tc>
          <w:tcPr>
            <w:tcW w:w="1440" w:type="dxa"/>
            <w:vAlign w:val="bottom"/>
            <w:gridSpan w:val="2"/>
            <w:shd w:val="clear" w:color="auto" w:fill="CCEEFF"/>
          </w:tcPr>
          <w:p>
            <w:pPr>
              <w:jc w:val="center"/>
              <w:ind w:left="37"/>
              <w:spacing w:after="0"/>
              <w:rPr>
                <w:sz w:val="20"/>
                <w:szCs w:val="20"/>
                <w:color w:val="auto"/>
              </w:rPr>
            </w:pPr>
            <w:r>
              <w:rPr>
                <w:rFonts w:ascii="Arial" w:cs="Arial" w:eastAsia="Arial" w:hAnsi="Arial"/>
                <w:sz w:val="13"/>
                <w:szCs w:val="13"/>
                <w:color w:val="auto"/>
                <w:w w:val="87"/>
              </w:rPr>
              <w:t>(4)</w:t>
            </w:r>
          </w:p>
        </w:tc>
        <w:tc>
          <w:tcPr>
            <w:tcW w:w="0" w:type="dxa"/>
            <w:vAlign w:val="bottom"/>
          </w:tcPr>
          <w:p>
            <w:pPr>
              <w:spacing w:after="0"/>
              <w:rPr>
                <w:sz w:val="1"/>
                <w:szCs w:val="1"/>
                <w:color w:val="auto"/>
              </w:rPr>
            </w:pPr>
          </w:p>
        </w:tc>
      </w:tr>
      <w:tr>
        <w:trPr>
          <w:trHeight w:val="97"/>
        </w:trPr>
        <w:tc>
          <w:tcPr>
            <w:tcW w:w="304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ind w:left="80"/>
              <w:spacing w:after="0" w:line="148" w:lineRule="exact"/>
              <w:rPr>
                <w:sz w:val="20"/>
                <w:szCs w:val="20"/>
                <w:color w:val="auto"/>
              </w:rPr>
            </w:pPr>
            <w:r>
              <w:rPr>
                <w:rFonts w:ascii="Arial" w:cs="Arial" w:eastAsia="Arial" w:hAnsi="Arial"/>
                <w:sz w:val="13"/>
                <w:szCs w:val="13"/>
                <w:b w:val="1"/>
                <w:bCs w:val="1"/>
                <w:color w:val="auto"/>
              </w:rPr>
              <w:t>•</w:t>
            </w:r>
          </w:p>
        </w:tc>
        <w:tc>
          <w:tcPr>
            <w:tcW w:w="1480" w:type="dxa"/>
            <w:vAlign w:val="bottom"/>
            <w:gridSpan w:val="2"/>
          </w:tcPr>
          <w:p>
            <w:pPr>
              <w:ind w:left="60"/>
              <w:spacing w:after="0" w:line="148" w:lineRule="exact"/>
              <w:rPr>
                <w:sz w:val="20"/>
                <w:szCs w:val="20"/>
                <w:color w:val="auto"/>
              </w:rPr>
            </w:pPr>
            <w:r>
              <w:rPr>
                <w:rFonts w:ascii="Arial" w:cs="Arial" w:eastAsia="Arial" w:hAnsi="Arial"/>
                <w:sz w:val="13"/>
                <w:szCs w:val="13"/>
                <w:color w:val="auto"/>
              </w:rPr>
              <w:t>Long-term equity</w:t>
            </w:r>
          </w:p>
        </w:tc>
        <w:tc>
          <w:tcPr>
            <w:tcW w:w="620" w:type="dxa"/>
            <w:vAlign w:val="bottom"/>
          </w:tcPr>
          <w:p>
            <w:pPr>
              <w:jc w:val="center"/>
              <w:ind w:left="97"/>
              <w:spacing w:after="0" w:line="148" w:lineRule="exact"/>
              <w:rPr>
                <w:sz w:val="20"/>
                <w:szCs w:val="20"/>
                <w:color w:val="auto"/>
              </w:rPr>
            </w:pPr>
            <w:r>
              <w:rPr>
                <w:rFonts w:ascii="Arial" w:cs="Arial" w:eastAsia="Arial" w:hAnsi="Arial"/>
                <w:sz w:val="13"/>
                <w:szCs w:val="13"/>
                <w:color w:val="auto"/>
                <w:w w:val="86"/>
              </w:rPr>
              <w:t>16.24%</w:t>
            </w:r>
          </w:p>
        </w:tc>
        <w:tc>
          <w:tcPr>
            <w:tcW w:w="4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tcPr>
          <w:p>
            <w:pPr>
              <w:jc w:val="center"/>
              <w:ind w:right="97"/>
              <w:spacing w:after="0" w:line="148" w:lineRule="exact"/>
              <w:rPr>
                <w:sz w:val="20"/>
                <w:szCs w:val="20"/>
                <w:color w:val="auto"/>
              </w:rPr>
            </w:pPr>
            <w:r>
              <w:rPr>
                <w:rFonts w:ascii="Arial" w:cs="Arial" w:eastAsia="Arial" w:hAnsi="Arial"/>
                <w:sz w:val="13"/>
                <w:szCs w:val="13"/>
                <w:color w:val="auto"/>
                <w:w w:val="90"/>
              </w:rPr>
              <w:t>21.65%</w:t>
            </w:r>
          </w:p>
        </w:tc>
        <w:tc>
          <w:tcPr>
            <w:tcW w:w="100" w:type="dxa"/>
            <w:vAlign w:val="bottom"/>
          </w:tcPr>
          <w:p>
            <w:pPr>
              <w:spacing w:after="0"/>
              <w:rPr>
                <w:sz w:val="12"/>
                <w:szCs w:val="12"/>
                <w:color w:val="auto"/>
              </w:rPr>
            </w:pPr>
          </w:p>
        </w:tc>
        <w:tc>
          <w:tcPr>
            <w:tcW w:w="620" w:type="dxa"/>
            <w:vAlign w:val="bottom"/>
          </w:tcPr>
          <w:p>
            <w:pPr>
              <w:jc w:val="center"/>
              <w:ind w:left="97"/>
              <w:spacing w:after="0" w:line="148" w:lineRule="exact"/>
              <w:rPr>
                <w:sz w:val="20"/>
                <w:szCs w:val="20"/>
                <w:color w:val="auto"/>
              </w:rPr>
            </w:pPr>
            <w:r>
              <w:rPr>
                <w:rFonts w:ascii="Arial" w:cs="Arial" w:eastAsia="Arial" w:hAnsi="Arial"/>
                <w:sz w:val="13"/>
                <w:szCs w:val="13"/>
                <w:color w:val="auto"/>
                <w:w w:val="86"/>
              </w:rPr>
              <w:t>16.24%</w:t>
            </w:r>
          </w:p>
        </w:tc>
        <w:tc>
          <w:tcPr>
            <w:tcW w:w="4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tcPr>
          <w:p>
            <w:pPr>
              <w:jc w:val="center"/>
              <w:ind w:right="77"/>
              <w:spacing w:after="0" w:line="148" w:lineRule="exact"/>
              <w:rPr>
                <w:sz w:val="20"/>
                <w:szCs w:val="20"/>
                <w:color w:val="auto"/>
              </w:rPr>
            </w:pPr>
            <w:r>
              <w:rPr>
                <w:rFonts w:ascii="Arial" w:cs="Arial" w:eastAsia="Arial" w:hAnsi="Arial"/>
                <w:sz w:val="13"/>
                <w:szCs w:val="13"/>
                <w:color w:val="auto"/>
                <w:w w:val="86"/>
              </w:rPr>
              <w:t>21.65%</w:t>
            </w:r>
          </w:p>
        </w:tc>
        <w:tc>
          <w:tcPr>
            <w:tcW w:w="100" w:type="dxa"/>
            <w:vAlign w:val="bottom"/>
          </w:tcPr>
          <w:p>
            <w:pPr>
              <w:spacing w:after="0"/>
              <w:rPr>
                <w:sz w:val="12"/>
                <w:szCs w:val="12"/>
                <w:color w:val="auto"/>
              </w:rPr>
            </w:pPr>
          </w:p>
        </w:tc>
        <w:tc>
          <w:tcPr>
            <w:tcW w:w="1340" w:type="dxa"/>
            <w:vAlign w:val="bottom"/>
          </w:tcPr>
          <w:p>
            <w:pPr>
              <w:jc w:val="center"/>
              <w:spacing w:after="0" w:line="148" w:lineRule="exact"/>
              <w:rPr>
                <w:sz w:val="20"/>
                <w:szCs w:val="20"/>
                <w:color w:val="auto"/>
              </w:rPr>
            </w:pPr>
            <w:r>
              <w:rPr>
                <w:rFonts w:ascii="Arial" w:cs="Arial" w:eastAsia="Arial" w:hAnsi="Arial"/>
                <w:sz w:val="13"/>
                <w:szCs w:val="13"/>
                <w:color w:val="auto"/>
                <w:w w:val="86"/>
              </w:rPr>
              <w:t>Increase (5)</w:t>
            </w:r>
          </w:p>
        </w:tc>
        <w:tc>
          <w:tcPr>
            <w:tcW w:w="0" w:type="dxa"/>
            <w:vAlign w:val="bottom"/>
          </w:tcPr>
          <w:p>
            <w:pPr>
              <w:spacing w:after="0"/>
              <w:rPr>
                <w:sz w:val="1"/>
                <w:szCs w:val="1"/>
                <w:color w:val="auto"/>
              </w:rPr>
            </w:pPr>
          </w:p>
        </w:tc>
      </w:tr>
      <w:tr>
        <w:trPr>
          <w:trHeight w:val="160"/>
        </w:trPr>
        <w:tc>
          <w:tcPr>
            <w:tcW w:w="30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volatilities</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3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1480" w:type="dxa"/>
            <w:vAlign w:val="bottom"/>
            <w:gridSpan w:val="2"/>
          </w:tcPr>
          <w:p>
            <w:pPr>
              <w:ind w:left="60"/>
              <w:spacing w:after="0"/>
              <w:rPr>
                <w:sz w:val="20"/>
                <w:szCs w:val="20"/>
                <w:color w:val="auto"/>
              </w:rPr>
            </w:pPr>
            <w:r>
              <w:rPr>
                <w:rFonts w:ascii="Arial" w:cs="Arial" w:eastAsia="Arial" w:hAnsi="Arial"/>
                <w:sz w:val="13"/>
                <w:szCs w:val="13"/>
                <w:color w:val="auto"/>
              </w:rPr>
              <w:t>Nonperformance risk</w:t>
            </w:r>
          </w:p>
        </w:tc>
        <w:tc>
          <w:tcPr>
            <w:tcW w:w="620" w:type="dxa"/>
            <w:vAlign w:val="bottom"/>
          </w:tcPr>
          <w:p>
            <w:pPr>
              <w:jc w:val="center"/>
              <w:ind w:left="97"/>
              <w:spacing w:after="0"/>
              <w:rPr>
                <w:sz w:val="20"/>
                <w:szCs w:val="20"/>
                <w:color w:val="auto"/>
              </w:rPr>
            </w:pPr>
            <w:r>
              <w:rPr>
                <w:rFonts w:ascii="Arial" w:cs="Arial" w:eastAsia="Arial" w:hAnsi="Arial"/>
                <w:sz w:val="13"/>
                <w:szCs w:val="13"/>
                <w:color w:val="auto"/>
                <w:w w:val="92"/>
              </w:rPr>
              <w:t>3.19%</w:t>
            </w:r>
          </w:p>
        </w:tc>
        <w:tc>
          <w:tcPr>
            <w:tcW w:w="4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tcPr>
          <w:p>
            <w:pPr>
              <w:jc w:val="center"/>
              <w:ind w:right="97"/>
              <w:spacing w:after="0"/>
              <w:rPr>
                <w:sz w:val="20"/>
                <w:szCs w:val="20"/>
                <w:color w:val="auto"/>
              </w:rPr>
            </w:pPr>
            <w:r>
              <w:rPr>
                <w:rFonts w:ascii="Arial" w:cs="Arial" w:eastAsia="Arial" w:hAnsi="Arial"/>
                <w:sz w:val="13"/>
                <w:szCs w:val="13"/>
                <w:color w:val="auto"/>
                <w:w w:val="86"/>
              </w:rPr>
              <w:t>3.43%</w:t>
            </w:r>
          </w:p>
        </w:tc>
        <w:tc>
          <w:tcPr>
            <w:tcW w:w="100" w:type="dxa"/>
            <w:vAlign w:val="bottom"/>
          </w:tcPr>
          <w:p>
            <w:pPr>
              <w:spacing w:after="0"/>
              <w:rPr>
                <w:sz w:val="14"/>
                <w:szCs w:val="14"/>
                <w:color w:val="auto"/>
              </w:rPr>
            </w:pPr>
          </w:p>
        </w:tc>
        <w:tc>
          <w:tcPr>
            <w:tcW w:w="620" w:type="dxa"/>
            <w:vAlign w:val="bottom"/>
          </w:tcPr>
          <w:p>
            <w:pPr>
              <w:jc w:val="center"/>
              <w:ind w:left="117"/>
              <w:spacing w:after="0"/>
              <w:rPr>
                <w:sz w:val="20"/>
                <w:szCs w:val="20"/>
                <w:color w:val="auto"/>
              </w:rPr>
            </w:pPr>
            <w:r>
              <w:rPr>
                <w:rFonts w:ascii="Arial" w:cs="Arial" w:eastAsia="Arial" w:hAnsi="Arial"/>
                <w:sz w:val="13"/>
                <w:szCs w:val="13"/>
                <w:color w:val="auto"/>
                <w:w w:val="86"/>
              </w:rPr>
              <w:t>0.54%</w:t>
            </w:r>
          </w:p>
        </w:tc>
        <w:tc>
          <w:tcPr>
            <w:tcW w:w="4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40" w:type="dxa"/>
            <w:vAlign w:val="bottom"/>
          </w:tcPr>
          <w:p>
            <w:pPr>
              <w:jc w:val="center"/>
              <w:ind w:right="97"/>
              <w:spacing w:after="0"/>
              <w:rPr>
                <w:sz w:val="20"/>
                <w:szCs w:val="20"/>
                <w:color w:val="auto"/>
              </w:rPr>
            </w:pPr>
            <w:r>
              <w:rPr>
                <w:rFonts w:ascii="Arial" w:cs="Arial" w:eastAsia="Arial" w:hAnsi="Arial"/>
                <w:sz w:val="13"/>
                <w:szCs w:val="13"/>
                <w:color w:val="auto"/>
                <w:w w:val="86"/>
              </w:rPr>
              <w:t>1.99%</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85"/>
              </w:rPr>
              <w:t>Decrease (6)</w:t>
            </w:r>
          </w:p>
        </w:tc>
        <w:tc>
          <w:tcPr>
            <w:tcW w:w="0" w:type="dxa"/>
            <w:vAlign w:val="bottom"/>
          </w:tcPr>
          <w:p>
            <w:pPr>
              <w:spacing w:after="0"/>
              <w:rPr>
                <w:sz w:val="1"/>
                <w:szCs w:val="1"/>
                <w:color w:val="auto"/>
              </w:rPr>
            </w:pPr>
          </w:p>
        </w:tc>
      </w:tr>
      <w:tr>
        <w:trPr>
          <w:trHeight w:val="160"/>
        </w:trPr>
        <w:tc>
          <w:tcPr>
            <w:tcW w:w="30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spread</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205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w:t>
      </w:r>
    </w:p>
    <w:p>
      <w:pPr>
        <w:spacing w:after="0" w:line="111" w:lineRule="exact"/>
        <w:rPr>
          <w:sz w:val="20"/>
          <w:szCs w:val="20"/>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Mortality rates vary by age and by demographic characteristics such as gender. The range shown reflects the mortality rate for policyholders between 35 and 90 years old, which represents the majority of the business with living benefits. Mortality rate assumptions are set based on company experience and include an assumption for mortality improvement.</w:t>
      </w:r>
    </w:p>
    <w:p>
      <w:pPr>
        <w:spacing w:after="0" w:line="75"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range shown reflects base lapse rates for major product categories for duration 1-20, which represents majority of business with living benefit riders. 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79" w:lineRule="exact"/>
        <w:rPr>
          <w:rFonts w:ascii="Arial" w:cs="Arial" w:eastAsia="Arial" w:hAnsi="Arial"/>
          <w:sz w:val="18"/>
          <w:szCs w:val="18"/>
          <w:color w:val="auto"/>
        </w:rPr>
      </w:pPr>
    </w:p>
    <w:p>
      <w:pPr>
        <w:jc w:val="both"/>
        <w:ind w:left="340" w:hanging="332"/>
        <w:spacing w:after="0" w:line="275"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utilization rate assumption estimates the percentage of contract holders with a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68" w:lineRule="exact"/>
        <w:rPr>
          <w:rFonts w:ascii="Arial" w:cs="Arial" w:eastAsia="Arial" w:hAnsi="Arial"/>
          <w:sz w:val="17"/>
          <w:szCs w:val="17"/>
          <w:color w:val="auto"/>
        </w:rPr>
      </w:pPr>
    </w:p>
    <w:p>
      <w:pPr>
        <w:jc w:val="both"/>
        <w:ind w:left="340" w:hanging="332"/>
        <w:spacing w:after="0" w:line="275"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 (decrease) in withdrawal rates results in a decrease (increase) in the estimated fair value.</w:t>
      </w:r>
    </w:p>
    <w:p>
      <w:pPr>
        <w:spacing w:after="0" w:line="68"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15"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Nonperformance risk spread varies by duration. For any given contract, multiple nonperformance risk spreads will apply, depending on the duration of the cash flow being discounted for purposes of valuing the embedded derivative.</w:t>
      </w:r>
    </w:p>
    <w:p>
      <w:pPr>
        <w:spacing w:after="0" w:line="62"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higher (lower) fair value. For derivatives valued based on third-party pricing models, an increase (decrease) in credit spreads would generally result in a higher (lower) fair value.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288" w:right="3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3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changes in assets and (liabilities) measured at estimated fair value on a recurring basis using significant unobservable inputs (Level 3) were summarized as follows:</w:t>
      </w:r>
    </w:p>
    <w:p>
      <w:pPr>
        <w:sectPr>
          <w:pgSz w:w="11900" w:h="16838" w:orient="portrait"/>
          <w:cols w:equalWidth="0" w:num="1">
            <w:col w:w="11240"/>
          </w:cols>
          <w:pgMar w:left="320" w:top="2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Three Months Ended</w:t>
      </w:r>
    </w:p>
    <w:p>
      <w:pPr>
        <w:ind w:left="220"/>
        <w:spacing w:after="0"/>
        <w:rPr>
          <w:sz w:val="20"/>
          <w:szCs w:val="20"/>
          <w:color w:val="auto"/>
        </w:rPr>
      </w:pPr>
      <w:r>
        <w:rPr>
          <w:rFonts w:ascii="Arial" w:cs="Arial" w:eastAsia="Arial" w:hAnsi="Arial"/>
          <w:sz w:val="13"/>
          <w:szCs w:val="13"/>
          <w:b w:val="1"/>
          <w:bCs w:val="1"/>
          <w:color w:val="auto"/>
        </w:rPr>
        <w:t>March 31, 2020</w:t>
      </w:r>
    </w:p>
    <w:p>
      <w:pPr>
        <w:spacing w:after="0" w:line="30" w:lineRule="exact"/>
        <w:rPr>
          <w:sz w:val="20"/>
          <w:szCs w:val="20"/>
          <w:color w:val="auto"/>
        </w:rPr>
      </w:pPr>
    </w:p>
    <w:p>
      <w:pPr>
        <w:ind w:left="200" w:right="320" w:hanging="161"/>
        <w:spacing w:after="0" w:line="273" w:lineRule="auto"/>
        <w:rPr>
          <w:sz w:val="20"/>
          <w:szCs w:val="20"/>
          <w:color w:val="auto"/>
        </w:rPr>
      </w:pPr>
      <w:r>
        <w:rPr>
          <w:rFonts w:ascii="Arial" w:cs="Arial" w:eastAsia="Arial" w:hAnsi="Arial"/>
          <w:sz w:val="12"/>
          <w:szCs w:val="12"/>
          <w:color w:val="auto"/>
        </w:rPr>
        <w:t>Balance, beginning of period</w:t>
      </w:r>
    </w:p>
    <w:p>
      <w:pPr>
        <w:spacing w:after="0" w:line="10" w:lineRule="exact"/>
        <w:rPr>
          <w:sz w:val="20"/>
          <w:szCs w:val="20"/>
          <w:color w:val="auto"/>
        </w:rPr>
      </w:pPr>
    </w:p>
    <w:p>
      <w:pPr>
        <w:jc w:val="both"/>
        <w:ind w:left="200" w:right="80" w:hanging="161"/>
        <w:spacing w:after="0" w:line="288" w:lineRule="auto"/>
        <w:rPr>
          <w:sz w:val="20"/>
          <w:szCs w:val="20"/>
          <w:color w:val="auto"/>
        </w:rPr>
      </w:pPr>
      <w:r>
        <w:rPr>
          <w:rFonts w:ascii="Arial" w:cs="Arial" w:eastAsia="Arial" w:hAnsi="Arial"/>
          <w:sz w:val="10"/>
          <w:szCs w:val="10"/>
          <w:color w:val="auto"/>
        </w:rPr>
        <w:t>Total realized/unrealized gains (losses) included in net income (loss) (5)</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(6)</w:t>
      </w:r>
    </w:p>
    <w:p>
      <w:pPr>
        <w:spacing w:after="0" w:line="30" w:lineRule="exact"/>
        <w:rPr>
          <w:sz w:val="20"/>
          <w:szCs w:val="20"/>
          <w:color w:val="auto"/>
        </w:rPr>
      </w:pPr>
    </w:p>
    <w:p>
      <w:pPr>
        <w:ind w:left="200" w:right="180" w:hanging="161"/>
        <w:spacing w:after="0" w:line="319" w:lineRule="auto"/>
        <w:rPr>
          <w:sz w:val="20"/>
          <w:szCs w:val="20"/>
          <w:color w:val="auto"/>
        </w:rPr>
      </w:pPr>
      <w:r>
        <w:rPr>
          <w:rFonts w:ascii="Arial" w:cs="Arial" w:eastAsia="Arial" w:hAnsi="Arial"/>
          <w:sz w:val="10"/>
          <w:szCs w:val="10"/>
          <w:color w:val="auto"/>
        </w:rPr>
        <w:t>Total realized/unrealized gains (losses) included in AOCI</w:t>
      </w:r>
    </w:p>
    <w:p>
      <w:pPr>
        <w:ind w:left="40"/>
        <w:spacing w:after="0"/>
        <w:rPr>
          <w:sz w:val="20"/>
          <w:szCs w:val="20"/>
          <w:color w:val="auto"/>
        </w:rPr>
      </w:pPr>
      <w:r>
        <w:rPr>
          <w:rFonts w:ascii="Arial" w:cs="Arial" w:eastAsia="Arial" w:hAnsi="Arial"/>
          <w:sz w:val="13"/>
          <w:szCs w:val="13"/>
          <w:color w:val="auto"/>
        </w:rPr>
        <w:t>Purchases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Sales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Settlements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Transfers into Level 3 (8)</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0"/>
          <w:szCs w:val="10"/>
          <w:color w:val="auto"/>
        </w:rPr>
        <w:t>Transfers out of Level 3 (8)</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end of period</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Three Months Ended</w:t>
      </w:r>
    </w:p>
    <w:p>
      <w:pPr>
        <w:ind w:left="220"/>
        <w:spacing w:after="0"/>
        <w:rPr>
          <w:sz w:val="20"/>
          <w:szCs w:val="20"/>
          <w:color w:val="auto"/>
        </w:rPr>
      </w:pPr>
      <w:r>
        <w:rPr>
          <w:rFonts w:ascii="Arial" w:cs="Arial" w:eastAsia="Arial" w:hAnsi="Arial"/>
          <w:sz w:val="13"/>
          <w:szCs w:val="13"/>
          <w:b w:val="1"/>
          <w:bCs w:val="1"/>
          <w:color w:val="auto"/>
        </w:rPr>
        <w:t>March 31, 2019</w:t>
      </w:r>
    </w:p>
    <w:p>
      <w:pPr>
        <w:spacing w:after="0" w:line="30" w:lineRule="exact"/>
        <w:rPr>
          <w:sz w:val="20"/>
          <w:szCs w:val="20"/>
          <w:color w:val="auto"/>
        </w:rPr>
      </w:pPr>
    </w:p>
    <w:p>
      <w:pPr>
        <w:ind w:left="200" w:right="320" w:hanging="161"/>
        <w:spacing w:after="0" w:line="273" w:lineRule="auto"/>
        <w:rPr>
          <w:sz w:val="20"/>
          <w:szCs w:val="20"/>
          <w:color w:val="auto"/>
        </w:rPr>
      </w:pPr>
      <w:r>
        <w:rPr>
          <w:rFonts w:ascii="Arial" w:cs="Arial" w:eastAsia="Arial" w:hAnsi="Arial"/>
          <w:sz w:val="12"/>
          <w:szCs w:val="12"/>
          <w:color w:val="auto"/>
        </w:rPr>
        <w:t>Balance, beginning of period</w:t>
      </w:r>
    </w:p>
    <w:p>
      <w:pPr>
        <w:spacing w:after="0" w:line="10" w:lineRule="exact"/>
        <w:rPr>
          <w:sz w:val="20"/>
          <w:szCs w:val="20"/>
          <w:color w:val="auto"/>
        </w:rPr>
      </w:pPr>
    </w:p>
    <w:p>
      <w:pPr>
        <w:jc w:val="both"/>
        <w:ind w:left="200" w:right="80" w:hanging="161"/>
        <w:spacing w:after="0" w:line="288" w:lineRule="auto"/>
        <w:rPr>
          <w:sz w:val="20"/>
          <w:szCs w:val="20"/>
          <w:color w:val="auto"/>
        </w:rPr>
      </w:pPr>
      <w:r>
        <w:rPr>
          <w:rFonts w:ascii="Arial" w:cs="Arial" w:eastAsia="Arial" w:hAnsi="Arial"/>
          <w:sz w:val="10"/>
          <w:szCs w:val="10"/>
          <w:color w:val="auto"/>
        </w:rPr>
        <w:t>Total realized/unrealized gains (losses) included in net income (loss) (5)</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(6)</w:t>
      </w:r>
    </w:p>
    <w:p>
      <w:pPr>
        <w:spacing w:after="0" w:line="30" w:lineRule="exact"/>
        <w:rPr>
          <w:sz w:val="20"/>
          <w:szCs w:val="20"/>
          <w:color w:val="auto"/>
        </w:rPr>
      </w:pPr>
    </w:p>
    <w:p>
      <w:pPr>
        <w:ind w:left="200" w:right="180" w:hanging="161"/>
        <w:spacing w:after="0" w:line="319" w:lineRule="auto"/>
        <w:rPr>
          <w:sz w:val="20"/>
          <w:szCs w:val="20"/>
          <w:color w:val="auto"/>
        </w:rPr>
      </w:pPr>
      <w:r>
        <w:rPr>
          <w:rFonts w:ascii="Arial" w:cs="Arial" w:eastAsia="Arial" w:hAnsi="Arial"/>
          <w:sz w:val="10"/>
          <w:szCs w:val="10"/>
          <w:color w:val="auto"/>
        </w:rPr>
        <w:t>Total realized/unrealized gains (losses) included in AOCI</w:t>
      </w:r>
    </w:p>
    <w:p>
      <w:pPr>
        <w:ind w:left="40"/>
        <w:spacing w:after="0"/>
        <w:rPr>
          <w:sz w:val="20"/>
          <w:szCs w:val="20"/>
          <w:color w:val="auto"/>
        </w:rPr>
      </w:pPr>
      <w:r>
        <w:rPr>
          <w:rFonts w:ascii="Arial" w:cs="Arial" w:eastAsia="Arial" w:hAnsi="Arial"/>
          <w:sz w:val="13"/>
          <w:szCs w:val="13"/>
          <w:color w:val="auto"/>
        </w:rPr>
        <w:t>Purchases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Sales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Issuances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Settlements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Transfers into Level 3 (8)</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0"/>
          <w:szCs w:val="10"/>
          <w:color w:val="auto"/>
        </w:rPr>
        <w:t>Transfers out of Level 3 (8)</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end of period</w:t>
      </w:r>
    </w:p>
    <w:p>
      <w:pPr>
        <w:spacing w:after="0" w:line="121" w:lineRule="exact"/>
        <w:rPr>
          <w:sz w:val="20"/>
          <w:szCs w:val="20"/>
          <w:color w:val="auto"/>
        </w:rPr>
      </w:pPr>
    </w:p>
    <w:p>
      <w:pPr>
        <w:ind w:left="200" w:hanging="161"/>
        <w:spacing w:after="0" w:line="304" w:lineRule="auto"/>
        <w:rPr>
          <w:sz w:val="20"/>
          <w:szCs w:val="20"/>
          <w:color w:val="auto"/>
        </w:rPr>
      </w:pPr>
      <w:r>
        <w:rPr>
          <w:rFonts w:ascii="Arial" w:cs="Arial" w:eastAsia="Arial" w:hAnsi="Arial"/>
          <w:sz w:val="10"/>
          <w:szCs w:val="10"/>
          <w:color w:val="auto"/>
        </w:rPr>
        <w:t>Changes in unrealized gains (losses) included in net income (loss) for the instruments still held at March 31, 2020 (9)</w:t>
      </w:r>
    </w:p>
    <w:p>
      <w:pPr>
        <w:spacing w:after="0" w:line="1" w:lineRule="exact"/>
        <w:rPr>
          <w:sz w:val="20"/>
          <w:szCs w:val="20"/>
          <w:color w:val="auto"/>
        </w:rPr>
      </w:pPr>
    </w:p>
    <w:p>
      <w:pPr>
        <w:ind w:left="200" w:hanging="161"/>
        <w:spacing w:after="0" w:line="286" w:lineRule="auto"/>
        <w:rPr>
          <w:sz w:val="20"/>
          <w:szCs w:val="20"/>
          <w:color w:val="auto"/>
        </w:rPr>
      </w:pPr>
      <w:r>
        <w:rPr>
          <w:rFonts w:ascii="Arial" w:cs="Arial" w:eastAsia="Arial" w:hAnsi="Arial"/>
          <w:sz w:val="10"/>
          <w:szCs w:val="10"/>
          <w:color w:val="auto"/>
        </w:rPr>
        <w:t>Changes in unrealized gains (losses) included in OCI for the instruments still held at March 31, 2020</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3"/>
          <w:szCs w:val="13"/>
          <w:color w:val="auto"/>
        </w:rPr>
        <w:t>(9)</w:t>
      </w:r>
    </w:p>
    <w:p>
      <w:pPr>
        <w:spacing w:after="0" w:line="30" w:lineRule="exact"/>
        <w:rPr>
          <w:sz w:val="20"/>
          <w:szCs w:val="20"/>
          <w:color w:val="auto"/>
        </w:rPr>
      </w:pPr>
    </w:p>
    <w:p>
      <w:pPr>
        <w:ind w:left="200" w:hanging="161"/>
        <w:spacing w:after="0" w:line="302" w:lineRule="auto"/>
        <w:rPr>
          <w:sz w:val="20"/>
          <w:szCs w:val="20"/>
          <w:color w:val="auto"/>
        </w:rPr>
      </w:pPr>
      <w:r>
        <w:rPr>
          <w:rFonts w:ascii="Arial" w:cs="Arial" w:eastAsia="Arial" w:hAnsi="Arial"/>
          <w:sz w:val="10"/>
          <w:szCs w:val="10"/>
          <w:color w:val="auto"/>
        </w:rPr>
        <w:t>Changes in unrealized gains (losses) included in net income (loss) for the instruments still held at March 31, 2019 (9)</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6120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2076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Fixed Maturity Securities</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44"/>
        </w:trPr>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State and</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ind w:left="60"/>
              <w:spacing w:after="0" w:line="144" w:lineRule="exact"/>
              <w:rPr>
                <w:sz w:val="20"/>
                <w:szCs w:val="20"/>
                <w:color w:val="auto"/>
              </w:rPr>
            </w:pPr>
            <w:r>
              <w:rPr>
                <w:rFonts w:ascii="Arial" w:cs="Arial" w:eastAsia="Arial" w:hAnsi="Arial"/>
                <w:sz w:val="13"/>
                <w:szCs w:val="13"/>
                <w:b w:val="1"/>
                <w:bCs w:val="1"/>
                <w:color w:val="auto"/>
              </w:rPr>
              <w:t>Separate</w:t>
            </w:r>
          </w:p>
        </w:tc>
      </w:tr>
      <w:tr>
        <w:trPr>
          <w:trHeight w:val="135"/>
        </w:trPr>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Structured</w:t>
            </w:r>
          </w:p>
        </w:tc>
        <w:tc>
          <w:tcPr>
            <w:tcW w:w="16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Political</w:t>
            </w:r>
          </w:p>
        </w:tc>
        <w:tc>
          <w:tcPr>
            <w:tcW w:w="120" w:type="dxa"/>
            <w:vAlign w:val="bottom"/>
          </w:tcPr>
          <w:p>
            <w:pPr>
              <w:spacing w:after="0"/>
              <w:rPr>
                <w:sz w:val="11"/>
                <w:szCs w:val="11"/>
                <w:color w:val="auto"/>
              </w:rPr>
            </w:pPr>
          </w:p>
        </w:tc>
        <w:tc>
          <w:tcPr>
            <w:tcW w:w="86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Foreign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Equity</w:t>
            </w:r>
          </w:p>
        </w:tc>
        <w:tc>
          <w:tcPr>
            <w:tcW w:w="140" w:type="dxa"/>
            <w:vAlign w:val="bottom"/>
          </w:tcPr>
          <w:p>
            <w:pPr>
              <w:spacing w:after="0"/>
              <w:rPr>
                <w:sz w:val="11"/>
                <w:szCs w:val="11"/>
                <w:color w:val="auto"/>
              </w:rPr>
            </w:pPr>
          </w:p>
        </w:tc>
        <w:tc>
          <w:tcPr>
            <w:tcW w:w="9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Short-term</w:t>
            </w:r>
          </w:p>
        </w:tc>
        <w:tc>
          <w:tcPr>
            <w:tcW w:w="220" w:type="dxa"/>
            <w:vAlign w:val="bottom"/>
          </w:tcPr>
          <w:p>
            <w:pPr>
              <w:spacing w:after="0"/>
              <w:rPr>
                <w:sz w:val="11"/>
                <w:szCs w:val="11"/>
                <w:color w:val="auto"/>
              </w:rPr>
            </w:pPr>
          </w:p>
        </w:tc>
        <w:tc>
          <w:tcPr>
            <w:tcW w:w="78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Net</w:t>
            </w:r>
          </w:p>
        </w:tc>
        <w:tc>
          <w:tcPr>
            <w:tcW w:w="8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Net Embedded</w:t>
            </w:r>
          </w:p>
        </w:tc>
        <w:tc>
          <w:tcPr>
            <w:tcW w:w="14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Account</w:t>
            </w:r>
          </w:p>
        </w:tc>
      </w:tr>
      <w:tr>
        <w:trPr>
          <w:trHeight w:val="174"/>
        </w:trPr>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Corporate (1)</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Securities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4"/>
              </w:rPr>
              <w:t>Subdivision</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8"/>
              </w:rPr>
              <w:t>Government</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3"/>
              </w:rPr>
              <w:t>Securities</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Investments</w:t>
            </w: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Derivatives (2)</w:t>
            </w: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Derivatives (3)</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Assets (4)</w:t>
            </w:r>
          </w:p>
        </w:tc>
      </w:tr>
      <w:tr>
        <w:trPr>
          <w:trHeight w:val="241"/>
        </w:trPr>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gridSpan w:val="4"/>
          </w:tcPr>
          <w:p>
            <w:pPr>
              <w:ind w:left="4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648"/>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461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117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73</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(4,031)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w:t>
            </w:r>
          </w:p>
        </w:tc>
      </w:tr>
      <w:tr>
        <w:trPr>
          <w:trHeight w:val="594"/>
        </w:trPr>
        <w:tc>
          <w:tcPr>
            <w:tcW w:w="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459"/>
        </w:trPr>
        <w:tc>
          <w:tcPr>
            <w:tcW w:w="140" w:type="dxa"/>
            <w:vAlign w:val="bottom"/>
          </w:tcPr>
          <w:p>
            <w:pPr>
              <w:spacing w:after="0"/>
              <w:rPr>
                <w:sz w:val="24"/>
                <w:szCs w:val="2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70"/>
        </w:trPr>
        <w:tc>
          <w:tcPr>
            <w:tcW w:w="14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w:t>
            </w:r>
          </w:p>
        </w:tc>
      </w:tr>
      <w:tr>
        <w:trPr>
          <w:trHeight w:val="270"/>
        </w:trPr>
        <w:tc>
          <w:tcPr>
            <w:tcW w:w="14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(153)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w:t>
            </w:r>
          </w:p>
        </w:tc>
      </w:tr>
      <w:tr>
        <w:trPr>
          <w:trHeight w:val="280"/>
        </w:trPr>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37"/>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851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218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73</w:t>
            </w: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(4,263)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592"/>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732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173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74</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(122)</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(1,998)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w:t>
            </w:r>
          </w:p>
        </w:tc>
      </w:tr>
      <w:tr>
        <w:trPr>
          <w:trHeight w:val="594"/>
        </w:trPr>
        <w:tc>
          <w:tcPr>
            <w:tcW w:w="1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459"/>
        </w:trPr>
        <w:tc>
          <w:tcPr>
            <w:tcW w:w="140" w:type="dxa"/>
            <w:vAlign w:val="bottom"/>
          </w:tcPr>
          <w:p>
            <w:pPr>
              <w:spacing w:after="0"/>
              <w:rPr>
                <w:sz w:val="24"/>
                <w:szCs w:val="24"/>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70"/>
        </w:trPr>
        <w:tc>
          <w:tcPr>
            <w:tcW w:w="14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80"/>
        </w:trPr>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36"/>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697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74</w:t>
            </w:r>
          </w:p>
        </w:tc>
        <w:tc>
          <w:tcPr>
            <w:tcW w:w="1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(2,436)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669"/>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(91)</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669"/>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(46)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659"/>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(288)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-5929630</wp:posOffset>
            </wp:positionV>
            <wp:extent cx="7132320"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-5518150</wp:posOffset>
            </wp:positionV>
            <wp:extent cx="7132320" cy="3771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-4849495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-4506595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-4163695</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-3820795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-3443605</wp:posOffset>
            </wp:positionV>
            <wp:extent cx="7132320"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-2860675</wp:posOffset>
            </wp:positionV>
            <wp:extent cx="7132320" cy="291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-2397760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-2054860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-1712595</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-1369695</wp:posOffset>
            </wp:positionV>
            <wp:extent cx="7132320" cy="4629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462915"/>
                    </a:xfrm>
                    <a:prstGeom prst="rect">
                      <a:avLst/>
                    </a:prstGeom>
                    <a:noFill/>
                  </pic:spPr>
                </pic:pic>
              </a:graphicData>
            </a:graphic>
          </wp:anchor>
        </w:drawing>
        <w:drawing>
          <wp:anchor simplePos="0" relativeHeight="251657728" behindDoc="1" locked="0" layoutInCell="0" allowOverlap="1">
            <wp:simplePos x="0" y="0"/>
            <wp:positionH relativeFrom="column">
              <wp:posOffset>-1010285</wp:posOffset>
            </wp:positionH>
            <wp:positionV relativeFrom="paragraph">
              <wp:posOffset>-443230</wp:posOffset>
            </wp:positionV>
            <wp:extent cx="7132320" cy="4629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462915"/>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1460" w:space="140"/>
            <w:col w:w="9640"/>
          </w:cols>
          <w:pgMar w:left="320" w:top="288"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-98425</wp:posOffset>
            </wp:positionV>
            <wp:extent cx="612076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20765" cy="8890"/>
                    </a:xfrm>
                    <a:prstGeom prst="rect">
                      <a:avLst/>
                    </a:prstGeom>
                    <a:noFill/>
                  </pic:spPr>
                </pic:pic>
              </a:graphicData>
            </a:graphic>
          </wp:anchor>
        </w:drawing>
      </w:r>
    </w:p>
    <w:p>
      <w:pPr>
        <w:spacing w:after="0" w:line="9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Comprised of U.S. and foreign corporate securities.</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Freestanding derivative assets and liabilities are presented net for purposes of the rollforward.</w:t>
      </w:r>
    </w:p>
    <w:p>
      <w:pPr>
        <w:spacing w:after="0" w:line="140" w:lineRule="exact"/>
        <w:rPr>
          <w:rFonts w:ascii="Arial" w:cs="Arial" w:eastAsia="Arial" w:hAnsi="Arial"/>
          <w:sz w:val="16"/>
          <w:szCs w:val="16"/>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Embedded derivative assets and liabilities are presented net for purposes of the rollforward.</w:t>
      </w:r>
    </w:p>
    <w:p>
      <w:pPr>
        <w:sectPr>
          <w:pgSz w:w="11900" w:h="16838" w:orient="portrait"/>
          <w:cols w:equalWidth="0" w:num="1">
            <w:col w:w="11240"/>
          </w:cols>
          <w:pgMar w:left="320" w:top="288" w:right="339" w:bottom="1440" w:gutter="0" w:footer="0" w:header="0"/>
          <w:type w:val="continuous"/>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288" w:right="339" w:bottom="1440" w:gutter="0" w:footer="0" w:header="0"/>
          <w:type w:val="continuous"/>
        </w:sectPr>
      </w:pPr>
    </w:p>
    <w:bookmarkStart w:id="35" w:name="page36"/>
    <w:bookmarkEnd w:id="3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37" w:lineRule="exact"/>
        <w:rPr>
          <w:sz w:val="20"/>
          <w:szCs w:val="20"/>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Investment performance related to separate account assets is fully offset by corresponding amounts credited to contract holders within separate account liabilities. Therefore, such changes in estimated fair value are not recorded in net income (loss). For the purpose of this disclosure, these changes are presented within net investment gains (losses).</w:t>
      </w:r>
    </w:p>
    <w:p>
      <w:pPr>
        <w:spacing w:after="0" w:line="7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of premium/accretion of discount is included within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78"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and dividend accruals, as well as cash interest coupons and dividends received, are excluded from the rollforward.</w:t>
      </w:r>
    </w:p>
    <w:p>
      <w:pPr>
        <w:spacing w:after="0" w:line="11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Items purchased/issued and then sold/settled in the same period are excluded from the rollforward. Fees attributed to embedded derivatives are included in settlements.</w:t>
      </w:r>
    </w:p>
    <w:p>
      <w:pPr>
        <w:spacing w:after="0" w:line="6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62"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Carried at Other Than Fair Value</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payables for collateral under securities loaned and other transactions and those short-term investments that are not securities and therefore are not included in the three level hierarchy table disclosed in the “— Recurring Fair Value Measurements” section.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181"/>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 Hierarchy</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center"/>
              <w:ind w:right="121"/>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116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9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2"/>
                <w:szCs w:val="12"/>
                <w:color w:val="auto"/>
              </w:rPr>
            </w:pPr>
          </w:p>
        </w:tc>
        <w:tc>
          <w:tcPr>
            <w:tcW w:w="10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281"/>
              <w:spacing w:after="0"/>
              <w:rPr>
                <w:sz w:val="20"/>
                <w:szCs w:val="20"/>
                <w:color w:val="auto"/>
              </w:rPr>
            </w:pPr>
            <w:r>
              <w:rPr>
                <w:rFonts w:ascii="Arial" w:cs="Arial" w:eastAsia="Arial" w:hAnsi="Arial"/>
                <w:sz w:val="14"/>
                <w:szCs w:val="14"/>
                <w:b w:val="1"/>
                <w:bCs w:val="1"/>
                <w:color w:val="auto"/>
                <w:w w:val="99"/>
              </w:rPr>
              <w:t>(In millions)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15,547</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15,869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15,869</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1,250</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471</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1,695</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invested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51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39</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2,347</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38</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2,650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2,688</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account balances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15,776</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15,120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15,120</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4,365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2,975</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1,000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3,975</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1,237</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580</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1,237</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Separate account liabilities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951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951</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288" w:right="3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 Hierarchy</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restart"/>
          </w:tcPr>
          <w:p>
            <w:pPr>
              <w:jc w:val="right"/>
              <w:ind w:right="381"/>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center"/>
              <w:ind w:right="121"/>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1160" w:type="dxa"/>
            <w:vAlign w:val="bottom"/>
            <w:vMerge w:val="restart"/>
          </w:tcPr>
          <w:p>
            <w:pPr>
              <w:jc w:val="right"/>
              <w:ind w:right="401"/>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9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2"/>
                <w:szCs w:val="12"/>
                <w:color w:val="auto"/>
              </w:rPr>
            </w:pPr>
          </w:p>
        </w:tc>
        <w:tc>
          <w:tcPr>
            <w:tcW w:w="10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281"/>
              <w:spacing w:after="0"/>
              <w:rPr>
                <w:sz w:val="20"/>
                <w:szCs w:val="20"/>
                <w:color w:val="auto"/>
              </w:rPr>
            </w:pPr>
            <w:r>
              <w:rPr>
                <w:rFonts w:ascii="Arial" w:cs="Arial" w:eastAsia="Arial" w:hAnsi="Arial"/>
                <w:sz w:val="14"/>
                <w:szCs w:val="14"/>
                <w:b w:val="1"/>
                <w:bCs w:val="1"/>
                <w:color w:val="auto"/>
                <w:w w:val="99"/>
              </w:rPr>
              <w:t>(In millions)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15,753</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16,383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16,383</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1,292</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516</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1,578</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Other invested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51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39</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2,224</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41</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2,593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2,634</w:t>
            </w:r>
          </w:p>
        </w:tc>
        <w:tc>
          <w:tcPr>
            <w:tcW w:w="0" w:type="dxa"/>
            <w:vAlign w:val="bottom"/>
          </w:tcPr>
          <w:p>
            <w:pPr>
              <w:spacing w:after="0"/>
              <w:rPr>
                <w:sz w:val="1"/>
                <w:szCs w:val="1"/>
                <w:color w:val="auto"/>
              </w:rPr>
            </w:pPr>
          </w:p>
        </w:tc>
      </w:tr>
      <w:tr>
        <w:trPr>
          <w:trHeight w:val="223"/>
        </w:trPr>
        <w:tc>
          <w:tcPr>
            <w:tcW w:w="462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account balances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15,614</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15,710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15,710</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4,365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3,334</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1,000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4,334</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846</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191</w:t>
            </w:r>
          </w:p>
        </w:tc>
        <w:tc>
          <w:tcPr>
            <w:tcW w:w="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Separate account liabilities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61"/>
              <w:spacing w:after="0"/>
              <w:rPr>
                <w:sz w:val="20"/>
                <w:szCs w:val="20"/>
                <w:color w:val="auto"/>
              </w:rPr>
            </w:pPr>
            <w:r>
              <w:rPr>
                <w:rFonts w:ascii="Arial" w:cs="Arial" w:eastAsia="Arial" w:hAnsi="Arial"/>
                <w:sz w:val="16"/>
                <w:szCs w:val="16"/>
                <w:color w:val="auto"/>
              </w:rPr>
              <w:t>1,189</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1,189</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14, 2020, BHF declared a dividend of $412.50 per share, for a total of $7 million, on its perpetual 6.600% Series A non-cumulative preferred stock, which was paid on March 25, 2020 to stockholders of record as of March 10,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February 6, 2020, BHF authorized the repurchase of up to an additional $500 million of its common stock. Repurchases under this authorization may be made through open market purchases, including pursuant to 10b5-1 plans or pursuant to accelerated stock repurchase plans, or through privately negotiated transactions, from time to time at management’s discretion in accordance with applicable legal requirements. See Note 11.</w:t>
      </w:r>
    </w:p>
    <w:p>
      <w:pPr>
        <w:spacing w:after="0" w:line="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March 31, 2020 and 2019, BHF repurchased 5,674,387 and 1,417,582 shares, respectively, of its common stock through open market purchases pursuant to 10b5-1 plans for $142 million and $52 million, respectively. At March 31, 2020, BHF had $411 million remaining under its common stock repurchase program.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changes in the balances of each component of AOCI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6"/>
          </w:tcPr>
          <w:p>
            <w:pPr>
              <w:jc w:val="center"/>
              <w:ind w:left="450"/>
              <w:spacing w:after="0"/>
              <w:rPr>
                <w:sz w:val="20"/>
                <w:szCs w:val="20"/>
                <w:color w:val="auto"/>
              </w:rPr>
            </w:pPr>
            <w:r>
              <w:rPr>
                <w:rFonts w:ascii="Arial" w:cs="Arial" w:eastAsia="Arial" w:hAnsi="Arial"/>
                <w:sz w:val="14"/>
                <w:szCs w:val="14"/>
                <w:b w:val="1"/>
                <w:bCs w:val="1"/>
                <w:color w:val="auto"/>
                <w:w w:val="95"/>
              </w:rPr>
              <w:t>Three Months Ended March 31, 2020</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Unrealized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Foreign</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Investment Gains</w:t>
            </w:r>
          </w:p>
        </w:tc>
        <w:tc>
          <w:tcPr>
            <w:tcW w:w="200" w:type="dxa"/>
            <w:vAlign w:val="bottom"/>
          </w:tcPr>
          <w:p>
            <w:pPr>
              <w:spacing w:after="0"/>
              <w:rPr>
                <w:sz w:val="11"/>
                <w:szCs w:val="11"/>
                <w:color w:val="auto"/>
              </w:rPr>
            </w:pPr>
          </w:p>
        </w:tc>
        <w:tc>
          <w:tcPr>
            <w:tcW w:w="12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1"/>
              </w:rPr>
              <w:t>Unrealized</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Currency</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20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Translation</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Defined Benefit</w:t>
            </w: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7"/>
              </w:rPr>
              <w:t>Related Offsets (1)</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5"/>
              </w:rPr>
              <w:t>on Derivatives</w:t>
            </w: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6"/>
              </w:rPr>
              <w:t>Adjustments</w:t>
            </w:r>
          </w:p>
        </w:tc>
        <w:tc>
          <w:tcPr>
            <w:tcW w:w="12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7"/>
              </w:rPr>
              <w:t>Plans Adjustment</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8"/>
        </w:trPr>
        <w:tc>
          <w:tcPr>
            <w:tcW w:w="4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center"/>
              <w:ind w:right="760"/>
              <w:spacing w:after="0"/>
              <w:rPr>
                <w:sz w:val="20"/>
                <w:szCs w:val="20"/>
                <w:color w:val="auto"/>
              </w:rPr>
            </w:pPr>
            <w:r>
              <w:rPr>
                <w:rFonts w:ascii="Arial" w:cs="Arial" w:eastAsia="Arial" w:hAnsi="Arial"/>
                <w:sz w:val="13"/>
                <w:szCs w:val="13"/>
                <w:b w:val="1"/>
                <w:bCs w:val="1"/>
                <w:color w:val="auto"/>
                <w:w w:val="90"/>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2019</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3,111</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3,240</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60" w:type="dxa"/>
            <w:vAlign w:val="bottom"/>
          </w:tcPr>
          <w:p>
            <w:pPr>
              <w:ind w:left="40"/>
              <w:spacing w:after="0"/>
              <w:rPr>
                <w:sz w:val="20"/>
                <w:szCs w:val="20"/>
                <w:color w:val="auto"/>
              </w:rPr>
            </w:pPr>
            <w:r>
              <w:rPr>
                <w:rFonts w:ascii="Arial" w:cs="Arial" w:eastAsia="Arial" w:hAnsi="Arial"/>
                <w:sz w:val="14"/>
                <w:szCs w:val="14"/>
                <w:color w:val="auto"/>
              </w:rPr>
              <w:t>OCI before reclassifications (2)</w:t>
            </w:r>
          </w:p>
        </w:tc>
        <w:tc>
          <w:tcPr>
            <w:tcW w:w="180" w:type="dxa"/>
            <w:vAlign w:val="bottom"/>
          </w:tcPr>
          <w:p>
            <w:pPr>
              <w:spacing w:after="0"/>
              <w:rPr>
                <w:sz w:val="16"/>
                <w:szCs w:val="16"/>
                <w:color w:val="auto"/>
              </w:rPr>
            </w:pPr>
          </w:p>
        </w:tc>
        <w:tc>
          <w:tcPr>
            <w:tcW w:w="1320" w:type="dxa"/>
            <w:vAlign w:val="bottom"/>
            <w:vMerge w:val="restart"/>
          </w:tcPr>
          <w:p>
            <w:pPr>
              <w:jc w:val="right"/>
              <w:ind w:right="11"/>
              <w:spacing w:after="0"/>
              <w:rPr>
                <w:sz w:val="20"/>
                <w:szCs w:val="20"/>
                <w:color w:val="auto"/>
              </w:rPr>
            </w:pPr>
            <w:r>
              <w:rPr>
                <w:rFonts w:ascii="Arial" w:cs="Arial" w:eastAsia="Arial" w:hAnsi="Arial"/>
                <w:sz w:val="14"/>
                <w:szCs w:val="14"/>
                <w:color w:val="auto"/>
              </w:rPr>
              <w:t>(1,291)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(737)</w:t>
            </w:r>
          </w:p>
        </w:tc>
        <w:tc>
          <w:tcPr>
            <w:tcW w:w="0" w:type="dxa"/>
            <w:vAlign w:val="bottom"/>
          </w:tcPr>
          <w:p>
            <w:pPr>
              <w:spacing w:after="0"/>
              <w:rPr>
                <w:sz w:val="1"/>
                <w:szCs w:val="1"/>
                <w:color w:val="auto"/>
              </w:rPr>
            </w:pPr>
          </w:p>
        </w:tc>
      </w:tr>
      <w:tr>
        <w:trPr>
          <w:trHeight w:val="74"/>
        </w:trPr>
        <w:tc>
          <w:tcPr>
            <w:tcW w:w="4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 benefit (expense)</w:t>
            </w: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79"/>
        </w:trPr>
        <w:tc>
          <w:tcPr>
            <w:tcW w:w="4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60" w:type="dxa"/>
            <w:vAlign w:val="bottom"/>
          </w:tcPr>
          <w:p>
            <w:pPr>
              <w:ind w:left="200"/>
              <w:spacing w:after="0"/>
              <w:rPr>
                <w:sz w:val="20"/>
                <w:szCs w:val="20"/>
                <w:color w:val="auto"/>
              </w:rPr>
            </w:pPr>
            <w:r>
              <w:rPr>
                <w:rFonts w:ascii="Arial" w:cs="Arial" w:eastAsia="Arial" w:hAnsi="Arial"/>
                <w:sz w:val="14"/>
                <w:szCs w:val="14"/>
                <w:color w:val="auto"/>
              </w:rPr>
              <w:t>AOCI before reclassifications, net of income tax</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4"/>
                <w:szCs w:val="14"/>
                <w:color w:val="auto"/>
              </w:rPr>
              <w:t>2,092</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2,658</w:t>
            </w:r>
          </w:p>
        </w:tc>
        <w:tc>
          <w:tcPr>
            <w:tcW w:w="0" w:type="dxa"/>
            <w:vAlign w:val="bottom"/>
          </w:tcPr>
          <w:p>
            <w:pPr>
              <w:spacing w:after="0"/>
              <w:rPr>
                <w:sz w:val="1"/>
                <w:szCs w:val="1"/>
                <w:color w:val="auto"/>
              </w:rPr>
            </w:pPr>
          </w:p>
        </w:tc>
      </w:tr>
      <w:tr>
        <w:trPr>
          <w:trHeight w:val="73"/>
        </w:trPr>
        <w:tc>
          <w:tcPr>
            <w:tcW w:w="41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from AOCI</w:t>
            </w: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40"/>
              <w:spacing w:after="0"/>
              <w:rPr>
                <w:sz w:val="20"/>
                <w:szCs w:val="20"/>
                <w:color w:val="auto"/>
              </w:rPr>
            </w:pPr>
            <w:r>
              <w:rPr>
                <w:rFonts w:ascii="Arial" w:cs="Arial" w:eastAsia="Arial" w:hAnsi="Arial"/>
                <w:sz w:val="14"/>
                <w:szCs w:val="14"/>
                <w:color w:val="auto"/>
              </w:rPr>
              <w:t>Deferred income tax benefit (expense)</w:t>
            </w:r>
          </w:p>
        </w:tc>
        <w:tc>
          <w:tcPr>
            <w:tcW w:w="180" w:type="dxa"/>
            <w:vAlign w:val="bottom"/>
          </w:tcPr>
          <w:p>
            <w:pPr>
              <w:spacing w:after="0"/>
              <w:rPr>
                <w:sz w:val="16"/>
                <w:szCs w:val="16"/>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3"/>
        </w:trPr>
        <w:tc>
          <w:tcPr>
            <w:tcW w:w="41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Amounts reclassified from AOCI, net of income tax</w:t>
            </w: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79"/>
        </w:trPr>
        <w:tc>
          <w:tcPr>
            <w:tcW w:w="4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60" w:type="dxa"/>
            <w:vAlign w:val="bottom"/>
          </w:tcPr>
          <w:p>
            <w:pPr>
              <w:ind w:left="40"/>
              <w:spacing w:after="0"/>
              <w:rPr>
                <w:sz w:val="20"/>
                <w:szCs w:val="20"/>
                <w:color w:val="auto"/>
              </w:rPr>
            </w:pPr>
            <w:r>
              <w:rPr>
                <w:rFonts w:ascii="Arial" w:cs="Arial" w:eastAsia="Arial" w:hAnsi="Arial"/>
                <w:sz w:val="14"/>
                <w:szCs w:val="14"/>
                <w:color w:val="auto"/>
              </w:rPr>
              <w:t>Balance at March 31, 2020</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4"/>
                <w:szCs w:val="14"/>
                <w:color w:val="auto"/>
              </w:rPr>
              <w:t>2,083</w:t>
            </w:r>
          </w:p>
        </w:tc>
        <w:tc>
          <w:tcPr>
            <w:tcW w:w="12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2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2,647</w:t>
            </w:r>
          </w:p>
        </w:tc>
        <w:tc>
          <w:tcPr>
            <w:tcW w:w="0" w:type="dxa"/>
            <w:vAlign w:val="bottom"/>
          </w:tcPr>
          <w:p>
            <w:pPr>
              <w:spacing w:after="0"/>
              <w:rPr>
                <w:sz w:val="1"/>
                <w:szCs w:val="1"/>
                <w:color w:val="auto"/>
              </w:rPr>
            </w:pPr>
          </w:p>
        </w:tc>
      </w:tr>
      <w:tr>
        <w:trPr>
          <w:trHeight w:val="65"/>
        </w:trPr>
        <w:tc>
          <w:tcPr>
            <w:tcW w:w="4160" w:type="dxa"/>
            <w:vAlign w:val="bottom"/>
          </w:tcPr>
          <w:p>
            <w:pPr>
              <w:spacing w:after="0"/>
              <w:rPr>
                <w:sz w:val="5"/>
                <w:szCs w:val="5"/>
                <w:color w:val="auto"/>
              </w:rPr>
            </w:pPr>
          </w:p>
        </w:tc>
        <w:tc>
          <w:tcPr>
            <w:tcW w:w="18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8"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320" w:top="288" w:right="339" w:bottom="1440" w:gutter="0" w:footer="0" w:header="0"/>
          <w:type w:val="continuous"/>
        </w:sectPr>
      </w:pPr>
    </w:p>
    <w:bookmarkStart w:id="37" w:name="page38"/>
    <w:bookmarkEnd w:id="37"/>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8"/>
          </w:tcPr>
          <w:p>
            <w:pPr>
              <w:jc w:val="center"/>
              <w:ind w:right="440"/>
              <w:spacing w:after="0"/>
              <w:rPr>
                <w:sz w:val="20"/>
                <w:szCs w:val="20"/>
                <w:color w:val="auto"/>
              </w:rPr>
            </w:pPr>
            <w:r>
              <w:rPr>
                <w:rFonts w:ascii="Arial" w:cs="Arial" w:eastAsia="Arial" w:hAnsi="Arial"/>
                <w:sz w:val="14"/>
                <w:szCs w:val="14"/>
                <w:b w:val="1"/>
                <w:bCs w:val="1"/>
                <w:color w:val="auto"/>
                <w:w w:val="95"/>
              </w:rPr>
              <w:t>Three Months Ended March 31, 2019</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8"/>
              </w:rPr>
              <w:t>Unrealized</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Foreign</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Investment Gains</w:t>
            </w:r>
          </w:p>
        </w:tc>
        <w:tc>
          <w:tcPr>
            <w:tcW w:w="18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13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Currency</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180" w:type="dxa"/>
            <w:vAlign w:val="bottom"/>
          </w:tcPr>
          <w:p>
            <w:pPr>
              <w:spacing w:after="0"/>
              <w:rPr>
                <w:sz w:val="11"/>
                <w:szCs w:val="11"/>
                <w:color w:val="auto"/>
              </w:rPr>
            </w:pPr>
          </w:p>
        </w:tc>
        <w:tc>
          <w:tcPr>
            <w:tcW w:w="12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Translation</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Defined Benefit</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7"/>
              </w:rPr>
              <w:t>Related Offsets (1)</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7"/>
              </w:rPr>
              <w:t>on Derivatives</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8"/>
              </w:rPr>
              <w:t>Adjustments</w:t>
            </w:r>
          </w:p>
        </w:tc>
        <w:tc>
          <w:tcPr>
            <w:tcW w:w="12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7"/>
              </w:rPr>
              <w:t>Plans Adjustment</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4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0"/>
              </w:rPr>
              <w:t>(In millions)</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2018</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576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40"/>
              <w:spacing w:after="0"/>
              <w:rPr>
                <w:sz w:val="20"/>
                <w:szCs w:val="20"/>
                <w:color w:val="auto"/>
              </w:rPr>
            </w:pPr>
            <w:r>
              <w:rPr>
                <w:rFonts w:ascii="Arial" w:cs="Arial" w:eastAsia="Arial" w:hAnsi="Arial"/>
                <w:sz w:val="14"/>
                <w:szCs w:val="14"/>
                <w:color w:val="auto"/>
              </w:rPr>
              <w:t>OCI before reclassifications</w:t>
            </w:r>
          </w:p>
        </w:tc>
        <w:tc>
          <w:tcPr>
            <w:tcW w:w="180" w:type="dxa"/>
            <w:vAlign w:val="bottom"/>
          </w:tcPr>
          <w:p>
            <w:pPr>
              <w:spacing w:after="0"/>
              <w:rPr>
                <w:sz w:val="16"/>
                <w:szCs w:val="16"/>
                <w:color w:val="auto"/>
              </w:rPr>
            </w:pPr>
          </w:p>
        </w:tc>
        <w:tc>
          <w:tcPr>
            <w:tcW w:w="1320" w:type="dxa"/>
            <w:vAlign w:val="bottom"/>
            <w:vMerge w:val="restart"/>
          </w:tcPr>
          <w:p>
            <w:pPr>
              <w:jc w:val="right"/>
              <w:ind w:right="71"/>
              <w:spacing w:after="0"/>
              <w:rPr>
                <w:sz w:val="20"/>
                <w:szCs w:val="20"/>
                <w:color w:val="auto"/>
              </w:rPr>
            </w:pPr>
            <w:r>
              <w:rPr>
                <w:rFonts w:ascii="Arial" w:cs="Arial" w:eastAsia="Arial" w:hAnsi="Arial"/>
                <w:sz w:val="14"/>
                <w:szCs w:val="14"/>
                <w:color w:val="auto"/>
              </w:rPr>
              <w:t>1,252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29"/>
              <w:spacing w:after="0"/>
              <w:rPr>
                <w:sz w:val="20"/>
                <w:szCs w:val="20"/>
                <w:color w:val="auto"/>
              </w:rPr>
            </w:pPr>
            <w:r>
              <w:rPr>
                <w:rFonts w:ascii="Arial" w:cs="Arial" w:eastAsia="Arial" w:hAnsi="Arial"/>
                <w:sz w:val="14"/>
                <w:szCs w:val="14"/>
                <w:color w:val="auto"/>
              </w:rPr>
              <w:t>1,215</w:t>
            </w:r>
          </w:p>
        </w:tc>
        <w:tc>
          <w:tcPr>
            <w:tcW w:w="0" w:type="dxa"/>
            <w:vAlign w:val="bottom"/>
          </w:tcPr>
          <w:p>
            <w:pPr>
              <w:spacing w:after="0"/>
              <w:rPr>
                <w:sz w:val="1"/>
                <w:szCs w:val="1"/>
                <w:color w:val="auto"/>
              </w:rPr>
            </w:pPr>
          </w:p>
        </w:tc>
      </w:tr>
      <w:tr>
        <w:trPr>
          <w:trHeight w:val="74"/>
        </w:trPr>
        <w:tc>
          <w:tcPr>
            <w:tcW w:w="4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 benefit (expense)</w:t>
            </w:r>
          </w:p>
        </w:tc>
        <w:tc>
          <w:tcPr>
            <w:tcW w:w="18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(263)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4160" w:type="dxa"/>
            <w:vAlign w:val="bottom"/>
          </w:tcPr>
          <w:p>
            <w:pPr>
              <w:ind w:left="200"/>
              <w:spacing w:after="0"/>
              <w:rPr>
                <w:sz w:val="20"/>
                <w:szCs w:val="20"/>
                <w:color w:val="auto"/>
              </w:rPr>
            </w:pPr>
            <w:r>
              <w:rPr>
                <w:rFonts w:ascii="Arial" w:cs="Arial" w:eastAsia="Arial" w:hAnsi="Arial"/>
                <w:sz w:val="14"/>
                <w:szCs w:val="14"/>
                <w:color w:val="auto"/>
              </w:rPr>
              <w:t>AOCI before reclassifications, net of income tax</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4"/>
                <w:szCs w:val="14"/>
                <w:color w:val="auto"/>
              </w:rPr>
              <w:t>1,565</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1,675</w:t>
            </w:r>
          </w:p>
        </w:tc>
        <w:tc>
          <w:tcPr>
            <w:tcW w:w="0" w:type="dxa"/>
            <w:vAlign w:val="bottom"/>
          </w:tcPr>
          <w:p>
            <w:pPr>
              <w:spacing w:after="0"/>
              <w:rPr>
                <w:sz w:val="1"/>
                <w:szCs w:val="1"/>
                <w:color w:val="auto"/>
              </w:rPr>
            </w:pPr>
          </w:p>
        </w:tc>
      </w:tr>
      <w:tr>
        <w:trPr>
          <w:trHeight w:val="74"/>
        </w:trPr>
        <w:tc>
          <w:tcPr>
            <w:tcW w:w="41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from AOCI</w:t>
            </w: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160" w:type="dxa"/>
            <w:vAlign w:val="bottom"/>
          </w:tcPr>
          <w:p>
            <w:pPr>
              <w:ind w:left="40"/>
              <w:spacing w:after="0"/>
              <w:rPr>
                <w:sz w:val="20"/>
                <w:szCs w:val="20"/>
                <w:color w:val="auto"/>
              </w:rPr>
            </w:pPr>
            <w:r>
              <w:rPr>
                <w:rFonts w:ascii="Arial" w:cs="Arial" w:eastAsia="Arial" w:hAnsi="Arial"/>
                <w:sz w:val="14"/>
                <w:szCs w:val="14"/>
                <w:color w:val="auto"/>
              </w:rPr>
              <w:t>Deferred income tax benefit (expense)</w:t>
            </w:r>
          </w:p>
        </w:tc>
        <w:tc>
          <w:tcPr>
            <w:tcW w:w="180" w:type="dxa"/>
            <w:vAlign w:val="bottom"/>
          </w:tcPr>
          <w:p>
            <w:pPr>
              <w:spacing w:after="0"/>
              <w:rPr>
                <w:sz w:val="16"/>
                <w:szCs w:val="16"/>
                <w:color w:val="auto"/>
              </w:rPr>
            </w:pPr>
          </w:p>
        </w:tc>
        <w:tc>
          <w:tcPr>
            <w:tcW w:w="1320" w:type="dxa"/>
            <w:vAlign w:val="bottom"/>
            <w:vMerge w:val="restart"/>
          </w:tcPr>
          <w:p>
            <w:pPr>
              <w:jc w:val="right"/>
              <w:ind w:right="11"/>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restart"/>
          </w:tcPr>
          <w:p>
            <w:pPr>
              <w:jc w:val="right"/>
              <w:ind w:right="2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74"/>
        </w:trPr>
        <w:tc>
          <w:tcPr>
            <w:tcW w:w="41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Amounts reclassified from AOCI, net of income tax</w:t>
            </w: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80"/>
        </w:trPr>
        <w:tc>
          <w:tcPr>
            <w:tcW w:w="4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4160" w:type="dxa"/>
            <w:vAlign w:val="bottom"/>
          </w:tcPr>
          <w:p>
            <w:pPr>
              <w:ind w:left="40"/>
              <w:spacing w:after="0"/>
              <w:rPr>
                <w:sz w:val="20"/>
                <w:szCs w:val="20"/>
                <w:color w:val="auto"/>
              </w:rPr>
            </w:pPr>
            <w:r>
              <w:rPr>
                <w:rFonts w:ascii="Arial" w:cs="Arial" w:eastAsia="Arial" w:hAnsi="Arial"/>
                <w:sz w:val="14"/>
                <w:szCs w:val="14"/>
                <w:color w:val="auto"/>
              </w:rPr>
              <w:t>Balance at March 31, 2019</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4"/>
                <w:szCs w:val="14"/>
                <w:color w:val="auto"/>
              </w:rPr>
              <w:t>1,580</w:t>
            </w:r>
          </w:p>
        </w:tc>
        <w:tc>
          <w:tcPr>
            <w:tcW w:w="12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4"/>
                <w:szCs w:val="14"/>
                <w:color w:val="auto"/>
              </w:rPr>
            </w:pPr>
          </w:p>
        </w:tc>
        <w:tc>
          <w:tcPr>
            <w:tcW w:w="3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1,670</w:t>
            </w:r>
          </w:p>
        </w:tc>
        <w:tc>
          <w:tcPr>
            <w:tcW w:w="0" w:type="dxa"/>
            <w:vAlign w:val="bottom"/>
          </w:tcPr>
          <w:p>
            <w:pPr>
              <w:spacing w:after="0"/>
              <w:rPr>
                <w:sz w:val="1"/>
                <w:szCs w:val="1"/>
                <w:color w:val="auto"/>
              </w:rPr>
            </w:pPr>
          </w:p>
        </w:tc>
      </w:tr>
      <w:tr>
        <w:trPr>
          <w:trHeight w:val="54"/>
        </w:trPr>
        <w:tc>
          <w:tcPr>
            <w:tcW w:w="416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3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7620</wp:posOffset>
            </wp:positionV>
            <wp:extent cx="44919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-98425</wp:posOffset>
            </wp:positionV>
            <wp:extent cx="44919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91990" cy="8255"/>
                    </a:xfrm>
                    <a:prstGeom prst="rect">
                      <a:avLst/>
                    </a:prstGeom>
                    <a:noFill/>
                  </pic:spPr>
                </pic:pic>
              </a:graphicData>
            </a:graphic>
          </wp:anchor>
        </w:drawing>
      </w:r>
    </w:p>
    <w:p>
      <w:pPr>
        <w:spacing w:after="0" w:line="9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 Note 4 for information on offsets to investments related to future policy benefits, DAC, VOBA and DSI.</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$3 million related to the adoption of ASU 2016-13, see Note 1.</w:t>
      </w:r>
    </w:p>
    <w:p>
      <w:pPr>
        <w:spacing w:after="0" w:line="11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Information regarding amounts reclassified out of each component of AOCI was as follows:</w:t>
      </w:r>
    </w:p>
    <w:p>
      <w:pPr>
        <w:sectPr>
          <w:pgSz w:w="11900" w:h="16838" w:orient="portrait"/>
          <w:cols w:equalWidth="0" w:num="1">
            <w:col w:w="11240"/>
          </w:cols>
          <w:pgMar w:left="320" w:top="288"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AOCI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3604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investment gains (losses):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investment gains (losses)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investment gains (losses)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Net unrealized investment gains (losses), before income tax</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 (expense) benefit</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Net unrealized investment gains (losses), net of income tax</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Unrealized gains (losses) on derivatives - cash flow hedges: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swaps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swaps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swaps</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Gains (losses) on cash flow hedges, before income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 (expense) benefit</w:t>
      </w:r>
    </w:p>
    <w:p>
      <w:pPr>
        <w:spacing w:after="0" w:line="10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Gains (losses) on cash flow hedges, net of income tax</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reclassifications, net of income tax</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jc w:val="right"/>
              <w:ind w:right="212"/>
              <w:spacing w:after="0"/>
              <w:rPr>
                <w:sz w:val="20"/>
                <w:szCs w:val="20"/>
                <w:color w:val="auto"/>
              </w:rPr>
            </w:pPr>
            <w:r>
              <w:rPr>
                <w:rFonts w:ascii="Arial" w:cs="Arial" w:eastAsia="Arial" w:hAnsi="Arial"/>
                <w:sz w:val="13"/>
                <w:szCs w:val="13"/>
                <w:b w:val="1"/>
                <w:bCs w:val="1"/>
                <w:color w:val="auto"/>
                <w:w w:val="96"/>
              </w:rPr>
              <w:t>Consolidated Statements of Operations and</w:t>
            </w:r>
          </w:p>
        </w:tc>
      </w:tr>
      <w:tr>
        <w:trPr>
          <w:trHeight w:val="174"/>
        </w:trPr>
        <w:tc>
          <w:tcPr>
            <w:tcW w:w="2400" w:type="dxa"/>
            <w:vAlign w:val="bottom"/>
            <w:tcBorders>
              <w:bottom w:val="single" w:sz="8" w:color="auto"/>
            </w:tcBorders>
            <w:gridSpan w:val="4"/>
          </w:tcPr>
          <w:p>
            <w:pPr>
              <w:jc w:val="center"/>
              <w:ind w:left="353"/>
              <w:spacing w:after="0"/>
              <w:rPr>
                <w:sz w:val="20"/>
                <w:szCs w:val="20"/>
                <w:color w:val="auto"/>
              </w:rPr>
            </w:pPr>
            <w:r>
              <w:rPr>
                <w:rFonts w:ascii="Arial" w:cs="Arial" w:eastAsia="Arial" w:hAnsi="Arial"/>
                <w:sz w:val="13"/>
                <w:szCs w:val="13"/>
                <w:b w:val="1"/>
                <w:bCs w:val="1"/>
                <w:color w:val="auto"/>
                <w:w w:val="89"/>
              </w:rPr>
              <w:t>Amounts Reclassified from AOCI</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Borders>
              <w:bottom w:val="single" w:sz="8" w:color="auto"/>
            </w:tcBorders>
          </w:tcPr>
          <w:p>
            <w:pPr>
              <w:jc w:val="right"/>
              <w:ind w:right="292"/>
              <w:spacing w:after="0"/>
              <w:rPr>
                <w:sz w:val="20"/>
                <w:szCs w:val="20"/>
                <w:color w:val="auto"/>
              </w:rPr>
            </w:pPr>
            <w:r>
              <w:rPr>
                <w:rFonts w:ascii="Arial" w:cs="Arial" w:eastAsia="Arial" w:hAnsi="Arial"/>
                <w:sz w:val="13"/>
                <w:szCs w:val="13"/>
                <w:b w:val="1"/>
                <w:bCs w:val="1"/>
                <w:color w:val="auto"/>
                <w:w w:val="99"/>
              </w:rPr>
              <w:t>Comprehensive Income (Loss) Locations</w:t>
            </w:r>
          </w:p>
        </w:tc>
      </w:tr>
      <w:tr>
        <w:trPr>
          <w:trHeight w:val="144"/>
        </w:trPr>
        <w:tc>
          <w:tcPr>
            <w:tcW w:w="820" w:type="dxa"/>
            <w:vAlign w:val="bottom"/>
          </w:tcPr>
          <w:p>
            <w:pPr>
              <w:spacing w:after="0"/>
              <w:rPr>
                <w:sz w:val="12"/>
                <w:szCs w:val="12"/>
                <w:color w:val="auto"/>
              </w:rPr>
            </w:pPr>
          </w:p>
        </w:tc>
        <w:tc>
          <w:tcPr>
            <w:tcW w:w="1580" w:type="dxa"/>
            <w:vAlign w:val="bottom"/>
            <w:gridSpan w:val="3"/>
          </w:tcPr>
          <w:p>
            <w:pPr>
              <w:jc w:val="center"/>
              <w:ind w:right="331"/>
              <w:spacing w:after="0" w:line="144" w:lineRule="exact"/>
              <w:rPr>
                <w:sz w:val="20"/>
                <w:szCs w:val="20"/>
                <w:color w:val="auto"/>
              </w:rPr>
            </w:pPr>
            <w:r>
              <w:rPr>
                <w:rFonts w:ascii="Arial" w:cs="Arial" w:eastAsia="Arial" w:hAnsi="Arial"/>
                <w:sz w:val="13"/>
                <w:szCs w:val="13"/>
                <w:b w:val="1"/>
                <w:bCs w:val="1"/>
                <w:color w:val="auto"/>
                <w:w w:val="88"/>
              </w:rPr>
              <w:t>Three Months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tcPr>
          <w:p>
            <w:pPr>
              <w:spacing w:after="0"/>
              <w:rPr>
                <w:sz w:val="12"/>
                <w:szCs w:val="12"/>
                <w:color w:val="auto"/>
              </w:rPr>
            </w:pPr>
          </w:p>
        </w:tc>
      </w:tr>
      <w:tr>
        <w:trPr>
          <w:trHeight w:val="174"/>
        </w:trPr>
        <w:tc>
          <w:tcPr>
            <w:tcW w:w="8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right="291"/>
              <w:spacing w:after="0"/>
              <w:rPr>
                <w:sz w:val="20"/>
                <w:szCs w:val="20"/>
                <w:color w:val="auto"/>
              </w:rPr>
            </w:pPr>
            <w:r>
              <w:rPr>
                <w:rFonts w:ascii="Arial" w:cs="Arial" w:eastAsia="Arial" w:hAnsi="Arial"/>
                <w:sz w:val="13"/>
                <w:szCs w:val="13"/>
                <w:b w:val="1"/>
                <w:bCs w:val="1"/>
                <w:color w:val="auto"/>
                <w:w w:val="89"/>
              </w:rPr>
              <w:t>March 31,</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Pr>
          <w:p>
            <w:pPr>
              <w:spacing w:after="0"/>
              <w:rPr>
                <w:sz w:val="15"/>
                <w:szCs w:val="15"/>
                <w:color w:val="auto"/>
              </w:rPr>
            </w:pPr>
          </w:p>
        </w:tc>
      </w:tr>
      <w:tr>
        <w:trPr>
          <w:trHeight w:val="263"/>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2019</w:t>
            </w:r>
          </w:p>
        </w:tc>
        <w:tc>
          <w:tcPr>
            <w:tcW w:w="4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920" w:type="dxa"/>
            <w:vAlign w:val="bottom"/>
          </w:tcPr>
          <w:p>
            <w:pPr>
              <w:spacing w:after="0"/>
              <w:rPr>
                <w:sz w:val="22"/>
                <w:szCs w:val="22"/>
                <w:color w:val="auto"/>
              </w:rPr>
            </w:pPr>
          </w:p>
        </w:tc>
      </w:tr>
      <w:tr>
        <w:trPr>
          <w:trHeight w:val="240"/>
        </w:trPr>
        <w:tc>
          <w:tcPr>
            <w:tcW w:w="820" w:type="dxa"/>
            <w:vAlign w:val="bottom"/>
          </w:tcPr>
          <w:p>
            <w:pPr>
              <w:spacing w:after="0"/>
              <w:rPr>
                <w:sz w:val="20"/>
                <w:szCs w:val="20"/>
                <w:color w:val="auto"/>
              </w:rPr>
            </w:pPr>
          </w:p>
        </w:tc>
        <w:tc>
          <w:tcPr>
            <w:tcW w:w="1580" w:type="dxa"/>
            <w:vAlign w:val="bottom"/>
            <w:gridSpan w:val="3"/>
          </w:tcPr>
          <w:p>
            <w:pPr>
              <w:jc w:val="center"/>
              <w:ind w:right="331"/>
              <w:spacing w:after="0"/>
              <w:rPr>
                <w:sz w:val="20"/>
                <w:szCs w:val="20"/>
                <w:color w:val="auto"/>
              </w:rPr>
            </w:pPr>
            <w:r>
              <w:rPr>
                <w:rFonts w:ascii="Arial" w:cs="Arial" w:eastAsia="Arial" w:hAnsi="Arial"/>
                <w:sz w:val="13"/>
                <w:szCs w:val="13"/>
                <w:b w:val="1"/>
                <w:bCs w:val="1"/>
                <w:color w:val="auto"/>
                <w:w w:val="90"/>
              </w:rPr>
              <w:t>(In millions)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544"/>
        </w:trPr>
        <w:tc>
          <w:tcPr>
            <w:tcW w:w="820" w:type="dxa"/>
            <w:vAlign w:val="bottom"/>
          </w:tcPr>
          <w:p>
            <w:pPr>
              <w:jc w:val="right"/>
              <w:ind w:right="653"/>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940" w:type="dxa"/>
            <w:vAlign w:val="bottom"/>
          </w:tcPr>
          <w:p>
            <w:pPr>
              <w:jc w:val="right"/>
              <w:ind w:right="771"/>
              <w:spacing w:after="0"/>
              <w:rPr>
                <w:sz w:val="20"/>
                <w:szCs w:val="20"/>
                <w:color w:val="auto"/>
              </w:rPr>
            </w:pPr>
            <w:r>
              <w:rPr>
                <w:rFonts w:ascii="Arial" w:cs="Arial" w:eastAsia="Arial" w:hAnsi="Arial"/>
                <w:sz w:val="14"/>
                <w:szCs w:val="14"/>
                <w:color w:val="auto"/>
              </w:rPr>
              <w:t>$</w:t>
            </w:r>
          </w:p>
        </w:tc>
        <w:tc>
          <w:tcPr>
            <w:tcW w:w="3420" w:type="dxa"/>
            <w:vAlign w:val="bottom"/>
            <w:gridSpan w:val="3"/>
          </w:tcPr>
          <w:p>
            <w:pPr>
              <w:jc w:val="right"/>
              <w:ind w:right="1132"/>
              <w:spacing w:after="0"/>
              <w:rPr>
                <w:sz w:val="20"/>
                <w:szCs w:val="20"/>
                <w:color w:val="auto"/>
              </w:rPr>
            </w:pPr>
            <w:r>
              <w:rPr>
                <w:rFonts w:ascii="Arial" w:cs="Arial" w:eastAsia="Arial" w:hAnsi="Arial"/>
                <w:sz w:val="14"/>
                <w:szCs w:val="14"/>
                <w:color w:val="auto"/>
                <w:w w:val="99"/>
              </w:rPr>
              <w:t>(15)   Net investment gains (losses)</w:t>
            </w:r>
          </w:p>
        </w:tc>
      </w:tr>
      <w:tr>
        <w:trPr>
          <w:trHeight w:val="276"/>
        </w:trPr>
        <w:tc>
          <w:tcPr>
            <w:tcW w:w="8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20" w:type="dxa"/>
            <w:vAlign w:val="bottom"/>
            <w:gridSpan w:val="3"/>
          </w:tcPr>
          <w:p>
            <w:pPr>
              <w:jc w:val="right"/>
              <w:ind w:right="1192"/>
              <w:spacing w:after="0"/>
              <w:rPr>
                <w:sz w:val="20"/>
                <w:szCs w:val="20"/>
                <w:color w:val="auto"/>
              </w:rPr>
            </w:pPr>
            <w:r>
              <w:rPr>
                <w:rFonts w:ascii="Arial" w:cs="Arial" w:eastAsia="Arial" w:hAnsi="Arial"/>
                <w:sz w:val="14"/>
                <w:szCs w:val="14"/>
                <w:color w:val="auto"/>
              </w:rPr>
              <w:t>(4)   Net derivative gains (losses)</w:t>
            </w:r>
          </w:p>
        </w:tc>
      </w:tr>
      <w:tr>
        <w:trPr>
          <w:trHeight w:val="244"/>
        </w:trPr>
        <w:tc>
          <w:tcPr>
            <w:tcW w:w="8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76"/>
        </w:trPr>
        <w:tc>
          <w:tcPr>
            <w:tcW w:w="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528"/>
        </w:trPr>
        <w:tc>
          <w:tcPr>
            <w:tcW w:w="820" w:type="dxa"/>
            <w:vAlign w:val="bottom"/>
          </w:tcPr>
          <w:p>
            <w:pPr>
              <w:spacing w:after="0"/>
              <w:rPr>
                <w:sz w:val="24"/>
                <w:szCs w:val="24"/>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2920" w:type="dxa"/>
            <w:vAlign w:val="bottom"/>
          </w:tcPr>
          <w:p>
            <w:pPr>
              <w:jc w:val="right"/>
              <w:ind w:right="1192"/>
              <w:spacing w:after="0"/>
              <w:rPr>
                <w:sz w:val="20"/>
                <w:szCs w:val="20"/>
                <w:color w:val="auto"/>
              </w:rPr>
            </w:pPr>
            <w:r>
              <w:rPr>
                <w:rFonts w:ascii="Arial" w:cs="Arial" w:eastAsia="Arial" w:hAnsi="Arial"/>
                <w:sz w:val="14"/>
                <w:szCs w:val="14"/>
                <w:color w:val="auto"/>
                <w:w w:val="93"/>
              </w:rPr>
              <w:t>Net derivative gains (losses)</w:t>
            </w:r>
          </w:p>
        </w:tc>
      </w:tr>
      <w:tr>
        <w:trPr>
          <w:trHeight w:val="270"/>
        </w:trPr>
        <w:tc>
          <w:tcPr>
            <w:tcW w:w="820" w:type="dxa"/>
            <w:vAlign w:val="bottom"/>
          </w:tcPr>
          <w:p>
            <w:pPr>
              <w:spacing w:after="0"/>
              <w:rPr>
                <w:sz w:val="23"/>
                <w:szCs w:val="23"/>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2920" w:type="dxa"/>
            <w:vAlign w:val="bottom"/>
          </w:tcPr>
          <w:p>
            <w:pPr>
              <w:jc w:val="right"/>
              <w:ind w:right="1492"/>
              <w:spacing w:after="0"/>
              <w:rPr>
                <w:sz w:val="20"/>
                <w:szCs w:val="20"/>
                <w:color w:val="auto"/>
              </w:rPr>
            </w:pPr>
            <w:r>
              <w:rPr>
                <w:rFonts w:ascii="Arial" w:cs="Arial" w:eastAsia="Arial" w:hAnsi="Arial"/>
                <w:sz w:val="14"/>
                <w:szCs w:val="14"/>
                <w:color w:val="auto"/>
                <w:w w:val="94"/>
              </w:rPr>
              <w:t>Net investment income</w:t>
            </w:r>
          </w:p>
        </w:tc>
      </w:tr>
      <w:tr>
        <w:trPr>
          <w:trHeight w:val="276"/>
        </w:trPr>
        <w:tc>
          <w:tcPr>
            <w:tcW w:w="8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4"/>
                <w:szCs w:val="24"/>
                <w:color w:val="auto"/>
              </w:rPr>
            </w:pPr>
          </w:p>
        </w:tc>
        <w:tc>
          <w:tcPr>
            <w:tcW w:w="4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2920" w:type="dxa"/>
            <w:vAlign w:val="bottom"/>
          </w:tcPr>
          <w:p>
            <w:pPr>
              <w:jc w:val="right"/>
              <w:ind w:right="1192"/>
              <w:spacing w:after="0"/>
              <w:rPr>
                <w:sz w:val="20"/>
                <w:szCs w:val="20"/>
                <w:color w:val="auto"/>
              </w:rPr>
            </w:pPr>
            <w:r>
              <w:rPr>
                <w:rFonts w:ascii="Arial" w:cs="Arial" w:eastAsia="Arial" w:hAnsi="Arial"/>
                <w:sz w:val="14"/>
                <w:szCs w:val="14"/>
                <w:color w:val="auto"/>
                <w:w w:val="93"/>
              </w:rPr>
              <w:t>Net derivative gains (losses)</w:t>
            </w:r>
          </w:p>
        </w:tc>
      </w:tr>
      <w:tr>
        <w:trPr>
          <w:trHeight w:val="244"/>
        </w:trPr>
        <w:tc>
          <w:tcPr>
            <w:tcW w:w="8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76"/>
        </w:trPr>
        <w:tc>
          <w:tcPr>
            <w:tcW w:w="8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50"/>
        </w:trPr>
        <w:tc>
          <w:tcPr>
            <w:tcW w:w="8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1"/>
                <w:szCs w:val="21"/>
                <w:color w:val="auto"/>
              </w:rPr>
            </w:pPr>
          </w:p>
        </w:tc>
        <w:tc>
          <w:tcPr>
            <w:tcW w:w="2920" w:type="dxa"/>
            <w:vAlign w:val="bottom"/>
          </w:tcPr>
          <w:p>
            <w:pPr>
              <w:spacing w:after="0"/>
              <w:rPr>
                <w:sz w:val="21"/>
                <w:szCs w:val="21"/>
                <w:color w:val="auto"/>
              </w:rPr>
            </w:pPr>
          </w:p>
        </w:tc>
      </w:tr>
      <w:tr>
        <w:trPr>
          <w:trHeight w:val="236"/>
        </w:trPr>
        <w:tc>
          <w:tcPr>
            <w:tcW w:w="8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-2425065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-2082165</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-1739265</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-1396365</wp:posOffset>
            </wp:positionV>
            <wp:extent cx="7132320"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-1045210</wp:posOffset>
            </wp:positionV>
            <wp:extent cx="71323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-702310</wp:posOffset>
            </wp:positionV>
            <wp:extent cx="71323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-359410</wp:posOffset>
            </wp:positionV>
            <wp:extent cx="71323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720"/>
            <w:col w:w="5820"/>
          </w:cols>
          <w:pgMar w:left="320" w:top="288"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240"/>
          </w:cols>
          <w:pgMar w:left="320" w:top="288" w:right="339" w:bottom="1440" w:gutter="0" w:footer="0" w:header="0"/>
          <w:type w:val="continuous"/>
        </w:sectPr>
      </w:pPr>
    </w:p>
    <w:bookmarkStart w:id="38" w:name="page39"/>
    <w:bookmarkEnd w:id="38"/>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Revenues and Other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6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revenues consisted primarily of 12b-1 fees of $81 million and $82 million for the three months ended March 31, 2020 and 2019, respectively, of which substantially all were reported in the Annuities segment.</w:t>
      </w:r>
    </w:p>
    <w:p>
      <w:pPr>
        <w:sectPr>
          <w:pgSz w:w="11900" w:h="16838" w:orient="portrait"/>
          <w:cols w:equalWidth="0" w:num="1">
            <w:col w:w="11240"/>
          </w:cols>
          <w:pgMar w:left="320" w:top="234" w:right="33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other expenses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777875</wp:posOffset>
            </wp:positionV>
            <wp:extent cx="71323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Compensation</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Contracted services and other labor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Transition services agreements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Establishment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Premium and other taxes, licenses and fees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Separate account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Volume related costs, excluding compensation, net of DAC capitalization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Interest expense on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other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13335</wp:posOffset>
            </wp:positionV>
            <wp:extent cx="19202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87" w:lineRule="exact"/>
        <w:rPr>
          <w:sz w:val="20"/>
          <w:szCs w:val="20"/>
          <w:color w:val="auto"/>
        </w:rPr>
      </w:pPr>
    </w:p>
    <w:p>
      <w:pPr>
        <w:ind w:left="560"/>
        <w:spacing w:after="0"/>
        <w:tabs>
          <w:tab w:leader="none" w:pos="21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23495</wp:posOffset>
            </wp:positionV>
            <wp:extent cx="19202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millions)</w:t>
      </w:r>
    </w:p>
    <w:p>
      <w:pPr>
        <w:spacing w:after="0" w:line="68" w:lineRule="exact"/>
        <w:rPr>
          <w:sz w:val="20"/>
          <w:szCs w:val="20"/>
          <w:color w:val="auto"/>
        </w:rPr>
      </w:pPr>
    </w:p>
    <w:p>
      <w:pPr>
        <w:spacing w:after="0"/>
        <w:tabs>
          <w:tab w:leader="none" w:pos="1160" w:val="left"/>
          <w:tab w:leader="none" w:pos="1560" w:val="left"/>
          <w:tab w:leader="none" w:pos="2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69</w:t>
        <w:tab/>
        <w:t>$</w:t>
      </w:r>
      <w:r>
        <w:rPr>
          <w:sz w:val="20"/>
          <w:szCs w:val="20"/>
          <w:color w:val="auto"/>
        </w:rPr>
        <w:tab/>
      </w:r>
      <w:r>
        <w:rPr>
          <w:rFonts w:ascii="Arial" w:cs="Arial" w:eastAsia="Arial" w:hAnsi="Arial"/>
          <w:sz w:val="14"/>
          <w:szCs w:val="14"/>
          <w:color w:val="auto"/>
        </w:rPr>
        <w:t>81</w:t>
      </w:r>
    </w:p>
    <w:p>
      <w:pPr>
        <w:spacing w:after="0" w:line="86" w:lineRule="exact"/>
        <w:rPr>
          <w:sz w:val="20"/>
          <w:szCs w:val="20"/>
          <w:color w:val="auto"/>
        </w:rPr>
      </w:pPr>
    </w:p>
    <w:p>
      <w:pPr>
        <w:ind w:left="1180"/>
        <w:spacing w:after="0"/>
        <w:tabs>
          <w:tab w:leader="none" w:pos="2720" w:val="left"/>
        </w:tabs>
        <w:rPr>
          <w:sz w:val="20"/>
          <w:szCs w:val="20"/>
          <w:color w:val="auto"/>
        </w:rPr>
      </w:pPr>
      <w:r>
        <w:rPr>
          <w:rFonts w:ascii="Arial" w:cs="Arial" w:eastAsia="Arial" w:hAnsi="Arial"/>
          <w:sz w:val="14"/>
          <w:szCs w:val="14"/>
          <w:color w:val="auto"/>
        </w:rPr>
        <w:t>68</w:t>
      </w:r>
      <w:r>
        <w:rPr>
          <w:sz w:val="20"/>
          <w:szCs w:val="20"/>
          <w:color w:val="auto"/>
        </w:rPr>
        <w:tab/>
      </w:r>
      <w:r>
        <w:rPr>
          <w:rFonts w:ascii="Arial" w:cs="Arial" w:eastAsia="Arial" w:hAnsi="Arial"/>
          <w:sz w:val="14"/>
          <w:szCs w:val="14"/>
          <w:color w:val="auto"/>
        </w:rPr>
        <w:t>47</w:t>
      </w:r>
    </w:p>
    <w:p>
      <w:pPr>
        <w:spacing w:after="0" w:line="109" w:lineRule="exact"/>
        <w:rPr>
          <w:sz w:val="20"/>
          <w:szCs w:val="20"/>
          <w:color w:val="auto"/>
        </w:rPr>
      </w:pPr>
    </w:p>
    <w:p>
      <w:pPr>
        <w:ind w:left="1180"/>
        <w:spacing w:after="0"/>
        <w:tabs>
          <w:tab w:leader="none" w:pos="272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66</w:t>
      </w:r>
    </w:p>
    <w:p>
      <w:pPr>
        <w:spacing w:after="0" w:line="109" w:lineRule="exact"/>
        <w:rPr>
          <w:sz w:val="20"/>
          <w:szCs w:val="20"/>
          <w:color w:val="auto"/>
        </w:rPr>
      </w:pPr>
    </w:p>
    <w:p>
      <w:pPr>
        <w:ind w:left="1180"/>
        <w:spacing w:after="0"/>
        <w:tabs>
          <w:tab w:leader="none" w:pos="272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34</w:t>
      </w:r>
    </w:p>
    <w:p>
      <w:pPr>
        <w:spacing w:after="0" w:line="109" w:lineRule="exact"/>
        <w:rPr>
          <w:sz w:val="20"/>
          <w:szCs w:val="20"/>
          <w:color w:val="auto"/>
        </w:rPr>
      </w:pPr>
    </w:p>
    <w:p>
      <w:pPr>
        <w:ind w:left="1180"/>
        <w:spacing w:after="0"/>
        <w:tabs>
          <w:tab w:leader="none" w:pos="280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7</w:t>
      </w:r>
    </w:p>
    <w:p>
      <w:pPr>
        <w:spacing w:after="0" w:line="109" w:lineRule="exact"/>
        <w:rPr>
          <w:sz w:val="20"/>
          <w:szCs w:val="20"/>
          <w:color w:val="auto"/>
        </w:rPr>
      </w:pPr>
    </w:p>
    <w:p>
      <w:pPr>
        <w:jc w:val="both"/>
        <w:ind w:left="1100"/>
        <w:spacing w:after="0"/>
        <w:tabs>
          <w:tab w:leader="none" w:pos="2640" w:val="left"/>
        </w:tabs>
        <w:rPr>
          <w:sz w:val="20"/>
          <w:szCs w:val="20"/>
          <w:color w:val="auto"/>
        </w:rPr>
      </w:pPr>
      <w:r>
        <w:rPr>
          <w:rFonts w:ascii="Arial" w:cs="Arial" w:eastAsia="Arial" w:hAnsi="Arial"/>
          <w:sz w:val="16"/>
          <w:szCs w:val="16"/>
          <w:color w:val="auto"/>
        </w:rPr>
        <w:t>117</w:t>
      </w:r>
      <w:r>
        <w:rPr>
          <w:sz w:val="20"/>
          <w:szCs w:val="20"/>
          <w:color w:val="auto"/>
        </w:rPr>
        <w:tab/>
      </w:r>
      <w:r>
        <w:rPr>
          <w:rFonts w:ascii="Arial" w:cs="Arial" w:eastAsia="Arial" w:hAnsi="Arial"/>
          <w:sz w:val="16"/>
          <w:szCs w:val="16"/>
          <w:color w:val="auto"/>
        </w:rPr>
        <w:t>119</w:t>
      </w:r>
    </w:p>
    <w:p>
      <w:pPr>
        <w:spacing w:after="0" w:line="86" w:lineRule="exact"/>
        <w:rPr>
          <w:sz w:val="20"/>
          <w:szCs w:val="20"/>
          <w:color w:val="auto"/>
        </w:rPr>
      </w:pPr>
    </w:p>
    <w:p>
      <w:pPr>
        <w:ind w:left="1100"/>
        <w:spacing w:after="0"/>
        <w:tabs>
          <w:tab w:leader="none" w:pos="2620" w:val="left"/>
        </w:tabs>
        <w:rPr>
          <w:sz w:val="20"/>
          <w:szCs w:val="20"/>
          <w:color w:val="auto"/>
        </w:rPr>
      </w:pPr>
      <w:r>
        <w:rPr>
          <w:rFonts w:ascii="Arial" w:cs="Arial" w:eastAsia="Arial" w:hAnsi="Arial"/>
          <w:sz w:val="15"/>
          <w:szCs w:val="15"/>
          <w:color w:val="auto"/>
        </w:rPr>
        <w:t>128</w:t>
      </w:r>
      <w:r>
        <w:rPr>
          <w:sz w:val="20"/>
          <w:szCs w:val="20"/>
          <w:color w:val="auto"/>
        </w:rPr>
        <w:tab/>
      </w:r>
      <w:r>
        <w:rPr>
          <w:rFonts w:ascii="Arial" w:cs="Arial" w:eastAsia="Arial" w:hAnsi="Arial"/>
          <w:sz w:val="15"/>
          <w:szCs w:val="15"/>
          <w:color w:val="auto"/>
        </w:rPr>
        <w:t>165</w:t>
      </w:r>
    </w:p>
    <w:p>
      <w:pPr>
        <w:spacing w:after="0" w:line="98" w:lineRule="exact"/>
        <w:rPr>
          <w:sz w:val="20"/>
          <w:szCs w:val="20"/>
          <w:color w:val="auto"/>
        </w:rPr>
      </w:pPr>
    </w:p>
    <w:p>
      <w:pPr>
        <w:ind w:left="1180"/>
        <w:spacing w:after="0"/>
        <w:tabs>
          <w:tab w:leader="none" w:pos="272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47</w:t>
      </w:r>
    </w:p>
    <w:p>
      <w:pPr>
        <w:spacing w:after="0" w:line="109" w:lineRule="exact"/>
        <w:rPr>
          <w:sz w:val="20"/>
          <w:szCs w:val="20"/>
          <w:color w:val="auto"/>
        </w:rPr>
      </w:pPr>
    </w:p>
    <w:p>
      <w:pPr>
        <w:ind w:left="1180"/>
        <w:spacing w:after="0"/>
        <w:tabs>
          <w:tab w:leader="none" w:pos="272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49530</wp:posOffset>
            </wp:positionV>
            <wp:extent cx="19202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89" w:lineRule="exact"/>
        <w:rPr>
          <w:sz w:val="20"/>
          <w:szCs w:val="20"/>
          <w:color w:val="auto"/>
        </w:rPr>
      </w:pPr>
    </w:p>
    <w:p>
      <w:pPr>
        <w:spacing w:after="0"/>
        <w:tabs>
          <w:tab w:leader="none" w:pos="1080" w:val="left"/>
          <w:tab w:leader="none" w:pos="1560" w:val="left"/>
          <w:tab w:leader="none" w:pos="26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517</w:t>
        <w:tab/>
        <w:t>$</w:t>
      </w:r>
      <w:r>
        <w:rPr>
          <w:sz w:val="20"/>
          <w:szCs w:val="20"/>
          <w:color w:val="auto"/>
        </w:rPr>
        <w:tab/>
      </w:r>
      <w:r>
        <w:rPr>
          <w:rFonts w:ascii="Arial" w:cs="Arial" w:eastAsia="Arial" w:hAnsi="Arial"/>
          <w:sz w:val="15"/>
          <w:szCs w:val="15"/>
          <w:color w:val="auto"/>
        </w:rPr>
        <w:t>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34925</wp:posOffset>
            </wp:positionV>
            <wp:extent cx="192024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2024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20" w:space="720"/>
            <w:col w:w="3000"/>
          </w:cols>
          <w:pgMar w:left="320" w:top="234" w:right="339" w:bottom="1440" w:gutter="0" w:footer="0" w:header="0"/>
          <w:type w:val="continuous"/>
        </w:sect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40"/>
          </w:cols>
          <w:pgMar w:left="320" w:top="234" w:right="339" w:bottom="1440" w:gutter="0" w:footer="0" w:header="0"/>
          <w:type w:val="continuous"/>
        </w:sectPr>
      </w:pPr>
    </w:p>
    <w:bookmarkStart w:id="39" w:name="page40"/>
    <w:bookmarkEnd w:id="39"/>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Common Share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calculation of earnings per common share was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r>
      <w:tr>
        <w:trPr>
          <w:trHeight w:val="192"/>
        </w:trPr>
        <w:tc>
          <w:tcPr>
            <w:tcW w:w="8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943"/>
              <w:spacing w:after="0"/>
              <w:rPr>
                <w:sz w:val="20"/>
                <w:szCs w:val="20"/>
                <w:color w:val="auto"/>
              </w:rPr>
            </w:pPr>
            <w:r>
              <w:rPr>
                <w:rFonts w:ascii="Arial" w:cs="Arial" w:eastAsia="Arial" w:hAnsi="Arial"/>
                <w:sz w:val="14"/>
                <w:szCs w:val="14"/>
                <w:b w:val="1"/>
                <w:bCs w:val="1"/>
                <w:color w:val="auto"/>
                <w:w w:val="95"/>
              </w:rPr>
              <w:t>March 31,</w:t>
            </w:r>
          </w:p>
        </w:tc>
        <w:tc>
          <w:tcPr>
            <w:tcW w:w="1140" w:type="dxa"/>
            <w:vAlign w:val="bottom"/>
            <w:tcBorders>
              <w:bottom w:val="single" w:sz="8" w:color="auto"/>
            </w:tcBorders>
          </w:tcPr>
          <w:p>
            <w:pPr>
              <w:spacing w:after="0"/>
              <w:rPr>
                <w:sz w:val="16"/>
                <w:szCs w:val="16"/>
                <w:color w:val="auto"/>
              </w:rPr>
            </w:pPr>
          </w:p>
        </w:tc>
      </w:tr>
      <w:tr>
        <w:trPr>
          <w:trHeight w:val="264"/>
        </w:trPr>
        <w:tc>
          <w:tcPr>
            <w:tcW w:w="80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r>
      <w:tr>
        <w:trPr>
          <w:trHeight w:val="250"/>
        </w:trPr>
        <w:tc>
          <w:tcPr>
            <w:tcW w:w="8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(In millions, except share and per share data)</w:t>
            </w:r>
          </w:p>
        </w:tc>
      </w:tr>
      <w:tr>
        <w:trPr>
          <w:trHeight w:val="256"/>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4,950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(737)</w:t>
            </w: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8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104,759,339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116,805,384</w:t>
            </w:r>
          </w:p>
        </w:tc>
      </w:tr>
      <w:tr>
        <w:trPr>
          <w:trHeight w:val="237"/>
        </w:trPr>
        <w:tc>
          <w:tcPr>
            <w:tcW w:w="8000" w:type="dxa"/>
            <w:vAlign w:val="bottom"/>
          </w:tcPr>
          <w:p>
            <w:pPr>
              <w:ind w:left="180"/>
              <w:spacing w:after="0"/>
              <w:rPr>
                <w:sz w:val="20"/>
                <w:szCs w:val="20"/>
                <w:color w:val="auto"/>
              </w:rPr>
            </w:pPr>
            <w:r>
              <w:rPr>
                <w:rFonts w:ascii="Arial" w:cs="Arial" w:eastAsia="Arial" w:hAnsi="Arial"/>
                <w:sz w:val="16"/>
                <w:szCs w:val="16"/>
                <w:color w:val="auto"/>
              </w:rPr>
              <w:t>Dilutive effect of share-based awards</w:t>
            </w:r>
          </w:p>
        </w:tc>
        <w:tc>
          <w:tcPr>
            <w:tcW w:w="180" w:type="dxa"/>
            <w:vAlign w:val="bottom"/>
          </w:tcPr>
          <w:p>
            <w:pPr>
              <w:spacing w:after="0"/>
              <w:rPr>
                <w:sz w:val="20"/>
                <w:szCs w:val="20"/>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334,176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105,093,515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116,805,384</w:t>
            </w: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4"/>
        </w:trPr>
        <w:tc>
          <w:tcPr>
            <w:tcW w:w="8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90"/>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47.26</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(6.31)</w:t>
            </w:r>
          </w:p>
        </w:tc>
      </w:tr>
      <w:tr>
        <w:trPr>
          <w:trHeight w:val="237"/>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47.11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(6.31)</w:t>
            </w: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three months ended March 31, 2020, weighted average shares used for calculating diluted earnings per common share excludes 196,492 out-of-the-money stock options as the inclusion of these shares would be antidilutive to the earnings per common share calculation due to the average share price for the three months ended March 31, 2020.</w:t>
      </w:r>
    </w:p>
    <w:p>
      <w:pPr>
        <w:spacing w:after="0" w:line="7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three months ended March 31, 2019, basic loss per common share equaled diluted loss per common share. The diluted shares were not utilized in the per share calculation for this period as the inclusion of such shares would have an antidilutive effect.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 Commitments and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Litigation</w:t>
      </w:r>
    </w:p>
    <w:p>
      <w:pPr>
        <w:spacing w:after="0" w:line="117"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The Company is a defendant in a number of litigation matters. In some of the matters, large and/or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69"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80"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March 31, 2020.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234" w:right="339" w:bottom="1440" w:gutter="0" w:footer="0" w:header="0"/>
        </w:sectPr>
      </w:pPr>
    </w:p>
    <w:bookmarkStart w:id="40" w:name="page41"/>
    <w:bookmarkEnd w:id="40"/>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 Commitments and Guarantees (continued)</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 Be Made</w:t>
      </w:r>
    </w:p>
    <w:p>
      <w:pPr>
        <w:spacing w:after="0" w:line="117"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For some loss contingency matters, the Company is able to estimate a reasonably possible range of loss. For such matters where a loss is believed to be reasonably possible, but not probable, no accrual has been made. As of March 31, 2020, the Company estimates the aggregate range of reasonably possible losses in excess of amounts accrued for these matters to be $0 to $10 million.</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Cannot Be Made</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Sales Practices Claims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Group Annuity Class Action</w:t>
      </w:r>
    </w:p>
    <w:p>
      <w:pPr>
        <w:spacing w:after="0" w:line="117" w:lineRule="exact"/>
        <w:rPr>
          <w:sz w:val="20"/>
          <w:szCs w:val="20"/>
          <w:color w:val="auto"/>
        </w:rPr>
      </w:pPr>
    </w:p>
    <w:p>
      <w:pPr>
        <w:jc w:val="both"/>
        <w:ind w:left="340" w:firstLine="324"/>
        <w:spacing w:after="0" w:line="269" w:lineRule="auto"/>
        <w:rPr>
          <w:sz w:val="20"/>
          <w:szCs w:val="20"/>
          <w:color w:val="auto"/>
        </w:rPr>
      </w:pPr>
      <w:r>
        <w:rPr>
          <w:rFonts w:ascii="Arial" w:cs="Arial" w:eastAsia="Arial" w:hAnsi="Arial"/>
          <w:sz w:val="17"/>
          <w:szCs w:val="17"/>
          <w:i w:val="1"/>
          <w:iCs w:val="1"/>
          <w:color w:val="auto"/>
        </w:rPr>
        <w:t xml:space="preserve">Leroy and Geraldine Atkins v. Brighthouse Life Insurance Company, Brighthouse Financial, Inc., et al. </w:t>
      </w:r>
      <w:r>
        <w:rPr>
          <w:rFonts w:ascii="Arial" w:cs="Arial" w:eastAsia="Arial" w:hAnsi="Arial"/>
          <w:sz w:val="17"/>
          <w:szCs w:val="17"/>
          <w:color w:val="auto"/>
        </w:rPr>
        <w:t>(U.S. District Court, District of Nevada,</w:t>
      </w:r>
      <w:r>
        <w:rPr>
          <w:rFonts w:ascii="Arial" w:cs="Arial" w:eastAsia="Arial" w:hAnsi="Arial"/>
          <w:sz w:val="17"/>
          <w:szCs w:val="17"/>
          <w:i w:val="1"/>
          <w:iCs w:val="1"/>
          <w:color w:val="auto"/>
        </w:rPr>
        <w:t xml:space="preserve"> </w:t>
      </w:r>
      <w:r>
        <w:rPr>
          <w:rFonts w:ascii="Arial" w:cs="Arial" w:eastAsia="Arial" w:hAnsi="Arial"/>
          <w:sz w:val="17"/>
          <w:szCs w:val="17"/>
          <w:color w:val="auto"/>
        </w:rPr>
        <w:t>filed November 18, 2019). Plaintiffs have filed a purported class action lawsuit against Brighthouse Life Insurance Company, Brighthouse Financial, Inc., MetLife, Inc. and Metropolitan Life Insurance Company relating to the pension closeout business. Plaintiffs allege that annuity benefits were due but have not been paid. Plaintiffs also allege they were not able to obtain information as to the group annuity contract and the benefit other than what was on a benefit election form. Plaintiffs seek to represent a class of all annuitants and their designated beneficiaries who were due annuity payments pursuant to group annuity contracts purchased from defendants by sponsors of employer provided defined benefit plans. Plaintiffs allege the defendants failed to timely contact, notify and pay overdue annuity benefits and interest to retirees. The complaint alleges breach of contract, breach of the implied covenant of good faith and fair dealing (contract and tort), unjust enrichment, conversion and breach of fiduciary duty. In March 2020, Brighthouse Life Insurance Company and Brighthouse Financial, Inc. filed a joint motion to dismiss. In April 2020, the parties filed a stipulation of dismissal without prejudice.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Summary</w:t>
      </w:r>
    </w:p>
    <w:p>
      <w:pPr>
        <w:spacing w:after="0" w:line="117" w:lineRule="exact"/>
        <w:rPr>
          <w:sz w:val="20"/>
          <w:szCs w:val="20"/>
          <w:color w:val="auto"/>
        </w:rPr>
      </w:pPr>
    </w:p>
    <w:p>
      <w:pPr>
        <w:jc w:val="both"/>
        <w:ind w:left="340" w:firstLine="324"/>
        <w:spacing w:after="0" w:line="301" w:lineRule="auto"/>
        <w:rPr>
          <w:sz w:val="20"/>
          <w:szCs w:val="20"/>
          <w:color w:val="auto"/>
        </w:rPr>
      </w:pPr>
      <w:r>
        <w:rPr>
          <w:rFonts w:ascii="Arial" w:cs="Arial" w:eastAsia="Arial" w:hAnsi="Arial"/>
          <w:sz w:val="16"/>
          <w:szCs w:val="16"/>
          <w:color w:val="auto"/>
        </w:rPr>
        <w:t>Various litigation,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49" w:lineRule="exact"/>
        <w:rPr>
          <w:sz w:val="20"/>
          <w:szCs w:val="20"/>
          <w:color w:val="auto"/>
        </w:rPr>
      </w:pPr>
    </w:p>
    <w:p>
      <w:pPr>
        <w:jc w:val="both"/>
        <w:ind w:left="340" w:firstLine="324"/>
        <w:spacing w:after="0" w:line="272" w:lineRule="auto"/>
        <w:rPr>
          <w:sz w:val="20"/>
          <w:szCs w:val="20"/>
          <w:color w:val="auto"/>
        </w:rPr>
      </w:pPr>
      <w:r>
        <w:rPr>
          <w:rFonts w:ascii="Arial" w:cs="Arial" w:eastAsia="Arial" w:hAnsi="Arial"/>
          <w:sz w:val="17"/>
          <w:szCs w:val="17"/>
          <w:color w:val="auto"/>
        </w:rPr>
        <w:t>It is not possible to predict the ultimate outcome of all pending investigations and legal proceedings. In some of the matters referred to previously, large and/or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234" w:right="339" w:bottom="1440" w:gutter="0" w:footer="0" w:header="0"/>
        </w:sectPr>
      </w:pPr>
    </w:p>
    <w:bookmarkStart w:id="41" w:name="page42"/>
    <w:bookmarkEnd w:id="41"/>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Contingencies, Commitments and Guarantees (continued)</w:t>
      </w:r>
    </w:p>
    <w:p>
      <w:pPr>
        <w:spacing w:after="0" w:line="33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 Contingencies</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The Company applies the same standard of recognition for non-litigation loss contingencies when assertions are made involving contract disputes with third-party vendors or with counterparties to contractual arrangements entered into by the Company. In such cases, the Company establishes liabilities when it is probable that a loss has been incurred and the amount of the loss can be reasonably estimated. For some asserted claims, the Company is not currently able to estimate any reasonably possible loss or range of loss associated with such matters, and will be unable to do so until developments have provided sufficient information to support any such assessments. On a quarterly and annual basis, the Company reviews relevant information with respect to non-litigation contingencies and, when applicable, updates its accruals, disclosures and estimates of reasonably possible losses or ranges of loss based on such reviews.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 Commitments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Company commits to lend funds under mortgage loan commitments. The amounts of these mortgage loan commitments were $325 million and $206 million at March 31, 2020 and December 31, 2019,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Commitments to Fund Partnership Investments, Bank Credit Facilities and Private Corporate Bond Investments</w:t>
      </w:r>
    </w:p>
    <w:p>
      <w:pPr>
        <w:spacing w:after="0" w:line="117" w:lineRule="exact"/>
        <w:rPr>
          <w:sz w:val="20"/>
          <w:szCs w:val="20"/>
          <w:color w:val="auto"/>
        </w:rPr>
      </w:pPr>
    </w:p>
    <w:p>
      <w:pPr>
        <w:jc w:val="both"/>
        <w:ind w:left="180" w:right="20" w:firstLine="324"/>
        <w:spacing w:after="0" w:line="308" w:lineRule="auto"/>
        <w:rPr>
          <w:sz w:val="20"/>
          <w:szCs w:val="20"/>
          <w:color w:val="auto"/>
        </w:rPr>
      </w:pPr>
      <w:r>
        <w:rPr>
          <w:rFonts w:ascii="Arial" w:cs="Arial" w:eastAsia="Arial" w:hAnsi="Arial"/>
          <w:sz w:val="17"/>
          <w:szCs w:val="17"/>
          <w:color w:val="auto"/>
        </w:rPr>
        <w:t>The Company commits to fund partnership investments and to lend funds under bank credit facilities and private corporate bond investments. The amounts of these unfunded commitments were $1.7 billion and $1.8 billion at March 31, 2020 and December 31, 2019,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$122 million, with a cumulative maximum of $128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recorded liabilities were $1 million at both March 31, 2020 and December 31, 2019 for indemnities, guarantees and commitments.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11, 2020, the Company announced that it has temporarily suspended repurchases of its common stock while it continues to evaluate the impacts of the COVID-19 pandemic.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234" w:right="3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Index to Management’s Discussion and Analysis of Financial Condition and Results of Operations</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r>
      <w:tr>
        <w:trPr>
          <w:trHeight w:val="291"/>
        </w:trPr>
        <w:tc>
          <w:tcPr>
            <w:tcW w:w="440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Introduction</w:t>
              </w:r>
            </w:hyperlink>
          </w:p>
        </w:tc>
        <w:tc>
          <w:tcPr>
            <w:tcW w:w="6540" w:type="dxa"/>
            <w:vAlign w:val="bottom"/>
            <w:gridSpan w:val="2"/>
          </w:tcPr>
          <w:p>
            <w:pPr>
              <w:jc w:val="center"/>
              <w:ind w:left="6070"/>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43</w:t>
              </w:r>
            </w:hyperlink>
          </w:p>
        </w:tc>
      </w:tr>
      <w:tr>
        <w:trPr>
          <w:trHeight w:val="270"/>
        </w:trPr>
        <w:tc>
          <w:tcPr>
            <w:tcW w:w="440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Executive Summary</w:t>
              </w:r>
            </w:hyperlink>
          </w:p>
        </w:tc>
        <w:tc>
          <w:tcPr>
            <w:tcW w:w="6540" w:type="dxa"/>
            <w:vAlign w:val="bottom"/>
            <w:gridSpan w:val="2"/>
          </w:tcPr>
          <w:p>
            <w:pPr>
              <w:jc w:val="center"/>
              <w:ind w:left="6070"/>
              <w:spacing w:after="0"/>
              <w:rPr>
                <w:rFonts w:ascii="Arial" w:cs="Arial" w:eastAsia="Arial" w:hAnsi="Arial"/>
                <w:sz w:val="18"/>
                <w:szCs w:val="18"/>
                <w:u w:val="single" w:color="auto"/>
                <w:color w:val="0000EE"/>
                <w:w w:val="89"/>
              </w:rPr>
            </w:pPr>
            <w:hyperlink w:anchor="page44">
              <w:r>
                <w:rPr>
                  <w:rFonts w:ascii="Arial" w:cs="Arial" w:eastAsia="Arial" w:hAnsi="Arial"/>
                  <w:sz w:val="18"/>
                  <w:szCs w:val="18"/>
                  <w:u w:val="single" w:color="auto"/>
                  <w:color w:val="0000EE"/>
                  <w:w w:val="89"/>
                </w:rPr>
                <w:t>43</w:t>
              </w:r>
            </w:hyperlink>
          </w:p>
        </w:tc>
      </w:tr>
      <w:tr>
        <w:trPr>
          <w:trHeight w:val="270"/>
        </w:trPr>
        <w:tc>
          <w:tcPr>
            <w:tcW w:w="440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Industry Trends</w:t>
              </w:r>
            </w:hyperlink>
          </w:p>
        </w:tc>
        <w:tc>
          <w:tcPr>
            <w:tcW w:w="6540" w:type="dxa"/>
            <w:vAlign w:val="bottom"/>
            <w:gridSpan w:val="2"/>
          </w:tcPr>
          <w:p>
            <w:pPr>
              <w:jc w:val="center"/>
              <w:ind w:left="6070"/>
              <w:spacing w:after="0"/>
              <w:rPr>
                <w:rFonts w:ascii="Arial" w:cs="Arial" w:eastAsia="Arial" w:hAnsi="Arial"/>
                <w:sz w:val="18"/>
                <w:szCs w:val="18"/>
                <w:u w:val="single" w:color="auto"/>
                <w:color w:val="0000EE"/>
                <w:w w:val="89"/>
              </w:rPr>
            </w:pPr>
            <w:hyperlink w:anchor="page45">
              <w:r>
                <w:rPr>
                  <w:rFonts w:ascii="Arial" w:cs="Arial" w:eastAsia="Arial" w:hAnsi="Arial"/>
                  <w:sz w:val="18"/>
                  <w:szCs w:val="18"/>
                  <w:u w:val="single" w:color="auto"/>
                  <w:color w:val="0000EE"/>
                  <w:w w:val="89"/>
                </w:rPr>
                <w:t>44</w:t>
              </w:r>
            </w:hyperlink>
          </w:p>
        </w:tc>
      </w:tr>
      <w:tr>
        <w:trPr>
          <w:trHeight w:val="270"/>
        </w:trPr>
        <w:tc>
          <w:tcPr>
            <w:tcW w:w="440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Summary of Critical Accounting Estimates</w:t>
              </w:r>
            </w:hyperlink>
          </w:p>
        </w:tc>
        <w:tc>
          <w:tcPr>
            <w:tcW w:w="6540" w:type="dxa"/>
            <w:vAlign w:val="bottom"/>
            <w:gridSpan w:val="2"/>
          </w:tcPr>
          <w:p>
            <w:pPr>
              <w:jc w:val="center"/>
              <w:ind w:left="6070"/>
              <w:spacing w:after="0"/>
              <w:rPr>
                <w:rFonts w:ascii="Arial" w:cs="Arial" w:eastAsia="Arial" w:hAnsi="Arial"/>
                <w:sz w:val="18"/>
                <w:szCs w:val="18"/>
                <w:u w:val="single" w:color="auto"/>
                <w:color w:val="0000EE"/>
                <w:w w:val="89"/>
              </w:rPr>
            </w:pPr>
            <w:hyperlink w:anchor="page47">
              <w:r>
                <w:rPr>
                  <w:rFonts w:ascii="Arial" w:cs="Arial" w:eastAsia="Arial" w:hAnsi="Arial"/>
                  <w:sz w:val="18"/>
                  <w:szCs w:val="18"/>
                  <w:u w:val="single" w:color="auto"/>
                  <w:color w:val="0000EE"/>
                  <w:w w:val="89"/>
                </w:rPr>
                <w:t>46</w:t>
              </w:r>
            </w:hyperlink>
          </w:p>
        </w:tc>
      </w:tr>
      <w:tr>
        <w:trPr>
          <w:trHeight w:val="270"/>
        </w:trPr>
        <w:tc>
          <w:tcPr>
            <w:tcW w:w="440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Non-GAAP and Other Financial Disclosures</w:t>
              </w:r>
            </w:hyperlink>
          </w:p>
        </w:tc>
        <w:tc>
          <w:tcPr>
            <w:tcW w:w="6540" w:type="dxa"/>
            <w:vAlign w:val="bottom"/>
            <w:gridSpan w:val="2"/>
          </w:tcPr>
          <w:p>
            <w:pPr>
              <w:jc w:val="center"/>
              <w:ind w:left="6070"/>
              <w:spacing w:after="0"/>
              <w:rPr>
                <w:rFonts w:ascii="Arial" w:cs="Arial" w:eastAsia="Arial" w:hAnsi="Arial"/>
                <w:sz w:val="18"/>
                <w:szCs w:val="18"/>
                <w:u w:val="single" w:color="auto"/>
                <w:color w:val="0000EE"/>
                <w:w w:val="89"/>
              </w:rPr>
            </w:pPr>
            <w:hyperlink w:anchor="page47">
              <w:r>
                <w:rPr>
                  <w:rFonts w:ascii="Arial" w:cs="Arial" w:eastAsia="Arial" w:hAnsi="Arial"/>
                  <w:sz w:val="18"/>
                  <w:szCs w:val="18"/>
                  <w:u w:val="single" w:color="auto"/>
                  <w:color w:val="0000EE"/>
                  <w:w w:val="89"/>
                </w:rPr>
                <w:t>46</w:t>
              </w:r>
            </w:hyperlink>
          </w:p>
        </w:tc>
      </w:tr>
      <w:tr>
        <w:trPr>
          <w:trHeight w:val="270"/>
        </w:trPr>
        <w:tc>
          <w:tcPr>
            <w:tcW w:w="440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Results of Operations</w:t>
              </w:r>
            </w:hyperlink>
          </w:p>
        </w:tc>
        <w:tc>
          <w:tcPr>
            <w:tcW w:w="6540" w:type="dxa"/>
            <w:vAlign w:val="bottom"/>
            <w:gridSpan w:val="2"/>
          </w:tcPr>
          <w:p>
            <w:pPr>
              <w:jc w:val="center"/>
              <w:ind w:left="6070"/>
              <w:spacing w:after="0"/>
              <w:rPr>
                <w:rFonts w:ascii="Arial" w:cs="Arial" w:eastAsia="Arial" w:hAnsi="Arial"/>
                <w:sz w:val="18"/>
                <w:szCs w:val="18"/>
                <w:u w:val="single" w:color="auto"/>
                <w:color w:val="0000EE"/>
                <w:w w:val="89"/>
              </w:rPr>
            </w:pPr>
            <w:hyperlink w:anchor="page49">
              <w:r>
                <w:rPr>
                  <w:rFonts w:ascii="Arial" w:cs="Arial" w:eastAsia="Arial" w:hAnsi="Arial"/>
                  <w:sz w:val="18"/>
                  <w:szCs w:val="18"/>
                  <w:u w:val="single" w:color="auto"/>
                  <w:color w:val="0000EE"/>
                  <w:w w:val="89"/>
                </w:rPr>
                <w:t>48</w:t>
              </w:r>
            </w:hyperlink>
          </w:p>
        </w:tc>
      </w:tr>
      <w:tr>
        <w:trPr>
          <w:trHeight w:val="270"/>
        </w:trPr>
        <w:tc>
          <w:tcPr>
            <w:tcW w:w="440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Investments</w:t>
              </w:r>
            </w:hyperlink>
          </w:p>
        </w:tc>
        <w:tc>
          <w:tcPr>
            <w:tcW w:w="6540" w:type="dxa"/>
            <w:vAlign w:val="bottom"/>
            <w:gridSpan w:val="2"/>
          </w:tcPr>
          <w:p>
            <w:pPr>
              <w:jc w:val="center"/>
              <w:ind w:left="6070"/>
              <w:spacing w:after="0"/>
              <w:rPr>
                <w:rFonts w:ascii="Arial" w:cs="Arial" w:eastAsia="Arial" w:hAnsi="Arial"/>
                <w:sz w:val="18"/>
                <w:szCs w:val="18"/>
                <w:u w:val="single" w:color="auto"/>
                <w:color w:val="0000EE"/>
                <w:w w:val="89"/>
              </w:rPr>
            </w:pPr>
            <w:hyperlink w:anchor="page57">
              <w:r>
                <w:rPr>
                  <w:rFonts w:ascii="Arial" w:cs="Arial" w:eastAsia="Arial" w:hAnsi="Arial"/>
                  <w:sz w:val="18"/>
                  <w:szCs w:val="18"/>
                  <w:u w:val="single" w:color="auto"/>
                  <w:color w:val="0000EE"/>
                  <w:w w:val="89"/>
                </w:rPr>
                <w:t>56</w:t>
              </w:r>
            </w:hyperlink>
          </w:p>
        </w:tc>
      </w:tr>
      <w:tr>
        <w:trPr>
          <w:trHeight w:val="270"/>
        </w:trPr>
        <w:tc>
          <w:tcPr>
            <w:tcW w:w="440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Derivatives</w:t>
              </w:r>
            </w:hyperlink>
          </w:p>
        </w:tc>
        <w:tc>
          <w:tcPr>
            <w:tcW w:w="6540" w:type="dxa"/>
            <w:vAlign w:val="bottom"/>
            <w:gridSpan w:val="2"/>
          </w:tcPr>
          <w:p>
            <w:pPr>
              <w:jc w:val="center"/>
              <w:ind w:left="6070"/>
              <w:spacing w:after="0"/>
              <w:rPr>
                <w:rFonts w:ascii="Arial" w:cs="Arial" w:eastAsia="Arial" w:hAnsi="Arial"/>
                <w:sz w:val="18"/>
                <w:szCs w:val="18"/>
                <w:u w:val="single" w:color="auto"/>
                <w:color w:val="0000EE"/>
                <w:w w:val="89"/>
              </w:rPr>
            </w:pPr>
            <w:hyperlink w:anchor="page67">
              <w:r>
                <w:rPr>
                  <w:rFonts w:ascii="Arial" w:cs="Arial" w:eastAsia="Arial" w:hAnsi="Arial"/>
                  <w:sz w:val="18"/>
                  <w:szCs w:val="18"/>
                  <w:u w:val="single" w:color="auto"/>
                  <w:color w:val="0000EE"/>
                  <w:w w:val="89"/>
                </w:rPr>
                <w:t>66</w:t>
              </w:r>
            </w:hyperlink>
          </w:p>
        </w:tc>
      </w:tr>
      <w:tr>
        <w:trPr>
          <w:trHeight w:val="270"/>
        </w:trPr>
        <w:tc>
          <w:tcPr>
            <w:tcW w:w="440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Off-Balance Sheet Arrangements</w:t>
              </w:r>
            </w:hyperlink>
          </w:p>
        </w:tc>
        <w:tc>
          <w:tcPr>
            <w:tcW w:w="6540" w:type="dxa"/>
            <w:vAlign w:val="bottom"/>
            <w:gridSpan w:val="2"/>
          </w:tcPr>
          <w:p>
            <w:pPr>
              <w:jc w:val="center"/>
              <w:ind w:left="6070"/>
              <w:spacing w:after="0"/>
              <w:rPr>
                <w:rFonts w:ascii="Arial" w:cs="Arial" w:eastAsia="Arial" w:hAnsi="Arial"/>
                <w:sz w:val="18"/>
                <w:szCs w:val="18"/>
                <w:u w:val="single" w:color="auto"/>
                <w:color w:val="0000EE"/>
                <w:w w:val="89"/>
              </w:rPr>
            </w:pPr>
            <w:hyperlink w:anchor="page68">
              <w:r>
                <w:rPr>
                  <w:rFonts w:ascii="Arial" w:cs="Arial" w:eastAsia="Arial" w:hAnsi="Arial"/>
                  <w:sz w:val="18"/>
                  <w:szCs w:val="18"/>
                  <w:u w:val="single" w:color="auto"/>
                  <w:color w:val="0000EE"/>
                  <w:w w:val="89"/>
                </w:rPr>
                <w:t>67</w:t>
              </w:r>
            </w:hyperlink>
          </w:p>
        </w:tc>
      </w:tr>
      <w:tr>
        <w:trPr>
          <w:trHeight w:val="270"/>
        </w:trPr>
        <w:tc>
          <w:tcPr>
            <w:tcW w:w="440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Policyholder Liabilities</w:t>
              </w:r>
            </w:hyperlink>
          </w:p>
        </w:tc>
        <w:tc>
          <w:tcPr>
            <w:tcW w:w="6540" w:type="dxa"/>
            <w:vAlign w:val="bottom"/>
            <w:gridSpan w:val="2"/>
          </w:tcPr>
          <w:p>
            <w:pPr>
              <w:jc w:val="center"/>
              <w:ind w:left="6070"/>
              <w:spacing w:after="0"/>
              <w:rPr>
                <w:rFonts w:ascii="Arial" w:cs="Arial" w:eastAsia="Arial" w:hAnsi="Arial"/>
                <w:sz w:val="18"/>
                <w:szCs w:val="18"/>
                <w:u w:val="single" w:color="auto"/>
                <w:color w:val="0000EE"/>
                <w:w w:val="89"/>
              </w:rPr>
            </w:pPr>
            <w:hyperlink w:anchor="page68">
              <w:r>
                <w:rPr>
                  <w:rFonts w:ascii="Arial" w:cs="Arial" w:eastAsia="Arial" w:hAnsi="Arial"/>
                  <w:sz w:val="18"/>
                  <w:szCs w:val="18"/>
                  <w:u w:val="single" w:color="auto"/>
                  <w:color w:val="0000EE"/>
                  <w:w w:val="89"/>
                </w:rPr>
                <w:t>67</w:t>
              </w:r>
            </w:hyperlink>
          </w:p>
        </w:tc>
      </w:tr>
      <w:tr>
        <w:trPr>
          <w:trHeight w:val="270"/>
        </w:trPr>
        <w:tc>
          <w:tcPr>
            <w:tcW w:w="440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Liquidity and Capital Resources</w:t>
              </w:r>
            </w:hyperlink>
          </w:p>
        </w:tc>
        <w:tc>
          <w:tcPr>
            <w:tcW w:w="6540" w:type="dxa"/>
            <w:vAlign w:val="bottom"/>
            <w:gridSpan w:val="2"/>
          </w:tcPr>
          <w:p>
            <w:pPr>
              <w:jc w:val="center"/>
              <w:ind w:left="6070"/>
              <w:spacing w:after="0"/>
              <w:rPr>
                <w:rFonts w:ascii="Arial" w:cs="Arial" w:eastAsia="Arial" w:hAnsi="Arial"/>
                <w:sz w:val="18"/>
                <w:szCs w:val="18"/>
                <w:u w:val="single" w:color="auto"/>
                <w:color w:val="0000EE"/>
                <w:w w:val="89"/>
              </w:rPr>
            </w:pPr>
            <w:hyperlink w:anchor="page72">
              <w:r>
                <w:rPr>
                  <w:rFonts w:ascii="Arial" w:cs="Arial" w:eastAsia="Arial" w:hAnsi="Arial"/>
                  <w:sz w:val="18"/>
                  <w:szCs w:val="18"/>
                  <w:u w:val="single" w:color="auto"/>
                  <w:color w:val="0000EE"/>
                  <w:w w:val="89"/>
                </w:rPr>
                <w:t>71</w:t>
              </w:r>
            </w:hyperlink>
          </w:p>
        </w:tc>
      </w:tr>
      <w:tr>
        <w:trPr>
          <w:trHeight w:val="270"/>
        </w:trPr>
        <w:tc>
          <w:tcPr>
            <w:tcW w:w="440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Note Regarding Forward-Looking Statements</w:t>
              </w:r>
            </w:hyperlink>
          </w:p>
        </w:tc>
        <w:tc>
          <w:tcPr>
            <w:tcW w:w="6540" w:type="dxa"/>
            <w:vAlign w:val="bottom"/>
            <w:gridSpan w:val="2"/>
          </w:tcPr>
          <w:p>
            <w:pPr>
              <w:jc w:val="center"/>
              <w:ind w:left="6070"/>
              <w:spacing w:after="0"/>
              <w:rPr>
                <w:rFonts w:ascii="Arial" w:cs="Arial" w:eastAsia="Arial" w:hAnsi="Arial"/>
                <w:sz w:val="18"/>
                <w:szCs w:val="18"/>
                <w:u w:val="single" w:color="auto"/>
                <w:color w:val="0000EE"/>
                <w:w w:val="89"/>
              </w:rPr>
            </w:pPr>
            <w:hyperlink w:anchor="page80">
              <w:r>
                <w:rPr>
                  <w:rFonts w:ascii="Arial" w:cs="Arial" w:eastAsia="Arial" w:hAnsi="Arial"/>
                  <w:sz w:val="18"/>
                  <w:szCs w:val="18"/>
                  <w:u w:val="single" w:color="auto"/>
                  <w:color w:val="0000EE"/>
                  <w:w w:val="89"/>
                </w:rPr>
                <w:t>79</w:t>
              </w:r>
            </w:hyperlink>
          </w:p>
        </w:tc>
      </w:tr>
      <w:tr>
        <w:trPr>
          <w:trHeight w:val="459"/>
        </w:trPr>
        <w:tc>
          <w:tcPr>
            <w:tcW w:w="4400" w:type="dxa"/>
            <w:vAlign w:val="bottom"/>
          </w:tcPr>
          <w:p>
            <w:pPr>
              <w:spacing w:after="0"/>
              <w:rPr>
                <w:sz w:val="24"/>
                <w:szCs w:val="24"/>
                <w:color w:val="auto"/>
              </w:rPr>
            </w:pPr>
          </w:p>
        </w:tc>
        <w:tc>
          <w:tcPr>
            <w:tcW w:w="6160" w:type="dxa"/>
            <w:vAlign w:val="bottom"/>
          </w:tcPr>
          <w:p>
            <w:pPr>
              <w:jc w:val="right"/>
              <w:ind w:right="4790"/>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r>
    </w:tbl>
    <w:p>
      <w:pPr>
        <w:sectPr>
          <w:pgSz w:w="11900" w:h="16838" w:orient="portrait"/>
          <w:cols w:equalWidth="0" w:num="1">
            <w:col w:w="10980"/>
          </w:cols>
          <w:pgMar w:left="320" w:top="126" w:right="59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purposes of this discussion, unless otherwise mentioned or unless the context indicates otherwise, “Brighthouse,” “Brighthouse Financial,” the “Company,” “we,” “our” and “us” refer to Brighthouse Financial, Inc. a corporation incorporated in Delaware in 2016, and its subsidiaries. We use the term “BHF” to refer solely to Brighthouse Financial, Inc., and not to any of its subsidiaries. Until August 4, 2017, BHF was a wholly-owned subsidiary of MetLife, Inc. (together with its subsidiaries and affiliates, “MetLife”). Following this summary is a discussion addressing the consolidated results of operations and financial condition of the Company for the periods indicated.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2019, filed with the U.S. Securities and Exchange Commission (“SEC”) on February 26, 2020 (the “2019 Annual Report”); and (iii) our current reports on Form 8-K filed in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Prior to discussing our Results of Operations, we present background information and definitions that we believe are useful to understanding the discussion of our financial results. This information precedes the Results of Operations and is most beneficial when read in the sequence presented. A summary of key informational sections is as follows:</w:t>
      </w:r>
    </w:p>
    <w:p>
      <w:pPr>
        <w:spacing w:after="0" w:line="7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 Summary” provides information regarding our business, segments and results as discussed in the Results of Operations.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“Industry Trends” discusses updates and changes to a number of trends and uncertainties included in the 2019 Annual Report that we believe may materially affect our future financial condition, results of operations or cash flows, including from the worldwide pandemic sparked by the novel coronavirus (the “COVID-19 pandemic”).</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“Summary of Critical Accounting Estimates” explains the most critical estimates and judgments applied in determining our GAAP results.</w:t>
      </w:r>
    </w:p>
    <w:p>
      <w:pPr>
        <w:spacing w:after="0" w:line="128"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“Non-GAAP and Other Financial Disclosures” defines key financial measures presented in the Results of Operations that are not calculated in accordance with accounting principles generally accepted in the United States of America (“GAAP”) but are used by management in evaluating company and segment performance. As described in this section, adjusted earnings is presented by key business activities which are derived from, but different than, the line items presented in the GAAP statement of operations. This section also refers to certain other terms used to describe our insurance business and financial and operating metrics, but is not intended to be exhaustive.</w:t>
      </w:r>
    </w:p>
    <w:p>
      <w:pPr>
        <w:spacing w:after="0" w:line="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amounts presented in prior periods within the foregoing discussions of our financial results have been reclassified to conform with the current year presentation.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one of the largest providers of annuity and life insurance products in the United States through multiple independent distribution channels and marketing arrangements with a diverse network of distribution partners.</w:t>
      </w:r>
    </w:p>
    <w:p>
      <w:pPr>
        <w:spacing w:after="0" w:line="6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operating purposes, we have established three segments: (i) Annuities, (ii) Life and (iii) Run-off, which consists of operations relating to products we are not actively selling and which are separately managed. In addition, we report certain of our results of operations in Corporate &amp; Other.</w:t>
      </w:r>
    </w:p>
    <w:p>
      <w:pPr>
        <w:spacing w:after="0" w:line="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is intended to help the reader understand the results of operations, financial condition and cash flows of Brighthouse for the periods indicated. See “Management’s Discussion and Analysis of Financial Condition and Results of Operations — Executive Summary — Overview,” and “Business — Segments and Corporate &amp; Other” included in the 2019 Annual Report along with Note 2 of the Notes to the Interim Condensed Consolidated Financial Statements for further information on our segments and Corporate &amp; Other.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6" w:right="3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(loss) available to shareholders and adjusted earnings, a non-GAAP financial measure,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84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2"/>
        </w:trPr>
        <w:tc>
          <w:tcPr>
            <w:tcW w:w="70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63"/>
        </w:trPr>
        <w:tc>
          <w:tcPr>
            <w:tcW w:w="704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Change</w:t>
            </w:r>
          </w:p>
        </w:tc>
      </w:tr>
      <w:tr>
        <w:trPr>
          <w:trHeight w:val="250"/>
        </w:trPr>
        <w:tc>
          <w:tcPr>
            <w:tcW w:w="7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78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6,243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7,198</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78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w w:val="89"/>
              </w:rPr>
              <w:t>1,293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1,511</w:t>
            </w:r>
          </w:p>
        </w:tc>
      </w:tr>
      <w:tr>
        <w:trPr>
          <w:trHeight w:val="33"/>
        </w:trPr>
        <w:tc>
          <w:tcPr>
            <w:tcW w:w="70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78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4,950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5,687</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0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20"/>
        </w:trPr>
        <w:tc>
          <w:tcPr>
            <w:tcW w:w="70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Pre-tax adjusted earnings, less net income (loss) attributable to noncontrolling interests and preferred</w:t>
            </w:r>
          </w:p>
        </w:tc>
        <w:tc>
          <w:tcPr>
            <w:tcW w:w="7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7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stock dividends</w:t>
            </w:r>
          </w:p>
        </w:tc>
        <w:tc>
          <w:tcPr>
            <w:tcW w:w="78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(28)</w:t>
            </w:r>
          </w:p>
        </w:tc>
      </w:tr>
      <w:tr>
        <w:trPr>
          <w:trHeight w:val="237"/>
        </w:trPr>
        <w:tc>
          <w:tcPr>
            <w:tcW w:w="7040" w:type="dxa"/>
            <w:vAlign w:val="bottom"/>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78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(7)</w:t>
            </w:r>
          </w:p>
        </w:tc>
      </w:tr>
      <w:tr>
        <w:trPr>
          <w:trHeight w:val="33"/>
        </w:trPr>
        <w:tc>
          <w:tcPr>
            <w:tcW w:w="70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earnings</w:t>
            </w:r>
          </w:p>
        </w:tc>
        <w:tc>
          <w:tcPr>
            <w:tcW w:w="780" w:type="dxa"/>
            <w:vAlign w:val="bottom"/>
            <w:tcBorders>
              <w:bottom w:val="single" w:sz="8" w:color="CCEEFF"/>
            </w:tcBorders>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 the three months ended March 31, 2020, we had net income available to shareholders of $5.0 billion and adjusted earnings of $211 million, compared to a net loss available to shareholders of $737 million and adjusted earnings of $232 million, for the three months ended March 31, 2019. Net income for the three months ended March 31, 2020 primarily reflects net favorable changes in the estimated fair value of our derivatives due to market factors. Lower long-term interest rates and lower equity markets resulted in favorable changes to the freestanding derivatives that hedge our variable annuity business, which more than exceeded the unfavorable impact to the embedded derivative liabilities. In addition, the widening of credit spreads resulted in a favorable adjustment for non-performance risk related to the variable annuity embedded derivative liabilities. Lower equity markets favorably impacted the estimated fair value of Shield Level Annuity (“Shield” and “Shield Annuities”), a suite of structured annuities consisting of products marketed under various names, embedded derivative liabilities (“Shield Annuity liabilities”). Lower long-term interest rates also resulted in favorable changes in the estimated fair value of the freestanding interest-rate derivatives that hedge our universal life with secondary guarantees (“ULSG”) business.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Non-GAAP and Other Financial Disclosures.” For a detailed discussion of our results see “— Results of Operations.”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 of the Notes to the Interim Condensed Consolidated Financial Statements for information regarding the adoption of new accounting pronouncements in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the 2019 Annual Report for a comprehensive discussion of some of the key general trends and uncertainties that have influenced the development of our business and our historical financial performance and that we believe will continue to influence our business and results of operations in the future. In addition, significant changes or updates in certain of these trends and uncertainties are discussed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closely monitoring developments related to the COVID-19 pandemic, which has already negatively impacted us, including as discussed below. At this time, it is not possible to estimate the severity or duration of the pandemic, including the severity, duration and frequency of any additional “waves” of the pandemic or the timetable for the development and implementation, and the efficacy, of any therapeutic treatment or vaccine for COVID-19. It is likewise not possible to predict or estimate the longer-term effects of the pandemic, or any actions taken to contain or address the pandemic, on the economy at large and on our business, results of operations, financial condition and prospects, including the impact on our investment portfolio and our ratings, or the need for us in the future to revisit or revise targets previously provided to the markets and/or aspects of our business model. See also “Risk Factors — The ongoing COVID-19 pandemic may materially adversely affect our business, results of operations and financial condition, including capitalization and liquidity.”</w:t>
      </w:r>
    </w:p>
    <w:p>
      <w:pPr>
        <w:spacing w:after="0" w:line="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in response to this extraordinary event, management promptly implemented our business continuity plans, and quickly and successfully shifted all our employees to a work-from-home environment. Our sales and support teams remain fully operational, and we have continued to serve our distribution partners and customers without interruption. Additionally, we are closely monitoring all aspects of our business, including but not limited to, levels of sales and claims activity, policy lapses or surrenders, payments of premiums, sources and uses of liquidity, the valuation of our investments and the performance of our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6" w:right="3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derivatives programs. We have observed varying degrees of impact in these areas, and have taken prudent and proportionate measures to address such impacts; however, at this time it is impossible to predict if the COVID-19 pandemic will have a material adverse impact on our business, results of operations or financial condition. We continue to closely monitor this evolving situation as we remain focused on ensuring the health and safety of our employees, on supporting our partners and customers as usual and on mitigating potential adverse impacts to our business.</w:t>
      </w:r>
    </w:p>
    <w:p>
      <w:pPr>
        <w:spacing w:after="0" w:line="6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Increased economic uncertainty and increased unemployment resulting from the economic impacts of the COVID-19 pandemic have also impacted sales of certain of our products and have prompted us to take actions to provide relief to customers affected by adverse circumstances due to the COVID-19 pandemic, as further described in “— Regulatory Developments.” While the relief granted to customers to date has not had a material impact on our financial condition or results of operations, it is not possible to estimate the potential impact of any future relief. Circumstances resulting from the COVID-19 pandemic may affect the incidence of claims, utilization of benefits, lapses or surrenders of policies and payments on insurance premiums, any of which could impact future revenues and expenses associated with our products.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investment portfolio (and, specifically, the valuations of certain investment assets we hold) has been, and we expect will continue to be, adversely affected as a result of the impact of the COVID-19 pandemic on capital markets and the global economy, as well as uncertainty regarding its duration and outcome. See “— Investments — Current Environment — Selected Sector Investments” and Note 4 of the Notes to the Interim Condensed Consolidated Financial Statements.</w:t>
      </w:r>
    </w:p>
    <w:p>
      <w:pPr>
        <w:spacing w:after="0" w:line="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Credit rating agencies may continue to review and adjust their ratings for the companies that they rate, including us. The credit rating agencies also evaluate the insurance industry as a whole and may change our credit rating based on their overall view of our industry. For example, Fitch recently revised the rating outlook for BHF and certain of its subsidiaries to negative from stable due to the disruption to economic activity and the financial markets from the COVID-19 pandemic. This action by Fitch followed its revision of the rating outlook on the U.S. life insurance industry to negative. Downgrades in our ratings or changes to our rating outlooks could have a material adverse effect on our results of operations and financial condition, including capitalization and liquidity. There can be no assurance that Fitch will not take further adverse action with respect to our ratings or that other rating agencies will not take similar actions in the future. Each rating should be evaluated independently of any other rating.</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life insurance companies are regulated primarily at the state level, with some products and services also subject to federal regulation. In addition, BHF and its subsidiaries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2019 Annual Report, as amended or supplemented herein.</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State Insurance Regulatory Actions Related to the COVID-19 Pandemic</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As U.S. states have declared states of emergency, many state insurance regulators have mandated or recommended that insurers implement policies to provide relief to consumers who have been adversely impacted by the COVID-19 pandemic. As a result, we have taken actions to provide relief to our life insurance policyholders, annuitants and other contract holders who have claimed hardship as a result of the COVID-19 pandemic. Such relief may include extending the grace period for payment of insurance premiums, offering additional time to exercise contractual rights or options or extending maturity dates on annuities.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6" w:right="3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adopt accounting policies and make estimates and assumptions that affect amounts reported on the Interim Condensed Consolidated Financial Statements.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most critical estimates include those used in determining:</w:t>
      </w:r>
    </w:p>
    <w:p>
      <w:pPr>
        <w:spacing w:after="0" w:line="171" w:lineRule="exact"/>
        <w:rPr>
          <w:sz w:val="20"/>
          <w:szCs w:val="20"/>
          <w:color w:val="auto"/>
        </w:rPr>
      </w:pPr>
    </w:p>
    <w:p>
      <w:pPr>
        <w:ind w:left="660" w:hanging="490"/>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liabilities for future policy benefits;</w:t>
      </w:r>
    </w:p>
    <w:p>
      <w:pPr>
        <w:spacing w:after="0" w:line="171" w:lineRule="exact"/>
        <w:rPr>
          <w:rFonts w:ascii="Arial" w:cs="Arial" w:eastAsia="Arial" w:hAnsi="Arial"/>
          <w:sz w:val="18"/>
          <w:szCs w:val="18"/>
          <w:color w:val="auto"/>
        </w:rPr>
      </w:pPr>
    </w:p>
    <w:p>
      <w:pPr>
        <w:ind w:left="660" w:hanging="490"/>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amortization of deferred policy acquisition costs (“DAC”);</w:t>
      </w:r>
    </w:p>
    <w:p>
      <w:pPr>
        <w:spacing w:after="0" w:line="171" w:lineRule="exact"/>
        <w:rPr>
          <w:rFonts w:ascii="Arial" w:cs="Arial" w:eastAsia="Arial" w:hAnsi="Arial"/>
          <w:sz w:val="18"/>
          <w:szCs w:val="18"/>
          <w:color w:val="auto"/>
        </w:rPr>
      </w:pPr>
    </w:p>
    <w:p>
      <w:pPr>
        <w:ind w:left="660" w:hanging="490"/>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 credit losses;</w:t>
      </w:r>
    </w:p>
    <w:p>
      <w:pPr>
        <w:spacing w:after="0" w:line="171" w:lineRule="exact"/>
        <w:rPr>
          <w:rFonts w:ascii="Arial" w:cs="Arial" w:eastAsia="Arial" w:hAnsi="Arial"/>
          <w:sz w:val="18"/>
          <w:szCs w:val="18"/>
          <w:color w:val="auto"/>
        </w:rPr>
      </w:pPr>
    </w:p>
    <w:p>
      <w:pPr>
        <w:ind w:left="660" w:hanging="490"/>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estimated fair values of freestanding derivatives and the recognition and estimated fair value of embedded derivatives requiring bifurcation; and</w:t>
      </w:r>
    </w:p>
    <w:p>
      <w:pPr>
        <w:spacing w:after="0" w:line="194" w:lineRule="exact"/>
        <w:rPr>
          <w:rFonts w:ascii="Arial" w:cs="Arial" w:eastAsia="Arial" w:hAnsi="Arial"/>
          <w:sz w:val="16"/>
          <w:szCs w:val="16"/>
          <w:color w:val="auto"/>
        </w:rPr>
      </w:pPr>
    </w:p>
    <w:p>
      <w:pPr>
        <w:ind w:left="660" w:hanging="490"/>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measurement of income taxes and the valuation of deferred tax assets.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3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above critical accounting estimates are described in “Management’s Discussion and Analysis of Financial Condition and Results of Operations — Summary of Critical Accounting Estimates” and Note 1 of the Notes to the Consolidated Financial Statements included in the 2019 Annual Report.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and Other Financial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definitions of the non-GAAP and other financial measures may differ from those used by other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Disclosures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Adjusted Earnings</w:t>
      </w:r>
    </w:p>
    <w:p>
      <w:pPr>
        <w:spacing w:after="0" w:line="117" w:lineRule="exact"/>
        <w:rPr>
          <w:sz w:val="20"/>
          <w:szCs w:val="20"/>
          <w:color w:val="auto"/>
        </w:rPr>
      </w:pPr>
    </w:p>
    <w:p>
      <w:pPr>
        <w:jc w:val="both"/>
        <w:ind w:left="180" w:firstLine="324"/>
        <w:spacing w:after="0" w:line="293" w:lineRule="auto"/>
        <w:rPr>
          <w:sz w:val="20"/>
          <w:szCs w:val="20"/>
          <w:color w:val="auto"/>
        </w:rPr>
      </w:pPr>
      <w:r>
        <w:rPr>
          <w:rFonts w:ascii="Arial" w:cs="Arial" w:eastAsia="Arial" w:hAnsi="Arial"/>
          <w:sz w:val="16"/>
          <w:szCs w:val="16"/>
          <w:color w:val="auto"/>
        </w:rPr>
        <w:t>In this report, we present adjusted earnings, which excludes net income (loss) attributable to noncontrolling interests and preferred stock dividends, as a measure of our performance that is not calculated in accordance with GAAP. We believe that this non-GAAP financial measure highlights our results of operations and the underlying profitability drivers of our business, as well as enhances the understanding of our performance by the investor community. However,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56"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Adjusted earnings, which may be positive or negative, is used by management to evaluate performance, allocate resources and facilitate comparisons to industry results. This financial measure focuses on our primary businesses principally by excluding the impact of market volatility, which could distort trends.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significant items excluded from total revenues, net of income tax, in calculating adjusted earnings:</w:t>
      </w:r>
    </w:p>
    <w:p>
      <w:pPr>
        <w:spacing w:after="0" w:line="117"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Net derivative gains (losses) except earned income and amortization of premium on derivatives that are hedges of investments or that are used to replicate certain investments, but do not qualify for hedge accounting treatment (“Investment Hedge Adjustments”); and</w:t>
      </w:r>
    </w:p>
    <w:p>
      <w:pPr>
        <w:spacing w:after="0" w:line="38" w:lineRule="exact"/>
        <w:rPr>
          <w:rFonts w:ascii="Arial" w:cs="Arial" w:eastAsia="Arial" w:hAnsi="Arial"/>
          <w:sz w:val="17"/>
          <w:szCs w:val="17"/>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variable annuity guaranteed minimum income benefits (“GMIBs”) fees (“GMIB Fees”).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significant items excluded from total expenses, net of income tax, in calculating adjusted earnings:</w:t>
      </w:r>
    </w:p>
    <w:p>
      <w:pPr>
        <w:spacing w:after="0" w:line="117"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 and</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Amortization of DAC and value of business acquired (“VOBA”) related to (i) net investment gains (losses), (ii) net derivative gains (losses), (iii) GMIB Fees and GMIB Costs and (iv) Market Value Adjustments.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6" w:right="3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tax impact of the adjustments mentioned is calculated net of the statutory tax rate, which could differ from our effective tax rate.</w:t>
      </w:r>
    </w:p>
    <w:p>
      <w:pPr>
        <w:spacing w:after="0" w:line="117"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 of operations line items: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Component of Adjusted Earnings</w:t>
            </w:r>
          </w:p>
        </w:tc>
        <w:tc>
          <w:tcPr>
            <w:tcW w:w="7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b w:val="1"/>
                <w:bCs w:val="1"/>
                <w:color w:val="auto"/>
              </w:rPr>
              <w:t>How Derived from GAAP (1)</w:t>
            </w:r>
          </w:p>
        </w:tc>
      </w:tr>
      <w:tr>
        <w:trPr>
          <w:trHeight w:val="229"/>
        </w:trPr>
        <w:tc>
          <w:tcPr>
            <w:tcW w:w="4100" w:type="dxa"/>
            <w:vAlign w:val="bottom"/>
          </w:tcPr>
          <w:p>
            <w:pPr>
              <w:ind w:left="280"/>
              <w:spacing w:after="0"/>
              <w:rPr>
                <w:sz w:val="20"/>
                <w:szCs w:val="20"/>
                <w:color w:val="auto"/>
              </w:rPr>
            </w:pPr>
            <w:r>
              <w:rPr>
                <w:rFonts w:ascii="Arial" w:cs="Arial" w:eastAsia="Arial" w:hAnsi="Arial"/>
                <w:sz w:val="18"/>
                <w:szCs w:val="18"/>
                <w:color w:val="auto"/>
              </w:rPr>
              <w:t>(i) Fee income</w:t>
            </w:r>
          </w:p>
        </w:tc>
        <w:tc>
          <w:tcPr>
            <w:tcW w:w="7140" w:type="dxa"/>
            <w:vAlign w:val="bottom"/>
          </w:tcPr>
          <w:p>
            <w:pPr>
              <w:jc w:val="right"/>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Universal life and investment-type policy fee</w:t>
            </w:r>
            <w:r>
              <w:rPr>
                <w:rFonts w:ascii="Arial" w:cs="Arial" w:eastAsia="Arial" w:hAnsi="Arial"/>
                <w:sz w:val="18"/>
                <w:szCs w:val="18"/>
                <w:color w:val="auto"/>
              </w:rPr>
              <w:t>s (excluding (a) unearned revenue</w:t>
            </w:r>
          </w:p>
        </w:tc>
      </w:tr>
      <w:tr>
        <w:trPr>
          <w:trHeight w:val="216"/>
        </w:trPr>
        <w:tc>
          <w:tcPr>
            <w:tcW w:w="4100" w:type="dxa"/>
            <w:vAlign w:val="bottom"/>
          </w:tcPr>
          <w:p>
            <w:pPr>
              <w:spacing w:after="0"/>
              <w:rPr>
                <w:sz w:val="18"/>
                <w:szCs w:val="18"/>
                <w:color w:val="auto"/>
              </w:rPr>
            </w:pPr>
          </w:p>
        </w:tc>
        <w:tc>
          <w:tcPr>
            <w:tcW w:w="7140" w:type="dxa"/>
            <w:vAlign w:val="bottom"/>
          </w:tcPr>
          <w:p>
            <w:pPr>
              <w:ind w:left="1000"/>
              <w:spacing w:after="0"/>
              <w:rPr>
                <w:sz w:val="20"/>
                <w:szCs w:val="20"/>
                <w:color w:val="auto"/>
              </w:rPr>
            </w:pPr>
            <w:r>
              <w:rPr>
                <w:rFonts w:ascii="Arial" w:cs="Arial" w:eastAsia="Arial" w:hAnsi="Arial"/>
                <w:sz w:val="18"/>
                <w:szCs w:val="18"/>
                <w:color w:val="auto"/>
              </w:rPr>
              <w:t xml:space="preserve">adjustments related to </w:t>
            </w:r>
            <w:r>
              <w:rPr>
                <w:rFonts w:ascii="Arial" w:cs="Arial" w:eastAsia="Arial" w:hAnsi="Arial"/>
                <w:sz w:val="18"/>
                <w:szCs w:val="18"/>
                <w:i w:val="1"/>
                <w:iCs w:val="1"/>
                <w:color w:val="auto"/>
              </w:rPr>
              <w:t>net investment gains (losses)</w:t>
            </w:r>
            <w:r>
              <w:rPr>
                <w:rFonts w:ascii="Arial" w:cs="Arial" w:eastAsia="Arial" w:hAnsi="Arial"/>
                <w:sz w:val="18"/>
                <w:szCs w:val="18"/>
                <w:color w:val="auto"/>
              </w:rPr>
              <w:t xml:space="preserve"> and </w:t>
            </w:r>
            <w:r>
              <w:rPr>
                <w:rFonts w:ascii="Arial" w:cs="Arial" w:eastAsia="Arial" w:hAnsi="Arial"/>
                <w:sz w:val="18"/>
                <w:szCs w:val="18"/>
                <w:i w:val="1"/>
                <w:iCs w:val="1"/>
                <w:color w:val="auto"/>
              </w:rPr>
              <w:t>net derivative gains</w:t>
            </w:r>
          </w:p>
        </w:tc>
      </w:tr>
      <w:tr>
        <w:trPr>
          <w:trHeight w:val="216"/>
        </w:trPr>
        <w:tc>
          <w:tcPr>
            <w:tcW w:w="4100" w:type="dxa"/>
            <w:vAlign w:val="bottom"/>
          </w:tcPr>
          <w:p>
            <w:pPr>
              <w:spacing w:after="0"/>
              <w:rPr>
                <w:sz w:val="18"/>
                <w:szCs w:val="18"/>
                <w:color w:val="auto"/>
              </w:rPr>
            </w:pPr>
          </w:p>
        </w:tc>
        <w:tc>
          <w:tcPr>
            <w:tcW w:w="7140" w:type="dxa"/>
            <w:vAlign w:val="bottom"/>
          </w:tcPr>
          <w:p>
            <w:pPr>
              <w:ind w:left="1000"/>
              <w:spacing w:after="0"/>
              <w:rPr>
                <w:sz w:val="20"/>
                <w:szCs w:val="20"/>
                <w:color w:val="auto"/>
              </w:rPr>
            </w:pPr>
            <w:r>
              <w:rPr>
                <w:rFonts w:ascii="Arial" w:cs="Arial" w:eastAsia="Arial" w:hAnsi="Arial"/>
                <w:sz w:val="18"/>
                <w:szCs w:val="18"/>
                <w:i w:val="1"/>
                <w:iCs w:val="1"/>
                <w:color w:val="auto"/>
              </w:rPr>
              <w:t xml:space="preserve">(losses) </w:t>
            </w:r>
            <w:r>
              <w:rPr>
                <w:rFonts w:ascii="Arial" w:cs="Arial" w:eastAsia="Arial" w:hAnsi="Arial"/>
                <w:sz w:val="18"/>
                <w:szCs w:val="18"/>
                <w:color w:val="auto"/>
              </w:rPr>
              <w:t>and (b) GMIB Fees) plus</w:t>
            </w:r>
            <w:r>
              <w:rPr>
                <w:rFonts w:ascii="Arial" w:cs="Arial" w:eastAsia="Arial" w:hAnsi="Arial"/>
                <w:sz w:val="18"/>
                <w:szCs w:val="18"/>
                <w:i w:val="1"/>
                <w:iCs w:val="1"/>
                <w:color w:val="auto"/>
              </w:rPr>
              <w:t xml:space="preserve"> Other revenues </w:t>
            </w:r>
            <w:r>
              <w:rPr>
                <w:rFonts w:ascii="Arial" w:cs="Arial" w:eastAsia="Arial" w:hAnsi="Arial"/>
                <w:sz w:val="18"/>
                <w:szCs w:val="18"/>
                <w:color w:val="auto"/>
              </w:rPr>
              <w:t>(excluding other revenues</w:t>
            </w:r>
          </w:p>
        </w:tc>
      </w:tr>
      <w:tr>
        <w:trPr>
          <w:trHeight w:val="216"/>
        </w:trPr>
        <w:tc>
          <w:tcPr>
            <w:tcW w:w="4100" w:type="dxa"/>
            <w:vAlign w:val="bottom"/>
          </w:tcPr>
          <w:p>
            <w:pPr>
              <w:spacing w:after="0"/>
              <w:rPr>
                <w:sz w:val="18"/>
                <w:szCs w:val="18"/>
                <w:color w:val="auto"/>
              </w:rPr>
            </w:pPr>
          </w:p>
        </w:tc>
        <w:tc>
          <w:tcPr>
            <w:tcW w:w="7140" w:type="dxa"/>
            <w:vAlign w:val="bottom"/>
          </w:tcPr>
          <w:p>
            <w:pPr>
              <w:ind w:left="1000"/>
              <w:spacing w:after="0"/>
              <w:rPr>
                <w:sz w:val="20"/>
                <w:szCs w:val="20"/>
                <w:color w:val="auto"/>
              </w:rPr>
            </w:pPr>
            <w:r>
              <w:rPr>
                <w:rFonts w:ascii="Arial" w:cs="Arial" w:eastAsia="Arial" w:hAnsi="Arial"/>
                <w:sz w:val="18"/>
                <w:szCs w:val="18"/>
                <w:color w:val="auto"/>
                <w:w w:val="97"/>
              </w:rPr>
              <w:t>associated with related party reinsurance) and amortization of deferred gain on</w:t>
            </w:r>
          </w:p>
        </w:tc>
      </w:tr>
      <w:tr>
        <w:trPr>
          <w:trHeight w:val="230"/>
        </w:trPr>
        <w:tc>
          <w:tcPr>
            <w:tcW w:w="4100" w:type="dxa"/>
            <w:vAlign w:val="bottom"/>
          </w:tcPr>
          <w:p>
            <w:pPr>
              <w:spacing w:after="0"/>
              <w:rPr>
                <w:sz w:val="20"/>
                <w:szCs w:val="20"/>
                <w:color w:val="auto"/>
              </w:rPr>
            </w:pPr>
          </w:p>
        </w:tc>
        <w:tc>
          <w:tcPr>
            <w:tcW w:w="7140" w:type="dxa"/>
            <w:vAlign w:val="bottom"/>
          </w:tcPr>
          <w:p>
            <w:pPr>
              <w:ind w:left="1000"/>
              <w:spacing w:after="0"/>
              <w:rPr>
                <w:sz w:val="20"/>
                <w:szCs w:val="20"/>
                <w:color w:val="auto"/>
              </w:rPr>
            </w:pPr>
            <w:r>
              <w:rPr>
                <w:rFonts w:ascii="Arial" w:cs="Arial" w:eastAsia="Arial" w:hAnsi="Arial"/>
                <w:sz w:val="18"/>
                <w:szCs w:val="18"/>
                <w:color w:val="auto"/>
              </w:rPr>
              <w:t>reinsurance.</w:t>
            </w:r>
          </w:p>
        </w:tc>
      </w:tr>
      <w:tr>
        <w:trPr>
          <w:trHeight w:val="27"/>
        </w:trPr>
        <w:tc>
          <w:tcPr>
            <w:tcW w:w="4100" w:type="dxa"/>
            <w:vAlign w:val="bottom"/>
          </w:tcPr>
          <w:p>
            <w:pPr>
              <w:spacing w:after="0"/>
              <w:rPr>
                <w:sz w:val="2"/>
                <w:szCs w:val="2"/>
                <w:color w:val="auto"/>
              </w:rPr>
            </w:pPr>
          </w:p>
        </w:tc>
        <w:tc>
          <w:tcPr>
            <w:tcW w:w="7140" w:type="dxa"/>
            <w:vAlign w:val="bottom"/>
          </w:tcPr>
          <w:p>
            <w:pPr>
              <w:spacing w:after="0"/>
              <w:rPr>
                <w:sz w:val="2"/>
                <w:szCs w:val="2"/>
                <w:color w:val="auto"/>
              </w:rPr>
            </w:pPr>
          </w:p>
        </w:tc>
      </w:tr>
      <w:tr>
        <w:trPr>
          <w:trHeight w:val="229"/>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(ii) Net investment spread</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i w:val="1"/>
                <w:iCs w:val="1"/>
                <w:color w:val="auto"/>
              </w:rPr>
              <w:t>Net investment income</w:t>
            </w:r>
            <w:r>
              <w:rPr>
                <w:rFonts w:ascii="Arial" w:cs="Arial" w:eastAsia="Arial" w:hAnsi="Arial"/>
                <w:sz w:val="18"/>
                <w:szCs w:val="18"/>
                <w:color w:val="auto"/>
              </w:rPr>
              <w:t xml:space="preserve"> plus Investment Hedge Adjustments and interest received on</w:t>
            </w:r>
          </w:p>
        </w:tc>
      </w:tr>
      <w:tr>
        <w:trPr>
          <w:trHeight w:val="216"/>
        </w:trPr>
        <w:tc>
          <w:tcPr>
            <w:tcW w:w="4100" w:type="dxa"/>
            <w:vAlign w:val="bottom"/>
            <w:shd w:val="clear" w:color="auto" w:fill="CCEEFF"/>
          </w:tcPr>
          <w:p>
            <w:pPr>
              <w:spacing w:after="0"/>
              <w:rPr>
                <w:sz w:val="18"/>
                <w:szCs w:val="18"/>
                <w:color w:val="auto"/>
              </w:rPr>
            </w:pPr>
          </w:p>
        </w:tc>
        <w:tc>
          <w:tcPr>
            <w:tcW w:w="714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9"/>
              </w:rPr>
              <w:t xml:space="preserve">ceded fixed annuity reinsurance deposit funds reduced by </w:t>
            </w:r>
            <w:r>
              <w:rPr>
                <w:rFonts w:ascii="Arial" w:cs="Arial" w:eastAsia="Arial" w:hAnsi="Arial"/>
                <w:sz w:val="18"/>
                <w:szCs w:val="18"/>
                <w:i w:val="1"/>
                <w:iCs w:val="1"/>
                <w:color w:val="auto"/>
                <w:w w:val="99"/>
              </w:rPr>
              <w:t>Interest credited to</w:t>
            </w:r>
          </w:p>
        </w:tc>
      </w:tr>
      <w:tr>
        <w:trPr>
          <w:trHeight w:val="237"/>
        </w:trPr>
        <w:tc>
          <w:tcPr>
            <w:tcW w:w="4100" w:type="dxa"/>
            <w:vAlign w:val="bottom"/>
            <w:tcBorders>
              <w:bottom w:val="single" w:sz="8" w:color="CCEEFF"/>
            </w:tcBorders>
            <w:shd w:val="clear" w:color="auto" w:fill="CCEEFF"/>
          </w:tcPr>
          <w:p>
            <w:pPr>
              <w:spacing w:after="0"/>
              <w:rPr>
                <w:sz w:val="20"/>
                <w:szCs w:val="20"/>
                <w:color w:val="auto"/>
              </w:rPr>
            </w:pPr>
          </w:p>
        </w:tc>
        <w:tc>
          <w:tcPr>
            <w:tcW w:w="71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i w:val="1"/>
                <w:iCs w:val="1"/>
                <w:color w:val="auto"/>
              </w:rPr>
              <w:t xml:space="preserve">policyholder account balances </w:t>
            </w:r>
            <w:r>
              <w:rPr>
                <w:rFonts w:ascii="Arial" w:cs="Arial" w:eastAsia="Arial" w:hAnsi="Arial"/>
                <w:sz w:val="18"/>
                <w:szCs w:val="18"/>
                <w:color w:val="auto"/>
              </w:rPr>
              <w:t>and interest on future policy benefits.</w:t>
            </w:r>
          </w:p>
        </w:tc>
      </w:tr>
      <w:tr>
        <w:trPr>
          <w:trHeight w:val="229"/>
        </w:trPr>
        <w:tc>
          <w:tcPr>
            <w:tcW w:w="4100" w:type="dxa"/>
            <w:vAlign w:val="bottom"/>
          </w:tcPr>
          <w:p>
            <w:pPr>
              <w:ind w:left="180"/>
              <w:spacing w:after="0"/>
              <w:rPr>
                <w:sz w:val="20"/>
                <w:szCs w:val="20"/>
                <w:color w:val="auto"/>
              </w:rPr>
            </w:pPr>
            <w:r>
              <w:rPr>
                <w:rFonts w:ascii="Arial" w:cs="Arial" w:eastAsia="Arial" w:hAnsi="Arial"/>
                <w:sz w:val="18"/>
                <w:szCs w:val="18"/>
                <w:color w:val="auto"/>
              </w:rPr>
              <w:t>(iii) Insurance-related activities</w:t>
            </w:r>
          </w:p>
        </w:tc>
        <w:tc>
          <w:tcPr>
            <w:tcW w:w="7140" w:type="dxa"/>
            <w:vAlign w:val="bottom"/>
          </w:tcPr>
          <w:p>
            <w:pPr>
              <w:jc w:val="right"/>
              <w:spacing w:after="0"/>
              <w:rPr>
                <w:sz w:val="20"/>
                <w:szCs w:val="20"/>
                <w:color w:val="auto"/>
              </w:rPr>
            </w:pPr>
            <w:r>
              <w:rPr>
                <w:rFonts w:ascii="Arial" w:cs="Arial" w:eastAsia="Arial" w:hAnsi="Arial"/>
                <w:sz w:val="18"/>
                <w:szCs w:val="18"/>
                <w:color w:val="auto"/>
              </w:rPr>
              <w:t xml:space="preserve">(iii) </w:t>
            </w:r>
            <w:r>
              <w:rPr>
                <w:rFonts w:ascii="Arial" w:cs="Arial" w:eastAsia="Arial" w:hAnsi="Arial"/>
                <w:sz w:val="18"/>
                <w:szCs w:val="18"/>
                <w:i w:val="1"/>
                <w:iCs w:val="1"/>
                <w:color w:val="auto"/>
              </w:rPr>
              <w:t>Premiums</w:t>
            </w:r>
            <w:r>
              <w:rPr>
                <w:rFonts w:ascii="Arial" w:cs="Arial" w:eastAsia="Arial" w:hAnsi="Arial"/>
                <w:sz w:val="18"/>
                <w:szCs w:val="18"/>
                <w:color w:val="auto"/>
              </w:rPr>
              <w:t xml:space="preserve"> less </w:t>
            </w:r>
            <w:r>
              <w:rPr>
                <w:rFonts w:ascii="Arial" w:cs="Arial" w:eastAsia="Arial" w:hAnsi="Arial"/>
                <w:sz w:val="18"/>
                <w:szCs w:val="18"/>
                <w:i w:val="1"/>
                <w:iCs w:val="1"/>
                <w:color w:val="auto"/>
              </w:rPr>
              <w:t>Policyholder benefits and claims</w:t>
            </w:r>
            <w:r>
              <w:rPr>
                <w:rFonts w:ascii="Arial" w:cs="Arial" w:eastAsia="Arial" w:hAnsi="Arial"/>
                <w:sz w:val="18"/>
                <w:szCs w:val="18"/>
                <w:color w:val="auto"/>
              </w:rPr>
              <w:t xml:space="preserve"> (excluding (a) GMIB Costs, (b)</w:t>
            </w:r>
          </w:p>
        </w:tc>
      </w:tr>
      <w:tr>
        <w:trPr>
          <w:trHeight w:val="216"/>
        </w:trPr>
        <w:tc>
          <w:tcPr>
            <w:tcW w:w="4100" w:type="dxa"/>
            <w:vAlign w:val="bottom"/>
          </w:tcPr>
          <w:p>
            <w:pPr>
              <w:spacing w:after="0"/>
              <w:rPr>
                <w:sz w:val="18"/>
                <w:szCs w:val="18"/>
                <w:color w:val="auto"/>
              </w:rPr>
            </w:pPr>
          </w:p>
        </w:tc>
        <w:tc>
          <w:tcPr>
            <w:tcW w:w="7140" w:type="dxa"/>
            <w:vAlign w:val="bottom"/>
          </w:tcPr>
          <w:p>
            <w:pPr>
              <w:ind w:left="1000"/>
              <w:spacing w:after="0"/>
              <w:rPr>
                <w:sz w:val="20"/>
                <w:szCs w:val="20"/>
                <w:color w:val="auto"/>
              </w:rPr>
            </w:pPr>
            <w:r>
              <w:rPr>
                <w:rFonts w:ascii="Arial" w:cs="Arial" w:eastAsia="Arial" w:hAnsi="Arial"/>
                <w:sz w:val="18"/>
                <w:szCs w:val="18"/>
                <w:color w:val="auto"/>
                <w:w w:val="91"/>
              </w:rPr>
              <w:t>Market Value Adjustments, (c) interest on future policy benefits and (d) amortization</w:t>
            </w:r>
          </w:p>
        </w:tc>
      </w:tr>
      <w:tr>
        <w:trPr>
          <w:trHeight w:val="216"/>
        </w:trPr>
        <w:tc>
          <w:tcPr>
            <w:tcW w:w="4100" w:type="dxa"/>
            <w:vAlign w:val="bottom"/>
          </w:tcPr>
          <w:p>
            <w:pPr>
              <w:spacing w:after="0"/>
              <w:rPr>
                <w:sz w:val="18"/>
                <w:szCs w:val="18"/>
                <w:color w:val="auto"/>
              </w:rPr>
            </w:pPr>
          </w:p>
        </w:tc>
        <w:tc>
          <w:tcPr>
            <w:tcW w:w="7140" w:type="dxa"/>
            <w:vAlign w:val="bottom"/>
          </w:tcPr>
          <w:p>
            <w:pPr>
              <w:ind w:left="1000"/>
              <w:spacing w:after="0"/>
              <w:rPr>
                <w:sz w:val="20"/>
                <w:szCs w:val="20"/>
                <w:color w:val="auto"/>
              </w:rPr>
            </w:pPr>
            <w:r>
              <w:rPr>
                <w:rFonts w:ascii="Arial" w:cs="Arial" w:eastAsia="Arial" w:hAnsi="Arial"/>
                <w:sz w:val="18"/>
                <w:szCs w:val="18"/>
                <w:color w:val="auto"/>
                <w:w w:val="96"/>
              </w:rPr>
              <w:t>of deferred gain on reinsurance) plus the pass through of performance of ceded</w:t>
            </w:r>
          </w:p>
        </w:tc>
      </w:tr>
      <w:tr>
        <w:trPr>
          <w:trHeight w:val="230"/>
        </w:trPr>
        <w:tc>
          <w:tcPr>
            <w:tcW w:w="4100" w:type="dxa"/>
            <w:vAlign w:val="bottom"/>
          </w:tcPr>
          <w:p>
            <w:pPr>
              <w:spacing w:after="0"/>
              <w:rPr>
                <w:sz w:val="20"/>
                <w:szCs w:val="20"/>
                <w:color w:val="auto"/>
              </w:rPr>
            </w:pPr>
          </w:p>
        </w:tc>
        <w:tc>
          <w:tcPr>
            <w:tcW w:w="7140" w:type="dxa"/>
            <w:vAlign w:val="bottom"/>
          </w:tcPr>
          <w:p>
            <w:pPr>
              <w:ind w:left="1000"/>
              <w:spacing w:after="0"/>
              <w:rPr>
                <w:sz w:val="20"/>
                <w:szCs w:val="20"/>
                <w:color w:val="auto"/>
              </w:rPr>
            </w:pPr>
            <w:r>
              <w:rPr>
                <w:rFonts w:ascii="Arial" w:cs="Arial" w:eastAsia="Arial" w:hAnsi="Arial"/>
                <w:sz w:val="18"/>
                <w:szCs w:val="18"/>
                <w:color w:val="auto"/>
              </w:rPr>
              <w:t>separate account assets.</w:t>
            </w:r>
          </w:p>
        </w:tc>
      </w:tr>
      <w:tr>
        <w:trPr>
          <w:trHeight w:val="203"/>
        </w:trPr>
        <w:tc>
          <w:tcPr>
            <w:tcW w:w="4100" w:type="dxa"/>
            <w:vAlign w:val="bottom"/>
          </w:tcPr>
          <w:p>
            <w:pPr>
              <w:spacing w:after="0"/>
              <w:rPr>
                <w:sz w:val="17"/>
                <w:szCs w:val="17"/>
                <w:color w:val="auto"/>
              </w:rPr>
            </w:pPr>
          </w:p>
        </w:tc>
        <w:tc>
          <w:tcPr>
            <w:tcW w:w="7140" w:type="dxa"/>
            <w:vAlign w:val="bottom"/>
          </w:tcPr>
          <w:p>
            <w:pPr>
              <w:spacing w:after="0"/>
              <w:rPr>
                <w:sz w:val="17"/>
                <w:szCs w:val="17"/>
                <w:color w:val="auto"/>
              </w:rPr>
            </w:pPr>
          </w:p>
        </w:tc>
      </w:tr>
      <w:tr>
        <w:trPr>
          <w:trHeight w:val="229"/>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(iv) Amortization of DAC and VOBA</w:t>
            </w:r>
          </w:p>
        </w:tc>
        <w:tc>
          <w:tcPr>
            <w:tcW w:w="7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i w:val="1"/>
                <w:iCs w:val="1"/>
                <w:color w:val="auto"/>
              </w:rPr>
              <w:t>Amortization of DAC and VOBA</w:t>
            </w:r>
            <w:r>
              <w:rPr>
                <w:rFonts w:ascii="Arial" w:cs="Arial" w:eastAsia="Arial" w:hAnsi="Arial"/>
                <w:sz w:val="18"/>
                <w:szCs w:val="18"/>
                <w:color w:val="auto"/>
              </w:rPr>
              <w:t xml:space="preserve"> (excluding amounts related to (a) net investment</w:t>
            </w:r>
          </w:p>
        </w:tc>
      </w:tr>
      <w:tr>
        <w:trPr>
          <w:trHeight w:val="216"/>
        </w:trPr>
        <w:tc>
          <w:tcPr>
            <w:tcW w:w="4100" w:type="dxa"/>
            <w:vAlign w:val="bottom"/>
            <w:shd w:val="clear" w:color="auto" w:fill="CCEEFF"/>
          </w:tcPr>
          <w:p>
            <w:pPr>
              <w:spacing w:after="0"/>
              <w:rPr>
                <w:sz w:val="18"/>
                <w:szCs w:val="18"/>
                <w:color w:val="auto"/>
              </w:rPr>
            </w:pPr>
          </w:p>
        </w:tc>
        <w:tc>
          <w:tcPr>
            <w:tcW w:w="714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1"/>
              </w:rPr>
              <w:t xml:space="preserve">gains (losses), (b) </w:t>
            </w:r>
            <w:r>
              <w:rPr>
                <w:rFonts w:ascii="Arial" w:cs="Arial" w:eastAsia="Arial" w:hAnsi="Arial"/>
                <w:sz w:val="18"/>
                <w:szCs w:val="18"/>
                <w:i w:val="1"/>
                <w:iCs w:val="1"/>
                <w:color w:val="auto"/>
                <w:w w:val="91"/>
              </w:rPr>
              <w:t>net derivative gains (losses)</w:t>
            </w:r>
            <w:r>
              <w:rPr>
                <w:rFonts w:ascii="Arial" w:cs="Arial" w:eastAsia="Arial" w:hAnsi="Arial"/>
                <w:sz w:val="18"/>
                <w:szCs w:val="18"/>
                <w:color w:val="auto"/>
                <w:w w:val="91"/>
              </w:rPr>
              <w:t>, (c) GMIB Fees and GMIB Costs and</w:t>
            </w:r>
          </w:p>
        </w:tc>
      </w:tr>
      <w:tr>
        <w:trPr>
          <w:trHeight w:val="237"/>
        </w:trPr>
        <w:tc>
          <w:tcPr>
            <w:tcW w:w="4100" w:type="dxa"/>
            <w:vAlign w:val="bottom"/>
            <w:tcBorders>
              <w:bottom w:val="single" w:sz="8" w:color="CCEEFF"/>
            </w:tcBorders>
            <w:shd w:val="clear" w:color="auto" w:fill="CCEEFF"/>
          </w:tcPr>
          <w:p>
            <w:pPr>
              <w:spacing w:after="0"/>
              <w:rPr>
                <w:sz w:val="20"/>
                <w:szCs w:val="20"/>
                <w:color w:val="auto"/>
              </w:rPr>
            </w:pPr>
          </w:p>
        </w:tc>
        <w:tc>
          <w:tcPr>
            <w:tcW w:w="71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(d) Market Value Adjustments).</w:t>
            </w:r>
          </w:p>
        </w:tc>
      </w:tr>
      <w:tr>
        <w:trPr>
          <w:trHeight w:val="243"/>
        </w:trPr>
        <w:tc>
          <w:tcPr>
            <w:tcW w:w="4100" w:type="dxa"/>
            <w:vAlign w:val="bottom"/>
          </w:tcPr>
          <w:p>
            <w:pPr>
              <w:ind w:left="240"/>
              <w:spacing w:after="0"/>
              <w:rPr>
                <w:sz w:val="20"/>
                <w:szCs w:val="20"/>
                <w:color w:val="auto"/>
              </w:rPr>
            </w:pPr>
            <w:r>
              <w:rPr>
                <w:rFonts w:ascii="Arial" w:cs="Arial" w:eastAsia="Arial" w:hAnsi="Arial"/>
                <w:sz w:val="18"/>
                <w:szCs w:val="18"/>
                <w:color w:val="auto"/>
              </w:rPr>
              <w:t>(v) Other expenses, net of DAC capitalization</w:t>
            </w:r>
          </w:p>
        </w:tc>
        <w:tc>
          <w:tcPr>
            <w:tcW w:w="7140" w:type="dxa"/>
            <w:vAlign w:val="bottom"/>
          </w:tcPr>
          <w:p>
            <w:pPr>
              <w:ind w:left="740"/>
              <w:spacing w:after="0"/>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i w:val="1"/>
                <w:iCs w:val="1"/>
                <w:color w:val="auto"/>
              </w:rPr>
              <w:t>Other expenses</w:t>
            </w:r>
            <w:r>
              <w:rPr>
                <w:rFonts w:ascii="Arial" w:cs="Arial" w:eastAsia="Arial" w:hAnsi="Arial"/>
                <w:sz w:val="18"/>
                <w:szCs w:val="18"/>
                <w:color w:val="auto"/>
              </w:rPr>
              <w:t xml:space="preserve"> reduced by capitalization of DAC.</w:t>
            </w:r>
          </w:p>
        </w:tc>
      </w:tr>
      <w:tr>
        <w:trPr>
          <w:trHeight w:val="27"/>
        </w:trPr>
        <w:tc>
          <w:tcPr>
            <w:tcW w:w="4100" w:type="dxa"/>
            <w:vAlign w:val="bottom"/>
          </w:tcPr>
          <w:p>
            <w:pPr>
              <w:spacing w:after="0"/>
              <w:rPr>
                <w:sz w:val="2"/>
                <w:szCs w:val="2"/>
                <w:color w:val="auto"/>
              </w:rPr>
            </w:pPr>
          </w:p>
        </w:tc>
        <w:tc>
          <w:tcPr>
            <w:tcW w:w="7140" w:type="dxa"/>
            <w:vAlign w:val="bottom"/>
          </w:tcPr>
          <w:p>
            <w:pPr>
              <w:spacing w:after="0"/>
              <w:rPr>
                <w:sz w:val="2"/>
                <w:szCs w:val="2"/>
                <w:color w:val="auto"/>
              </w:rPr>
            </w:pPr>
          </w:p>
        </w:tc>
      </w:tr>
      <w:tr>
        <w:trPr>
          <w:trHeight w:val="250"/>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(vi) Provision for income tax expense (benefit)</w:t>
            </w:r>
          </w:p>
        </w:tc>
        <w:tc>
          <w:tcPr>
            <w:tcW w:w="71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(vi) Tax impact of the above items.</w:t>
            </w:r>
          </w:p>
        </w:tc>
      </w:tr>
      <w:tr>
        <w:trPr>
          <w:trHeight w:val="182"/>
        </w:trPr>
        <w:tc>
          <w:tcPr>
            <w:tcW w:w="4100" w:type="dxa"/>
            <w:vAlign w:val="bottom"/>
          </w:tcPr>
          <w:p>
            <w:pPr>
              <w:spacing w:after="0"/>
              <w:rPr>
                <w:sz w:val="20"/>
                <w:szCs w:val="20"/>
                <w:color w:val="auto"/>
              </w:rPr>
            </w:pPr>
            <w:r>
              <w:rPr>
                <w:rFonts w:ascii="Arial" w:cs="Arial" w:eastAsia="Arial" w:hAnsi="Arial"/>
                <w:sz w:val="14"/>
                <w:szCs w:val="14"/>
                <w:color w:val="auto"/>
              </w:rPr>
              <w:t>______________</w:t>
            </w:r>
          </w:p>
        </w:tc>
        <w:tc>
          <w:tcPr>
            <w:tcW w:w="7140" w:type="dxa"/>
            <w:vAlign w:val="bottom"/>
          </w:tcPr>
          <w:p>
            <w:pPr>
              <w:spacing w:after="0"/>
              <w:rPr>
                <w:sz w:val="15"/>
                <w:szCs w:val="15"/>
                <w:color w:val="auto"/>
              </w:rPr>
            </w:pPr>
          </w:p>
        </w:tc>
      </w:tr>
    </w:tbl>
    <w:p>
      <w:pPr>
        <w:spacing w:after="0" w:line="73"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Italicized items indicate GAAP statement of operations line items.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Consistent with GAAP guidance for segment reporting, adjusted earnings is also our GAAP measure of segment performance. Accordingly, we report adjusted earnings by segment in Note 2 of the Notes to the Interim Condensed Consolidated Financial Statements.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Adjusted Net Investment Income</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We present adjusted net investment income, which is not calculated in accordance with GAAP. We present adjusted net investment income to measure our performance for management purposes, and we believe it enhances the understanding of our investment portfolio results. Adjusted net investment income represents net investment income including Investment Hedge Adjustments. For a reconciliation of adjusted net investment income to net investment income, the most directly comparable GAAP measure, see footnote 4 to the summary yield table located in “— Investments — Current Environment — Investment Portfolio Results.”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Disclosures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Similar to adjusted net investment income, we present net investment income yields as a performance measure we believe enhances the understanding of our investment portfolio results. Net investment income yields are calculated on adjusted net investment income as a percent of average quarterly asset carrying values. Asset carrying values exclude unrealized gains (losses), collateral received in connection with our securities lending program, freestanding derivative assets and collateral received from derivative counterparties.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6" w:right="3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Ended March 31, 2020 and 2019</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otherwise noted, all amounts in the following discussions of our results of operations are stated before income tax except for adjusted earnings, which are presented net of income tax.</w:t>
      </w:r>
    </w:p>
    <w:p>
      <w:pPr>
        <w:spacing w:after="0" w:line="216"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13335</wp:posOffset>
            </wp:positionV>
            <wp:extent cx="19030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69"/>
        </w:trPr>
        <w:tc>
          <w:tcPr>
            <w:tcW w:w="8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Premiums</w:t>
            </w:r>
          </w:p>
        </w:tc>
        <w:tc>
          <w:tcPr>
            <w:tcW w:w="92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227</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Universal life and investment-type product policy fees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9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811</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Net investment gains (losses)</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derivative gains (losses)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6,902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(1,303)</w:t>
            </w:r>
          </w:p>
        </w:tc>
      </w:tr>
      <w:tr>
        <w:trPr>
          <w:trHeight w:val="217"/>
        </w:trPr>
        <w:tc>
          <w:tcPr>
            <w:tcW w:w="8180" w:type="dxa"/>
            <w:vAlign w:val="bottom"/>
          </w:tcPr>
          <w:p>
            <w:pPr>
              <w:ind w:left="200"/>
              <w:spacing w:after="0"/>
              <w:rPr>
                <w:sz w:val="20"/>
                <w:szCs w:val="20"/>
                <w:color w:val="auto"/>
              </w:rPr>
            </w:pPr>
            <w:r>
              <w:rPr>
                <w:rFonts w:ascii="Arial" w:cs="Arial" w:eastAsia="Arial" w:hAnsi="Arial"/>
                <w:sz w:val="16"/>
                <w:szCs w:val="16"/>
                <w:color w:val="auto"/>
              </w:rPr>
              <w:t>Total revenues</w:t>
            </w: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8,985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691</w:t>
            </w:r>
          </w:p>
        </w:tc>
      </w:tr>
      <w:tr>
        <w:trPr>
          <w:trHeight w:val="33"/>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Policyholder benefits and claims</w:t>
            </w:r>
          </w:p>
        </w:tc>
        <w:tc>
          <w:tcPr>
            <w:tcW w:w="9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1,187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772</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credited to policyholder account balances</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Capitalization of DAC</w:t>
            </w: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DAC and VOBA</w:t>
            </w: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Interest expense on debt</w:t>
            </w:r>
          </w:p>
        </w:tc>
        <w:tc>
          <w:tcPr>
            <w:tcW w:w="9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w:t>
            </w:r>
          </w:p>
        </w:tc>
      </w:tr>
      <w:tr>
        <w:trPr>
          <w:trHeight w:val="3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631</w:t>
            </w:r>
          </w:p>
        </w:tc>
      </w:tr>
      <w:tr>
        <w:trPr>
          <w:trHeight w:val="217"/>
        </w:trPr>
        <w:tc>
          <w:tcPr>
            <w:tcW w:w="8180" w:type="dxa"/>
            <w:vAlign w:val="bottom"/>
          </w:tcPr>
          <w:p>
            <w:pPr>
              <w:ind w:left="200"/>
              <w:spacing w:after="0"/>
              <w:rPr>
                <w:sz w:val="20"/>
                <w:szCs w:val="20"/>
                <w:color w:val="auto"/>
              </w:rPr>
            </w:pPr>
            <w:r>
              <w:rPr>
                <w:rFonts w:ascii="Arial" w:cs="Arial" w:eastAsia="Arial" w:hAnsi="Arial"/>
                <w:sz w:val="16"/>
                <w:szCs w:val="16"/>
                <w:color w:val="auto"/>
              </w:rPr>
              <w:t>Total expenses</w:t>
            </w: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2,733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1,644</w:t>
            </w:r>
          </w:p>
        </w:tc>
      </w:tr>
      <w:tr>
        <w:trPr>
          <w:trHeight w:val="33"/>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provision for income tax</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6,252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9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1,293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33"/>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 (loss)</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4,959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(735)</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w:t>
            </w:r>
          </w:p>
        </w:tc>
        <w:tc>
          <w:tcPr>
            <w:tcW w:w="9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 (loss) attributable to Brighthouse Financial, Inc.</w:t>
            </w:r>
          </w:p>
        </w:tc>
        <w:tc>
          <w:tcPr>
            <w:tcW w:w="9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4,957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w:t>
            </w:r>
          </w:p>
        </w:tc>
      </w:tr>
      <w:tr>
        <w:trPr>
          <w:trHeight w:val="237"/>
        </w:trPr>
        <w:tc>
          <w:tcPr>
            <w:tcW w:w="8180" w:type="dxa"/>
            <w:vAlign w:val="bottom"/>
          </w:tcPr>
          <w:p>
            <w:pPr>
              <w:ind w:left="40"/>
              <w:spacing w:after="0"/>
              <w:rPr>
                <w:sz w:val="20"/>
                <w:szCs w:val="20"/>
                <w:color w:val="auto"/>
              </w:rPr>
            </w:pPr>
            <w:r>
              <w:rPr>
                <w:rFonts w:ascii="Arial" w:cs="Arial" w:eastAsia="Arial" w:hAnsi="Arial"/>
                <w:sz w:val="16"/>
                <w:szCs w:val="16"/>
                <w:color w:val="auto"/>
              </w:rPr>
              <w:t>Less: Preferred stock dividends</w:t>
            </w:r>
          </w:p>
        </w:tc>
        <w:tc>
          <w:tcPr>
            <w:tcW w:w="92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5"/>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4,950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6" w:right="3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income (loss) available to shareholders were as follows:</w:t>
      </w:r>
    </w:p>
    <w:p>
      <w:pPr>
        <w:spacing w:after="0" w:line="271"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13335</wp:posOffset>
            </wp:positionV>
            <wp:extent cx="19113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8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GMLB Riders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4,374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(1,330)</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Other derivative instruments</w:t>
            </w:r>
          </w:p>
        </w:tc>
        <w:tc>
          <w:tcPr>
            <w:tcW w:w="9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w w:val="99"/>
              </w:rPr>
              <w:t>1,717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136</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investment gains (losses)</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Other adjustments</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Pre-tax adjusted earnings, less net income (loss) attributable to noncontrolling interests and preferred stock dividends</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9"/>
              </w:rPr>
              <w:t>6,243</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(955)</w:t>
            </w: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1,293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17"/>
        </w:trPr>
        <w:tc>
          <w:tcPr>
            <w:tcW w:w="8220" w:type="dxa"/>
            <w:vAlign w:val="bottom"/>
          </w:tcPr>
          <w:p>
            <w:pPr>
              <w:ind w:left="180"/>
              <w:spacing w:after="0"/>
              <w:rPr>
                <w:sz w:val="20"/>
                <w:szCs w:val="20"/>
                <w:color w:val="auto"/>
              </w:rPr>
            </w:pPr>
            <w:r>
              <w:rPr>
                <w:rFonts w:ascii="Arial" w:cs="Arial" w:eastAsia="Arial" w:hAnsi="Arial"/>
                <w:sz w:val="16"/>
                <w:szCs w:val="16"/>
                <w:color w:val="auto"/>
              </w:rPr>
              <w:t>Net income (loss) available to shareholders</w:t>
            </w:r>
          </w:p>
        </w:tc>
        <w:tc>
          <w:tcPr>
            <w:tcW w:w="940" w:type="dxa"/>
            <w:vAlign w:val="bottom"/>
            <w:tcBorders>
              <w:top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9"/>
              </w:rPr>
              <w:t>4,950</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(737)</w:t>
            </w:r>
          </w:p>
        </w:tc>
      </w:tr>
      <w:tr>
        <w:trPr>
          <w:trHeight w:val="33"/>
        </w:trPr>
        <w:tc>
          <w:tcPr>
            <w:tcW w:w="8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2020 Compared with the Three Months Ended March 31, 2019</w:t>
      </w:r>
    </w:p>
    <w:p>
      <w:pPr>
        <w:spacing w:after="0" w:line="117" w:lineRule="exact"/>
        <w:rPr>
          <w:sz w:val="20"/>
          <w:szCs w:val="20"/>
          <w:color w:val="auto"/>
        </w:rPr>
      </w:pPr>
    </w:p>
    <w:p>
      <w:pPr>
        <w:ind w:left="180" w:firstLine="324"/>
        <w:spacing w:after="0" w:line="308" w:lineRule="auto"/>
        <w:rPr>
          <w:sz w:val="20"/>
          <w:szCs w:val="20"/>
          <w:color w:val="auto"/>
        </w:rPr>
      </w:pPr>
      <w:r>
        <w:rPr>
          <w:rFonts w:ascii="Arial" w:cs="Arial" w:eastAsia="Arial" w:hAnsi="Arial"/>
          <w:sz w:val="17"/>
          <w:szCs w:val="17"/>
          <w:color w:val="auto"/>
        </w:rPr>
        <w:t>Income available to shareholders before provision for income tax was $6.2 billion ($5.0 billion, net of income tax), an increase of $7.2 billion ($5.7 billion, net of income tax) from a loss before provision for income tax of $955 million ($737 million, net of income tax) in the prior period.</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increase in income before provision for income tax was driven by the following key favorable items:</w:t>
      </w:r>
    </w:p>
    <w:p>
      <w:pPr>
        <w:spacing w:after="0" w:line="117" w:lineRule="exact"/>
        <w:rPr>
          <w:sz w:val="20"/>
          <w:szCs w:val="20"/>
          <w:color w:val="auto"/>
        </w:rPr>
      </w:pPr>
    </w:p>
    <w:p>
      <w:pPr>
        <w:ind w:left="1300" w:hanging="320"/>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gains from guaranteed minimum living benefits (“GMLB”) riders (“GMLB Riders”) in the current period, compared to losses in the prior period, see “— GMLB Riders for the Three Months Ended March 31, 2020 and 2019”; and</w:t>
      </w:r>
    </w:p>
    <w:p>
      <w:pPr>
        <w:spacing w:after="0" w:line="6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current period gains on interest rate derivatives used to manage interest rate exposure in our ULSG business due to declining long-term interest rates.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increase in income before provision for income tax was partially offset by the following key unfavorable items:</w:t>
      </w:r>
    </w:p>
    <w:p>
      <w:pPr>
        <w:spacing w:after="0" w:line="117" w:lineRule="exact"/>
        <w:rPr>
          <w:sz w:val="20"/>
          <w:szCs w:val="20"/>
          <w:color w:val="auto"/>
        </w:rPr>
      </w:pPr>
    </w:p>
    <w:p>
      <w:pPr>
        <w:ind w:left="1300" w:right="20" w:hanging="320"/>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policyholder benefits and claims, included in other adjustments, resulting from the adjustment for market performance related to participating products in the Run-off segment;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lower pre-tax adjusted earnings, discussed in greater detail below.</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in the current period led to an effective tax rate of 21%, compared to 23% in the prior period. Our effective tax rate primarily differs from the statutory tax rate due to the impacts of the dividends received deductions and tax credits.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6" w:right="33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Shareholders to Adjusted Earnings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net income (loss) available to shareholders to adjusted earnings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Three Months Ended March 31, 2020</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Annuities</w:t>
            </w:r>
          </w:p>
        </w:tc>
        <w:tc>
          <w:tcPr>
            <w:tcW w:w="180" w:type="dxa"/>
            <w:vAlign w:val="bottom"/>
          </w:tcPr>
          <w:p>
            <w:pPr>
              <w:spacing w:after="0"/>
              <w:rPr>
                <w:sz w:val="13"/>
                <w:szCs w:val="13"/>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Run-off</w:t>
            </w:r>
          </w:p>
        </w:tc>
        <w:tc>
          <w:tcPr>
            <w:tcW w:w="120" w:type="dxa"/>
            <w:vAlign w:val="bottom"/>
          </w:tcPr>
          <w:p>
            <w:pPr>
              <w:spacing w:after="0"/>
              <w:rPr>
                <w:sz w:val="13"/>
                <w:szCs w:val="13"/>
                <w:color w:val="auto"/>
              </w:rPr>
            </w:pPr>
          </w:p>
        </w:tc>
        <w:tc>
          <w:tcPr>
            <w:tcW w:w="10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Corporate &amp;</w:t>
            </w: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4,950</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6"/>
                <w:szCs w:val="16"/>
                <w:color w:val="auto"/>
              </w:rPr>
              <w:t>Add: Provision for income tax expense (benefit)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33"/>
        </w:trPr>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6,243</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6"/>
                <w:szCs w:val="16"/>
                <w:color w:val="auto"/>
              </w:rPr>
              <w:t>Less: GMLB Riders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4,374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4,374</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Other 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1,717</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6"/>
                <w:szCs w:val="16"/>
                <w:color w:val="auto"/>
              </w:rPr>
              <w:t>Less: Net investment gains (losses)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Other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0"/>
        </w:trPr>
        <w:tc>
          <w:tcPr>
            <w:tcW w:w="5480" w:type="dxa"/>
            <w:vAlign w:val="bottom"/>
          </w:tcPr>
          <w:p>
            <w:pPr>
              <w:ind w:left="40"/>
              <w:spacing w:after="0"/>
              <w:rPr>
                <w:sz w:val="20"/>
                <w:szCs w:val="20"/>
                <w:color w:val="auto"/>
              </w:rPr>
            </w:pPr>
            <w:r>
              <w:rPr>
                <w:rFonts w:ascii="Arial" w:cs="Arial" w:eastAsia="Arial" w:hAnsi="Arial"/>
                <w:sz w:val="16"/>
                <w:szCs w:val="16"/>
                <w:color w:val="auto"/>
                <w:w w:val="98"/>
              </w:rPr>
              <w:t>Pre-tax adjusted earnings, less net income (loss) attributable to noncontrolling</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80" w:type="dxa"/>
            <w:vAlign w:val="bottom"/>
          </w:tcPr>
          <w:p>
            <w:pPr>
              <w:ind w:left="200"/>
              <w:spacing w:after="0"/>
              <w:rPr>
                <w:sz w:val="20"/>
                <w:szCs w:val="20"/>
                <w:color w:val="auto"/>
              </w:rPr>
            </w:pPr>
            <w:r>
              <w:rPr>
                <w:rFonts w:ascii="Arial" w:cs="Arial" w:eastAsia="Arial" w:hAnsi="Arial"/>
                <w:sz w:val="16"/>
                <w:szCs w:val="16"/>
                <w:color w:val="auto"/>
              </w:rPr>
              <w:t>interests and preferred stock dividends</w:t>
            </w:r>
          </w:p>
        </w:tc>
        <w:tc>
          <w:tcPr>
            <w:tcW w:w="2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7"/>
        </w:trPr>
        <w:tc>
          <w:tcPr>
            <w:tcW w:w="5480" w:type="dxa"/>
            <w:vAlign w:val="bottom"/>
          </w:tcPr>
          <w:p>
            <w:pPr>
              <w:ind w:left="40"/>
              <w:spacing w:after="0"/>
              <w:rPr>
                <w:sz w:val="20"/>
                <w:szCs w:val="20"/>
                <w:color w:val="auto"/>
              </w:rPr>
            </w:pPr>
            <w:r>
              <w:rPr>
                <w:rFonts w:ascii="Arial" w:cs="Arial" w:eastAsia="Arial" w:hAnsi="Arial"/>
                <w:sz w:val="16"/>
                <w:szCs w:val="16"/>
                <w:color w:val="auto"/>
              </w:rPr>
              <w:t>Adjusted earnings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5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rPr>
              <w:t>Three Months Ended March 31, 2019</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Annuities</w:t>
            </w:r>
          </w:p>
        </w:tc>
        <w:tc>
          <w:tcPr>
            <w:tcW w:w="180" w:type="dxa"/>
            <w:vAlign w:val="bottom"/>
          </w:tcPr>
          <w:p>
            <w:pPr>
              <w:spacing w:after="0"/>
              <w:rPr>
                <w:sz w:val="13"/>
                <w:szCs w:val="13"/>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Life</w:t>
            </w:r>
          </w:p>
        </w:tc>
        <w:tc>
          <w:tcPr>
            <w:tcW w:w="2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Run-off</w:t>
            </w:r>
          </w:p>
        </w:tc>
        <w:tc>
          <w:tcPr>
            <w:tcW w:w="120" w:type="dxa"/>
            <w:vAlign w:val="bottom"/>
          </w:tcPr>
          <w:p>
            <w:pPr>
              <w:spacing w:after="0"/>
              <w:rPr>
                <w:sz w:val="13"/>
                <w:szCs w:val="13"/>
                <w:color w:val="auto"/>
              </w:rPr>
            </w:pPr>
          </w:p>
        </w:tc>
        <w:tc>
          <w:tcPr>
            <w:tcW w:w="10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Corporate &amp;</w:t>
            </w:r>
          </w:p>
        </w:tc>
        <w:tc>
          <w:tcPr>
            <w:tcW w:w="260" w:type="dxa"/>
            <w:vAlign w:val="bottom"/>
          </w:tcPr>
          <w:p>
            <w:pPr>
              <w:spacing w:after="0"/>
              <w:rPr>
                <w:sz w:val="13"/>
                <w:szCs w:val="13"/>
                <w:color w:val="auto"/>
              </w:rPr>
            </w:pPr>
          </w:p>
        </w:tc>
        <w:tc>
          <w:tcPr>
            <w:tcW w:w="86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shareholders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6"/>
                <w:szCs w:val="16"/>
                <w:color w:val="auto"/>
              </w:rPr>
              <w:t>Add: Provision for income tax expense (benefit)</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33"/>
        </w:trPr>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6"/>
                <w:szCs w:val="16"/>
                <w:color w:val="auto"/>
              </w:rPr>
              <w:t>Less: GMLB Riders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(1,330)</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Other derivative instruments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6"/>
                <w:szCs w:val="16"/>
                <w:color w:val="auto"/>
              </w:rPr>
              <w:t>Less: Net investment gains (losses)</w:t>
            </w:r>
          </w:p>
        </w:tc>
        <w:tc>
          <w:tcPr>
            <w:tcW w:w="20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Other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0"/>
        </w:trPr>
        <w:tc>
          <w:tcPr>
            <w:tcW w:w="5480" w:type="dxa"/>
            <w:vAlign w:val="bottom"/>
          </w:tcPr>
          <w:p>
            <w:pPr>
              <w:ind w:left="40"/>
              <w:spacing w:after="0"/>
              <w:rPr>
                <w:sz w:val="20"/>
                <w:szCs w:val="20"/>
                <w:color w:val="auto"/>
              </w:rPr>
            </w:pPr>
            <w:r>
              <w:rPr>
                <w:rFonts w:ascii="Arial" w:cs="Arial" w:eastAsia="Arial" w:hAnsi="Arial"/>
                <w:sz w:val="16"/>
                <w:szCs w:val="16"/>
                <w:color w:val="auto"/>
                <w:w w:val="98"/>
              </w:rPr>
              <w:t>Pre-tax adjusted earnings, less net income (loss) attributable to noncontrolling</w:t>
            </w: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80" w:type="dxa"/>
            <w:vAlign w:val="bottom"/>
          </w:tcPr>
          <w:p>
            <w:pPr>
              <w:ind w:left="200"/>
              <w:spacing w:after="0"/>
              <w:rPr>
                <w:sz w:val="20"/>
                <w:szCs w:val="20"/>
                <w:color w:val="auto"/>
              </w:rPr>
            </w:pPr>
            <w:r>
              <w:rPr>
                <w:rFonts w:ascii="Arial" w:cs="Arial" w:eastAsia="Arial" w:hAnsi="Arial"/>
                <w:sz w:val="16"/>
                <w:szCs w:val="16"/>
                <w:color w:val="auto"/>
              </w:rPr>
              <w:t>interests and preferred stock dividends</w:t>
            </w:r>
          </w:p>
        </w:tc>
        <w:tc>
          <w:tcPr>
            <w:tcW w:w="2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Provision for income tax expense (benefit)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7"/>
        </w:trPr>
        <w:tc>
          <w:tcPr>
            <w:tcW w:w="5480" w:type="dxa"/>
            <w:vAlign w:val="bottom"/>
          </w:tcPr>
          <w:p>
            <w:pPr>
              <w:ind w:left="40"/>
              <w:spacing w:after="0"/>
              <w:rPr>
                <w:sz w:val="20"/>
                <w:szCs w:val="20"/>
                <w:color w:val="auto"/>
              </w:rPr>
            </w:pPr>
            <w:r>
              <w:rPr>
                <w:rFonts w:ascii="Arial" w:cs="Arial" w:eastAsia="Arial" w:hAnsi="Arial"/>
                <w:sz w:val="16"/>
                <w:szCs w:val="16"/>
                <w:color w:val="auto"/>
              </w:rPr>
              <w:t>Adjusted earnings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320" w:top="126" w:right="39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Ended March 31, 2020 and 2019 — Adjusted Earnings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adjusted earnings were as follows:</w:t>
      </w:r>
    </w:p>
    <w:p>
      <w:pPr>
        <w:spacing w:after="0" w:line="325"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13335</wp:posOffset>
            </wp:positionV>
            <wp:extent cx="19113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901</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98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335</w:t>
            </w:r>
          </w:p>
        </w:tc>
      </w:tr>
      <w:tr>
        <w:trPr>
          <w:trHeight w:val="33"/>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33"/>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 and preferred stock dividends</w:t>
            </w:r>
          </w:p>
        </w:tc>
        <w:tc>
          <w:tcPr>
            <w:tcW w:w="98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33"/>
        </w:trPr>
        <w:tc>
          <w:tcPr>
            <w:tcW w:w="8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6"/>
              </w:rPr>
              <w:t>Pre-tax adjusted earnings, less net income (loss) attributable to noncontrolling interests and preferred stock dividends</w:t>
            </w:r>
          </w:p>
        </w:tc>
        <w:tc>
          <w:tcPr>
            <w:tcW w:w="9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980" w:type="dxa"/>
            <w:vAlign w:val="bottom"/>
          </w:tcPr>
          <w:p>
            <w:pPr>
              <w:spacing w:after="0"/>
              <w:rPr>
                <w:sz w:val="20"/>
                <w:szCs w:val="20"/>
                <w:color w:val="auto"/>
              </w:rPr>
            </w:pPr>
          </w:p>
        </w:tc>
        <w:tc>
          <w:tcPr>
            <w:tcW w:w="48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40</w:t>
            </w:r>
          </w:p>
        </w:tc>
      </w:tr>
      <w:tr>
        <w:trPr>
          <w:trHeight w:val="33"/>
        </w:trPr>
        <w:tc>
          <w:tcPr>
            <w:tcW w:w="8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Adjusted earnings</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2020 Compared with the Three Months Ended March 31, 2019</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$211 million, a decrease of $21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unfavorable impacts were:</w:t>
      </w:r>
    </w:p>
    <w:p>
      <w:pPr>
        <w:spacing w:after="0" w:line="117" w:lineRule="exact"/>
        <w:rPr>
          <w:sz w:val="20"/>
          <w:szCs w:val="20"/>
          <w:color w:val="auto"/>
        </w:rPr>
      </w:pPr>
    </w:p>
    <w:p>
      <w:pPr>
        <w:ind w:left="1300" w:hanging="32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w:t>
      </w:r>
    </w:p>
    <w:p>
      <w:pPr>
        <w:spacing w:after="0" w:line="117" w:lineRule="exact"/>
        <w:rPr>
          <w:rFonts w:ascii="Arial" w:cs="Arial" w:eastAsia="Arial" w:hAnsi="Arial"/>
          <w:sz w:val="18"/>
          <w:szCs w:val="18"/>
          <w:color w:val="auto"/>
        </w:rPr>
      </w:pPr>
    </w:p>
    <w:p>
      <w:pPr>
        <w:ind w:left="1960" w:right="20" w:hanging="332"/>
        <w:spacing w:after="0" w:line="277" w:lineRule="auto"/>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 increase in guaranteed minimum death benefits (“GMDB”) liability balances resulting from unfavorable equity market performance; and</w:t>
      </w:r>
    </w:p>
    <w:p>
      <w:pPr>
        <w:spacing w:after="0" w:line="62" w:lineRule="exact"/>
        <w:rPr>
          <w:rFonts w:ascii="Arial" w:cs="Arial" w:eastAsia="Arial" w:hAnsi="Arial"/>
          <w:sz w:val="18"/>
          <w:szCs w:val="18"/>
          <w:color w:val="auto"/>
        </w:rPr>
      </w:pPr>
    </w:p>
    <w:p>
      <w:pPr>
        <w:ind w:left="1960" w:hanging="332"/>
        <w:spacing w:after="0"/>
        <w:tabs>
          <w:tab w:leader="none" w:pos="19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unfavorable underwriting margin in our Life and Run-off segments.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favorable impacts were:</w:t>
      </w:r>
    </w:p>
    <w:p>
      <w:pPr>
        <w:spacing w:after="0" w:line="117" w:lineRule="exact"/>
        <w:rPr>
          <w:sz w:val="20"/>
          <w:szCs w:val="20"/>
          <w:color w:val="auto"/>
        </w:rPr>
      </w:pPr>
    </w:p>
    <w:p>
      <w:pPr>
        <w:ind w:left="1300" w:hanging="32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net investment spread reflecting:</w:t>
      </w:r>
    </w:p>
    <w:p>
      <w:pPr>
        <w:spacing w:after="0" w:line="117" w:lineRule="exact"/>
        <w:rPr>
          <w:rFonts w:ascii="Arial" w:cs="Arial" w:eastAsia="Arial" w:hAnsi="Arial"/>
          <w:sz w:val="18"/>
          <w:szCs w:val="18"/>
          <w:color w:val="auto"/>
        </w:rPr>
      </w:pPr>
    </w:p>
    <w:p>
      <w:pPr>
        <w:ind w:left="1960" w:hanging="332"/>
        <w:spacing w:after="0"/>
        <w:tabs>
          <w:tab w:leader="none" w:pos="19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higher net investment income from higher returns on other limited partnerships for the comparative measurement period; and</w:t>
      </w:r>
    </w:p>
    <w:p>
      <w:pPr>
        <w:spacing w:after="0" w:line="140" w:lineRule="exact"/>
        <w:rPr>
          <w:rFonts w:ascii="Arial" w:cs="Arial" w:eastAsia="Arial" w:hAnsi="Arial"/>
          <w:sz w:val="16"/>
          <w:szCs w:val="16"/>
          <w:color w:val="auto"/>
        </w:rPr>
      </w:pPr>
    </w:p>
    <w:p>
      <w:pPr>
        <w:ind w:left="1960" w:hanging="332"/>
        <w:spacing w:after="0"/>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960" w:hanging="332"/>
        <w:spacing w:after="0" w:line="277" w:lineRule="auto"/>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lower investment yields on the fixed income portfolio, as proceeds from maturing investments and growth in the investment portfolio were invested at lower yields than the portfolio average;</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7" w:lineRule="exact"/>
        <w:rPr>
          <w:rFonts w:ascii="Arial" w:cs="Arial" w:eastAsia="Arial" w:hAnsi="Arial"/>
          <w:sz w:val="18"/>
          <w:szCs w:val="18"/>
          <w:color w:val="auto"/>
        </w:rPr>
      </w:pPr>
    </w:p>
    <w:p>
      <w:pPr>
        <w:ind w:left="1960" w:hanging="332"/>
        <w:spacing w:after="0"/>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lower deferred compensation expense driven by the decline in equity markets; and</w:t>
      </w:r>
    </w:p>
    <w:p>
      <w:pPr>
        <w:spacing w:after="0" w:line="117" w:lineRule="exact"/>
        <w:rPr>
          <w:rFonts w:ascii="Arial" w:cs="Arial" w:eastAsia="Arial" w:hAnsi="Arial"/>
          <w:sz w:val="18"/>
          <w:szCs w:val="18"/>
          <w:color w:val="auto"/>
        </w:rPr>
      </w:pPr>
    </w:p>
    <w:p>
      <w:pPr>
        <w:ind w:left="1960" w:hanging="332"/>
        <w:spacing w:after="0"/>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lower establishment costs in the current period related to planned technology expenses;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 fee income due to:</w:t>
      </w:r>
    </w:p>
    <w:p>
      <w:pPr>
        <w:spacing w:after="0" w:line="117" w:lineRule="exact"/>
        <w:rPr>
          <w:rFonts w:ascii="Arial" w:cs="Arial" w:eastAsia="Arial" w:hAnsi="Arial"/>
          <w:sz w:val="18"/>
          <w:szCs w:val="18"/>
          <w:color w:val="auto"/>
        </w:rPr>
      </w:pPr>
    </w:p>
    <w:p>
      <w:pPr>
        <w:ind w:left="1960" w:hanging="332"/>
        <w:spacing w:after="0"/>
        <w:tabs>
          <w:tab w:leader="none" w:pos="19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higher unearned revenue amortization in the current period in our Life segment from lower separate account growth; and</w:t>
      </w:r>
    </w:p>
    <w:p>
      <w:pPr>
        <w:spacing w:after="0" w:line="128" w:lineRule="exact"/>
        <w:rPr>
          <w:rFonts w:ascii="Arial" w:cs="Arial" w:eastAsia="Arial" w:hAnsi="Arial"/>
          <w:sz w:val="17"/>
          <w:szCs w:val="17"/>
          <w:color w:val="auto"/>
        </w:rPr>
      </w:pPr>
    </w:p>
    <w:p>
      <w:pPr>
        <w:ind w:left="1960" w:hanging="332"/>
        <w:spacing w:after="0" w:line="277" w:lineRule="auto"/>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net reinsurance benefit in the current period as a result of a decline in the underlying market conditions in our Annuity segment;</w:t>
      </w:r>
    </w:p>
    <w:p>
      <w:pPr>
        <w:spacing w:after="0" w:line="6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960" w:hanging="332"/>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lower retained fees in our Run-off segment driven by the aging in-force and lower average balances.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in the current period led to an effective tax rate of 14%, compared to 15% in the prior period. Our effective tax rate primarily differs from the statutory tax rate due to the impacts of the dividends received deductions and tax credits.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6" w:right="3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 and Corporate &amp; Other Results for the Three Months Ended March 31, 2020 and 2019 — Adjusted Earnings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adjusted earnings for our Annuities segment were as follows:</w:t>
      </w:r>
    </w:p>
    <w:p>
      <w:pPr>
        <w:spacing w:after="0" w:line="325" w:lineRule="exact"/>
        <w:rPr>
          <w:sz w:val="20"/>
          <w:szCs w:val="20"/>
          <w:color w:val="auto"/>
        </w:rPr>
      </w:pPr>
    </w:p>
    <w:p>
      <w:pPr>
        <w:jc w:val="right"/>
        <w:ind w:right="8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13335</wp:posOffset>
            </wp:positionV>
            <wp:extent cx="18942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Fee income</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Net investment spread</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Insurance-related activities</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Amortization of DAC and VOBA</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expenses, net of DAC capitalization</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Pre-tax adjusted earnings</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Provision for income tax expense (benefit)</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Adjusted earnings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560"/>
        <w:spacing w:after="0"/>
        <w:tabs>
          <w:tab w:leader="none" w:pos="20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18942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8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-5171440</wp:posOffset>
            </wp:positionH>
            <wp:positionV relativeFrom="paragraph">
              <wp:posOffset>23495</wp:posOffset>
            </wp:positionV>
            <wp:extent cx="705485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48" w:lineRule="exact"/>
        <w:rPr>
          <w:sz w:val="20"/>
          <w:szCs w:val="20"/>
          <w:color w:val="auto"/>
        </w:rPr>
      </w:pPr>
    </w:p>
    <w:p>
      <w:pPr>
        <w:spacing w:after="0"/>
        <w:tabs>
          <w:tab w:leader="none" w:pos="1040" w:val="left"/>
          <w:tab w:leader="none" w:pos="1540" w:val="left"/>
          <w:tab w:leader="none" w:pos="25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656</w:t>
        <w:tab/>
        <w:t>$</w:t>
      </w:r>
      <w:r>
        <w:rPr>
          <w:sz w:val="20"/>
          <w:szCs w:val="20"/>
          <w:color w:val="auto"/>
        </w:rPr>
        <w:tab/>
      </w:r>
      <w:r>
        <w:rPr>
          <w:rFonts w:ascii="Arial" w:cs="Arial" w:eastAsia="Arial" w:hAnsi="Arial"/>
          <w:sz w:val="15"/>
          <w:szCs w:val="15"/>
          <w:color w:val="auto"/>
        </w:rPr>
        <w:t>638</w:t>
      </w:r>
    </w:p>
    <w:p>
      <w:pPr>
        <w:spacing w:after="0" w:line="86" w:lineRule="exact"/>
        <w:rPr>
          <w:sz w:val="20"/>
          <w:szCs w:val="20"/>
          <w:color w:val="auto"/>
        </w:rPr>
      </w:pPr>
    </w:p>
    <w:p>
      <w:pPr>
        <w:ind w:left="1060"/>
        <w:spacing w:after="0"/>
        <w:tabs>
          <w:tab w:leader="none" w:pos="2580" w:val="left"/>
        </w:tabs>
        <w:rPr>
          <w:sz w:val="20"/>
          <w:szCs w:val="20"/>
          <w:color w:val="auto"/>
        </w:rPr>
      </w:pPr>
      <w:r>
        <w:rPr>
          <w:rFonts w:ascii="Arial" w:cs="Arial" w:eastAsia="Arial" w:hAnsi="Arial"/>
          <w:sz w:val="16"/>
          <w:szCs w:val="16"/>
          <w:color w:val="auto"/>
        </w:rPr>
        <w:t>262</w:t>
      </w:r>
      <w:r>
        <w:rPr>
          <w:sz w:val="20"/>
          <w:szCs w:val="20"/>
          <w:color w:val="auto"/>
        </w:rPr>
        <w:tab/>
      </w:r>
      <w:r>
        <w:rPr>
          <w:rFonts w:ascii="Arial" w:cs="Arial" w:eastAsia="Arial" w:hAnsi="Arial"/>
          <w:sz w:val="16"/>
          <w:szCs w:val="16"/>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-5171440</wp:posOffset>
            </wp:positionH>
            <wp:positionV relativeFrom="paragraph">
              <wp:posOffset>34925</wp:posOffset>
            </wp:positionV>
            <wp:extent cx="705485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66" w:lineRule="exact"/>
        <w:rPr>
          <w:sz w:val="20"/>
          <w:szCs w:val="20"/>
          <w:color w:val="auto"/>
        </w:rPr>
      </w:pPr>
    </w:p>
    <w:p>
      <w:pPr>
        <w:ind w:left="2640" w:hanging="1625"/>
        <w:spacing w:after="0"/>
        <w:tabs>
          <w:tab w:leader="none" w:pos="2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(42)</w:t>
      </w:r>
    </w:p>
    <w:p>
      <w:pPr>
        <w:spacing w:after="0" w:line="109" w:lineRule="exact"/>
        <w:rPr>
          <w:sz w:val="20"/>
          <w:szCs w:val="20"/>
          <w:color w:val="auto"/>
        </w:rPr>
      </w:pPr>
    </w:p>
    <w:p>
      <w:pPr>
        <w:ind w:left="2640" w:hanging="1544"/>
        <w:spacing w:after="0"/>
        <w:tabs>
          <w:tab w:leader="none" w:pos="26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-5171440</wp:posOffset>
            </wp:positionH>
            <wp:positionV relativeFrom="paragraph">
              <wp:posOffset>49530</wp:posOffset>
            </wp:positionV>
            <wp:extent cx="705485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89" w:lineRule="exact"/>
        <w:rPr>
          <w:sz w:val="20"/>
          <w:szCs w:val="20"/>
          <w:color w:val="auto"/>
        </w:rPr>
      </w:pPr>
    </w:p>
    <w:p>
      <w:pPr>
        <w:ind w:left="2560" w:hanging="1545"/>
        <w:spacing w:after="0"/>
        <w:tabs>
          <w:tab w:leader="none" w:pos="25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49530</wp:posOffset>
            </wp:positionV>
            <wp:extent cx="18942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89" w:lineRule="exact"/>
        <w:rPr>
          <w:sz w:val="20"/>
          <w:szCs w:val="20"/>
          <w:color w:val="auto"/>
        </w:rPr>
      </w:pPr>
    </w:p>
    <w:p>
      <w:pPr>
        <w:ind w:left="1060"/>
        <w:spacing w:after="0"/>
        <w:tabs>
          <w:tab w:leader="none" w:pos="2580" w:val="left"/>
        </w:tabs>
        <w:rPr>
          <w:sz w:val="20"/>
          <w:szCs w:val="20"/>
          <w:color w:val="auto"/>
        </w:rPr>
      </w:pPr>
      <w:r>
        <w:rPr>
          <w:rFonts w:ascii="Arial" w:cs="Arial" w:eastAsia="Arial" w:hAnsi="Arial"/>
          <w:sz w:val="16"/>
          <w:szCs w:val="16"/>
          <w:color w:val="auto"/>
        </w:rPr>
        <w:t>389</w:t>
      </w:r>
      <w:r>
        <w:rPr>
          <w:sz w:val="20"/>
          <w:szCs w:val="20"/>
          <w:color w:val="auto"/>
        </w:rPr>
        <w:tab/>
      </w:r>
      <w:r>
        <w:rPr>
          <w:rFonts w:ascii="Arial" w:cs="Arial" w:eastAsia="Arial" w:hAnsi="Arial"/>
          <w:sz w:val="16"/>
          <w:szCs w:val="16"/>
          <w:color w:val="auto"/>
        </w:rPr>
        <w:t>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-5171440</wp:posOffset>
            </wp:positionH>
            <wp:positionV relativeFrom="paragraph">
              <wp:posOffset>34925</wp:posOffset>
            </wp:positionV>
            <wp:extent cx="705485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66" w:lineRule="exact"/>
        <w:rPr>
          <w:sz w:val="20"/>
          <w:szCs w:val="20"/>
          <w:color w:val="auto"/>
        </w:rPr>
      </w:pPr>
    </w:p>
    <w:p>
      <w:pPr>
        <w:ind w:left="1160"/>
        <w:spacing w:after="0"/>
        <w:tabs>
          <w:tab w:leader="none" w:pos="266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34925</wp:posOffset>
            </wp:positionV>
            <wp:extent cx="18942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66" w:lineRule="exact"/>
        <w:rPr>
          <w:sz w:val="20"/>
          <w:szCs w:val="20"/>
          <w:color w:val="auto"/>
        </w:rPr>
      </w:pPr>
    </w:p>
    <w:p>
      <w:pPr>
        <w:spacing w:after="0"/>
        <w:tabs>
          <w:tab w:leader="none" w:pos="1040" w:val="left"/>
          <w:tab w:leader="none" w:pos="1540" w:val="left"/>
          <w:tab w:leader="none" w:pos="25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316</w:t>
        <w:tab/>
        <w:t>$</w:t>
      </w:r>
      <w:r>
        <w:rPr>
          <w:sz w:val="20"/>
          <w:szCs w:val="20"/>
          <w:color w:val="auto"/>
        </w:rPr>
        <w:tab/>
      </w:r>
      <w:r>
        <w:rPr>
          <w:rFonts w:ascii="Arial" w:cs="Arial" w:eastAsia="Arial" w:hAnsi="Arial"/>
          <w:sz w:val="15"/>
          <w:szCs w:val="15"/>
          <w:color w:val="auto"/>
        </w:rPr>
        <w:t>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34925</wp:posOffset>
            </wp:positionV>
            <wp:extent cx="189420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94205" cy="25400"/>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7500" w:space="720"/>
            <w:col w:w="3020"/>
          </w:cols>
          <w:pgMar w:left="320" w:top="126" w:right="339" w:bottom="1440" w:gutter="0" w:footer="0" w:header="0"/>
          <w:type w:val="continuous"/>
        </w:sectPr>
      </w:pPr>
    </w:p>
    <w:p>
      <w:pPr>
        <w:jc w:val="both"/>
        <w:ind w:firstLine="324"/>
        <w:spacing w:after="0" w:line="279" w:lineRule="auto"/>
        <w:rPr>
          <w:sz w:val="20"/>
          <w:szCs w:val="20"/>
          <w:color w:val="auto"/>
        </w:rPr>
      </w:pPr>
      <w:r>
        <w:rPr>
          <w:rFonts w:ascii="Arial" w:cs="Arial" w:eastAsia="Arial" w:hAnsi="Arial"/>
          <w:sz w:val="17"/>
          <w:szCs w:val="17"/>
          <w:color w:val="auto"/>
        </w:rPr>
        <w:t>A significant portion of our adjusted earnings is driven by separate account balances related to our variable annuity business. Most directly, these balances determine asset-based fee income, but they also impact DAC amortization and asset-based commissions. The changes in our variable annuities separate account balances are presented in the table below. Variable annuities separate account balances decreased for the three months ended March 31, 2020. The decrease was primarily driven by lower equity market performance and negative net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tcPr>
          <w:p>
            <w:pPr>
              <w:jc w:val="right"/>
              <w:ind w:right="961"/>
              <w:spacing w:after="0"/>
              <w:rPr>
                <w:sz w:val="20"/>
                <w:szCs w:val="20"/>
                <w:color w:val="auto"/>
              </w:rPr>
            </w:pPr>
            <w:r>
              <w:rPr>
                <w:rFonts w:ascii="Arial" w:cs="Arial" w:eastAsia="Arial" w:hAnsi="Arial"/>
                <w:sz w:val="14"/>
                <w:szCs w:val="14"/>
                <w:b w:val="1"/>
                <w:bCs w:val="1"/>
                <w:color w:val="auto"/>
              </w:rPr>
              <w:t>March 31, 2020</w:t>
            </w:r>
          </w:p>
        </w:tc>
      </w:tr>
      <w:tr>
        <w:trPr>
          <w:trHeight w:val="244"/>
        </w:trPr>
        <w:tc>
          <w:tcPr>
            <w:tcW w:w="8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60" w:type="dxa"/>
            <w:vAlign w:val="bottom"/>
          </w:tcPr>
          <w:p>
            <w:pPr>
              <w:jc w:val="right"/>
              <w:ind w:right="1061"/>
              <w:spacing w:after="0"/>
              <w:rPr>
                <w:sz w:val="20"/>
                <w:szCs w:val="20"/>
                <w:color w:val="auto"/>
              </w:rPr>
            </w:pPr>
            <w:r>
              <w:rPr>
                <w:rFonts w:ascii="Arial" w:cs="Arial" w:eastAsia="Arial" w:hAnsi="Arial"/>
                <w:sz w:val="14"/>
                <w:szCs w:val="14"/>
                <w:b w:val="1"/>
                <w:bCs w:val="1"/>
                <w:color w:val="auto"/>
              </w:rPr>
              <w:t>(In millions)</w:t>
            </w:r>
          </w:p>
        </w:tc>
      </w:tr>
      <w:tr>
        <w:trPr>
          <w:trHeight w:val="249"/>
        </w:trPr>
        <w:tc>
          <w:tcPr>
            <w:tcW w:w="8220" w:type="dxa"/>
            <w:vAlign w:val="bottom"/>
          </w:tcPr>
          <w:p>
            <w:pPr>
              <w:ind w:left="40"/>
              <w:spacing w:after="0"/>
              <w:rPr>
                <w:sz w:val="20"/>
                <w:szCs w:val="20"/>
                <w:color w:val="auto"/>
              </w:rPr>
            </w:pPr>
            <w:r>
              <w:rPr>
                <w:rFonts w:ascii="Arial" w:cs="Arial" w:eastAsia="Arial" w:hAnsi="Arial"/>
                <w:sz w:val="16"/>
                <w:szCs w:val="16"/>
                <w:color w:val="auto"/>
              </w:rPr>
              <w:t>Balance, beginning of period</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2460" w:type="dxa"/>
            <w:vAlign w:val="bottom"/>
          </w:tcPr>
          <w:p>
            <w:pPr>
              <w:jc w:val="right"/>
              <w:ind w:right="21"/>
              <w:spacing w:after="0"/>
              <w:rPr>
                <w:sz w:val="20"/>
                <w:szCs w:val="20"/>
                <w:color w:val="auto"/>
              </w:rPr>
            </w:pPr>
            <w:r>
              <w:rPr>
                <w:rFonts w:ascii="Arial" w:cs="Arial" w:eastAsia="Arial" w:hAnsi="Arial"/>
                <w:sz w:val="16"/>
                <w:szCs w:val="16"/>
                <w:color w:val="auto"/>
              </w:rPr>
              <w:t>99,498</w:t>
            </w:r>
          </w:p>
        </w:tc>
      </w:tr>
      <w:tr>
        <w:trPr>
          <w:trHeight w:val="33"/>
        </w:trPr>
        <w:tc>
          <w:tcPr>
            <w:tcW w:w="8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Deposits</w:t>
            </w:r>
          </w:p>
        </w:tc>
        <w:tc>
          <w:tcPr>
            <w:tcW w:w="56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412</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Withdrawals, surrenders and benefits</w:t>
            </w:r>
          </w:p>
        </w:tc>
        <w:tc>
          <w:tcPr>
            <w:tcW w:w="56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(2,364)</w:t>
            </w:r>
          </w:p>
        </w:tc>
      </w:tr>
      <w:tr>
        <w:trPr>
          <w:trHeight w:val="33"/>
        </w:trPr>
        <w:tc>
          <w:tcPr>
            <w:tcW w:w="8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flows</w:t>
            </w:r>
          </w:p>
        </w:tc>
        <w:tc>
          <w:tcPr>
            <w:tcW w:w="56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(1,952)</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Investment performance</w:t>
            </w:r>
          </w:p>
        </w:tc>
        <w:tc>
          <w:tcPr>
            <w:tcW w:w="56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(14,131)</w:t>
            </w:r>
          </w:p>
        </w:tc>
      </w:tr>
      <w:tr>
        <w:trPr>
          <w:trHeight w:val="33"/>
        </w:trPr>
        <w:tc>
          <w:tcPr>
            <w:tcW w:w="8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charges</w:t>
            </w:r>
          </w:p>
        </w:tc>
        <w:tc>
          <w:tcPr>
            <w:tcW w:w="56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Net transfers from (to) general account</w:t>
            </w:r>
          </w:p>
        </w:tc>
        <w:tc>
          <w:tcPr>
            <w:tcW w:w="560" w:type="dxa"/>
            <w:vAlign w:val="bottom"/>
          </w:tcPr>
          <w:p>
            <w:pPr>
              <w:spacing w:after="0"/>
              <w:rPr>
                <w:sz w:val="20"/>
                <w:szCs w:val="20"/>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33"/>
        </w:trPr>
        <w:tc>
          <w:tcPr>
            <w:tcW w:w="82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55"/>
        </w:trPr>
        <w:tc>
          <w:tcPr>
            <w:tcW w:w="8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Balance, end of period</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2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82,648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8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62"/>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balance</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24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94,302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2020 Compared with the Three Months Ended March 31, 2019</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$316 million for the current period, an increase of $21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favorable impacts were:</w:t>
      </w:r>
    </w:p>
    <w:p>
      <w:pPr>
        <w:spacing w:after="0" w:line="117" w:lineRule="exact"/>
        <w:rPr>
          <w:sz w:val="20"/>
          <w:szCs w:val="20"/>
          <w:color w:val="auto"/>
        </w:rPr>
      </w:pPr>
    </w:p>
    <w:p>
      <w:pPr>
        <w:ind w:left="1300" w:hanging="320"/>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amortization of DAC and VOBA driven by the net reduction of future gross profits from the decline in equity markets;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deferred compensation expense driven by the decline in equity markets;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net investment spread driven by:</w:t>
      </w:r>
    </w:p>
    <w:p>
      <w:pPr>
        <w:spacing w:after="0" w:line="117" w:lineRule="exact"/>
        <w:rPr>
          <w:rFonts w:ascii="Arial" w:cs="Arial" w:eastAsia="Arial" w:hAnsi="Arial"/>
          <w:sz w:val="18"/>
          <w:szCs w:val="18"/>
          <w:color w:val="auto"/>
        </w:rPr>
      </w:pPr>
    </w:p>
    <w:p>
      <w:pPr>
        <w:ind w:left="1960" w:hanging="332"/>
        <w:spacing w:after="0"/>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 and</w:t>
      </w:r>
    </w:p>
    <w:p>
      <w:pPr>
        <w:spacing w:after="0" w:line="117" w:lineRule="exact"/>
        <w:rPr>
          <w:rFonts w:ascii="Arial" w:cs="Arial" w:eastAsia="Arial" w:hAnsi="Arial"/>
          <w:sz w:val="18"/>
          <w:szCs w:val="18"/>
          <w:color w:val="auto"/>
        </w:rPr>
      </w:pPr>
    </w:p>
    <w:p>
      <w:pPr>
        <w:ind w:left="1460" w:right="580" w:firstLine="168"/>
        <w:spacing w:after="0" w:line="402" w:lineRule="auto"/>
        <w:tabs>
          <w:tab w:leader="none" w:pos="1946" w:val="left"/>
        </w:tabs>
        <w:numPr>
          <w:ilvl w:val="1"/>
          <w:numId w:val="39"/>
        </w:numPr>
        <w:rPr>
          <w:rFonts w:ascii="Arial" w:cs="Arial" w:eastAsia="Arial" w:hAnsi="Arial"/>
          <w:sz w:val="18"/>
          <w:szCs w:val="18"/>
          <w:color w:val="auto"/>
        </w:rPr>
      </w:pPr>
      <w:r>
        <w:rPr>
          <w:rFonts w:ascii="Arial" w:cs="Arial" w:eastAsia="Arial" w:hAnsi="Arial"/>
          <w:sz w:val="18"/>
          <w:szCs w:val="18"/>
          <w:color w:val="auto"/>
        </w:rPr>
        <w:t>higher net investment income from higher returns on other limited partnerships for the comparative measurement period; partially offset by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6" w:right="339" w:bottom="1440" w:gutter="0" w:footer="0" w:header="0"/>
          <w:type w:val="continuous"/>
        </w:sectPr>
      </w:pPr>
    </w:p>
    <w:bookmarkStart w:id="53" w:name="page54"/>
    <w:bookmarkEnd w:id="5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960" w:hanging="332"/>
        <w:spacing w:after="0" w:line="277" w:lineRule="auto"/>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lower investment yields on the fixed income portfolio, as proceeds from maturing investments and growth in the investment portfolio were invested at lower yields than the portfolio average;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higher fee income driven by a net reinsurance benefit in the current period as a result of a decline in the underlying market conditions.</w:t>
      </w:r>
    </w:p>
    <w:p>
      <w:pPr>
        <w:spacing w:after="0" w:line="140"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increase in adjusted earnings was partially offset by higher costs associated with insurance-related activities due to an increase in GMDB liabilities resulting from unfavorable equity market performance in the current period, net of lower income annuity benefit payments.</w:t>
      </w:r>
    </w:p>
    <w:p>
      <w:pPr>
        <w:spacing w:after="0" w:line="62"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in the current period led to an effective tax rate of 19%, compared to 18% in the prior period. Our effective tax rate primarily differs from the statutory tax rate due to the impacts of the dividends received deductions.</w:t>
      </w:r>
    </w:p>
    <w:p>
      <w:pPr>
        <w:sectPr>
          <w:pgSz w:w="11900" w:h="16838" w:orient="portrait"/>
          <w:cols w:equalWidth="0" w:num="1">
            <w:col w:w="11240"/>
          </w:cols>
          <w:pgMar w:left="320" w:top="126" w:right="33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adjusted earnings for our Life segment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792480</wp:posOffset>
            </wp:positionV>
            <wp:extent cx="705485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Fee income</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Net investment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43815</wp:posOffset>
            </wp:positionV>
            <wp:extent cx="705485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Insurance-related activities</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Amortization of DAC and VOBA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43815</wp:posOffset>
            </wp:positionV>
            <wp:extent cx="705485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Other expenses, net of DAC capitalization</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Pre-tax adjusted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43815</wp:posOffset>
            </wp:positionV>
            <wp:extent cx="705485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Provision for income tax expense (benefit)</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Adjusted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13335</wp:posOffset>
            </wp:positionV>
            <wp:extent cx="18942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87" w:lineRule="exact"/>
        <w:rPr>
          <w:sz w:val="20"/>
          <w:szCs w:val="20"/>
          <w:color w:val="auto"/>
        </w:rPr>
      </w:pPr>
    </w:p>
    <w:p>
      <w:pPr>
        <w:ind w:left="560"/>
        <w:spacing w:after="0"/>
        <w:tabs>
          <w:tab w:leader="none" w:pos="20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18942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8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(In millions)</w:t>
      </w:r>
    </w:p>
    <w:p>
      <w:pPr>
        <w:spacing w:after="0" w:line="68" w:lineRule="exact"/>
        <w:rPr>
          <w:sz w:val="20"/>
          <w:szCs w:val="20"/>
          <w:color w:val="auto"/>
        </w:rPr>
      </w:pPr>
    </w:p>
    <w:p>
      <w:pPr>
        <w:spacing w:after="0"/>
        <w:tabs>
          <w:tab w:leader="none" w:pos="1140" w:val="left"/>
          <w:tab w:leader="none" w:pos="1540" w:val="left"/>
          <w:tab w:leader="none" w:pos="2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97</w:t>
        <w:tab/>
        <w:t>$</w:t>
      </w:r>
      <w:r>
        <w:rPr>
          <w:sz w:val="20"/>
          <w:szCs w:val="20"/>
          <w:color w:val="auto"/>
        </w:rPr>
        <w:tab/>
      </w:r>
      <w:r>
        <w:rPr>
          <w:rFonts w:ascii="Arial" w:cs="Arial" w:eastAsia="Arial" w:hAnsi="Arial"/>
          <w:sz w:val="16"/>
          <w:szCs w:val="16"/>
          <w:color w:val="auto"/>
        </w:rPr>
        <w:t>61</w:t>
      </w:r>
    </w:p>
    <w:p>
      <w:pPr>
        <w:spacing w:after="0" w:line="86" w:lineRule="exact"/>
        <w:rPr>
          <w:sz w:val="20"/>
          <w:szCs w:val="20"/>
          <w:color w:val="auto"/>
        </w:rPr>
      </w:pPr>
    </w:p>
    <w:p>
      <w:pPr>
        <w:ind w:left="1160"/>
        <w:spacing w:after="0"/>
        <w:tabs>
          <w:tab w:leader="none" w:pos="2660" w:val="left"/>
        </w:tabs>
        <w:rPr>
          <w:sz w:val="20"/>
          <w:szCs w:val="20"/>
          <w:color w:val="auto"/>
        </w:rPr>
      </w:pPr>
      <w:r>
        <w:rPr>
          <w:rFonts w:ascii="Arial" w:cs="Arial" w:eastAsia="Arial" w:hAnsi="Arial"/>
          <w:sz w:val="16"/>
          <w:szCs w:val="16"/>
          <w:color w:val="auto"/>
        </w:rPr>
        <w:t>59</w:t>
      </w:r>
      <w:r>
        <w:rPr>
          <w:sz w:val="20"/>
          <w:szCs w:val="20"/>
          <w:color w:val="auto"/>
        </w:rPr>
        <w:tab/>
      </w:r>
      <w:r>
        <w:rPr>
          <w:rFonts w:ascii="Arial" w:cs="Arial" w:eastAsia="Arial" w:hAnsi="Arial"/>
          <w:sz w:val="16"/>
          <w:szCs w:val="16"/>
          <w:color w:val="auto"/>
        </w:rPr>
        <w:t>42</w:t>
      </w:r>
    </w:p>
    <w:p>
      <w:pPr>
        <w:spacing w:after="0" w:line="86" w:lineRule="exact"/>
        <w:rPr>
          <w:sz w:val="20"/>
          <w:szCs w:val="20"/>
          <w:color w:val="auto"/>
        </w:rPr>
      </w:pPr>
    </w:p>
    <w:p>
      <w:pPr>
        <w:jc w:val="both"/>
        <w:ind w:left="1100"/>
        <w:spacing w:after="0"/>
        <w:tabs>
          <w:tab w:leader="none" w:pos="2700" w:val="left"/>
        </w:tabs>
        <w:rPr>
          <w:sz w:val="20"/>
          <w:szCs w:val="20"/>
          <w:color w:val="auto"/>
        </w:rPr>
      </w:pPr>
      <w:r>
        <w:rPr>
          <w:rFonts w:ascii="Arial" w:cs="Arial" w:eastAsia="Arial" w:hAnsi="Arial"/>
          <w:sz w:val="16"/>
          <w:szCs w:val="16"/>
          <w:color w:val="auto"/>
        </w:rPr>
        <w:t>(66)</w:t>
      </w:r>
      <w:r>
        <w:rPr>
          <w:sz w:val="20"/>
          <w:szCs w:val="20"/>
          <w:color w:val="auto"/>
        </w:rPr>
        <w:tab/>
      </w:r>
      <w:r>
        <w:rPr>
          <w:rFonts w:ascii="Arial" w:cs="Arial" w:eastAsia="Arial" w:hAnsi="Arial"/>
          <w:sz w:val="16"/>
          <w:szCs w:val="16"/>
          <w:color w:val="auto"/>
        </w:rPr>
        <w:t>(6)</w:t>
      </w:r>
    </w:p>
    <w:p>
      <w:pPr>
        <w:spacing w:after="0" w:line="86" w:lineRule="exact"/>
        <w:rPr>
          <w:sz w:val="20"/>
          <w:szCs w:val="20"/>
          <w:color w:val="auto"/>
        </w:rPr>
      </w:pPr>
    </w:p>
    <w:p>
      <w:pPr>
        <w:ind w:left="2640" w:hanging="1544"/>
        <w:spacing w:after="0"/>
        <w:tabs>
          <w:tab w:leader="none" w:pos="26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(11)</w:t>
      </w:r>
    </w:p>
    <w:p>
      <w:pPr>
        <w:spacing w:after="0" w:line="109" w:lineRule="exact"/>
        <w:rPr>
          <w:sz w:val="20"/>
          <w:szCs w:val="20"/>
          <w:color w:val="auto"/>
        </w:rPr>
      </w:pPr>
    </w:p>
    <w:p>
      <w:pPr>
        <w:ind w:left="2640" w:hanging="1544"/>
        <w:spacing w:after="0"/>
        <w:tabs>
          <w:tab w:leader="none" w:pos="26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49530</wp:posOffset>
            </wp:positionV>
            <wp:extent cx="18942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89" w:lineRule="exact"/>
        <w:rPr>
          <w:sz w:val="20"/>
          <w:szCs w:val="20"/>
          <w:color w:val="auto"/>
        </w:rPr>
      </w:pPr>
    </w:p>
    <w:p>
      <w:pPr>
        <w:ind w:left="1160"/>
        <w:spacing w:after="0"/>
        <w:tabs>
          <w:tab w:leader="none" w:pos="266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31</w:t>
      </w:r>
    </w:p>
    <w:p>
      <w:pPr>
        <w:spacing w:after="0" w:line="86" w:lineRule="exact"/>
        <w:rPr>
          <w:sz w:val="20"/>
          <w:szCs w:val="20"/>
          <w:color w:val="auto"/>
        </w:rPr>
      </w:pPr>
    </w:p>
    <w:p>
      <w:pPr>
        <w:ind w:left="1240"/>
        <w:spacing w:after="0"/>
        <w:tabs>
          <w:tab w:leader="none" w:pos="276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34925</wp:posOffset>
            </wp:positionV>
            <wp:extent cx="18942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66" w:lineRule="exact"/>
        <w:rPr>
          <w:sz w:val="20"/>
          <w:szCs w:val="20"/>
          <w:color w:val="auto"/>
        </w:rPr>
      </w:pPr>
    </w:p>
    <w:p>
      <w:pPr>
        <w:spacing w:after="0"/>
        <w:tabs>
          <w:tab w:leader="none" w:pos="1140" w:val="left"/>
          <w:tab w:leader="none" w:pos="1540" w:val="left"/>
          <w:tab w:leader="none" w:pos="2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11</w:t>
        <w:tab/>
        <w:t>$</w:t>
      </w:r>
      <w:r>
        <w:rPr>
          <w:sz w:val="20"/>
          <w:szCs w:val="20"/>
          <w:color w:val="auto"/>
        </w:rPr>
        <w:tab/>
      </w: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34925</wp:posOffset>
            </wp:positionV>
            <wp:extent cx="189420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94205" cy="25400"/>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7500" w:space="720"/>
            <w:col w:w="3020"/>
          </w:cols>
          <w:pgMar w:left="320" w:top="126" w:right="339" w:bottom="1440" w:gutter="0" w:footer="0" w:header="0"/>
          <w:type w:val="continuous"/>
        </w:sect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2020 Compared with the Three Months Ended March 31, 2019</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$11 million for the current period, a decrease of $14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unfavorable impacts were:</w:t>
      </w:r>
    </w:p>
    <w:p>
      <w:pPr>
        <w:spacing w:after="0" w:line="117" w:lineRule="exact"/>
        <w:rPr>
          <w:sz w:val="20"/>
          <w:szCs w:val="20"/>
          <w:color w:val="auto"/>
        </w:rPr>
      </w:pPr>
    </w:p>
    <w:p>
      <w:pPr>
        <w:ind w:left="1300" w:hanging="320"/>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 lower underwriting margin driven by higher paid claims, net of reinsurance, in the current period; and</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amortization of DAC and VOBA reflecting the impact on gross profits from lower separate account returns.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favorable impacts were:</w:t>
      </w:r>
    </w:p>
    <w:p>
      <w:pPr>
        <w:spacing w:after="0" w:line="117" w:lineRule="exact"/>
        <w:rPr>
          <w:sz w:val="20"/>
          <w:szCs w:val="20"/>
          <w:color w:val="auto"/>
        </w:rPr>
      </w:pPr>
    </w:p>
    <w:p>
      <w:pPr>
        <w:ind w:left="1300" w:hanging="320"/>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fee income due to higher unearned revenue amortization in the current period from lower separate account growth;</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lower deferred compensation expense driven by the decline in equity markets;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net investment spread from higher returns on other limited partnerships for the comparative measurement period.</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provision for income tax led to an effective tax rate of 15%, compared to 19% in the prior period. Our effective tax rate primarily differs from the statutory tax rate due to the impacts of the dividends received deductions.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6" w:right="339" w:bottom="1440" w:gutter="0" w:footer="0" w:header="0"/>
          <w:type w:val="continuous"/>
        </w:sectPr>
      </w:pPr>
    </w:p>
    <w:bookmarkStart w:id="54" w:name="page55"/>
    <w:bookmarkEnd w:id="5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components of adjusted earnings for our Run-off segment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758190</wp:posOffset>
            </wp:positionV>
            <wp:extent cx="705485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Fee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investment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05485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Insurance-related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DAC and VOBA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05485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expenses, net of DAC capitalization</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Pre-tax adjusted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05485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Provision for income tax expense (benefit)</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Adjusted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8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13335</wp:posOffset>
            </wp:positionV>
            <wp:extent cx="18942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87" w:lineRule="exact"/>
        <w:rPr>
          <w:sz w:val="20"/>
          <w:szCs w:val="20"/>
          <w:color w:val="auto"/>
        </w:rPr>
      </w:pPr>
    </w:p>
    <w:p>
      <w:pPr>
        <w:ind w:left="560"/>
        <w:spacing w:after="0"/>
        <w:tabs>
          <w:tab w:leader="none" w:pos="208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18942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8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(In millions)</w:t>
      </w:r>
    </w:p>
    <w:p>
      <w:pPr>
        <w:spacing w:after="0" w:line="68" w:lineRule="exact"/>
        <w:rPr>
          <w:sz w:val="20"/>
          <w:szCs w:val="20"/>
          <w:color w:val="auto"/>
        </w:rPr>
      </w:pPr>
    </w:p>
    <w:p>
      <w:pPr>
        <w:spacing w:after="0"/>
        <w:tabs>
          <w:tab w:leader="none" w:pos="1040" w:val="left"/>
          <w:tab w:leader="none" w:pos="1540" w:val="left"/>
          <w:tab w:leader="none" w:pos="25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169</w:t>
        <w:tab/>
        <w:t>$</w:t>
      </w:r>
      <w:r>
        <w:rPr>
          <w:sz w:val="20"/>
          <w:szCs w:val="20"/>
          <w:color w:val="auto"/>
        </w:rPr>
        <w:tab/>
      </w:r>
      <w:r>
        <w:rPr>
          <w:rFonts w:ascii="Arial" w:cs="Arial" w:eastAsia="Arial" w:hAnsi="Arial"/>
          <w:sz w:val="15"/>
          <w:szCs w:val="15"/>
          <w:color w:val="auto"/>
        </w:rPr>
        <w:t>199</w:t>
      </w:r>
    </w:p>
    <w:p>
      <w:pPr>
        <w:spacing w:after="0" w:line="86" w:lineRule="exact"/>
        <w:rPr>
          <w:sz w:val="20"/>
          <w:szCs w:val="20"/>
          <w:color w:val="auto"/>
        </w:rPr>
      </w:pPr>
    </w:p>
    <w:p>
      <w:pPr>
        <w:ind w:left="1060"/>
        <w:spacing w:after="0"/>
        <w:tabs>
          <w:tab w:leader="none" w:pos="2660" w:val="left"/>
        </w:tabs>
        <w:rPr>
          <w:sz w:val="20"/>
          <w:szCs w:val="20"/>
          <w:color w:val="auto"/>
        </w:rPr>
      </w:pPr>
      <w:r>
        <w:rPr>
          <w:rFonts w:ascii="Arial" w:cs="Arial" w:eastAsia="Arial" w:hAnsi="Arial"/>
          <w:sz w:val="16"/>
          <w:szCs w:val="16"/>
          <w:color w:val="auto"/>
        </w:rPr>
        <w:t>100</w:t>
      </w:r>
      <w:r>
        <w:rPr>
          <w:sz w:val="20"/>
          <w:szCs w:val="20"/>
          <w:color w:val="auto"/>
        </w:rPr>
        <w:tab/>
      </w:r>
      <w:r>
        <w:rPr>
          <w:rFonts w:ascii="Arial" w:cs="Arial" w:eastAsia="Arial" w:hAnsi="Arial"/>
          <w:sz w:val="16"/>
          <w:szCs w:val="16"/>
          <w:color w:val="auto"/>
        </w:rPr>
        <w:t>35</w:t>
      </w:r>
    </w:p>
    <w:p>
      <w:pPr>
        <w:spacing w:after="0" w:line="86" w:lineRule="exact"/>
        <w:rPr>
          <w:sz w:val="20"/>
          <w:szCs w:val="20"/>
          <w:color w:val="auto"/>
        </w:rPr>
      </w:pPr>
    </w:p>
    <w:p>
      <w:pPr>
        <w:ind w:left="2560" w:hanging="1545"/>
        <w:spacing w:after="0"/>
        <w:tabs>
          <w:tab w:leader="none" w:pos="25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(234)</w:t>
      </w:r>
    </w:p>
    <w:p>
      <w:pPr>
        <w:spacing w:after="0" w:line="109"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6"/>
          <w:szCs w:val="16"/>
          <w:color w:val="auto"/>
        </w:rPr>
        <w:t>——</w:t>
      </w:r>
    </w:p>
    <w:p>
      <w:pPr>
        <w:spacing w:after="0" w:line="86" w:lineRule="exact"/>
        <w:rPr>
          <w:sz w:val="20"/>
          <w:szCs w:val="20"/>
          <w:color w:val="auto"/>
        </w:rPr>
      </w:pPr>
    </w:p>
    <w:p>
      <w:pPr>
        <w:ind w:left="2640" w:hanging="1544"/>
        <w:spacing w:after="0"/>
        <w:tabs>
          <w:tab w:leader="none" w:pos="2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49530</wp:posOffset>
            </wp:positionV>
            <wp:extent cx="18942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89" w:lineRule="exact"/>
        <w:rPr>
          <w:sz w:val="20"/>
          <w:szCs w:val="20"/>
          <w:color w:val="auto"/>
        </w:rPr>
      </w:pPr>
    </w:p>
    <w:p>
      <w:pPr>
        <w:ind w:left="2640" w:hanging="1544"/>
        <w:spacing w:after="0"/>
        <w:tabs>
          <w:tab w:leader="none" w:pos="2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(46)</w:t>
      </w:r>
    </w:p>
    <w:p>
      <w:pPr>
        <w:spacing w:after="0" w:line="109" w:lineRule="exact"/>
        <w:rPr>
          <w:sz w:val="20"/>
          <w:szCs w:val="20"/>
          <w:color w:val="auto"/>
        </w:rPr>
      </w:pPr>
    </w:p>
    <w:p>
      <w:pPr>
        <w:ind w:left="2640" w:hanging="1544"/>
        <w:spacing w:after="0"/>
        <w:tabs>
          <w:tab w:leader="none" w:pos="26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49530</wp:posOffset>
            </wp:positionV>
            <wp:extent cx="18942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89" w:lineRule="exact"/>
        <w:rPr>
          <w:sz w:val="20"/>
          <w:szCs w:val="20"/>
          <w:color w:val="auto"/>
        </w:rPr>
      </w:pPr>
    </w:p>
    <w:p>
      <w:pPr>
        <w:spacing w:after="0"/>
        <w:tabs>
          <w:tab w:leader="none" w:pos="1080" w:val="left"/>
          <w:tab w:leader="none" w:pos="1540" w:val="left"/>
          <w:tab w:leader="none" w:pos="26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(70)</w:t>
        <w:tab/>
        <w:t>$</w:t>
      </w:r>
      <w:r>
        <w:rPr>
          <w:sz w:val="20"/>
          <w:szCs w:val="20"/>
          <w:color w:val="auto"/>
        </w:rPr>
        <w:tab/>
      </w: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189420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94205" cy="2603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7440" w:space="720"/>
            <w:col w:w="3080"/>
          </w:cols>
          <w:pgMar w:left="320" w:top="126" w:right="339" w:bottom="1440" w:gutter="0" w:footer="0" w:header="0"/>
        </w:sect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2020 Compared with the Three Months Ended March 31, 2019</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a loss of $70 million for the current period, a higher loss of $34 million.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net unfavorable impacts were:</w:t>
      </w:r>
    </w:p>
    <w:p>
      <w:pPr>
        <w:spacing w:after="0" w:line="117" w:lineRule="exact"/>
        <w:rPr>
          <w:sz w:val="20"/>
          <w:szCs w:val="20"/>
          <w:color w:val="auto"/>
        </w:rPr>
      </w:pP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w:t>
      </w:r>
    </w:p>
    <w:p>
      <w:pPr>
        <w:spacing w:after="0" w:line="117" w:lineRule="exact"/>
        <w:rPr>
          <w:rFonts w:ascii="Arial" w:cs="Arial" w:eastAsia="Arial" w:hAnsi="Arial"/>
          <w:sz w:val="18"/>
          <w:szCs w:val="18"/>
          <w:color w:val="auto"/>
        </w:rPr>
      </w:pPr>
    </w:p>
    <w:p>
      <w:pPr>
        <w:ind w:left="1960" w:hanging="332"/>
        <w:spacing w:after="0"/>
        <w:tabs>
          <w:tab w:leader="none" w:pos="1960" w:val="left"/>
        </w:tabs>
        <w:numPr>
          <w:ilvl w:val="1"/>
          <w:numId w:val="49"/>
        </w:numPr>
        <w:rPr>
          <w:rFonts w:ascii="Arial" w:cs="Arial" w:eastAsia="Arial" w:hAnsi="Arial"/>
          <w:sz w:val="17"/>
          <w:szCs w:val="17"/>
          <w:color w:val="auto"/>
        </w:rPr>
      </w:pPr>
      <w:r>
        <w:rPr>
          <w:rFonts w:ascii="Arial" w:cs="Arial" w:eastAsia="Arial" w:hAnsi="Arial"/>
          <w:sz w:val="17"/>
          <w:szCs w:val="17"/>
          <w:color w:val="auto"/>
        </w:rPr>
        <w:t>an increase in liability balances from the impact of recapture transactions in our ULSG business in the current period;</w:t>
      </w:r>
    </w:p>
    <w:p>
      <w:pPr>
        <w:spacing w:after="0" w:line="128" w:lineRule="exact"/>
        <w:rPr>
          <w:rFonts w:ascii="Arial" w:cs="Arial" w:eastAsia="Arial" w:hAnsi="Arial"/>
          <w:sz w:val="17"/>
          <w:szCs w:val="17"/>
          <w:color w:val="auto"/>
        </w:rPr>
      </w:pPr>
    </w:p>
    <w:p>
      <w:pPr>
        <w:ind w:left="1960" w:hanging="332"/>
        <w:spacing w:after="0" w:line="277" w:lineRule="auto"/>
        <w:tabs>
          <w:tab w:leader="none" w:pos="1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one-time adjustment to paid claims in our company-owned life insurance business resulting from the transition to a new vendor; and</w:t>
      </w:r>
    </w:p>
    <w:p>
      <w:pPr>
        <w:spacing w:after="0" w:line="62" w:lineRule="exact"/>
        <w:rPr>
          <w:rFonts w:ascii="Arial" w:cs="Arial" w:eastAsia="Arial" w:hAnsi="Arial"/>
          <w:sz w:val="18"/>
          <w:szCs w:val="18"/>
          <w:color w:val="auto"/>
        </w:rPr>
      </w:pPr>
    </w:p>
    <w:p>
      <w:pPr>
        <w:ind w:left="1960" w:hanging="332"/>
        <w:spacing w:after="0"/>
        <w:tabs>
          <w:tab w:leader="none" w:pos="1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lower underwriting margin driven by higher paid claims, net of reinsurance, in the current period;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lower fee income in our ULSG business due to:</w:t>
      </w:r>
    </w:p>
    <w:p>
      <w:pPr>
        <w:spacing w:after="0" w:line="117" w:lineRule="exact"/>
        <w:rPr>
          <w:rFonts w:ascii="Arial" w:cs="Arial" w:eastAsia="Arial" w:hAnsi="Arial"/>
          <w:sz w:val="18"/>
          <w:szCs w:val="18"/>
          <w:color w:val="auto"/>
        </w:rPr>
      </w:pPr>
    </w:p>
    <w:p>
      <w:pPr>
        <w:ind w:left="1960" w:hanging="332"/>
        <w:spacing w:after="0"/>
        <w:tabs>
          <w:tab w:leader="none" w:pos="1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decline in the net cost of insurance fees driven by the aging in-force business; and</w:t>
      </w:r>
    </w:p>
    <w:p>
      <w:pPr>
        <w:spacing w:after="0" w:line="117" w:lineRule="exact"/>
        <w:rPr>
          <w:rFonts w:ascii="Arial" w:cs="Arial" w:eastAsia="Arial" w:hAnsi="Arial"/>
          <w:sz w:val="18"/>
          <w:szCs w:val="18"/>
          <w:color w:val="auto"/>
        </w:rPr>
      </w:pPr>
    </w:p>
    <w:p>
      <w:pPr>
        <w:ind w:left="1960" w:hanging="332"/>
        <w:spacing w:after="0"/>
        <w:tabs>
          <w:tab w:leader="none" w:pos="1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 decrease in policyholder fees consistent with lower average account balances.</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decrease in adjusted earnings was partially offset by higher net investment spread from higher returns on other limited partnerships for the comparative measurement period.</w:t>
      </w:r>
    </w:p>
    <w:p>
      <w:pPr>
        <w:spacing w:after="0" w:line="62"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led to an effective tax rate of 22% in both the current and prior periods. Our effective tax rate primarily differs from the statutory tax rate due to the impacts of the dividends received deductions.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6" w:right="339" w:bottom="1440" w:gutter="0" w:footer="0" w:header="0"/>
          <w:type w:val="continuous"/>
        </w:sectPr>
      </w:pPr>
    </w:p>
    <w:bookmarkStart w:id="55" w:name="page56"/>
    <w:bookmarkEnd w:id="5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adjusted earnings for Corporate &amp; Other were as follows:</w:t>
      </w:r>
    </w:p>
    <w:p>
      <w:pPr>
        <w:spacing w:after="0" w:line="271"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13335</wp:posOffset>
            </wp:positionV>
            <wp:extent cx="18942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9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r>
      <w:tr>
        <w:trPr>
          <w:trHeight w:val="250"/>
        </w:trPr>
        <w:tc>
          <w:tcPr>
            <w:tcW w:w="8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r>
      <w:tr>
        <w:trPr>
          <w:trHeight w:val="256"/>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r>
      <w:tr>
        <w:trPr>
          <w:trHeight w:val="237"/>
        </w:trPr>
        <w:tc>
          <w:tcPr>
            <w:tcW w:w="8140" w:type="dxa"/>
            <w:vAlign w:val="bottom"/>
          </w:tcPr>
          <w:p>
            <w:pPr>
              <w:ind w:left="40"/>
              <w:spacing w:after="0"/>
              <w:rPr>
                <w:sz w:val="20"/>
                <w:szCs w:val="20"/>
                <w:color w:val="auto"/>
              </w:rPr>
            </w:pPr>
            <w:r>
              <w:rPr>
                <w:rFonts w:ascii="Arial" w:cs="Arial" w:eastAsia="Arial" w:hAnsi="Arial"/>
                <w:sz w:val="16"/>
                <w:szCs w:val="16"/>
                <w:color w:val="auto"/>
              </w:rPr>
              <w:t>Net investment spread</w:t>
            </w:r>
          </w:p>
        </w:tc>
        <w:tc>
          <w:tcPr>
            <w:tcW w:w="980" w:type="dxa"/>
            <w:vAlign w:val="bottom"/>
          </w:tcPr>
          <w:p>
            <w:pPr>
              <w:spacing w:after="0"/>
              <w:rPr>
                <w:sz w:val="20"/>
                <w:szCs w:val="20"/>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17</w:t>
            </w:r>
          </w:p>
        </w:tc>
      </w:tr>
      <w:tr>
        <w:trPr>
          <w:trHeight w:val="33"/>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Insurance-related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r>
      <w:tr>
        <w:trPr>
          <w:trHeight w:val="237"/>
        </w:trPr>
        <w:tc>
          <w:tcPr>
            <w:tcW w:w="8140" w:type="dxa"/>
            <w:vAlign w:val="bottom"/>
          </w:tcPr>
          <w:p>
            <w:pPr>
              <w:ind w:left="40"/>
              <w:spacing w:after="0"/>
              <w:rPr>
                <w:sz w:val="20"/>
                <w:szCs w:val="20"/>
                <w:color w:val="auto"/>
              </w:rPr>
            </w:pPr>
            <w:r>
              <w:rPr>
                <w:rFonts w:ascii="Arial" w:cs="Arial" w:eastAsia="Arial" w:hAnsi="Arial"/>
                <w:sz w:val="16"/>
                <w:szCs w:val="16"/>
                <w:color w:val="auto"/>
              </w:rPr>
              <w:t>Amortization of DAC and VOBA</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8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expenses, net of DAC capitalization</w:t>
            </w: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37"/>
        </w:trPr>
        <w:tc>
          <w:tcPr>
            <w:tcW w:w="814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 interests and preferred stock dividends</w:t>
            </w:r>
          </w:p>
        </w:tc>
        <w:tc>
          <w:tcPr>
            <w:tcW w:w="980" w:type="dxa"/>
            <w:vAlign w:val="bottom"/>
          </w:tcPr>
          <w:p>
            <w:pPr>
              <w:spacing w:after="0"/>
              <w:rPr>
                <w:sz w:val="20"/>
                <w:szCs w:val="20"/>
                <w:color w:val="auto"/>
              </w:rPr>
            </w:pPr>
          </w:p>
        </w:tc>
        <w:tc>
          <w:tcPr>
            <w:tcW w:w="4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33"/>
        </w:trPr>
        <w:tc>
          <w:tcPr>
            <w:tcW w:w="8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8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5"/>
              </w:rPr>
              <w:t>Pre-tax adjusted earnings, less net income (loss) attributable to noncontrolling interests and preferred stock dividends</w:t>
            </w:r>
          </w:p>
        </w:tc>
        <w:tc>
          <w:tcPr>
            <w:tcW w:w="9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37"/>
        </w:trPr>
        <w:tc>
          <w:tcPr>
            <w:tcW w:w="8140" w:type="dxa"/>
            <w:vAlign w:val="bottom"/>
          </w:tcPr>
          <w:p>
            <w:pPr>
              <w:ind w:left="40"/>
              <w:spacing w:after="0"/>
              <w:rPr>
                <w:sz w:val="20"/>
                <w:szCs w:val="20"/>
                <w:color w:val="auto"/>
              </w:rPr>
            </w:pPr>
            <w:r>
              <w:rPr>
                <w:rFonts w:ascii="Arial" w:cs="Arial" w:eastAsia="Arial" w:hAnsi="Arial"/>
                <w:sz w:val="16"/>
                <w:szCs w:val="16"/>
                <w:color w:val="auto"/>
              </w:rPr>
              <w:t>Provision for income tax expense (benefit)</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81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81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Adjusted earnings</w:t>
            </w:r>
          </w:p>
        </w:tc>
        <w:tc>
          <w:tcPr>
            <w:tcW w:w="9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2020 Compared with the Three Months Ended March 31, 2019</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were a loss of $46 million, an improvement of $6 million from the prior period.</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increase in adjusted earnings was primarily due to lower other expenses driven by lower establishment costs in the current period related to planned technology expenses, partially offset by the commencement of preferred stock dividend payments in the current period.</w:t>
      </w:r>
    </w:p>
    <w:p>
      <w:pPr>
        <w:spacing w:after="0" w:line="62"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provision for income tax in the current period led to an effective tax rate of 32%, compared to 30% in the prior period. Our effective tax rate primarily differs from the statutory tax rate due to the impacts of the dividends received deductions and tax credits.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GMLB Riders for the Three Months Ended March 31, 2020 and 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overall impact to income (loss) available to shareholders before provision for income tax from the performance of GMLB Riders, which includes</w:t>
      </w:r>
    </w:p>
    <w:p>
      <w:pPr>
        <w:spacing w:after="0" w:line="46" w:lineRule="exact"/>
        <w:rPr>
          <w:sz w:val="20"/>
          <w:szCs w:val="20"/>
          <w:color w:val="auto"/>
        </w:rPr>
      </w:pPr>
    </w:p>
    <w:p>
      <w:pPr>
        <w:ind w:firstLine="8"/>
        <w:spacing w:after="0" w:line="260" w:lineRule="auto"/>
        <w:tabs>
          <w:tab w:leader="none" w:pos="223"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carrying value of the GAAP liabilities, (ii) the mark-to-market of hedges and reinsurance, (iii) fees and (iv) associated DAC offsets, was as follows:</w:t>
      </w:r>
    </w:p>
    <w:p>
      <w:pPr>
        <w:spacing w:after="0" w:line="285"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13335</wp:posOffset>
            </wp:positionV>
            <wp:extent cx="19113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8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Hedges</w:t>
            </w:r>
          </w:p>
        </w:tc>
        <w:tc>
          <w:tcPr>
            <w:tcW w:w="9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w w:val="99"/>
              </w:rPr>
              <w:t>5,337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Ceded reinsurance</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Fees (1)</w:t>
            </w:r>
          </w:p>
        </w:tc>
        <w:tc>
          <w:tcPr>
            <w:tcW w:w="94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GMLB DAC</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43"/>
        </w:trPr>
        <w:tc>
          <w:tcPr>
            <w:tcW w:w="8220" w:type="dxa"/>
            <w:vAlign w:val="bottom"/>
          </w:tcPr>
          <w:p>
            <w:pPr>
              <w:ind w:left="180"/>
              <w:spacing w:after="0"/>
              <w:rPr>
                <w:sz w:val="20"/>
                <w:szCs w:val="20"/>
                <w:color w:val="auto"/>
              </w:rPr>
            </w:pPr>
            <w:r>
              <w:rPr>
                <w:rFonts w:ascii="Arial" w:cs="Arial" w:eastAsia="Arial" w:hAnsi="Arial"/>
                <w:sz w:val="16"/>
                <w:szCs w:val="16"/>
                <w:color w:val="auto"/>
              </w:rPr>
              <w:t>Total GMLB Riders</w:t>
            </w:r>
          </w:p>
        </w:tc>
        <w:tc>
          <w:tcPr>
            <w:tcW w:w="94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99"/>
              </w:rPr>
              <w:t>4,374</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(1,330)</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2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Excludes living benefit fees, included as a component of adjusted earnings, of $14 million and $16 million for the three months ended March 31, 2020 and 2019,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2020 Compared with the Three Months Ended March 31, 2019</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Comparative results from GMLB Riders were favorable by $5.7 billion, primarily driven by:</w:t>
      </w:r>
    </w:p>
    <w:p>
      <w:pPr>
        <w:spacing w:after="0" w:line="117" w:lineRule="exact"/>
        <w:rPr>
          <w:sz w:val="20"/>
          <w:szCs w:val="20"/>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net favorable change in the GMLB hedges;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favorable changes in Shield Annuity liability reserves;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6" w:right="3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unfavorable change to the estimated fair value of the variable annuity liability reserve;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unfavorable changes in GMLB DAC.</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Lower relative equity markets in the current period significantly impacted the following:</w:t>
      </w:r>
    </w:p>
    <w:p>
      <w:pPr>
        <w:spacing w:after="0" w:line="117" w:lineRule="exact"/>
        <w:rPr>
          <w:sz w:val="20"/>
          <w:szCs w:val="20"/>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favorable changes to the estimated fair value of our GMLB hedges;</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favorable changes to the estimated fair value of the Shield Annuity liability reserves, net of unfavorable changes to the estimated fair value of the related hedges;</w:t>
      </w:r>
    </w:p>
    <w:p>
      <w:pPr>
        <w:spacing w:after="0" w:line="6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500" w:right="3660" w:firstLine="480"/>
        <w:spacing w:after="0" w:line="375" w:lineRule="auto"/>
        <w:tabs>
          <w:tab w:leader="none" w:pos="13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the variable annuity liability reserve. Lower interest rates in the current period significantly impacted the following:</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favorable changes to the estimated fair value of our GMLB hedges;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favorable changes to GMLB DAC;</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the variable annuity liability reserve.</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widening of our credit default swap spreads combined with an increase in the underlying variable annuity liability reserves resulted in a favorable change in non-performance risk net of an unfavorable change in the GMLB DAC offset.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Risks</w:t>
      </w:r>
    </w:p>
    <w:p>
      <w:pPr>
        <w:spacing w:after="0" w:line="11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primary investment objective is to optimize risk-adjusted net investment income and risk-adjusted total return while appropriately matching assets and liabilities. In addition, the investment process is designed to ensure that the portfolio has an appropriate level of liquidity, quality and diversification.</w:t>
      </w:r>
    </w:p>
    <w:p>
      <w:pPr>
        <w:spacing w:after="0" w:line="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are exposed to the following primary sources of investment risks, which may be heightened or exacerbated by the factors discussed in “— Industry Trends — COVID-19 Pandemic”:</w:t>
      </w:r>
    </w:p>
    <w:p>
      <w:pPr>
        <w:spacing w:after="0" w:line="62" w:lineRule="exact"/>
        <w:rPr>
          <w:sz w:val="20"/>
          <w:szCs w:val="20"/>
          <w:color w:val="auto"/>
        </w:rPr>
      </w:pPr>
    </w:p>
    <w:p>
      <w:pPr>
        <w:ind w:left="660" w:hanging="328"/>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credit risk, relating to the uncertainty associated with the continued ability of a given obligor to make timely payments of principal and interest, which will likely result in a higher allowance for credit losses and write-offs for uncollectible balances for certain investments;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interest rate risk, relating to the market price and cash flow variability associated with changes in market interest rates. Changes in market interest rates will impact the net unrealized gain or loss position of our fixed income investment portfolio and the rates of return we receive on both new funds invested and reinvestment of existing funds;</w:t>
      </w:r>
    </w:p>
    <w:p>
      <w:pPr>
        <w:spacing w:after="0" w:line="75"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market valuation risk, relating to the variability in the estimated fair value of investments associated with changes in market factors such as credit spreads and equity market levels. A widening of credit spreads will adversely impact the net unrealized gain (loss) position of the fixed income investment portfolio and will increase losses associated with credit-based non-qualifying derivatives where we assume credit exposure. Credit spread tightening will reduce net investment income associated with new purchases of fixed maturity securities and will favorably impact the net unrealized gain (loss) position of the fixed income investment portfolio;</w:t>
      </w:r>
    </w:p>
    <w:p>
      <w:pPr>
        <w:spacing w:after="0" w:line="7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liquidity risk, relating to the diminished ability to sell certain investments, in times of strained market conditions;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real estate risk, relating to commercial, agricultural and residential real estate, and stemming from factors, which include, but are not limited to, market conditions, including the demand and supply of leasable commercial space, creditworthiness of borrowers and their tenants and joint venture partners, capital markets volatility and inherent interest rate movements;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currency risk, relating to the variability in currency exchange rates for non-U.S. dollar denominated investments;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financial and operational risks related to using external investment managers.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manage these risks through asset-type allocation and industry and issuer diversification. Risk limits are also used to promote diversification by asset sector, avoid concentrations in any single issuer and limit overall aggregate credit and equity risk exposure. Real estate risk is managed through geographic and property type and product type diversification. Interest rate risk is managed as part of our Asset Liability Management (“ALM”) strategies. Product design, such as the use of market value adjustment features and surrender charges, is also utilized to manage interest rate risk. These strategies include maintaining an investment portfolio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6" w:right="3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that targets a weighted average duration that reflects the duration of our estimated liability cash flow profile. For certain of our liability portfolios, it is not possible to invest assets to the full liability duration, thereby creating some asset/liability mismatch. We also use certain derivatives in the management of currency, credit, interest rate, and equity market risks.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Agreements</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Brighthouse Reinsurance Company of Delaware (“BRCD”).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and results of operations are materially affected by conditions in capital markets and the economy, generally. See “Management’s Discussion and Analysis of Financial Condition and Results of Operations — Industry Trends and Uncertainties — Financial and Economic Environment” included in the 2019 Annual Report.</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U.S. insurance company, we are affected by the monetary policy of the Federal Reserve Board in the United States. The Federal Reserve may increase or decrease the federal funds rate in the future, which may have an impact on the pricing levels of risk-bearing investments and may adversely impact the level of product sales. We are also affected by the monetary policy of central banks around the world due to the diversification of our investment portfolio.</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Selected Sector Investments</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Recent elevated levels of market volatility have affected the performance of various asset classes. Contributing factors include concerns about lower energy and oil prices impacting the energy sector and the COVID-19 pandemic. See “Risk Factors — The ongoing COVID-19 pandemic may materially adversely affect our business, results of operations and financial condition, including capitalization and liquidity.”</w:t>
      </w:r>
    </w:p>
    <w:p>
      <w:pPr>
        <w:spacing w:after="0" w:line="57"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There has been an increased market focus on energy sector investments as a result of lower energy and oil prices. We maintain a diversified energy sector fixed maturity securities portfolio across sub-sectors and issuers. Our exposure to energy sector fixed maturity securities was $2.5 billion, of which 91% were investment grade, with net unrealized gains (losses) of ($289) million at March 31, 2020.</w:t>
      </w:r>
    </w:p>
    <w:p>
      <w:pPr>
        <w:spacing w:after="0" w:line="76"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There has also been an increased market focus on retail sector investments as a result of the COVID-19 pandemic and uncertainty regarding its outcome. Our exposure to retail sector corporate fixed maturity securities was $1.7 billion, of which 98% were investment grade, with net unrealized gains (losses) of $34 million at March 31, 2020.</w:t>
      </w:r>
    </w:p>
    <w:p>
      <w:pPr>
        <w:spacing w:after="0" w:line="76"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In addition to the fixed maturity securities disclosed above, we have exposure to mortgage loans and certain residential mortgage-backed securities (“RMBS”), commercial mortgage-backed securities (“CMBS”) and asset-backed securities (“ABS”) (collectively, “Structured Securities”) that may be impacted by the COVID-19 pandemic. Our investment managers are actively working with borrowers who are experiencing short-term financial or operational problems as a result of the COVID-19 pandemic to provide temporary relief. See “— Investments — Mortgage Loans” and Note 4 of the Notes to the Interim Condensed Consolidated Financial Statements for information on mortgage loans, including credit quality by portfolio segment and commercial mortgage loans by property type. Additionally, see “— Investments — Structured Securities” for information on Structured Securities, including security type, risk profile and ratings profile.</w:t>
      </w:r>
    </w:p>
    <w:p>
      <w:pPr>
        <w:spacing w:after="0" w:line="87"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6" w:right="3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 Portfolio Results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 of operations. This summary yield table presentation is consistent with how we measure our investment performance for management purposes, and we believe it enhances understanding of our investment portfolio results.</w:t>
      </w:r>
    </w:p>
    <w:p>
      <w:pPr>
        <w:spacing w:after="0" w:line="286"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13335</wp:posOffset>
            </wp:positionV>
            <wp:extent cx="31375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5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300" w:type="dxa"/>
            <w:vAlign w:val="bottom"/>
          </w:tcPr>
          <w:p>
            <w:pPr>
              <w:spacing w:after="0"/>
              <w:rPr>
                <w:sz w:val="22"/>
                <w:szCs w:val="22"/>
                <w:color w:val="auto"/>
              </w:rPr>
            </w:pPr>
          </w:p>
        </w:tc>
        <w:tc>
          <w:tcPr>
            <w:tcW w:w="13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Yield%</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32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Yield%</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6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20" w:type="dxa"/>
            <w:vAlign w:val="bottom"/>
            <w:gridSpan w:val="4"/>
          </w:tcPr>
          <w:p>
            <w:pPr>
              <w:ind w:left="36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income (1)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4.44 %</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4.24 %</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6"/>
                <w:szCs w:val="16"/>
                <w:color w:val="auto"/>
              </w:rPr>
              <w:t>Investment fees and expenses (2)</w:t>
            </w:r>
          </w:p>
        </w:tc>
        <w:tc>
          <w:tcPr>
            <w:tcW w:w="1200" w:type="dxa"/>
            <w:vAlign w:val="bottom"/>
          </w:tcPr>
          <w:p>
            <w:pPr>
              <w:jc w:val="right"/>
              <w:ind w:right="63"/>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200" w:type="dxa"/>
            <w:vAlign w:val="bottom"/>
          </w:tcPr>
          <w:p>
            <w:pPr>
              <w:jc w:val="right"/>
              <w:ind w:right="63"/>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63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investment income (3)</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0"/>
        </w:trPr>
        <w:tc>
          <w:tcPr>
            <w:tcW w:w="6300" w:type="dxa"/>
            <w:vAlign w:val="bottom"/>
            <w:vMerge w:val="restart"/>
          </w:tcPr>
          <w:p>
            <w:pPr>
              <w:jc w:val="right"/>
              <w:ind w:right="5141"/>
              <w:spacing w:after="0"/>
              <w:rPr>
                <w:sz w:val="20"/>
                <w:szCs w:val="20"/>
                <w:color w:val="auto"/>
              </w:rPr>
            </w:pPr>
            <w:r>
              <w:rPr>
                <w:rFonts w:ascii="Arial" w:cs="Arial" w:eastAsia="Arial" w:hAnsi="Arial"/>
                <w:sz w:val="14"/>
                <w:szCs w:val="14"/>
                <w:color w:val="auto"/>
                <w:w w:val="90"/>
              </w:rPr>
              <w:t>_______________</w:t>
            </w: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30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59"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Investment income yields are calculated as investment income as a percent of average quarterly asset carrying values. Investment income excludes recognized gains and losses and reflects the adjustments presented in footnote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spacing w:after="0" w:line="78"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Investment fee and expense yields are calculated as investment fees and expenses as a percent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75"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Adjusted net investment income presented in the yield table varies from the most directly comparable GAAP measure due to certain reclassifications, as presented below.</w:t>
      </w:r>
    </w:p>
    <w:p>
      <w:pPr>
        <w:spacing w:after="0" w:line="21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13335</wp:posOffset>
            </wp:positionV>
            <wp:extent cx="20574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50"/>
        </w:trPr>
        <w:tc>
          <w:tcPr>
            <w:tcW w:w="80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1"/>
                <w:szCs w:val="21"/>
                <w:color w:val="auto"/>
              </w:rPr>
            </w:pPr>
          </w:p>
        </w:tc>
      </w:tr>
      <w:tr>
        <w:trPr>
          <w:trHeight w:val="256"/>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811</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Less: Investment hedge adjustments</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investment income — in the above yield table</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811</w:t>
            </w:r>
          </w:p>
        </w:tc>
      </w:tr>
      <w:tr>
        <w:trPr>
          <w:trHeight w:val="20"/>
        </w:trPr>
        <w:tc>
          <w:tcPr>
            <w:tcW w:w="8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See “— Results of Operations — Consolidated Results for the Three Months Ended March 31, 2020 and 2019 — Adjusted Earnings” for an analysis of the period over period changes in net investment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 (“AFS”)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Fixed maturity securities held by type (public or private) were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March 31, 2020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5"/>
              </w:rPr>
              <w:t>December 31, 2019</w:t>
            </w:r>
          </w:p>
        </w:tc>
        <w:tc>
          <w:tcPr>
            <w:tcW w:w="1000" w:type="dxa"/>
            <w:vAlign w:val="bottom"/>
            <w:tcBorders>
              <w:bottom w:val="single" w:sz="8" w:color="auto"/>
            </w:tcBorders>
          </w:tcPr>
          <w:p>
            <w:pPr>
              <w:spacing w:after="0"/>
              <w:rPr>
                <w:sz w:val="16"/>
                <w:szCs w:val="16"/>
                <w:color w:val="auto"/>
              </w:rPr>
            </w:pPr>
          </w:p>
        </w:tc>
      </w:tr>
      <w:tr>
        <w:trPr>
          <w:trHeight w:val="152"/>
        </w:trPr>
        <w:tc>
          <w:tcPr>
            <w:tcW w:w="4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gridSpan w:val="3"/>
          </w:tcPr>
          <w:p>
            <w:pPr>
              <w:ind w:left="200"/>
              <w:spacing w:after="0" w:line="153" w:lineRule="exact"/>
              <w:rPr>
                <w:sz w:val="20"/>
                <w:szCs w:val="20"/>
                <w:color w:val="auto"/>
              </w:rPr>
            </w:pPr>
            <w:r>
              <w:rPr>
                <w:rFonts w:ascii="Arial" w:cs="Arial" w:eastAsia="Arial" w:hAnsi="Arial"/>
                <w:sz w:val="14"/>
                <w:szCs w:val="14"/>
                <w:b w:val="1"/>
                <w:bCs w:val="1"/>
                <w:color w:val="auto"/>
              </w:rPr>
              <w:t>Estimated</w:t>
            </w:r>
          </w:p>
        </w:tc>
        <w:tc>
          <w:tcPr>
            <w:tcW w:w="11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2020" w:type="dxa"/>
            <w:vAlign w:val="bottom"/>
            <w:gridSpan w:val="3"/>
          </w:tcPr>
          <w:p>
            <w:pPr>
              <w:ind w:left="200"/>
              <w:spacing w:after="0" w:line="153" w:lineRule="exact"/>
              <w:rPr>
                <w:sz w:val="20"/>
                <w:szCs w:val="20"/>
                <w:color w:val="auto"/>
              </w:rPr>
            </w:pPr>
            <w:r>
              <w:rPr>
                <w:rFonts w:ascii="Arial" w:cs="Arial" w:eastAsia="Arial" w:hAnsi="Arial"/>
                <w:sz w:val="14"/>
                <w:szCs w:val="14"/>
                <w:b w:val="1"/>
                <w:bCs w:val="1"/>
                <w:color w:val="auto"/>
              </w:rPr>
              <w:t>Estimated</w:t>
            </w:r>
          </w:p>
        </w:tc>
        <w:tc>
          <w:tcPr>
            <w:tcW w:w="1000" w:type="dxa"/>
            <w:vAlign w:val="bottom"/>
          </w:tcPr>
          <w:p>
            <w:pPr>
              <w:jc w:val="right"/>
              <w:ind w:right="583"/>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4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10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Total</w:t>
            </w:r>
          </w:p>
        </w:tc>
      </w:tr>
      <w:tr>
        <w:trPr>
          <w:trHeight w:val="250"/>
        </w:trPr>
        <w:tc>
          <w:tcPr>
            <w:tcW w:w="4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80" w:type="dxa"/>
            <w:vAlign w:val="bottom"/>
            <w:gridSpan w:val="6"/>
          </w:tcPr>
          <w:p>
            <w:pPr>
              <w:ind w:left="52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Pr>
          <w:p>
            <w:pPr>
              <w:spacing w:after="0"/>
              <w:rPr>
                <w:sz w:val="21"/>
                <w:szCs w:val="21"/>
                <w:color w:val="auto"/>
              </w:rPr>
            </w:pPr>
          </w:p>
        </w:tc>
      </w:tr>
      <w:tr>
        <w:trPr>
          <w:trHeight w:val="256"/>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Publicly-traded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58,876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58,099</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81.8%</w:t>
            </w:r>
          </w:p>
        </w:tc>
      </w:tr>
      <w:tr>
        <w:trPr>
          <w:trHeight w:val="237"/>
        </w:trPr>
        <w:tc>
          <w:tcPr>
            <w:tcW w:w="4520" w:type="dxa"/>
            <w:vAlign w:val="bottom"/>
          </w:tcPr>
          <w:p>
            <w:pPr>
              <w:ind w:left="40"/>
              <w:spacing w:after="0"/>
              <w:rPr>
                <w:sz w:val="20"/>
                <w:szCs w:val="20"/>
                <w:color w:val="auto"/>
              </w:rPr>
            </w:pPr>
            <w:r>
              <w:rPr>
                <w:rFonts w:ascii="Arial" w:cs="Arial" w:eastAsia="Arial" w:hAnsi="Arial"/>
                <w:sz w:val="16"/>
                <w:szCs w:val="16"/>
                <w:color w:val="auto"/>
              </w:rPr>
              <w:t>Privately-placed</w:t>
            </w:r>
          </w:p>
        </w:tc>
        <w:tc>
          <w:tcPr>
            <w:tcW w:w="280" w:type="dxa"/>
            <w:vAlign w:val="bottom"/>
          </w:tcPr>
          <w:p>
            <w:pPr>
              <w:spacing w:after="0"/>
              <w:rPr>
                <w:sz w:val="20"/>
                <w:szCs w:val="20"/>
                <w:color w:val="auto"/>
              </w:rPr>
            </w:pP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12,426</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84"/>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83"/>
              <w:spacing w:after="0"/>
              <w:rPr>
                <w:sz w:val="20"/>
                <w:szCs w:val="20"/>
                <w:color w:val="auto"/>
              </w:rPr>
            </w:pPr>
            <w:r>
              <w:rPr>
                <w:rFonts w:ascii="Arial" w:cs="Arial" w:eastAsia="Arial" w:hAnsi="Arial"/>
                <w:sz w:val="16"/>
                <w:szCs w:val="16"/>
                <w:color w:val="auto"/>
              </w:rPr>
              <w:t>12,937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ind w:right="83"/>
              <w:spacing w:after="0"/>
              <w:rPr>
                <w:sz w:val="20"/>
                <w:szCs w:val="20"/>
                <w:color w:val="auto"/>
              </w:rPr>
            </w:pPr>
            <w:r>
              <w:rPr>
                <w:rFonts w:ascii="Arial" w:cs="Arial" w:eastAsia="Arial" w:hAnsi="Arial"/>
                <w:sz w:val="16"/>
                <w:szCs w:val="16"/>
                <w:color w:val="auto"/>
              </w:rPr>
              <w:t>18.2</w:t>
            </w:r>
          </w:p>
        </w:tc>
      </w:tr>
      <w:tr>
        <w:trPr>
          <w:trHeight w:val="33"/>
        </w:trPr>
        <w:tc>
          <w:tcPr>
            <w:tcW w:w="4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45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fixed maturity securities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71,302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71,036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4520" w:type="dxa"/>
            <w:vAlign w:val="bottom"/>
          </w:tcPr>
          <w:p>
            <w:pPr>
              <w:ind w:left="540"/>
              <w:spacing w:after="0"/>
              <w:rPr>
                <w:sz w:val="20"/>
                <w:szCs w:val="20"/>
                <w:color w:val="auto"/>
              </w:rPr>
            </w:pPr>
            <w:r>
              <w:rPr>
                <w:rFonts w:ascii="Arial" w:cs="Arial" w:eastAsia="Arial" w:hAnsi="Arial"/>
                <w:sz w:val="16"/>
                <w:szCs w:val="16"/>
                <w:color w:val="auto"/>
              </w:rPr>
              <w:t>Percentage of cash and invested assets</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Valuation of Securities. </w:t>
      </w:r>
      <w:r>
        <w:rPr>
          <w:rFonts w:ascii="Arial" w:cs="Arial" w:eastAsia="Arial" w:hAnsi="Arial"/>
          <w:sz w:val="18"/>
          <w:szCs w:val="18"/>
          <w:color w:val="auto"/>
        </w:rPr>
        <w:t>See Note 6 of the Notes to the Interim Condensed Consolidated Financial Statements for further information on our 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and procedures including our formal process to challenge any prices received from independent pricing services that are not considered representative of estimated fair value.</w:t>
      </w:r>
    </w:p>
    <w:p>
      <w:pPr>
        <w:sectPr>
          <w:pgSz w:w="11900" w:h="16838" w:orient="portrait"/>
          <w:cols w:equalWidth="0" w:num="1">
            <w:col w:w="11240"/>
          </w:cols>
          <w:pgMar w:left="320" w:top="126"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126" w:right="339" w:bottom="1440" w:gutter="0" w:footer="0" w:header="0"/>
          <w:type w:val="continuous"/>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AFS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See Note 4 of the Notes to the Interim Condensed Consolidated Financial Statements for information about fixed maturity securities by sector, contractual maturities, continuous gross unrealized losses and the allowance for credit losses.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Credit Quality — Ratings</w:t>
      </w:r>
    </w:p>
    <w:p>
      <w:pPr>
        <w:spacing w:after="0" w:line="117"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See “Management’s Discussion and Analysis of Financial Condition and Results of Operations — Investments — Fixed Maturity AFS — Fixed Maturity Securities Credit Quality — Ratings” included in the 2019 Annual Report for a discussion of the credit quality ratings assigned by Nationally Recognized Statistical Rating Organizations (“NRSRO”), credit quality designations assigned by and methodologies used by the Securities Valuation Office of the NAIC for fixed maturity securities and the methodologies adopted by the NAIC for certain Structured Securities.</w:t>
      </w:r>
    </w:p>
    <w:p>
      <w:pPr>
        <w:spacing w:after="0" w:line="63"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March 31, 2020</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w w:val="99"/>
              </w:rPr>
              <w:t>December 31, 2019</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rPr>
              <w:t>NAIC</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Amortized</w:t>
            </w:r>
          </w:p>
        </w:tc>
        <w:tc>
          <w:tcPr>
            <w:tcW w:w="86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w w:val="86"/>
              </w:rPr>
              <w:t>Allowance for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8"/>
              </w:rPr>
              <w:t>Unrealized</w:t>
            </w:r>
          </w:p>
        </w:tc>
        <w:tc>
          <w:tcPr>
            <w:tcW w:w="10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Estimated</w:t>
            </w:r>
          </w:p>
        </w:tc>
        <w:tc>
          <w:tcPr>
            <w:tcW w:w="700" w:type="dxa"/>
            <w:vAlign w:val="bottom"/>
            <w:gridSpan w:val="2"/>
          </w:tcPr>
          <w:p>
            <w:pPr>
              <w:ind w:left="140"/>
              <w:spacing w:after="0" w:line="144" w:lineRule="exact"/>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91"/>
              </w:rPr>
              <w:t>Amortized</w:t>
            </w:r>
          </w:p>
        </w:tc>
        <w:tc>
          <w:tcPr>
            <w:tcW w:w="980" w:type="dxa"/>
            <w:vAlign w:val="bottom"/>
            <w:gridSpan w:val="3"/>
          </w:tcPr>
          <w:p>
            <w:pPr>
              <w:ind w:left="60"/>
              <w:spacing w:after="0" w:line="144" w:lineRule="exact"/>
              <w:rPr>
                <w:sz w:val="20"/>
                <w:szCs w:val="20"/>
                <w:color w:val="auto"/>
              </w:rPr>
            </w:pPr>
            <w:r>
              <w:rPr>
                <w:rFonts w:ascii="Arial" w:cs="Arial" w:eastAsia="Arial" w:hAnsi="Arial"/>
                <w:sz w:val="13"/>
                <w:szCs w:val="13"/>
                <w:b w:val="1"/>
                <w:bCs w:val="1"/>
                <w:color w:val="auto"/>
              </w:rPr>
              <w:t>Allowance for</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1"/>
              </w:rPr>
              <w:t>Unrealized</w:t>
            </w:r>
          </w:p>
        </w:tc>
        <w:tc>
          <w:tcPr>
            <w:tcW w:w="10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Estimated</w:t>
            </w:r>
          </w:p>
        </w:tc>
        <w:tc>
          <w:tcPr>
            <w:tcW w:w="600" w:type="dxa"/>
            <w:vAlign w:val="bottom"/>
          </w:tcPr>
          <w:p>
            <w:pPr>
              <w:jc w:val="right"/>
              <w:ind w:right="110"/>
              <w:spacing w:after="0" w:line="144"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4"/>
        </w:trPr>
        <w:tc>
          <w:tcPr>
            <w:tcW w:w="9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Designation</w:t>
            </w:r>
          </w:p>
        </w:tc>
        <w:tc>
          <w:tcPr>
            <w:tcW w:w="1480" w:type="dxa"/>
            <w:vAlign w:val="bottom"/>
            <w:gridSpan w:val="2"/>
          </w:tcPr>
          <w:p>
            <w:pPr>
              <w:ind w:left="260"/>
              <w:spacing w:after="0"/>
              <w:rPr>
                <w:sz w:val="20"/>
                <w:szCs w:val="20"/>
                <w:color w:val="auto"/>
              </w:rPr>
            </w:pPr>
            <w:r>
              <w:rPr>
                <w:rFonts w:ascii="Arial" w:cs="Arial" w:eastAsia="Arial" w:hAnsi="Arial"/>
                <w:sz w:val="13"/>
                <w:szCs w:val="13"/>
                <w:b w:val="1"/>
                <w:bCs w:val="1"/>
                <w:color w:val="auto"/>
              </w:rPr>
              <w:t>NRSRO Rating</w:t>
            </w: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Cost</w:t>
            </w:r>
          </w:p>
        </w:tc>
        <w:tc>
          <w:tcPr>
            <w:tcW w:w="860" w:type="dxa"/>
            <w:vAlign w:val="bottom"/>
            <w:gridSpan w:val="2"/>
          </w:tcPr>
          <w:p>
            <w:pPr>
              <w:ind w:left="100"/>
              <w:spacing w:after="0"/>
              <w:rPr>
                <w:sz w:val="20"/>
                <w:szCs w:val="20"/>
                <w:color w:val="auto"/>
              </w:rPr>
            </w:pPr>
            <w:r>
              <w:rPr>
                <w:rFonts w:ascii="Arial" w:cs="Arial" w:eastAsia="Arial" w:hAnsi="Arial"/>
                <w:sz w:val="13"/>
                <w:szCs w:val="13"/>
                <w:b w:val="1"/>
                <w:bCs w:val="1"/>
                <w:color w:val="auto"/>
                <w:w w:val="86"/>
              </w:rPr>
              <w:t>Credit Losses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Gain (Loss)</w:t>
            </w:r>
          </w:p>
        </w:tc>
        <w:tc>
          <w:tcPr>
            <w:tcW w:w="10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Fair Value</w:t>
            </w:r>
          </w:p>
        </w:tc>
        <w:tc>
          <w:tcPr>
            <w:tcW w:w="700" w:type="dxa"/>
            <w:vAlign w:val="bottom"/>
            <w:gridSpan w:val="2"/>
          </w:tcPr>
          <w:p>
            <w:pPr>
              <w:ind w:left="16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Cost</w:t>
            </w:r>
          </w:p>
        </w:tc>
        <w:tc>
          <w:tcPr>
            <w:tcW w:w="980" w:type="dxa"/>
            <w:vAlign w:val="bottom"/>
            <w:gridSpan w:val="3"/>
          </w:tcPr>
          <w:p>
            <w:pPr>
              <w:ind w:left="80"/>
              <w:spacing w:after="0"/>
              <w:rPr>
                <w:sz w:val="20"/>
                <w:szCs w:val="20"/>
                <w:color w:val="auto"/>
              </w:rPr>
            </w:pPr>
            <w:r>
              <w:rPr>
                <w:rFonts w:ascii="Arial" w:cs="Arial" w:eastAsia="Arial" w:hAnsi="Arial"/>
                <w:sz w:val="13"/>
                <w:szCs w:val="13"/>
                <w:b w:val="1"/>
                <w:bCs w:val="1"/>
                <w:color w:val="auto"/>
              </w:rPr>
              <w:t>Credit Losses</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Gain (Loss)</w:t>
            </w:r>
          </w:p>
        </w:tc>
        <w:tc>
          <w:tcPr>
            <w:tcW w:w="1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rPr>
              <w:t>Fair Value</w:t>
            </w:r>
          </w:p>
        </w:tc>
        <w:tc>
          <w:tcPr>
            <w:tcW w:w="600" w:type="dxa"/>
            <w:vAlign w:val="bottom"/>
          </w:tcPr>
          <w:p>
            <w:pPr>
              <w:jc w:val="right"/>
              <w:ind w:right="9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50"/>
        </w:trPr>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5"/>
          </w:tcPr>
          <w:p>
            <w:pPr>
              <w:spacing w:after="0"/>
              <w:rPr>
                <w:sz w:val="20"/>
                <w:szCs w:val="20"/>
                <w:color w:val="auto"/>
              </w:rPr>
            </w:pPr>
            <w:r>
              <w:rPr>
                <w:rFonts w:ascii="Arial" w:cs="Arial" w:eastAsia="Arial" w:hAnsi="Arial"/>
                <w:sz w:val="14"/>
                <w:szCs w:val="14"/>
                <w:b w:val="1"/>
                <w:bCs w:val="1"/>
                <w:color w:val="auto"/>
              </w:rPr>
              <w:t>(Dollars in millions)</w:t>
            </w:r>
          </w:p>
        </w:tc>
        <w:tc>
          <w:tcPr>
            <w:tcW w:w="3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2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Aaa/Aa/A</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42,051</w:t>
            </w:r>
          </w:p>
        </w:tc>
        <w:tc>
          <w:tcPr>
            <w:tcW w:w="12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13"/>
              <w:spacing w:after="0"/>
              <w:rPr>
                <w:sz w:val="20"/>
                <w:szCs w:val="20"/>
                <w:color w:val="auto"/>
              </w:rPr>
            </w:pPr>
            <w:r>
              <w:rPr>
                <w:rFonts w:ascii="Arial" w:cs="Arial" w:eastAsia="Arial" w:hAnsi="Arial"/>
                <w:sz w:val="14"/>
                <w:szCs w:val="14"/>
                <w:color w:val="auto"/>
              </w:rPr>
              <w:t>$</w:t>
            </w:r>
          </w:p>
        </w:tc>
        <w:tc>
          <w:tcPr>
            <w:tcW w:w="48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6,281</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48,332</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41,463</w:t>
            </w:r>
          </w:p>
        </w:tc>
        <w:tc>
          <w:tcPr>
            <w:tcW w:w="120" w:type="dxa"/>
            <w:vAlign w:val="bottom"/>
            <w:shd w:val="clear" w:color="auto" w:fill="CCEEFF"/>
          </w:tcPr>
          <w:p>
            <w:pPr>
              <w:spacing w:after="0"/>
              <w:rPr>
                <w:sz w:val="17"/>
                <w:szCs w:val="17"/>
                <w:color w:val="auto"/>
              </w:rPr>
            </w:pPr>
          </w:p>
        </w:tc>
        <w:tc>
          <w:tcPr>
            <w:tcW w:w="360" w:type="dxa"/>
            <w:vAlign w:val="bottom"/>
            <w:vMerge w:val="restart"/>
            <w:shd w:val="clear" w:color="auto" w:fill="CCEEFF"/>
          </w:tcPr>
          <w:p>
            <w:pPr>
              <w:jc w:val="right"/>
              <w:ind w:right="193"/>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5,252</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46,715</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80"/>
        </w:trPr>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8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280" w:type="dxa"/>
            <w:vAlign w:val="bottom"/>
            <w:gridSpan w:val="3"/>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0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20" w:type="dxa"/>
            <w:vAlign w:val="bottom"/>
          </w:tcPr>
          <w:p>
            <w:pPr>
              <w:spacing w:after="0"/>
              <w:rPr>
                <w:sz w:val="16"/>
                <w:szCs w:val="16"/>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color w:val="auto"/>
              </w:rPr>
              <w:t>Baa</w:t>
            </w:r>
          </w:p>
        </w:tc>
        <w:tc>
          <w:tcPr>
            <w:tcW w:w="100" w:type="dxa"/>
            <w:vAlign w:val="bottom"/>
          </w:tcPr>
          <w:p>
            <w:pPr>
              <w:spacing w:after="0"/>
              <w:rPr>
                <w:sz w:val="16"/>
                <w:szCs w:val="16"/>
                <w:color w:val="auto"/>
              </w:rPr>
            </w:pPr>
          </w:p>
        </w:tc>
        <w:tc>
          <w:tcPr>
            <w:tcW w:w="700" w:type="dxa"/>
            <w:vAlign w:val="bottom"/>
            <w:vMerge w:val="restart"/>
          </w:tcPr>
          <w:p>
            <w:pPr>
              <w:jc w:val="right"/>
              <w:ind w:right="50"/>
              <w:spacing w:after="0"/>
              <w:rPr>
                <w:sz w:val="20"/>
                <w:szCs w:val="20"/>
                <w:color w:val="auto"/>
              </w:rPr>
            </w:pPr>
            <w:r>
              <w:rPr>
                <w:rFonts w:ascii="Arial" w:cs="Arial" w:eastAsia="Arial" w:hAnsi="Arial"/>
                <w:sz w:val="14"/>
                <w:szCs w:val="14"/>
                <w:color w:val="auto"/>
              </w:rPr>
              <w:t>20,072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20,166</w:t>
            </w:r>
          </w:p>
        </w:tc>
        <w:tc>
          <w:tcPr>
            <w:tcW w:w="120" w:type="dxa"/>
            <w:vAlign w:val="bottom"/>
          </w:tcPr>
          <w:p>
            <w:pPr>
              <w:spacing w:after="0"/>
              <w:rPr>
                <w:sz w:val="16"/>
                <w:szCs w:val="16"/>
                <w:color w:val="auto"/>
              </w:rPr>
            </w:pPr>
          </w:p>
        </w:tc>
        <w:tc>
          <w:tcPr>
            <w:tcW w:w="600" w:type="dxa"/>
            <w:vAlign w:val="bottom"/>
            <w:vMerge w:val="restart"/>
          </w:tcPr>
          <w:p>
            <w:pPr>
              <w:jc w:val="right"/>
              <w:ind w:right="90"/>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19,838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vMerge w:val="restart"/>
          </w:tcPr>
          <w:p>
            <w:pPr>
              <w:ind w:left="26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1,610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21,448</w:t>
            </w:r>
          </w:p>
        </w:tc>
        <w:tc>
          <w:tcPr>
            <w:tcW w:w="100" w:type="dxa"/>
            <w:vAlign w:val="bottom"/>
          </w:tcPr>
          <w:p>
            <w:pPr>
              <w:spacing w:after="0"/>
              <w:rPr>
                <w:sz w:val="16"/>
                <w:szCs w:val="16"/>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73"/>
        </w:trPr>
        <w:tc>
          <w:tcPr>
            <w:tcW w:w="8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80" w:type="dxa"/>
            <w:vAlign w:val="bottom"/>
            <w:tcBorders>
              <w:bottom w:val="single" w:sz="8" w:color="CCEEFF"/>
            </w:tcBorders>
            <w:gridSpan w:val="2"/>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Subtotal investment grade</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62,123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6,375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68,498</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96.1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61,301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6,862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68,163</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90"/>
        </w:trPr>
        <w:tc>
          <w:tcPr>
            <w:tcW w:w="80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20" w:type="dxa"/>
            <w:vAlign w:val="bottom"/>
          </w:tcPr>
          <w:p>
            <w:pPr>
              <w:spacing w:after="0"/>
              <w:rPr>
                <w:sz w:val="16"/>
                <w:szCs w:val="16"/>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color w:val="auto"/>
              </w:rPr>
              <w:t>Ba</w:t>
            </w:r>
          </w:p>
        </w:tc>
        <w:tc>
          <w:tcPr>
            <w:tcW w:w="100" w:type="dxa"/>
            <w:vAlign w:val="bottom"/>
          </w:tcPr>
          <w:p>
            <w:pPr>
              <w:spacing w:after="0"/>
              <w:rPr>
                <w:sz w:val="16"/>
                <w:szCs w:val="16"/>
                <w:color w:val="auto"/>
              </w:rPr>
            </w:pPr>
          </w:p>
        </w:tc>
        <w:tc>
          <w:tcPr>
            <w:tcW w:w="700" w:type="dxa"/>
            <w:vAlign w:val="bottom"/>
            <w:vMerge w:val="restart"/>
          </w:tcPr>
          <w:p>
            <w:pPr>
              <w:jc w:val="right"/>
              <w:ind w:right="50"/>
              <w:spacing w:after="0"/>
              <w:rPr>
                <w:sz w:val="20"/>
                <w:szCs w:val="20"/>
                <w:color w:val="auto"/>
              </w:rPr>
            </w:pPr>
            <w:r>
              <w:rPr>
                <w:rFonts w:ascii="Arial" w:cs="Arial" w:eastAsia="Arial" w:hAnsi="Arial"/>
                <w:sz w:val="14"/>
                <w:szCs w:val="14"/>
                <w:color w:val="auto"/>
              </w:rPr>
              <w:t>2,314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2,075</w:t>
            </w:r>
          </w:p>
        </w:tc>
        <w:tc>
          <w:tcPr>
            <w:tcW w:w="120" w:type="dxa"/>
            <w:vAlign w:val="bottom"/>
          </w:tcPr>
          <w:p>
            <w:pPr>
              <w:spacing w:after="0"/>
              <w:rPr>
                <w:sz w:val="16"/>
                <w:szCs w:val="16"/>
                <w:color w:val="auto"/>
              </w:rPr>
            </w:pPr>
          </w:p>
        </w:tc>
        <w:tc>
          <w:tcPr>
            <w:tcW w:w="600" w:type="dxa"/>
            <w:vAlign w:val="bottom"/>
            <w:vMerge w:val="restart"/>
          </w:tcPr>
          <w:p>
            <w:pPr>
              <w:jc w:val="right"/>
              <w:ind w:right="9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2,087</w:t>
            </w:r>
          </w:p>
        </w:tc>
        <w:tc>
          <w:tcPr>
            <w:tcW w:w="100" w:type="dxa"/>
            <w:vAlign w:val="bottom"/>
          </w:tcPr>
          <w:p>
            <w:pPr>
              <w:spacing w:after="0"/>
              <w:rPr>
                <w:sz w:val="16"/>
                <w:szCs w:val="16"/>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73"/>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4</w:t>
            </w:r>
          </w:p>
        </w:tc>
        <w:tc>
          <w:tcPr>
            <w:tcW w:w="12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B</w:t>
            </w:r>
          </w:p>
        </w:tc>
        <w:tc>
          <w:tcPr>
            <w:tcW w:w="1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709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650</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673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80"/>
        </w:trPr>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8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80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20" w:type="dxa"/>
            <w:vAlign w:val="bottom"/>
          </w:tcPr>
          <w:p>
            <w:pPr>
              <w:spacing w:after="0"/>
              <w:rPr>
                <w:sz w:val="16"/>
                <w:szCs w:val="16"/>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color w:val="auto"/>
              </w:rPr>
              <w:t>Caa and lower</w:t>
            </w:r>
          </w:p>
        </w:tc>
        <w:tc>
          <w:tcPr>
            <w:tcW w:w="100" w:type="dxa"/>
            <w:vAlign w:val="bottom"/>
          </w:tcPr>
          <w:p>
            <w:pPr>
              <w:spacing w:after="0"/>
              <w:rPr>
                <w:sz w:val="16"/>
                <w:szCs w:val="16"/>
                <w:color w:val="auto"/>
              </w:rPr>
            </w:pPr>
          </w:p>
        </w:tc>
        <w:tc>
          <w:tcPr>
            <w:tcW w:w="700" w:type="dxa"/>
            <w:vAlign w:val="bottom"/>
            <w:vMerge w:val="restart"/>
          </w:tcPr>
          <w:p>
            <w:pPr>
              <w:jc w:val="right"/>
              <w:ind w:right="50"/>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vMerge w:val="restart"/>
          </w:tcPr>
          <w:p>
            <w:pPr>
              <w:ind w:left="280"/>
              <w:spacing w:after="0"/>
              <w:rPr>
                <w:sz w:val="20"/>
                <w:szCs w:val="20"/>
                <w:color w:val="auto"/>
              </w:rPr>
            </w:pPr>
            <w:r>
              <w:rPr>
                <w:rFonts w:ascii="Arial" w:cs="Arial" w:eastAsia="Arial" w:hAnsi="Arial"/>
                <w:sz w:val="14"/>
                <w:szCs w:val="14"/>
                <w:color w:val="auto"/>
              </w:rPr>
              <w:t>10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6"/>
                <w:szCs w:val="16"/>
                <w:color w:val="auto"/>
              </w:rPr>
            </w:pPr>
          </w:p>
        </w:tc>
        <w:tc>
          <w:tcPr>
            <w:tcW w:w="600" w:type="dxa"/>
            <w:vAlign w:val="bottom"/>
            <w:vMerge w:val="restart"/>
          </w:tcPr>
          <w:p>
            <w:pPr>
              <w:jc w:val="right"/>
              <w:ind w:right="90"/>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gridSpan w:val="2"/>
            <w:vMerge w:val="restart"/>
          </w:tcPr>
          <w:p>
            <w:pPr>
              <w:ind w:lef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600" w:type="dxa"/>
            <w:vAlign w:val="bottom"/>
            <w:vMerge w:val="restart"/>
          </w:tcPr>
          <w:p>
            <w:pPr>
              <w:jc w:val="right"/>
              <w:ind w:right="7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74"/>
        </w:trPr>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6</w:t>
            </w:r>
          </w:p>
        </w:tc>
        <w:tc>
          <w:tcPr>
            <w:tcW w:w="120" w:type="dxa"/>
            <w:vAlign w:val="bottom"/>
            <w:shd w:val="clear" w:color="auto" w:fill="CCEEFF"/>
          </w:tcPr>
          <w:p>
            <w:pPr>
              <w:spacing w:after="0"/>
              <w:rPr>
                <w:sz w:val="17"/>
                <w:szCs w:val="17"/>
                <w:color w:val="auto"/>
              </w:rPr>
            </w:pPr>
          </w:p>
        </w:tc>
        <w:tc>
          <w:tcPr>
            <w:tcW w:w="14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In or near default</w:t>
            </w:r>
          </w:p>
        </w:tc>
        <w:tc>
          <w:tcPr>
            <w:tcW w:w="1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60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80" w:type="dxa"/>
            <w:vAlign w:val="bottom"/>
            <w:gridSpan w:val="2"/>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Subtotal below investment grade</w:t>
            </w: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3,114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10</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2,804</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2,778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2,873</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2"/>
        </w:trPr>
        <w:tc>
          <w:tcPr>
            <w:tcW w:w="240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Total fixed maturity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65,237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13"/>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6,075</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71,302</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64,079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6,957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71,036</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6" w:right="3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320" w:type="dxa"/>
            <w:vAlign w:val="bottom"/>
            <w:tcBorders>
              <w:bottom w:val="single" w:sz="8" w:color="auto"/>
            </w:tcBorders>
            <w:gridSpan w:val="14"/>
          </w:tcPr>
          <w:p>
            <w:pPr>
              <w:jc w:val="center"/>
              <w:ind w:right="380"/>
              <w:spacing w:after="0"/>
              <w:rPr>
                <w:sz w:val="20"/>
                <w:szCs w:val="20"/>
                <w:color w:val="auto"/>
              </w:rPr>
            </w:pPr>
            <w:r>
              <w:rPr>
                <w:rFonts w:ascii="Arial" w:cs="Arial" w:eastAsia="Arial" w:hAnsi="Arial"/>
                <w:sz w:val="14"/>
                <w:szCs w:val="14"/>
                <w:b w:val="1"/>
                <w:bCs w:val="1"/>
                <w:color w:val="auto"/>
                <w:w w:val="95"/>
              </w:rPr>
              <w:t>Fixed Maturity Securities — by Sector &amp; Credit Quality Rating</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00" w:type="dxa"/>
            <w:vAlign w:val="bottom"/>
          </w:tcPr>
          <w:p>
            <w:pPr>
              <w:ind w:left="40"/>
              <w:spacing w:after="0"/>
              <w:rPr>
                <w:sz w:val="20"/>
                <w:szCs w:val="20"/>
                <w:color w:val="auto"/>
              </w:rPr>
            </w:pPr>
            <w:r>
              <w:rPr>
                <w:rFonts w:ascii="Arial" w:cs="Arial" w:eastAsia="Arial" w:hAnsi="Arial"/>
                <w:sz w:val="14"/>
                <w:szCs w:val="14"/>
                <w:b w:val="1"/>
                <w:bCs w:val="1"/>
                <w:color w:val="auto"/>
              </w:rPr>
              <w:t>NAIC Designation</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76"/>
              </w:rPr>
              <w:t>5</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76"/>
              </w:rPr>
              <w:t>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2"/>
        </w:trPr>
        <w:tc>
          <w:tcPr>
            <w:tcW w:w="3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NRSRO Rating</w:t>
            </w:r>
          </w:p>
        </w:tc>
        <w:tc>
          <w:tcPr>
            <w:tcW w:w="160" w:type="dxa"/>
            <w:vAlign w:val="bottom"/>
          </w:tcPr>
          <w:p>
            <w:pPr>
              <w:spacing w:after="0"/>
              <w:rPr>
                <w:sz w:val="13"/>
                <w:szCs w:val="13"/>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Aaa/Aa/A</w:t>
            </w:r>
          </w:p>
        </w:tc>
        <w:tc>
          <w:tcPr>
            <w:tcW w:w="260" w:type="dxa"/>
            <w:vAlign w:val="bottom"/>
          </w:tcPr>
          <w:p>
            <w:pPr>
              <w:spacing w:after="0"/>
              <w:rPr>
                <w:sz w:val="13"/>
                <w:szCs w:val="13"/>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Baa</w:t>
            </w:r>
          </w:p>
        </w:tc>
        <w:tc>
          <w:tcPr>
            <w:tcW w:w="260" w:type="dxa"/>
            <w:vAlign w:val="bottom"/>
          </w:tcPr>
          <w:p>
            <w:pPr>
              <w:spacing w:after="0"/>
              <w:rPr>
                <w:sz w:val="13"/>
                <w:szCs w:val="13"/>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Ba</w:t>
            </w:r>
          </w:p>
        </w:tc>
        <w:tc>
          <w:tcPr>
            <w:tcW w:w="280" w:type="dxa"/>
            <w:vAlign w:val="bottom"/>
          </w:tcPr>
          <w:p>
            <w:pPr>
              <w:spacing w:after="0"/>
              <w:rPr>
                <w:sz w:val="13"/>
                <w:szCs w:val="13"/>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3"/>
                <w:szCs w:val="13"/>
                <w:color w:val="auto"/>
              </w:rPr>
            </w:pPr>
          </w:p>
        </w:tc>
        <w:tc>
          <w:tcPr>
            <w:tcW w:w="9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Caa and</w:t>
            </w:r>
          </w:p>
        </w:tc>
        <w:tc>
          <w:tcPr>
            <w:tcW w:w="12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In or Near</w:t>
            </w:r>
          </w:p>
        </w:tc>
        <w:tc>
          <w:tcPr>
            <w:tcW w:w="140" w:type="dxa"/>
            <w:vAlign w:val="bottom"/>
          </w:tcPr>
          <w:p>
            <w:pPr>
              <w:spacing w:after="0"/>
              <w:rPr>
                <w:sz w:val="13"/>
                <w:szCs w:val="13"/>
                <w:color w:val="auto"/>
              </w:rPr>
            </w:pPr>
          </w:p>
        </w:tc>
        <w:tc>
          <w:tcPr>
            <w:tcW w:w="860" w:type="dxa"/>
            <w:vAlign w:val="bottom"/>
          </w:tcPr>
          <w:p>
            <w:pPr>
              <w:jc w:val="center"/>
              <w:ind w:right="60"/>
              <w:spacing w:after="0" w:line="153" w:lineRule="exact"/>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92"/>
        </w:trPr>
        <w:tc>
          <w:tcPr>
            <w:tcW w:w="35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Lower</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Default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March 31, 2020</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U.S. corporate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15,572</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13,070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1,459</w:t>
            </w:r>
          </w:p>
        </w:tc>
        <w:tc>
          <w:tcPr>
            <w:tcW w:w="100" w:type="dxa"/>
            <w:vAlign w:val="bottom"/>
          </w:tcPr>
          <w:p>
            <w:pPr>
              <w:spacing w:after="0"/>
              <w:rPr>
                <w:sz w:val="20"/>
                <w:szCs w:val="20"/>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528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30,670</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corporate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9,244</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RMBS</w:t>
            </w: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8,843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8,900</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and agency</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8,926</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CMBS</w:t>
            </w: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5,613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5,745</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political subdivision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4,143</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ABS</w:t>
            </w: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1,792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2,027</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government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217"/>
        </w:trPr>
        <w:tc>
          <w:tcPr>
            <w:tcW w:w="3500" w:type="dxa"/>
            <w:vAlign w:val="bottom"/>
          </w:tcPr>
          <w:p>
            <w:pPr>
              <w:ind w:left="20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48,332</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20,166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2,075</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71,302</w:t>
            </w:r>
          </w:p>
        </w:tc>
        <w:tc>
          <w:tcPr>
            <w:tcW w:w="0" w:type="dxa"/>
            <w:vAlign w:val="bottom"/>
          </w:tcPr>
          <w:p>
            <w:pPr>
              <w:spacing w:after="0"/>
              <w:rPr>
                <w:sz w:val="1"/>
                <w:szCs w:val="1"/>
                <w:color w:val="auto"/>
              </w:rPr>
            </w:pPr>
          </w:p>
        </w:tc>
      </w:tr>
      <w:tr>
        <w:trPr>
          <w:trHeight w:val="73"/>
        </w:trPr>
        <w:tc>
          <w:tcPr>
            <w:tcW w:w="35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5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December 31, 2019</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35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U.S. corporate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15,313</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13,770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1,479</w:t>
            </w:r>
          </w:p>
        </w:tc>
        <w:tc>
          <w:tcPr>
            <w:tcW w:w="100" w:type="dxa"/>
            <w:vAlign w:val="bottom"/>
          </w:tcPr>
          <w:p>
            <w:pPr>
              <w:spacing w:after="0"/>
              <w:rPr>
                <w:sz w:val="20"/>
                <w:szCs w:val="20"/>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31,160</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corporate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9,844</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RMBS</w:t>
            </w: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9,020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9,118</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and agency</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7,396</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CMBS</w:t>
            </w: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5,612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5,755</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political subdivision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4,057</w:t>
            </w:r>
          </w:p>
        </w:tc>
        <w:tc>
          <w:tcPr>
            <w:tcW w:w="0" w:type="dxa"/>
            <w:vAlign w:val="bottom"/>
          </w:tcPr>
          <w:p>
            <w:pPr>
              <w:spacing w:after="0"/>
              <w:rPr>
                <w:sz w:val="1"/>
                <w:szCs w:val="1"/>
                <w:color w:val="auto"/>
              </w:rPr>
            </w:pPr>
          </w:p>
        </w:tc>
      </w:tr>
      <w:tr>
        <w:trPr>
          <w:trHeight w:val="237"/>
        </w:trPr>
        <w:tc>
          <w:tcPr>
            <w:tcW w:w="3500" w:type="dxa"/>
            <w:vAlign w:val="bottom"/>
          </w:tcPr>
          <w:p>
            <w:pPr>
              <w:ind w:left="40"/>
              <w:spacing w:after="0"/>
              <w:rPr>
                <w:sz w:val="20"/>
                <w:szCs w:val="20"/>
                <w:color w:val="auto"/>
              </w:rPr>
            </w:pPr>
            <w:r>
              <w:rPr>
                <w:rFonts w:ascii="Arial" w:cs="Arial" w:eastAsia="Arial" w:hAnsi="Arial"/>
                <w:sz w:val="16"/>
                <w:szCs w:val="16"/>
                <w:color w:val="auto"/>
              </w:rPr>
              <w:t>ABS</w:t>
            </w: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1,696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240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1,955</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government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1,751</w:t>
            </w:r>
          </w:p>
        </w:tc>
        <w:tc>
          <w:tcPr>
            <w:tcW w:w="0" w:type="dxa"/>
            <w:vAlign w:val="bottom"/>
          </w:tcPr>
          <w:p>
            <w:pPr>
              <w:spacing w:after="0"/>
              <w:rPr>
                <w:sz w:val="1"/>
                <w:szCs w:val="1"/>
                <w:color w:val="auto"/>
              </w:rPr>
            </w:pPr>
          </w:p>
        </w:tc>
      </w:tr>
      <w:tr>
        <w:trPr>
          <w:trHeight w:val="217"/>
        </w:trPr>
        <w:tc>
          <w:tcPr>
            <w:tcW w:w="3500" w:type="dxa"/>
            <w:vAlign w:val="bottom"/>
          </w:tcPr>
          <w:p>
            <w:pPr>
              <w:ind w:left="20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46,715</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21,448</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2,087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71,036</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U.S. and Foreign Corporate Fixed Maturity Securities</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We maintain a diversified portfolio of corporate fixed maturity securities across industries and issuers. Our portfolio does not have any exposure to any single issuer in excess of 1% of total investments, and the top ten holdings in aggregate comprise 2% of total investments at March 31, 2020 and December 31, 2019. Our U.S. and foreign corporate fixed maturity securities holdings by industry were as follows at:</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March 31, 2020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3"/>
              </w:rPr>
              <w:t>December 31, 2019</w:t>
            </w:r>
          </w:p>
        </w:tc>
        <w:tc>
          <w:tcPr>
            <w:tcW w:w="1000" w:type="dxa"/>
            <w:vAlign w:val="bottom"/>
            <w:tcBorders>
              <w:bottom w:val="single" w:sz="8" w:color="auto"/>
            </w:tcBorders>
          </w:tcPr>
          <w:p>
            <w:pPr>
              <w:spacing w:after="0"/>
              <w:rPr>
                <w:sz w:val="16"/>
                <w:szCs w:val="16"/>
                <w:color w:val="auto"/>
              </w:rPr>
            </w:pPr>
          </w:p>
        </w:tc>
      </w:tr>
      <w:tr>
        <w:trPr>
          <w:trHeight w:val="152"/>
        </w:trPr>
        <w:tc>
          <w:tcPr>
            <w:tcW w:w="4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60" w:type="dxa"/>
            <w:vAlign w:val="bottom"/>
            <w:gridSpan w:val="3"/>
          </w:tcPr>
          <w:p>
            <w:pPr>
              <w:ind w:left="180"/>
              <w:spacing w:after="0" w:line="153" w:lineRule="exact"/>
              <w:rPr>
                <w:sz w:val="20"/>
                <w:szCs w:val="20"/>
                <w:color w:val="auto"/>
              </w:rPr>
            </w:pPr>
            <w:r>
              <w:rPr>
                <w:rFonts w:ascii="Arial" w:cs="Arial" w:eastAsia="Arial" w:hAnsi="Arial"/>
                <w:sz w:val="14"/>
                <w:szCs w:val="14"/>
                <w:b w:val="1"/>
                <w:bCs w:val="1"/>
                <w:color w:val="auto"/>
              </w:rPr>
              <w:t>Estimated</w:t>
            </w: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3"/>
                <w:szCs w:val="13"/>
                <w:color w:val="auto"/>
              </w:rPr>
            </w:pPr>
          </w:p>
        </w:tc>
        <w:tc>
          <w:tcPr>
            <w:tcW w:w="2000" w:type="dxa"/>
            <w:vAlign w:val="bottom"/>
            <w:gridSpan w:val="3"/>
          </w:tcPr>
          <w:p>
            <w:pPr>
              <w:ind w:left="160"/>
              <w:spacing w:after="0" w:line="153" w:lineRule="exact"/>
              <w:rPr>
                <w:sz w:val="20"/>
                <w:szCs w:val="20"/>
                <w:color w:val="auto"/>
              </w:rPr>
            </w:pPr>
            <w:r>
              <w:rPr>
                <w:rFonts w:ascii="Arial" w:cs="Arial" w:eastAsia="Arial" w:hAnsi="Arial"/>
                <w:sz w:val="14"/>
                <w:szCs w:val="14"/>
                <w:b w:val="1"/>
                <w:bCs w:val="1"/>
                <w:color w:val="auto"/>
              </w:rPr>
              <w:t>Estimated</w:t>
            </w:r>
          </w:p>
        </w:tc>
        <w:tc>
          <w:tcPr>
            <w:tcW w:w="1000" w:type="dxa"/>
            <w:vAlign w:val="bottom"/>
          </w:tcPr>
          <w:p>
            <w:pPr>
              <w:jc w:val="right"/>
              <w:ind w:right="581"/>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4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Fair Value</w:t>
            </w:r>
          </w:p>
        </w:tc>
        <w:tc>
          <w:tcPr>
            <w:tcW w:w="10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w w:val="95"/>
              </w:rPr>
              <w:t>Total</w:t>
            </w:r>
          </w:p>
        </w:tc>
      </w:tr>
      <w:tr>
        <w:trPr>
          <w:trHeight w:val="250"/>
        </w:trPr>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40" w:type="dxa"/>
            <w:vAlign w:val="bottom"/>
            <w:gridSpan w:val="6"/>
          </w:tcPr>
          <w:p>
            <w:pPr>
              <w:ind w:left="500"/>
              <w:spacing w:after="0"/>
              <w:rPr>
                <w:sz w:val="20"/>
                <w:szCs w:val="20"/>
                <w:color w:val="auto"/>
              </w:rPr>
            </w:pPr>
            <w:r>
              <w:rPr>
                <w:rFonts w:ascii="Arial" w:cs="Arial" w:eastAsia="Arial" w:hAnsi="Arial"/>
                <w:sz w:val="14"/>
                <w:szCs w:val="14"/>
                <w:b w:val="1"/>
                <w:bCs w:val="1"/>
                <w:color w:val="auto"/>
              </w:rPr>
              <w:t>(Dollars in millions)</w:t>
            </w:r>
          </w:p>
        </w:tc>
        <w:tc>
          <w:tcPr>
            <w:tcW w:w="1000" w:type="dxa"/>
            <w:vAlign w:val="bottom"/>
          </w:tcPr>
          <w:p>
            <w:pPr>
              <w:spacing w:after="0"/>
              <w:rPr>
                <w:sz w:val="21"/>
                <w:szCs w:val="2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11,960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12,633</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37"/>
        </w:trPr>
        <w:tc>
          <w:tcPr>
            <w:tcW w:w="4580" w:type="dxa"/>
            <w:vAlign w:val="bottom"/>
          </w:tcPr>
          <w:p>
            <w:pPr>
              <w:ind w:left="40"/>
              <w:spacing w:after="0"/>
              <w:rPr>
                <w:sz w:val="20"/>
                <w:szCs w:val="20"/>
                <w:color w:val="auto"/>
              </w:rPr>
            </w:pPr>
            <w:r>
              <w:rPr>
                <w:rFonts w:ascii="Arial" w:cs="Arial" w:eastAsia="Arial" w:hAnsi="Arial"/>
                <w:sz w:val="16"/>
                <w:szCs w:val="16"/>
                <w:color w:val="auto"/>
              </w:rPr>
              <w:t>Consumer</w:t>
            </w:r>
          </w:p>
        </w:tc>
        <w:tc>
          <w:tcPr>
            <w:tcW w:w="26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9,732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9,719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23.7</w:t>
            </w:r>
          </w:p>
        </w:tc>
      </w:tr>
      <w:tr>
        <w:trPr>
          <w:trHeight w:val="33"/>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9,234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9,448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23.0</w:t>
            </w:r>
          </w:p>
        </w:tc>
      </w:tr>
      <w:tr>
        <w:trPr>
          <w:trHeight w:val="237"/>
        </w:trPr>
        <w:tc>
          <w:tcPr>
            <w:tcW w:w="4580" w:type="dxa"/>
            <w:vAlign w:val="bottom"/>
          </w:tcPr>
          <w:p>
            <w:pPr>
              <w:ind w:left="40"/>
              <w:spacing w:after="0"/>
              <w:rPr>
                <w:sz w:val="20"/>
                <w:szCs w:val="20"/>
                <w:color w:val="auto"/>
              </w:rPr>
            </w:pPr>
            <w:r>
              <w:rPr>
                <w:rFonts w:ascii="Arial" w:cs="Arial" w:eastAsia="Arial" w:hAnsi="Arial"/>
                <w:sz w:val="16"/>
                <w:szCs w:val="16"/>
                <w:color w:val="auto"/>
              </w:rPr>
              <w:t>Utility</w:t>
            </w:r>
          </w:p>
        </w:tc>
        <w:tc>
          <w:tcPr>
            <w:tcW w:w="26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6,019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jc w:val="right"/>
              <w:ind w:right="102"/>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6,247</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15.2</w:t>
            </w:r>
          </w:p>
        </w:tc>
      </w:tr>
      <w:tr>
        <w:trPr>
          <w:trHeight w:val="33"/>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Communications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2,969</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2,957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7.2</w:t>
            </w:r>
          </w:p>
        </w:tc>
      </w:tr>
      <w:tr>
        <w:trPr>
          <w:trHeight w:val="217"/>
        </w:trPr>
        <w:tc>
          <w:tcPr>
            <w:tcW w:w="4580" w:type="dxa"/>
            <w:vAlign w:val="bottom"/>
          </w:tcPr>
          <w:p>
            <w:pPr>
              <w:ind w:left="36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39,914</w:t>
            </w: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41,004</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Structured Securities</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We held $16.7 billion and $16.8 billion of Structured Securities, at estimated fair value, at March 31, 2020 and December 31, 2019, respectively, as presented in the RMBS, CMBS and ABS sections below.</w:t>
      </w:r>
    </w:p>
    <w:p>
      <w:pPr>
        <w:sectPr>
          <w:pgSz w:w="11900" w:h="16838" w:orient="portrait"/>
          <w:cols w:equalWidth="0" w:num="1">
            <w:col w:w="11240"/>
          </w:cols>
          <w:pgMar w:left="320" w:top="126"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0"/>
          </w:cols>
          <w:pgMar w:left="320" w:top="126" w:right="339" w:bottom="1440" w:gutter="0" w:footer="0" w:header="0"/>
          <w:type w:val="continuous"/>
        </w:sectPr>
      </w:pPr>
    </w:p>
    <w:bookmarkStart w:id="61" w:name="page62"/>
    <w:bookmarkEnd w:id="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RMBS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RMBS holdings are diversified by security type, risk profile and ratings profile, which were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4"/>
              </w:rPr>
              <w:t>March 31, 2020</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160" w:type="dxa"/>
            <w:vAlign w:val="bottom"/>
            <w:tcBorders>
              <w:bottom w:val="single" w:sz="8" w:color="auto"/>
            </w:tcBorders>
          </w:tcPr>
          <w:p>
            <w:pPr>
              <w:spacing w:after="0"/>
              <w:rPr>
                <w:sz w:val="16"/>
                <w:szCs w:val="16"/>
                <w:color w:val="auto"/>
              </w:rPr>
            </w:pPr>
          </w:p>
        </w:tc>
      </w:tr>
      <w:tr>
        <w:trPr>
          <w:trHeight w:val="152"/>
        </w:trPr>
        <w:tc>
          <w:tcPr>
            <w:tcW w:w="3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Estimated</w:t>
            </w:r>
          </w:p>
        </w:tc>
        <w:tc>
          <w:tcPr>
            <w:tcW w:w="1200" w:type="dxa"/>
            <w:vAlign w:val="bottom"/>
            <w:gridSpan w:val="3"/>
          </w:tcPr>
          <w:p>
            <w:pPr>
              <w:ind w:left="380"/>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Net Unrealized</w:t>
            </w:r>
          </w:p>
        </w:tc>
        <w:tc>
          <w:tcPr>
            <w:tcW w:w="140" w:type="dxa"/>
            <w:vAlign w:val="bottom"/>
          </w:tcPr>
          <w:p>
            <w:pPr>
              <w:spacing w:after="0"/>
              <w:rPr>
                <w:sz w:val="13"/>
                <w:szCs w:val="13"/>
                <w:color w:val="auto"/>
              </w:rPr>
            </w:pPr>
          </w:p>
        </w:tc>
        <w:tc>
          <w:tcPr>
            <w:tcW w:w="9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Estimated</w:t>
            </w:r>
          </w:p>
        </w:tc>
        <w:tc>
          <w:tcPr>
            <w:tcW w:w="116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16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w w:val="96"/>
              </w:rPr>
              <w:t>Net Unrealized</w:t>
            </w:r>
          </w:p>
        </w:tc>
      </w:tr>
      <w:tr>
        <w:trPr>
          <w:trHeight w:val="192"/>
        </w:trPr>
        <w:tc>
          <w:tcPr>
            <w:tcW w:w="3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2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Gains (Losses)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1"/>
              </w:rPr>
              <w:t>Gains (Losses)</w:t>
            </w:r>
          </w:p>
        </w:tc>
      </w:tr>
      <w:tr>
        <w:trPr>
          <w:trHeight w:val="250"/>
        </w:trPr>
        <w:tc>
          <w:tcPr>
            <w:tcW w:w="3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0" w:type="dxa"/>
            <w:vAlign w:val="bottom"/>
            <w:gridSpan w:val="5"/>
          </w:tcPr>
          <w:p>
            <w:pPr>
              <w:ind w:left="640"/>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Security type:</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37"/>
        </w:trPr>
        <w:tc>
          <w:tcPr>
            <w:tcW w:w="3920" w:type="dxa"/>
            <w:vAlign w:val="bottom"/>
          </w:tcPr>
          <w:p>
            <w:pPr>
              <w:ind w:left="200"/>
              <w:spacing w:after="0"/>
              <w:rPr>
                <w:sz w:val="20"/>
                <w:szCs w:val="20"/>
                <w:color w:val="auto"/>
              </w:rPr>
            </w:pPr>
            <w:r>
              <w:rPr>
                <w:rFonts w:ascii="Arial" w:cs="Arial" w:eastAsia="Arial" w:hAnsi="Arial"/>
                <w:sz w:val="16"/>
                <w:szCs w:val="16"/>
                <w:color w:val="auto"/>
              </w:rPr>
              <w:t>Collateralized mortgage obligations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4,789</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4,857</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360</w:t>
            </w: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Pass-through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4,111</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46.2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4,261</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66</w:t>
            </w:r>
          </w:p>
        </w:tc>
      </w:tr>
      <w:tr>
        <w:trPr>
          <w:trHeight w:val="217"/>
        </w:trPr>
        <w:tc>
          <w:tcPr>
            <w:tcW w:w="3920" w:type="dxa"/>
            <w:vAlign w:val="bottom"/>
          </w:tcPr>
          <w:p>
            <w:pPr>
              <w:ind w:left="360"/>
              <w:spacing w:after="0"/>
              <w:rPr>
                <w:sz w:val="20"/>
                <w:szCs w:val="20"/>
                <w:color w:val="auto"/>
              </w:rPr>
            </w:pPr>
            <w:r>
              <w:rPr>
                <w:rFonts w:ascii="Arial" w:cs="Arial" w:eastAsia="Arial" w:hAnsi="Arial"/>
                <w:sz w:val="16"/>
                <w:szCs w:val="16"/>
                <w:color w:val="auto"/>
              </w:rPr>
              <w:t>Total RMBS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8,900</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9,118</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426</w:t>
            </w:r>
          </w:p>
        </w:tc>
      </w:tr>
      <w:tr>
        <w:trPr>
          <w:trHeight w:val="73"/>
        </w:trPr>
        <w:tc>
          <w:tcPr>
            <w:tcW w:w="39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177"/>
        </w:trPr>
        <w:tc>
          <w:tcPr>
            <w:tcW w:w="39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Risk profile:</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73"/>
        </w:trPr>
        <w:tc>
          <w:tcPr>
            <w:tcW w:w="3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37"/>
        </w:trPr>
        <w:tc>
          <w:tcPr>
            <w:tcW w:w="3920" w:type="dxa"/>
            <w:vAlign w:val="bottom"/>
          </w:tcPr>
          <w:p>
            <w:pPr>
              <w:ind w:left="200"/>
              <w:spacing w:after="0"/>
              <w:rPr>
                <w:sz w:val="20"/>
                <w:szCs w:val="20"/>
                <w:color w:val="auto"/>
              </w:rPr>
            </w:pPr>
            <w:r>
              <w:rPr>
                <w:rFonts w:ascii="Arial" w:cs="Arial" w:eastAsia="Arial" w:hAnsi="Arial"/>
                <w:sz w:val="16"/>
                <w:szCs w:val="16"/>
                <w:color w:val="auto"/>
              </w:rPr>
              <w:t>Agency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7,212</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7,216</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256</w:t>
            </w: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Prime</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r>
      <w:tr>
        <w:trPr>
          <w:trHeight w:val="237"/>
        </w:trPr>
        <w:tc>
          <w:tcPr>
            <w:tcW w:w="3920" w:type="dxa"/>
            <w:vAlign w:val="bottom"/>
          </w:tcPr>
          <w:p>
            <w:pPr>
              <w:ind w:left="200"/>
              <w:spacing w:after="0"/>
              <w:rPr>
                <w:sz w:val="20"/>
                <w:szCs w:val="20"/>
                <w:color w:val="auto"/>
              </w:rPr>
            </w:pPr>
            <w:r>
              <w:rPr>
                <w:rFonts w:ascii="Arial" w:cs="Arial" w:eastAsia="Arial" w:hAnsi="Arial"/>
                <w:sz w:val="16"/>
                <w:szCs w:val="16"/>
                <w:color w:val="auto"/>
              </w:rPr>
              <w:t>Alt-A</w:t>
            </w:r>
          </w:p>
        </w:tc>
        <w:tc>
          <w:tcPr>
            <w:tcW w:w="1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883</w:t>
            </w:r>
          </w:p>
        </w:tc>
        <w:tc>
          <w:tcPr>
            <w:tcW w:w="100" w:type="dxa"/>
            <w:vAlign w:val="bottom"/>
          </w:tcPr>
          <w:p>
            <w:pPr>
              <w:spacing w:after="0"/>
              <w:rPr>
                <w:sz w:val="20"/>
                <w:szCs w:val="20"/>
                <w:color w:val="auto"/>
              </w:rPr>
            </w:pPr>
          </w:p>
        </w:tc>
        <w:tc>
          <w:tcPr>
            <w:tcW w:w="1060" w:type="dxa"/>
            <w:vAlign w:val="bottom"/>
          </w:tcPr>
          <w:p>
            <w:pPr>
              <w:jc w:val="right"/>
              <w:ind w:right="81"/>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96</w:t>
            </w: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Sub-prime</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878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w:t>
            </w:r>
          </w:p>
        </w:tc>
      </w:tr>
      <w:tr>
        <w:trPr>
          <w:trHeight w:val="217"/>
        </w:trPr>
        <w:tc>
          <w:tcPr>
            <w:tcW w:w="3920" w:type="dxa"/>
            <w:vAlign w:val="bottom"/>
          </w:tcPr>
          <w:p>
            <w:pPr>
              <w:ind w:left="360"/>
              <w:spacing w:after="0"/>
              <w:rPr>
                <w:sz w:val="20"/>
                <w:szCs w:val="20"/>
                <w:color w:val="auto"/>
              </w:rPr>
            </w:pPr>
            <w:r>
              <w:rPr>
                <w:rFonts w:ascii="Arial" w:cs="Arial" w:eastAsia="Arial" w:hAnsi="Arial"/>
                <w:sz w:val="16"/>
                <w:szCs w:val="16"/>
                <w:color w:val="auto"/>
              </w:rPr>
              <w:t>Total RMBS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8,900</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492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9,118</w:t>
            </w:r>
          </w:p>
        </w:tc>
        <w:tc>
          <w:tcPr>
            <w:tcW w:w="1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426</w:t>
            </w:r>
          </w:p>
        </w:tc>
      </w:tr>
      <w:tr>
        <w:trPr>
          <w:trHeight w:val="73"/>
        </w:trPr>
        <w:tc>
          <w:tcPr>
            <w:tcW w:w="39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177"/>
        </w:trPr>
        <w:tc>
          <w:tcPr>
            <w:tcW w:w="39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Ratings profile:</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73"/>
        </w:trPr>
        <w:tc>
          <w:tcPr>
            <w:tcW w:w="3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r>
      <w:tr>
        <w:trPr>
          <w:trHeight w:val="237"/>
        </w:trPr>
        <w:tc>
          <w:tcPr>
            <w:tcW w:w="3920" w:type="dxa"/>
            <w:vAlign w:val="bottom"/>
          </w:tcPr>
          <w:p>
            <w:pPr>
              <w:ind w:left="200"/>
              <w:spacing w:after="0"/>
              <w:rPr>
                <w:sz w:val="20"/>
                <w:szCs w:val="20"/>
                <w:color w:val="auto"/>
              </w:rPr>
            </w:pPr>
            <w:r>
              <w:rPr>
                <w:rFonts w:ascii="Arial" w:cs="Arial" w:eastAsia="Arial" w:hAnsi="Arial"/>
                <w:sz w:val="16"/>
                <w:szCs w:val="16"/>
                <w:color w:val="auto"/>
              </w:rPr>
              <w:t>Rated Aaa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7,316</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7,329</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39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Designated NAIC 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8,843</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9,020</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33"/>
        </w:trPr>
        <w:tc>
          <w:tcPr>
            <w:tcW w:w="3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 The estimated fair value of our sub-prime RMBS holdings purchased since 2012 was $779 million and $851 million at March 31, 2020 and December 31, 2019, with unrealized gains (losses) of $7 million and $61 million at March 31, 2020 and December 31, 2019, respectively.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CMBS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CMBS holdings are diversified by vintage year, which were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3"/>
          </w:tcPr>
          <w:p>
            <w:pPr>
              <w:jc w:val="right"/>
              <w:ind w:right="784"/>
              <w:spacing w:after="0"/>
              <w:rPr>
                <w:sz w:val="20"/>
                <w:szCs w:val="20"/>
                <w:color w:val="auto"/>
              </w:rPr>
            </w:pPr>
            <w:r>
              <w:rPr>
                <w:rFonts w:ascii="Arial" w:cs="Arial" w:eastAsia="Arial" w:hAnsi="Arial"/>
                <w:sz w:val="14"/>
                <w:szCs w:val="14"/>
                <w:b w:val="1"/>
                <w:bCs w:val="1"/>
                <w:color w:val="auto"/>
              </w:rPr>
              <w:t>March 31, 2020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Amortized Cost</w:t>
            </w:r>
          </w:p>
        </w:tc>
        <w:tc>
          <w:tcPr>
            <w:tcW w:w="12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Estimated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560" w:type="dxa"/>
            <w:vAlign w:val="bottom"/>
          </w:tcPr>
          <w:p>
            <w:pPr>
              <w:spacing w:after="0"/>
              <w:rPr>
                <w:sz w:val="13"/>
                <w:szCs w:val="13"/>
                <w:color w:val="auto"/>
              </w:rPr>
            </w:pPr>
          </w:p>
        </w:tc>
        <w:tc>
          <w:tcPr>
            <w:tcW w:w="1220" w:type="dxa"/>
            <w:vAlign w:val="bottom"/>
          </w:tcPr>
          <w:p>
            <w:pPr>
              <w:jc w:val="right"/>
              <w:ind w:right="500"/>
              <w:spacing w:after="0" w:line="15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vMerge w:val="continue"/>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2003 - 2010</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8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2011</w:t>
            </w:r>
          </w:p>
        </w:tc>
        <w:tc>
          <w:tcPr>
            <w:tcW w:w="260" w:type="dxa"/>
            <w:vAlign w:val="bottom"/>
          </w:tcPr>
          <w:p>
            <w:pPr>
              <w:spacing w:after="0"/>
              <w:rPr>
                <w:sz w:val="20"/>
                <w:szCs w:val="20"/>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2012</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2013</w:t>
            </w:r>
          </w:p>
        </w:tc>
        <w:tc>
          <w:tcPr>
            <w:tcW w:w="260" w:type="dxa"/>
            <w:vAlign w:val="bottom"/>
          </w:tcPr>
          <w:p>
            <w:pPr>
              <w:spacing w:after="0"/>
              <w:rPr>
                <w:sz w:val="20"/>
                <w:szCs w:val="20"/>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2015</w:t>
            </w:r>
          </w:p>
        </w:tc>
        <w:tc>
          <w:tcPr>
            <w:tcW w:w="260" w:type="dxa"/>
            <w:vAlign w:val="bottom"/>
          </w:tcPr>
          <w:p>
            <w:pPr>
              <w:spacing w:after="0"/>
              <w:rPr>
                <w:sz w:val="20"/>
                <w:szCs w:val="20"/>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946</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938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977</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2017</w:t>
            </w:r>
          </w:p>
        </w:tc>
        <w:tc>
          <w:tcPr>
            <w:tcW w:w="260" w:type="dxa"/>
            <w:vAlign w:val="bottom"/>
          </w:tcPr>
          <w:p>
            <w:pPr>
              <w:spacing w:after="0"/>
              <w:rPr>
                <w:sz w:val="20"/>
                <w:szCs w:val="20"/>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683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1,620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1,745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37"/>
        </w:trPr>
        <w:tc>
          <w:tcPr>
            <w:tcW w:w="3740" w:type="dxa"/>
            <w:vAlign w:val="bottom"/>
          </w:tcPr>
          <w:p>
            <w:pPr>
              <w:ind w:left="40"/>
              <w:spacing w:after="0"/>
              <w:rPr>
                <w:sz w:val="20"/>
                <w:szCs w:val="20"/>
                <w:color w:val="auto"/>
              </w:rPr>
            </w:pPr>
            <w:r>
              <w:rPr>
                <w:rFonts w:ascii="Arial" w:cs="Arial" w:eastAsia="Arial" w:hAnsi="Arial"/>
                <w:sz w:val="16"/>
                <w:szCs w:val="16"/>
                <w:color w:val="auto"/>
              </w:rPr>
              <w:t>2019</w:t>
            </w:r>
          </w:p>
        </w:tc>
        <w:tc>
          <w:tcPr>
            <w:tcW w:w="260" w:type="dxa"/>
            <w:vAlign w:val="bottom"/>
          </w:tcPr>
          <w:p>
            <w:pPr>
              <w:spacing w:after="0"/>
              <w:rPr>
                <w:sz w:val="20"/>
                <w:szCs w:val="20"/>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847</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jc w:val="right"/>
              <w:ind w:right="20"/>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826</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740" w:type="dxa"/>
            <w:vAlign w:val="bottom"/>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5,601</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ind w:right="1084"/>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9"/>
              </w:rPr>
              <w:t>5,745</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5,500</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5,755</w:t>
            </w:r>
          </w:p>
        </w:tc>
        <w:tc>
          <w:tcPr>
            <w:tcW w:w="0" w:type="dxa"/>
            <w:vAlign w:val="bottom"/>
          </w:tcPr>
          <w:p>
            <w:pPr>
              <w:spacing w:after="0"/>
              <w:rPr>
                <w:sz w:val="1"/>
                <w:szCs w:val="1"/>
                <w:color w:val="auto"/>
              </w:rPr>
            </w:pPr>
          </w:p>
        </w:tc>
      </w:tr>
      <w:tr>
        <w:trPr>
          <w:trHeight w:val="33"/>
        </w:trPr>
        <w:tc>
          <w:tcPr>
            <w:tcW w:w="3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The estimated fair value of CMBS rated Aaa using rating agency ratings was $4.4 billion, or 76.2% of total CMBS, and designated NAIC 1 was $5.6 billion, or 97.7% of total CMBS, at March 31, 2020. CMBS Aaa rating agency ratings was $4.3 billion, or 74.9% of total CMBS, and designated NAIC 1 was $5.6 billion, or 97.5% of total CMBS at December 31, 2019.</w:t>
      </w:r>
    </w:p>
    <w:p>
      <w:pPr>
        <w:sectPr>
          <w:pgSz w:w="11900" w:h="16838" w:orient="portrait"/>
          <w:cols w:equalWidth="0" w:num="1">
            <w:col w:w="11240"/>
          </w:cols>
          <w:pgMar w:left="320" w:top="126"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240"/>
          </w:cols>
          <w:pgMar w:left="320" w:top="126" w:right="339" w:bottom="1440" w:gutter="0" w:footer="0" w:header="0"/>
          <w:type w:val="continuous"/>
        </w:sectPr>
      </w:pPr>
    </w:p>
    <w:bookmarkStart w:id="62" w:name="page63"/>
    <w:bookmarkEnd w:id="6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ABS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ABS holdings are diversified by both collateral type and issuer. Our ABS holdings by collateral type and ratings profile were as follows at:</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0"/>
              </w:rPr>
              <w:t>December 31, 2019</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3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128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Net Unrealized</w:t>
            </w:r>
          </w:p>
        </w:tc>
        <w:tc>
          <w:tcPr>
            <w:tcW w:w="16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1280" w:type="dxa"/>
            <w:vAlign w:val="bottom"/>
            <w:gridSpan w:val="3"/>
          </w:tcPr>
          <w:p>
            <w:pPr>
              <w:ind w:left="42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118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w w:val="98"/>
              </w:rPr>
              <w:t>Net Unrealized</w:t>
            </w:r>
          </w:p>
        </w:tc>
      </w:tr>
      <w:tr>
        <w:trPr>
          <w:trHeight w:val="192"/>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Gains (Losses)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3"/>
              </w:rPr>
              <w:t>Gains (Losses)</w:t>
            </w:r>
          </w:p>
        </w:tc>
      </w:tr>
      <w:tr>
        <w:trPr>
          <w:trHeight w:val="196"/>
        </w:trPr>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5"/>
          </w:tcPr>
          <w:p>
            <w:pPr>
              <w:ind w:left="60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6"/>
        </w:trPr>
        <w:tc>
          <w:tcPr>
            <w:tcW w:w="3620" w:type="dxa"/>
            <w:vAlign w:val="bottom"/>
            <w:tcBorders>
              <w:bottom w:val="single" w:sz="8" w:color="CCEEFF"/>
            </w:tcBorders>
            <w:shd w:val="clear" w:color="auto" w:fill="CCEEFF"/>
          </w:tcPr>
          <w:p>
            <w:pPr>
              <w:jc w:val="center"/>
              <w:ind w:right="2459"/>
              <w:spacing w:after="0"/>
              <w:rPr>
                <w:sz w:val="20"/>
                <w:szCs w:val="20"/>
                <w:color w:val="auto"/>
              </w:rPr>
            </w:pPr>
            <w:r>
              <w:rPr>
                <w:rFonts w:ascii="Arial" w:cs="Arial" w:eastAsia="Arial" w:hAnsi="Arial"/>
                <w:sz w:val="16"/>
                <w:szCs w:val="16"/>
                <w:color w:val="auto"/>
                <w:w w:val="93"/>
              </w:rPr>
              <w:t>Collateral type:</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37"/>
        </w:trPr>
        <w:tc>
          <w:tcPr>
            <w:tcW w:w="3620" w:type="dxa"/>
            <w:vAlign w:val="bottom"/>
          </w:tcPr>
          <w:p>
            <w:pPr>
              <w:ind w:left="200"/>
              <w:spacing w:after="0"/>
              <w:rPr>
                <w:sz w:val="20"/>
                <w:szCs w:val="20"/>
                <w:color w:val="auto"/>
              </w:rPr>
            </w:pPr>
            <w:r>
              <w:rPr>
                <w:rFonts w:ascii="Arial" w:cs="Arial" w:eastAsia="Arial" w:hAnsi="Arial"/>
                <w:sz w:val="16"/>
                <w:szCs w:val="16"/>
                <w:color w:val="auto"/>
              </w:rPr>
              <w:t>Collateralized obligations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1,058</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Student loans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r>
      <w:tr>
        <w:trPr>
          <w:trHeight w:val="237"/>
        </w:trPr>
        <w:tc>
          <w:tcPr>
            <w:tcW w:w="3620" w:type="dxa"/>
            <w:vAlign w:val="bottom"/>
          </w:tcPr>
          <w:p>
            <w:pPr>
              <w:ind w:left="200"/>
              <w:spacing w:after="0"/>
              <w:rPr>
                <w:sz w:val="20"/>
                <w:szCs w:val="20"/>
                <w:color w:val="auto"/>
              </w:rPr>
            </w:pPr>
            <w:r>
              <w:rPr>
                <w:rFonts w:ascii="Arial" w:cs="Arial" w:eastAsia="Arial" w:hAnsi="Arial"/>
                <w:sz w:val="16"/>
                <w:szCs w:val="16"/>
                <w:color w:val="auto"/>
              </w:rPr>
              <w:t>Consumer loans</w:t>
            </w:r>
          </w:p>
        </w:tc>
        <w:tc>
          <w:tcPr>
            <w:tcW w:w="16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w:t>
            </w:r>
          </w:p>
        </w:tc>
      </w:tr>
      <w:tr>
        <w:trPr>
          <w:trHeight w:val="33"/>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Automobile loans</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r>
      <w:tr>
        <w:trPr>
          <w:trHeight w:val="237"/>
        </w:trPr>
        <w:tc>
          <w:tcPr>
            <w:tcW w:w="3620" w:type="dxa"/>
            <w:vAlign w:val="bottom"/>
          </w:tcPr>
          <w:p>
            <w:pPr>
              <w:ind w:left="200"/>
              <w:spacing w:after="0"/>
              <w:rPr>
                <w:sz w:val="20"/>
                <w:szCs w:val="20"/>
                <w:color w:val="auto"/>
              </w:rPr>
            </w:pPr>
            <w:r>
              <w:rPr>
                <w:rFonts w:ascii="Arial" w:cs="Arial" w:eastAsia="Arial" w:hAnsi="Arial"/>
                <w:sz w:val="16"/>
                <w:szCs w:val="16"/>
                <w:color w:val="auto"/>
              </w:rPr>
              <w:t>Credit card loans</w:t>
            </w:r>
          </w:p>
        </w:tc>
        <w:tc>
          <w:tcPr>
            <w:tcW w:w="16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w:t>
            </w:r>
          </w:p>
        </w:tc>
      </w:tr>
      <w:tr>
        <w:trPr>
          <w:trHeight w:val="33"/>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loans</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r>
      <w:tr>
        <w:trPr>
          <w:trHeight w:val="217"/>
        </w:trPr>
        <w:tc>
          <w:tcPr>
            <w:tcW w:w="3620" w:type="dxa"/>
            <w:vAlign w:val="bottom"/>
          </w:tcPr>
          <w:p>
            <w:pPr>
              <w:jc w:val="center"/>
              <w:ind w:right="2499"/>
              <w:spacing w:after="0"/>
              <w:rPr>
                <w:sz w:val="20"/>
                <w:szCs w:val="20"/>
                <w:color w:val="auto"/>
              </w:rPr>
            </w:pPr>
            <w:r>
              <w:rPr>
                <w:rFonts w:ascii="Arial" w:cs="Arial" w:eastAsia="Arial" w:hAnsi="Arial"/>
                <w:sz w:val="16"/>
                <w:szCs w:val="16"/>
                <w:color w:val="auto"/>
                <w:w w:val="89"/>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2,027</w:t>
            </w: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1,955</w:t>
            </w:r>
          </w:p>
        </w:tc>
        <w:tc>
          <w:tcPr>
            <w:tcW w:w="1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w:t>
            </w:r>
          </w:p>
        </w:tc>
      </w:tr>
      <w:tr>
        <w:trPr>
          <w:trHeight w:val="73"/>
        </w:trPr>
        <w:tc>
          <w:tcPr>
            <w:tcW w:w="36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177"/>
        </w:trPr>
        <w:tc>
          <w:tcPr>
            <w:tcW w:w="3620" w:type="dxa"/>
            <w:vAlign w:val="bottom"/>
            <w:shd w:val="clear" w:color="auto" w:fill="CCEEFF"/>
          </w:tcPr>
          <w:p>
            <w:pPr>
              <w:jc w:val="center"/>
              <w:ind w:right="2459"/>
              <w:spacing w:after="0" w:line="177" w:lineRule="exact"/>
              <w:rPr>
                <w:sz w:val="20"/>
                <w:szCs w:val="20"/>
                <w:color w:val="auto"/>
              </w:rPr>
            </w:pPr>
            <w:r>
              <w:rPr>
                <w:rFonts w:ascii="Arial" w:cs="Arial" w:eastAsia="Arial" w:hAnsi="Arial"/>
                <w:sz w:val="16"/>
                <w:szCs w:val="16"/>
                <w:color w:val="auto"/>
                <w:w w:val="93"/>
              </w:rPr>
              <w:t>Ratings profile: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73"/>
        </w:trPr>
        <w:tc>
          <w:tcPr>
            <w:tcW w:w="36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r>
      <w:tr>
        <w:trPr>
          <w:trHeight w:val="237"/>
        </w:trPr>
        <w:tc>
          <w:tcPr>
            <w:tcW w:w="3620" w:type="dxa"/>
            <w:vAlign w:val="bottom"/>
          </w:tcPr>
          <w:p>
            <w:pPr>
              <w:ind w:left="200"/>
              <w:spacing w:after="0"/>
              <w:rPr>
                <w:sz w:val="20"/>
                <w:szCs w:val="20"/>
                <w:color w:val="auto"/>
              </w:rPr>
            </w:pPr>
            <w:r>
              <w:rPr>
                <w:rFonts w:ascii="Arial" w:cs="Arial" w:eastAsia="Arial" w:hAnsi="Arial"/>
                <w:sz w:val="16"/>
                <w:szCs w:val="16"/>
                <w:color w:val="auto"/>
              </w:rPr>
              <w:t>Rated Aaa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879</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Designated NAIC 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1,792</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1,696</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33"/>
        </w:trPr>
        <w:tc>
          <w:tcPr>
            <w:tcW w:w="3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 for Fixed Maturity Securities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4 of the Notes to the Interim Condensed Consolidated Financial Statements for information about the evaluation of fixed maturity securities for an allowance for credit losses or write-offs due to uncollectability.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The estimated fair value of the securities loaned is monitored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 Liquidity and Capital Resources — The Company — Primary Uses of Liquidity and Capital — Securities Lending” and Note 4 of the Notes to the Interim Condensed Consolidated Financial Statements for information regarding our securities lending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mortgage loans are principally collateralized by commercial, agricultural and residential properties. Information regarding mortgage loans by portfolio segment was summarized as follows at: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March 31, 2020</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6"/>
              </w:rPr>
              <w:t>Amortized</w:t>
            </w:r>
          </w:p>
        </w:tc>
        <w:tc>
          <w:tcPr>
            <w:tcW w:w="1140" w:type="dxa"/>
            <w:vAlign w:val="bottom"/>
            <w:gridSpan w:val="2"/>
          </w:tcPr>
          <w:p>
            <w:pPr>
              <w:ind w:left="360"/>
              <w:spacing w:after="0" w:line="153" w:lineRule="exact"/>
              <w:rPr>
                <w:sz w:val="20"/>
                <w:szCs w:val="20"/>
                <w:color w:val="auto"/>
              </w:rPr>
            </w:pPr>
            <w:r>
              <w:rPr>
                <w:rFonts w:ascii="Arial" w:cs="Arial" w:eastAsia="Arial" w:hAnsi="Arial"/>
                <w:sz w:val="14"/>
                <w:szCs w:val="14"/>
                <w:b w:val="1"/>
                <w:bCs w:val="1"/>
                <w:color w:val="auto"/>
              </w:rPr>
              <w:t>% of</w:t>
            </w:r>
          </w:p>
        </w:tc>
        <w:tc>
          <w:tcPr>
            <w:tcW w:w="10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Allowance for</w:t>
            </w:r>
          </w:p>
        </w:tc>
        <w:tc>
          <w:tcPr>
            <w:tcW w:w="1280" w:type="dxa"/>
            <w:vAlign w:val="bottom"/>
            <w:gridSpan w:val="2"/>
          </w:tcPr>
          <w:p>
            <w:pPr>
              <w:jc w:val="right"/>
              <w:ind w:right="140"/>
              <w:spacing w:after="0" w:line="153" w:lineRule="exact"/>
              <w:rPr>
                <w:sz w:val="20"/>
                <w:szCs w:val="20"/>
                <w:color w:val="auto"/>
              </w:rPr>
            </w:pPr>
            <w:r>
              <w:rPr>
                <w:rFonts w:ascii="Arial" w:cs="Arial" w:eastAsia="Arial" w:hAnsi="Arial"/>
                <w:sz w:val="14"/>
                <w:szCs w:val="14"/>
                <w:b w:val="1"/>
                <w:bCs w:val="1"/>
                <w:color w:val="auto"/>
              </w:rPr>
              <w:t>% of Amortized</w:t>
            </w:r>
          </w:p>
        </w:tc>
        <w:tc>
          <w:tcPr>
            <w:tcW w:w="14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Amortized</w:t>
            </w:r>
          </w:p>
        </w:tc>
        <w:tc>
          <w:tcPr>
            <w:tcW w:w="116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 of</w:t>
            </w:r>
          </w:p>
        </w:tc>
        <w:tc>
          <w:tcPr>
            <w:tcW w:w="100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7"/>
              </w:rPr>
              <w:t>Allowance for</w:t>
            </w:r>
          </w:p>
        </w:tc>
        <w:tc>
          <w:tcPr>
            <w:tcW w:w="11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 of Amortized</w:t>
            </w:r>
          </w:p>
        </w:tc>
      </w:tr>
      <w:tr>
        <w:trPr>
          <w:trHeight w:val="192"/>
        </w:trPr>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1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Credit Losses</w:t>
            </w:r>
          </w:p>
        </w:tc>
        <w:tc>
          <w:tcPr>
            <w:tcW w:w="128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Cost</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Credit Losses</w:t>
            </w:r>
          </w:p>
        </w:tc>
        <w:tc>
          <w:tcPr>
            <w:tcW w:w="11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Cost</w:t>
            </w:r>
          </w:p>
        </w:tc>
      </w:tr>
      <w:tr>
        <w:trPr>
          <w:trHeight w:val="196"/>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80" w:type="dxa"/>
            <w:vAlign w:val="bottom"/>
            <w:gridSpan w:val="5"/>
          </w:tcPr>
          <w:p>
            <w:pPr>
              <w:ind w:left="620"/>
              <w:spacing w:after="0"/>
              <w:rPr>
                <w:sz w:val="20"/>
                <w:szCs w:val="20"/>
                <w:color w:val="auto"/>
              </w:rPr>
            </w:pPr>
            <w:r>
              <w:rPr>
                <w:rFonts w:ascii="Arial" w:cs="Arial" w:eastAsia="Arial" w:hAnsi="Arial"/>
                <w:sz w:val="14"/>
                <w:szCs w:val="14"/>
                <w:b w:val="1"/>
                <w:bCs w:val="1"/>
                <w:color w:val="auto"/>
              </w:rPr>
              <w:t>(Dollars in millions)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9,512</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84"/>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9,721</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64"/>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2280" w:type="dxa"/>
            <w:vAlign w:val="bottom"/>
          </w:tcPr>
          <w:p>
            <w:pPr>
              <w:ind w:left="40"/>
              <w:spacing w:after="0"/>
              <w:rPr>
                <w:sz w:val="20"/>
                <w:szCs w:val="20"/>
                <w:color w:val="auto"/>
              </w:rPr>
            </w:pPr>
            <w:r>
              <w:rPr>
                <w:rFonts w:ascii="Arial" w:cs="Arial" w:eastAsia="Arial" w:hAnsi="Arial"/>
                <w:sz w:val="16"/>
                <w:szCs w:val="16"/>
                <w:color w:val="auto"/>
              </w:rPr>
              <w:t>Agricultural</w:t>
            </w: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3,403</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3,388</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16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2,701</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2,708</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44"/>
        </w:trPr>
        <w:tc>
          <w:tcPr>
            <w:tcW w:w="2280" w:type="dxa"/>
            <w:vAlign w:val="bottom"/>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15,616</w:t>
            </w:r>
          </w:p>
        </w:tc>
        <w:tc>
          <w:tcPr>
            <w:tcW w:w="12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69</w:t>
            </w:r>
          </w:p>
        </w:tc>
        <w:tc>
          <w:tcPr>
            <w:tcW w:w="11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15,817</w:t>
            </w:r>
          </w:p>
        </w:tc>
        <w:tc>
          <w:tcPr>
            <w:tcW w:w="10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64</w:t>
            </w:r>
          </w:p>
        </w:tc>
        <w:tc>
          <w:tcPr>
            <w:tcW w:w="11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0"/>
        </w:trPr>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6" w:right="3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mortgage loan portfolio is diversified by both geographic region and property type to reduce the risk of concentration. The percentage of our commercial and agricultural mortgage loan portfolios collateralized by properties located in the U.S. were 97% at both March 31, 2020 and December 31, 2019, and the remainder was collateralized by properties located outside of the U.S. The carrying value as a percentage of total commercial and agricultural mortgage loans for the top three states in the U.S. was as follows at: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26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March 31, 2020</w:t>
            </w:r>
          </w:p>
        </w:tc>
      </w:tr>
      <w:tr>
        <w:trPr>
          <w:trHeight w:val="236"/>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23%</w:t>
            </w:r>
          </w:p>
        </w:tc>
      </w:tr>
      <w:tr>
        <w:trPr>
          <w:trHeight w:val="237"/>
        </w:trPr>
        <w:tc>
          <w:tcPr>
            <w:tcW w:w="8400" w:type="dxa"/>
            <w:vAlign w:val="bottom"/>
          </w:tcPr>
          <w:p>
            <w:pPr>
              <w:ind w:left="40"/>
              <w:spacing w:after="0"/>
              <w:rPr>
                <w:sz w:val="20"/>
                <w:szCs w:val="20"/>
                <w:color w:val="auto"/>
              </w:rPr>
            </w:pPr>
            <w:r>
              <w:rPr>
                <w:rFonts w:ascii="Arial" w:cs="Arial" w:eastAsia="Arial" w:hAnsi="Arial"/>
                <w:sz w:val="16"/>
                <w:szCs w:val="16"/>
                <w:color w:val="auto"/>
              </w:rPr>
              <w:t>New York</w:t>
            </w:r>
          </w:p>
        </w:tc>
        <w:tc>
          <w:tcPr>
            <w:tcW w:w="2640" w:type="dxa"/>
            <w:vAlign w:val="bottom"/>
          </w:tcPr>
          <w:p>
            <w:pPr>
              <w:jc w:val="center"/>
              <w:spacing w:after="0"/>
              <w:rPr>
                <w:sz w:val="20"/>
                <w:szCs w:val="20"/>
                <w:color w:val="auto"/>
              </w:rPr>
            </w:pPr>
            <w:r>
              <w:rPr>
                <w:rFonts w:ascii="Arial" w:cs="Arial" w:eastAsia="Arial" w:hAnsi="Arial"/>
                <w:sz w:val="16"/>
                <w:szCs w:val="16"/>
                <w:color w:val="auto"/>
                <w:w w:val="93"/>
              </w:rPr>
              <w:t>13%</w:t>
            </w:r>
          </w:p>
        </w:tc>
      </w:tr>
      <w:tr>
        <w:trPr>
          <w:trHeight w:val="33"/>
        </w:trPr>
        <w:tc>
          <w:tcPr>
            <w:tcW w:w="840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37"/>
        </w:trPr>
        <w:tc>
          <w:tcPr>
            <w:tcW w:w="8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Florida</w:t>
            </w:r>
          </w:p>
        </w:tc>
        <w:tc>
          <w:tcPr>
            <w:tcW w:w="2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8%</w:t>
            </w:r>
          </w:p>
        </w:tc>
      </w:tr>
      <w:tr>
        <w:trPr>
          <w:trHeight w:val="33"/>
        </w:trPr>
        <w:tc>
          <w:tcPr>
            <w:tcW w:w="84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Additionally, we manage risk when originating commercial and agricultural mortgage loans by generally lending up to 75% of the estimated fair value of the underlying real estate collateral.</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residential mortgage loan portfolio is managed in a similar manner to reduce risk of concentration. All residential mortgage loans were collateralized by properties located in the U.S. at both March 31, 2020 and December 31, 2019. The carrying value as a percentage of total residential mortgage loans for the top three states in the U.S. was as follows at: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26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March 31, 2020</w:t>
            </w:r>
          </w:p>
        </w:tc>
      </w:tr>
      <w:tr>
        <w:trPr>
          <w:trHeight w:val="236"/>
        </w:trPr>
        <w:tc>
          <w:tcPr>
            <w:tcW w:w="8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California</w:t>
            </w:r>
          </w:p>
        </w:tc>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37%</w:t>
            </w:r>
          </w:p>
        </w:tc>
      </w:tr>
      <w:tr>
        <w:trPr>
          <w:trHeight w:val="237"/>
        </w:trPr>
        <w:tc>
          <w:tcPr>
            <w:tcW w:w="8400" w:type="dxa"/>
            <w:vAlign w:val="bottom"/>
          </w:tcPr>
          <w:p>
            <w:pPr>
              <w:ind w:left="40"/>
              <w:spacing w:after="0"/>
              <w:rPr>
                <w:sz w:val="20"/>
                <w:szCs w:val="20"/>
                <w:color w:val="auto"/>
              </w:rPr>
            </w:pPr>
            <w:r>
              <w:rPr>
                <w:rFonts w:ascii="Arial" w:cs="Arial" w:eastAsia="Arial" w:hAnsi="Arial"/>
                <w:sz w:val="16"/>
                <w:szCs w:val="16"/>
                <w:color w:val="auto"/>
              </w:rPr>
              <w:t>Florida</w:t>
            </w:r>
          </w:p>
        </w:tc>
        <w:tc>
          <w:tcPr>
            <w:tcW w:w="2640" w:type="dxa"/>
            <w:vAlign w:val="bottom"/>
          </w:tcPr>
          <w:p>
            <w:pPr>
              <w:jc w:val="center"/>
              <w:spacing w:after="0"/>
              <w:rPr>
                <w:sz w:val="20"/>
                <w:szCs w:val="20"/>
                <w:color w:val="auto"/>
              </w:rPr>
            </w:pPr>
            <w:r>
              <w:rPr>
                <w:rFonts w:ascii="Arial" w:cs="Arial" w:eastAsia="Arial" w:hAnsi="Arial"/>
                <w:sz w:val="16"/>
                <w:szCs w:val="16"/>
                <w:color w:val="auto"/>
                <w:w w:val="94"/>
              </w:rPr>
              <w:t>9%</w:t>
            </w:r>
          </w:p>
        </w:tc>
      </w:tr>
      <w:tr>
        <w:trPr>
          <w:trHeight w:val="33"/>
        </w:trPr>
        <w:tc>
          <w:tcPr>
            <w:tcW w:w="8400" w:type="dxa"/>
            <w:vAlign w:val="bottom"/>
          </w:tcPr>
          <w:p>
            <w:pPr>
              <w:spacing w:after="0"/>
              <w:rPr>
                <w:sz w:val="2"/>
                <w:szCs w:val="2"/>
                <w:color w:val="auto"/>
              </w:rPr>
            </w:pPr>
          </w:p>
        </w:tc>
        <w:tc>
          <w:tcPr>
            <w:tcW w:w="2640" w:type="dxa"/>
            <w:vAlign w:val="bottom"/>
          </w:tcPr>
          <w:p>
            <w:pPr>
              <w:spacing w:after="0"/>
              <w:rPr>
                <w:sz w:val="2"/>
                <w:szCs w:val="2"/>
                <w:color w:val="auto"/>
              </w:rPr>
            </w:pPr>
          </w:p>
        </w:tc>
      </w:tr>
      <w:tr>
        <w:trPr>
          <w:trHeight w:val="237"/>
        </w:trPr>
        <w:tc>
          <w:tcPr>
            <w:tcW w:w="8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New York</w:t>
            </w:r>
          </w:p>
        </w:tc>
        <w:tc>
          <w:tcPr>
            <w:tcW w:w="2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w:t>
            </w:r>
          </w:p>
        </w:tc>
      </w:tr>
      <w:tr>
        <w:trPr>
          <w:trHeight w:val="33"/>
        </w:trPr>
        <w:tc>
          <w:tcPr>
            <w:tcW w:w="84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6" w:right="3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Commercial Mortgage Loans by Geographic Region and Property Type</w:t>
      </w:r>
      <w:r>
        <w:rPr>
          <w:rFonts w:ascii="Arial" w:cs="Arial" w:eastAsia="Arial" w:hAnsi="Arial"/>
          <w:sz w:val="17"/>
          <w:szCs w:val="17"/>
          <w:color w:val="auto"/>
        </w:rPr>
        <w:t>. Commercial mortgage loans are the largest component of the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asset class. The diversification across geographic regions and property types of commercial mortgage loans was as follows at: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w w:val="96"/>
              </w:rPr>
              <w:t>March 31, 2020</w:t>
            </w:r>
          </w:p>
        </w:tc>
        <w:tc>
          <w:tcPr>
            <w:tcW w:w="3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52"/>
        </w:trPr>
        <w:tc>
          <w:tcPr>
            <w:tcW w:w="5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ind w:left="60"/>
              <w:spacing w:after="0" w:line="153" w:lineRule="exact"/>
              <w:rPr>
                <w:sz w:val="20"/>
                <w:szCs w:val="20"/>
                <w:color w:val="auto"/>
              </w:rPr>
            </w:pPr>
            <w:r>
              <w:rPr>
                <w:rFonts w:ascii="Arial" w:cs="Arial" w:eastAsia="Arial" w:hAnsi="Arial"/>
                <w:sz w:val="14"/>
                <w:szCs w:val="14"/>
                <w:b w:val="1"/>
                <w:bCs w:val="1"/>
                <w:color w:val="auto"/>
                <w:w w:val="94"/>
              </w:rPr>
              <w:t>% of</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1400" w:type="dxa"/>
            <w:vAlign w:val="bottom"/>
          </w:tcPr>
          <w:p>
            <w:pPr>
              <w:jc w:val="right"/>
              <w:ind w:right="468"/>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Total</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Geographic Region:</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Pacific</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2,532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2,666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Middle Atlantic</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1,875</w:t>
            </w:r>
          </w:p>
        </w:tc>
        <w:tc>
          <w:tcPr>
            <w:tcW w:w="15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South Atlantic</w:t>
            </w: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1,874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1,887</w:t>
            </w:r>
          </w:p>
        </w:tc>
        <w:tc>
          <w:tcPr>
            <w:tcW w:w="1500" w:type="dxa"/>
            <w:vAlign w:val="bottom"/>
            <w:gridSpan w:val="2"/>
          </w:tcPr>
          <w:p>
            <w:pPr>
              <w:jc w:val="right"/>
              <w:ind w:right="88"/>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West South Central</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809</w:t>
            </w:r>
          </w:p>
        </w:tc>
        <w:tc>
          <w:tcPr>
            <w:tcW w:w="15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Mountain</w:t>
            </w: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668</w:t>
            </w:r>
          </w:p>
        </w:tc>
        <w:tc>
          <w:tcPr>
            <w:tcW w:w="1500" w:type="dxa"/>
            <w:vAlign w:val="bottom"/>
            <w:gridSpan w:val="2"/>
          </w:tcPr>
          <w:p>
            <w:pPr>
              <w:jc w:val="right"/>
              <w:ind w:right="88"/>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East North Central</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555</w:t>
            </w:r>
          </w:p>
        </w:tc>
        <w:tc>
          <w:tcPr>
            <w:tcW w:w="15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International</w:t>
            </w: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494</w:t>
            </w:r>
          </w:p>
        </w:tc>
        <w:tc>
          <w:tcPr>
            <w:tcW w:w="1500" w:type="dxa"/>
            <w:vAlign w:val="bottom"/>
            <w:gridSpan w:val="2"/>
          </w:tcPr>
          <w:p>
            <w:pPr>
              <w:jc w:val="right"/>
              <w:ind w:right="88"/>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England</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412</w:t>
            </w:r>
          </w:p>
        </w:tc>
        <w:tc>
          <w:tcPr>
            <w:tcW w:w="15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West North Central</w:t>
            </w: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125</w:t>
            </w:r>
          </w:p>
        </w:tc>
        <w:tc>
          <w:tcPr>
            <w:tcW w:w="1500" w:type="dxa"/>
            <w:vAlign w:val="bottom"/>
            <w:gridSpan w:val="2"/>
          </w:tcPr>
          <w:p>
            <w:pPr>
              <w:jc w:val="right"/>
              <w:ind w:right="88"/>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East South Central</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15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Multi-Region and Other</w:t>
            </w: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145</w:t>
            </w:r>
          </w:p>
        </w:tc>
        <w:tc>
          <w:tcPr>
            <w:tcW w:w="1500" w:type="dxa"/>
            <w:vAlign w:val="bottom"/>
            <w:gridSpan w:val="2"/>
          </w:tcPr>
          <w:p>
            <w:pPr>
              <w:jc w:val="right"/>
              <w:ind w:right="88"/>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recorded investment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9,512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9,721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Less: allowance for credit losses</w:t>
            </w: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ind w:right="20"/>
              <w:spacing w:after="0"/>
              <w:rPr>
                <w:sz w:val="20"/>
                <w:szCs w:val="20"/>
                <w:color w:val="auto"/>
              </w:rPr>
            </w:pPr>
            <w:r>
              <w:rPr>
                <w:rFonts w:ascii="Arial" w:cs="Arial" w:eastAsia="Arial" w:hAnsi="Arial"/>
                <w:sz w:val="16"/>
                <w:szCs w:val="16"/>
                <w:color w:val="auto"/>
              </w:rPr>
              <w:t>27</w:t>
            </w: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ind w:right="20"/>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Carrying value, net of allowance for credit losses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9,674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Property Type: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5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Office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3,839</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Apartment</w:t>
            </w: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2,175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2,181</w:t>
            </w:r>
          </w:p>
        </w:tc>
        <w:tc>
          <w:tcPr>
            <w:tcW w:w="1500" w:type="dxa"/>
            <w:vAlign w:val="bottom"/>
            <w:gridSpan w:val="2"/>
          </w:tcPr>
          <w:p>
            <w:pPr>
              <w:jc w:val="right"/>
              <w:ind w:right="88"/>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2,115</w:t>
            </w:r>
          </w:p>
        </w:tc>
        <w:tc>
          <w:tcPr>
            <w:tcW w:w="15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Hotel</w:t>
            </w: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930</w:t>
            </w:r>
          </w:p>
        </w:tc>
        <w:tc>
          <w:tcPr>
            <w:tcW w:w="1500" w:type="dxa"/>
            <w:vAlign w:val="bottom"/>
            <w:gridSpan w:val="2"/>
          </w:tcPr>
          <w:p>
            <w:pPr>
              <w:jc w:val="right"/>
              <w:ind w:right="88"/>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626</w:t>
            </w:r>
          </w:p>
        </w:tc>
        <w:tc>
          <w:tcPr>
            <w:tcW w:w="15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1500" w:type="dxa"/>
            <w:vAlign w:val="bottom"/>
            <w:gridSpan w:val="2"/>
          </w:tcPr>
          <w:p>
            <w:pPr>
              <w:jc w:val="right"/>
              <w:ind w:right="88"/>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recorded investment</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9,512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9,721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Less: allowance for credit losses</w:t>
            </w: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ind w:right="20"/>
              <w:spacing w:after="0"/>
              <w:rPr>
                <w:sz w:val="20"/>
                <w:szCs w:val="20"/>
                <w:color w:val="auto"/>
              </w:rPr>
            </w:pPr>
            <w:r>
              <w:rPr>
                <w:rFonts w:ascii="Arial" w:cs="Arial" w:eastAsia="Arial" w:hAnsi="Arial"/>
                <w:sz w:val="16"/>
                <w:szCs w:val="16"/>
                <w:color w:val="auto"/>
              </w:rPr>
              <w:t>27</w:t>
            </w: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ind w:right="20"/>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Carrying value, net of allowance for credit losses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9,674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Mortgage Loan Credit Quality — Monitoring Process</w:t>
      </w:r>
      <w:r>
        <w:rPr>
          <w:rFonts w:ascii="Arial" w:cs="Arial" w:eastAsia="Arial" w:hAnsi="Arial"/>
          <w:sz w:val="18"/>
          <w:szCs w:val="18"/>
          <w:color w:val="auto"/>
        </w:rPr>
        <w:t>. Our mortgage loan investments are monitored on an ongoing basis, including a review of loans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current, past due, restructured and under foreclosure. Quarterly, we conduct a formal review of the portfolio with our investment managers. See Note 4 of the Notes to the Interim Condensed Consolidated Financial Statements for information on mortgage loans by credit quality indicator, past due status, nonaccrual status and modified mortgage loans.</w:t>
      </w:r>
    </w:p>
    <w:p>
      <w:pPr>
        <w:spacing w:after="0" w:line="7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 including reviews on a geographic and sector basis. Our residential mortgage loans are reviewed on an ongoing basis. See Note 4 of the Notes to the Interim Condensed Consolidated Financial Statements for information on our evaluation of residential mortgage loans and related valuation allowance methodology.</w:t>
      </w:r>
    </w:p>
    <w:p>
      <w:pPr>
        <w:spacing w:after="0" w:line="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Loan-to-value ratios and debt-service coverage ratios are common measures in the assessment of the quality of commercial mortgage loans. Loan-to-value ratios are a common measure in the assessment of the quality of agricultural mortgage loans. Loan-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6" w:right="3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 coverage ratio, the higher the risk of experiencing a credit loss. For our commercial mortgage loans, our average loan-to-value ratio was 53% at both March 31, 2020 and December 31, 2019, and our average debt-service coverage ratio was 2.3x and 2.2x at March 31, 2020 and December 31, 2019, respectively.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48% and 47% at March 31, 2020 and December 31, 2019, respectively. The values utilized in calculating the agricultural mortgage loan loan-to-value ratio are developed in connection with the ongoing review of the agricultural loan portfolio and are routinely updated.</w:t>
      </w:r>
    </w:p>
    <w:p>
      <w:pPr>
        <w:spacing w:after="0" w:line="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Mortgage Loan Allowance for Credit Losses</w:t>
      </w:r>
      <w:r>
        <w:rPr>
          <w:rFonts w:ascii="Arial" w:cs="Arial" w:eastAsia="Arial" w:hAnsi="Arial"/>
          <w:sz w:val="18"/>
          <w:szCs w:val="18"/>
          <w:color w:val="auto"/>
        </w:rPr>
        <w:t>. See Notes 4 and 6 of the Notes to the Interim Condensed Consolidated Financial Statements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how the allowance for credit losses is established and monitored and activity in and balances of the allowance for credit losses for the three months ended March 31, 2020 and 2019.</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Partnerships and Limited Liability Companies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of our limited partnerships and limited liability companies (“LLCs”) was as follows at: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40" w:type="dxa"/>
            <w:vAlign w:val="bottom"/>
            <w:gridSpan w:val="4"/>
          </w:tcPr>
          <w:p>
            <w:pPr>
              <w:jc w:val="right"/>
              <w:ind w:right="132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partnerships interests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1,941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Real estate limited partnerships and LLCs (1)</w:t>
            </w:r>
          </w:p>
        </w:tc>
        <w:tc>
          <w:tcPr>
            <w:tcW w:w="240" w:type="dxa"/>
            <w:vAlign w:val="bottom"/>
          </w:tcPr>
          <w:p>
            <w:pPr>
              <w:spacing w:after="0"/>
              <w:rPr>
                <w:sz w:val="20"/>
                <w:szCs w:val="20"/>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color w:val="auto"/>
              </w:rPr>
              <w:t>440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2,505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2,380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jc w:val="right"/>
              <w:ind w:right="6501"/>
              <w:spacing w:after="0"/>
              <w:rPr>
                <w:sz w:val="20"/>
                <w:szCs w:val="20"/>
                <w:color w:val="auto"/>
              </w:rPr>
            </w:pPr>
            <w:r>
              <w:rPr>
                <w:rFonts w:ascii="Arial" w:cs="Arial" w:eastAsia="Arial" w:hAnsi="Arial"/>
                <w:sz w:val="14"/>
                <w:szCs w:val="14"/>
                <w:color w:val="auto"/>
                <w:w w:val="90"/>
              </w:rPr>
              <w:t>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estimated fair value of real estate limited partnerships and LLCs was $495 million and $529 million at March 31, 2020 and December 31, 2019, respectively.</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ectPr>
          <w:pgSz w:w="11900" w:h="16838" w:orient="portrait"/>
          <w:cols w:equalWidth="0" w:num="1">
            <w:col w:w="11240"/>
          </w:cols>
          <w:pgMar w:left="320" w:top="126" w:right="3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carrying value of our other invested assets by type was as follows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800735</wp:posOffset>
            </wp:positionV>
            <wp:extent cx="709803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
        <w:spacing w:after="0"/>
        <w:rPr>
          <w:sz w:val="20"/>
          <w:szCs w:val="20"/>
          <w:color w:val="auto"/>
        </w:rPr>
      </w:pPr>
      <w:r>
        <w:rPr>
          <w:rFonts w:ascii="Arial" w:cs="Arial" w:eastAsia="Arial" w:hAnsi="Arial"/>
          <w:sz w:val="16"/>
          <w:szCs w:val="16"/>
          <w:color w:val="auto"/>
        </w:rPr>
        <w:t>Freestanding derivatives with positive estimated fair values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Tax credit and renewable energy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09803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color w:val="auto"/>
        </w:rPr>
        <w:t>Leveraged leases, net of non-recourse debt</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FHLB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09803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December 31, 2019</w:t>
            </w:r>
          </w:p>
        </w:tc>
      </w:tr>
      <w:tr>
        <w:trPr>
          <w:trHeight w:val="220"/>
        </w:trPr>
        <w:tc>
          <w:tcPr>
            <w:tcW w:w="18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1260" w:type="dxa"/>
            <w:vAlign w:val="bottom"/>
            <w:gridSpan w:val="2"/>
          </w:tcPr>
          <w:p>
            <w:pPr>
              <w:ind w:left="42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1160" w:type="dxa"/>
            <w:vAlign w:val="bottom"/>
          </w:tcPr>
          <w:p>
            <w:pPr>
              <w:jc w:val="right"/>
              <w:ind w:right="361"/>
              <w:spacing w:after="0"/>
              <w:rPr>
                <w:sz w:val="20"/>
                <w:szCs w:val="20"/>
                <w:color w:val="auto"/>
              </w:rPr>
            </w:pPr>
            <w:r>
              <w:rPr>
                <w:rFonts w:ascii="Arial" w:cs="Arial" w:eastAsia="Arial" w:hAnsi="Arial"/>
                <w:sz w:val="14"/>
                <w:szCs w:val="14"/>
                <w:b w:val="1"/>
                <w:bCs w:val="1"/>
                <w:color w:val="auto"/>
              </w:rPr>
              <w:t>% of</w:t>
            </w:r>
          </w:p>
        </w:tc>
      </w:tr>
      <w:tr>
        <w:trPr>
          <w:trHeight w:val="192"/>
        </w:trPr>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26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Total</w:t>
            </w:r>
          </w:p>
        </w:tc>
      </w:tr>
      <w:tr>
        <w:trPr>
          <w:trHeight w:val="244"/>
        </w:trPr>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5"/>
          </w:tcPr>
          <w:p>
            <w:pPr>
              <w:ind w:left="620"/>
              <w:spacing w:after="0"/>
              <w:rPr>
                <w:sz w:val="20"/>
                <w:szCs w:val="20"/>
                <w:color w:val="auto"/>
              </w:rPr>
            </w:pPr>
            <w:r>
              <w:rPr>
                <w:rFonts w:ascii="Arial" w:cs="Arial" w:eastAsia="Arial" w:hAnsi="Arial"/>
                <w:sz w:val="14"/>
                <w:szCs w:val="14"/>
                <w:b w:val="1"/>
                <w:bCs w:val="1"/>
                <w:color w:val="auto"/>
              </w:rPr>
              <w:t>(Dollars in millions)</w:t>
            </w:r>
          </w:p>
        </w:tc>
        <w:tc>
          <w:tcPr>
            <w:tcW w:w="1160" w:type="dxa"/>
            <w:vAlign w:val="bottom"/>
          </w:tcPr>
          <w:p>
            <w:pPr>
              <w:spacing w:after="0"/>
              <w:rPr>
                <w:sz w:val="21"/>
                <w:szCs w:val="21"/>
                <w:color w:val="auto"/>
              </w:rPr>
            </w:pPr>
          </w:p>
        </w:tc>
      </w:tr>
      <w:tr>
        <w:trPr>
          <w:trHeight w:val="249"/>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9,484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3,021</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93.9%</w:t>
            </w:r>
          </w:p>
        </w:tc>
      </w:tr>
      <w:tr>
        <w:trPr>
          <w:trHeight w:val="270"/>
        </w:trPr>
        <w:tc>
          <w:tcPr>
            <w:tcW w:w="180" w:type="dxa"/>
            <w:vAlign w:val="bottom"/>
          </w:tcPr>
          <w:p>
            <w:pPr>
              <w:spacing w:after="0"/>
              <w:rPr>
                <w:sz w:val="23"/>
                <w:szCs w:val="23"/>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3"/>
                <w:szCs w:val="23"/>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3"/>
                <w:szCs w:val="23"/>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2.6</w:t>
            </w:r>
          </w:p>
        </w:tc>
      </w:tr>
      <w:tr>
        <w:trPr>
          <w:trHeight w:val="270"/>
        </w:trPr>
        <w:tc>
          <w:tcPr>
            <w:tcW w:w="180" w:type="dxa"/>
            <w:vAlign w:val="bottom"/>
          </w:tcPr>
          <w:p>
            <w:pPr>
              <w:spacing w:after="0"/>
              <w:rPr>
                <w:sz w:val="23"/>
                <w:szCs w:val="23"/>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3"/>
                <w:szCs w:val="23"/>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3"/>
                <w:szCs w:val="23"/>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2.0</w:t>
            </w:r>
          </w:p>
        </w:tc>
      </w:tr>
      <w:tr>
        <w:trPr>
          <w:trHeight w:val="270"/>
        </w:trPr>
        <w:tc>
          <w:tcPr>
            <w:tcW w:w="180" w:type="dxa"/>
            <w:vAlign w:val="bottom"/>
          </w:tcPr>
          <w:p>
            <w:pPr>
              <w:spacing w:after="0"/>
              <w:rPr>
                <w:sz w:val="23"/>
                <w:szCs w:val="23"/>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3"/>
                <w:szCs w:val="23"/>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3"/>
                <w:szCs w:val="23"/>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1.2</w:t>
            </w:r>
          </w:p>
        </w:tc>
      </w:tr>
      <w:tr>
        <w:trPr>
          <w:trHeight w:val="270"/>
        </w:trPr>
        <w:tc>
          <w:tcPr>
            <w:tcW w:w="180" w:type="dxa"/>
            <w:vAlign w:val="bottom"/>
          </w:tcPr>
          <w:p>
            <w:pPr>
              <w:spacing w:after="0"/>
              <w:rPr>
                <w:sz w:val="23"/>
                <w:szCs w:val="23"/>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3"/>
                <w:szCs w:val="23"/>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3"/>
                <w:szCs w:val="23"/>
                <w:color w:val="auto"/>
              </w:rPr>
            </w:pP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0.3</w:t>
            </w:r>
          </w:p>
        </w:tc>
      </w:tr>
      <w:tr>
        <w:trPr>
          <w:trHeight w:val="33"/>
        </w:trPr>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9,658</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3,216</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60" w:space="720"/>
            <w:col w:w="4860"/>
          </w:cols>
          <w:pgMar w:left="320" w:top="126"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320" w:top="126" w:right="339" w:bottom="1440" w:gutter="0" w:footer="0" w:header="0"/>
          <w:type w:val="continuous"/>
        </w:sectPr>
      </w:pPr>
    </w:p>
    <w:bookmarkStart w:id="66" w:name="page67"/>
    <w:bookmarkEnd w:id="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Risks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exposed to various risks relating to our ongoing business operations, including interest rate, foreign currency exchange rate, credit and equity market. We use a variety of strategies to manage these risks, including the use of derivatives. See Note 5 of the Notes to the Interim Condensed Consolidated Financial Statements:</w:t>
      </w:r>
    </w:p>
    <w:p>
      <w:pPr>
        <w:spacing w:after="0" w:line="76" w:lineRule="exact"/>
        <w:rPr>
          <w:sz w:val="20"/>
          <w:szCs w:val="20"/>
          <w:color w:val="auto"/>
        </w:rPr>
      </w:pPr>
    </w:p>
    <w:p>
      <w:pPr>
        <w:ind w:left="6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Information about the gross notional amount, estimated fair value, and primary underlying risk exposure of our derivatives by type of hedge designation, excluding embedded derivatives held at March 31, 2020 and December 31, 2019.</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statement of operations effects of derivatives in cash flow, fair value or non-qualifying hedge relationships for the three months and three months ended March 31, 2020 and 2019.</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“Business — Segments and Corporate &amp; Other — Annuities,” “Management’s Discussion and Analysis of Financial Condition and Results of Operations — Risk Management Strategies — ULSG Market Risk Exposure Management” and “— Annual Actuarial Review” included in the 2019 Annual Report for more information about our use of derivatives by major hedging programs.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Note 6 of the Notes to the Interim Condensed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spacing w:after="0" w:line="7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Derivatives categorized as Level 3 at March 31, 2020 include: credit default swaps priced using unobservable credit spreads, or that are priced through independent broker quotations; equity variance swaps with unobservable volatility inputs; foreign currency swaps with certain unobservable inputs and equity index options with unobservable correlation inputs.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See Note 5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policy is not to offset the fair value amounts recognized for derivatives executed with the same counterparty under the same master netting agreement. This policy applies to the recognition of derivatives in the balance sheets and does not affect our legal right of offset.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notional amount and estimated fair value of credit default swaps were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4"/>
                <w:szCs w:val="14"/>
                <w:b w:val="1"/>
                <w:bCs w:val="1"/>
                <w:color w:val="auto"/>
              </w:rPr>
              <w:t>December 31, 2019</w:t>
            </w:r>
          </w:p>
        </w:tc>
      </w:tr>
      <w:tr>
        <w:trPr>
          <w:trHeight w:val="152"/>
        </w:trPr>
        <w:tc>
          <w:tcPr>
            <w:tcW w:w="5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Gross Notional</w:t>
            </w:r>
          </w:p>
        </w:tc>
        <w:tc>
          <w:tcPr>
            <w:tcW w:w="440" w:type="dxa"/>
            <w:vAlign w:val="bottom"/>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Estimated</w:t>
            </w:r>
          </w:p>
        </w:tc>
        <w:tc>
          <w:tcPr>
            <w:tcW w:w="32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Gross Notional</w:t>
            </w:r>
          </w:p>
        </w:tc>
        <w:tc>
          <w:tcPr>
            <w:tcW w:w="280" w:type="dxa"/>
            <w:vAlign w:val="bottom"/>
          </w:tcPr>
          <w:p>
            <w:pPr>
              <w:spacing w:after="0"/>
              <w:rPr>
                <w:sz w:val="13"/>
                <w:szCs w:val="13"/>
                <w:color w:val="auto"/>
              </w:rPr>
            </w:pPr>
          </w:p>
        </w:tc>
        <w:tc>
          <w:tcPr>
            <w:tcW w:w="1160" w:type="dxa"/>
            <w:vAlign w:val="bottom"/>
          </w:tcPr>
          <w:p>
            <w:pPr>
              <w:jc w:val="right"/>
              <w:ind w:right="243"/>
              <w:spacing w:after="0" w:line="153" w:lineRule="exact"/>
              <w:rPr>
                <w:sz w:val="20"/>
                <w:szCs w:val="20"/>
                <w:color w:val="auto"/>
              </w:rPr>
            </w:pPr>
            <w:r>
              <w:rPr>
                <w:rFonts w:ascii="Arial" w:cs="Arial" w:eastAsia="Arial" w:hAnsi="Arial"/>
                <w:sz w:val="14"/>
                <w:szCs w:val="14"/>
                <w:b w:val="1"/>
                <w:bCs w:val="1"/>
                <w:color w:val="auto"/>
              </w:rPr>
              <w:t>Estimated</w:t>
            </w:r>
          </w:p>
        </w:tc>
      </w:tr>
      <w:tr>
        <w:trPr>
          <w:trHeight w:val="192"/>
        </w:trPr>
        <w:tc>
          <w:tcPr>
            <w:tcW w:w="5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Amount</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5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Written</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1,898</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1,635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w:t>
            </w:r>
          </w:p>
        </w:tc>
      </w:tr>
      <w:tr>
        <w:trPr>
          <w:trHeight w:val="237"/>
        </w:trPr>
        <w:tc>
          <w:tcPr>
            <w:tcW w:w="5080" w:type="dxa"/>
            <w:vAlign w:val="bottom"/>
          </w:tcPr>
          <w:p>
            <w:pPr>
              <w:ind w:left="40"/>
              <w:spacing w:after="0"/>
              <w:rPr>
                <w:sz w:val="20"/>
                <w:szCs w:val="20"/>
                <w:color w:val="auto"/>
              </w:rPr>
            </w:pPr>
            <w:r>
              <w:rPr>
                <w:rFonts w:ascii="Arial" w:cs="Arial" w:eastAsia="Arial" w:hAnsi="Arial"/>
                <w:sz w:val="16"/>
                <w:szCs w:val="16"/>
                <w:color w:val="auto"/>
              </w:rPr>
              <w:t>Purchased</w:t>
            </w:r>
          </w:p>
        </w:tc>
        <w:tc>
          <w:tcPr>
            <w:tcW w:w="240" w:type="dxa"/>
            <w:vAlign w:val="bottom"/>
          </w:tcPr>
          <w:p>
            <w:pPr>
              <w:spacing w:after="0"/>
              <w:rPr>
                <w:sz w:val="20"/>
                <w:szCs w:val="20"/>
                <w:color w:val="auto"/>
              </w:rPr>
            </w:pPr>
          </w:p>
        </w:tc>
        <w:tc>
          <w:tcPr>
            <w:tcW w:w="1240" w:type="dxa"/>
            <w:vAlign w:val="bottom"/>
          </w:tcPr>
          <w:p>
            <w:pPr>
              <w:jc w:val="right"/>
              <w:ind w:right="44"/>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color w:val="auto"/>
              </w:rPr>
              <w:t>—</w:t>
            </w:r>
          </w:p>
        </w:tc>
      </w:tr>
      <w:tr>
        <w:trPr>
          <w:trHeight w:val="33"/>
        </w:trPr>
        <w:tc>
          <w:tcPr>
            <w:tcW w:w="5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5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1,916</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1,653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6" w:right="33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for Securities Lending and Derivatives</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a securities lending program for the purpose of enhancing the total return on our investment portfolio. Periodically we receive non-cash collateral for securities lending from counterparties, which cannot be sold or re-pledged, and which is not recorded on our consolidated balance sheets. The Company did not hold non-cash collateral at both March 31, 2020 and December 31, 2019. See Note 4 of the Notes to the Interim Condensed Consolidated Financial Statements, as well as “— Investments — Securities Lending” for discussion of our securities lending program, the classification of revenues and expenses, and the nature of the secured financing arrangement and associated liability.</w:t>
      </w:r>
    </w:p>
    <w:p>
      <w:pPr>
        <w:spacing w:after="0" w:line="6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enter into derivatives to manage various risks relating to our ongoing business operations. We have non-cash collateral from counterparties for derivatives, which can be sold or re-pledged subject to certain constraints, and which has not been recorded on our consolidated balance sheets. The amount of this non-cash collateral was $797 million and $593 million at March 31, 2020 and December 31, 2019, respectively. See Note 5 of the Notes to the Interim Condensed Consolidated Financial Statements for information regarding the earned income and the gross notional amount, estimated fair value of assets and liabilities and primary underlying risk exposure of our derivatives.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“Guarantees” in Note 10 of the Notes to the Interim Condensed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Additionally, we enter into commitments for the purpose of enhancing the total return on our investment portfolio: mortgage loan commitments and commitments to fund partnership investments, bank credit facilities and private corporate bond investments. See “Commitments” in Note 10 of the Notes to the Interim Condensed Consolidated Financial Statements. For further information on commitments to fund partnership investments, mortgage loans, bank credit facilities and private corporate bond investments, see “Management’s Discussion and Analysis of Financial Condition and Results of Operations — Liquidity and Capital Resources — The Company — Contractual Obligations” included in the 2019 Annual Report.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Policyholder Liabilities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establish, and carry as liabilities, actuarially determined amounts that are calculated to meet policy obligations or to provide for future annuity payments. Amounts for actuarial liabilities are computed and reported in the financial statements in conformity with GAAP. For more details on policyholder liabilities, see “Management’s Discussion and Analysis of Financial Condition and Results of Operations — Summary of Critical Accounting Estimates” and “Management’s Discussion and Analysis of Financial Condition and Results of Operations — Policyholder Liabilities” included in the 2019 Annual Report. Except as otherwise discussed below, there have been no material changes to our actuarial liabilities.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establish liabilities for amounts payable under insurance policies. See Note 3 of the Notes to the Interim Condensed Consolidated Financial Statements. A discussion of future policy benefits by segment, as well as Corporate &amp; Other, can be found in “Management’s Discussion and Analysis of Financial Condition and Results of Operations — Policyholder Liabilities” included in the 2019 Annual Report.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Account Balances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Policyholder account balances (“PABs”) are generally equal to the account value, which includes accrued interest credited, but excludes the impact of any applicable charge that may be incurred upon surrender. See Note 3 of the Notes to the Interim Condensed Consolidated Financial Statements. A discussion of PABs by segment, as well as Corporate &amp; Other, can be found in “Management’s Discussion and Analysis of Financial Condition and Results of Operations — Policyholder Liabilities” included in the 2019 Annual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6" w:right="3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Guarantees</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issue certain variable annuity products with guaranteed minimum benefits that provide the policyholder a minimum return based on their initial deposit (i.e., the Benefit Base) less withdrawals. In some cases, the Benefit Base may be increased by additional deposits, bonus amounts, accruals or optional market value step-ups. See Note 3 of the Notes to the Interim Condensed Consolidated Financial Statements. See also “Quantitative and Qualitative Disclosures About Market Risk — Market Risk - Fair Value Exposures — Interest Rates” and “Business — Segments and Corporate &amp; Other — Annuities — Overview — Current Products — Variable Annuities” included in the 2019 Annual Report for additional information.</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Select information that management considers relevant to understanding our variable annuity risk management strategy has been included below.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Amount at Risk</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net amount at risk (“NAR”) for the net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NAR for the guaranteed minimum withdrawal benefits (“GMWB”) and guaranteed minimum accumulation benefits (“GMAB”) is the amount of guaranteed benefits in excess of the account values (if any) as of the balance sheet date. The NAR assumes utilization of benefits by all contract holders as of the balance sheet date. For the GMWB benefits, only a small portion of the Benefit Base is available for withdrawal on an annual basis. For the GMAB, the NAR would not be available until the GMAB maturity date.</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NAR for the GMWB with lifetime payments (“GMWB4L”) is the amount (if any) that would be required to be added to the total account value to purchase a lifetime income stream based on current annuity rates, equal to the lifetime amount provided under the guaranteed benefit. For contracts where the GMWB4L provides for a guaranteed cumulative dollar amount of payments, the NAR is based on the purchase of a lifetime with period certain income stream where the period certain ensures payment of this cumulative dollar amount. The NAR represents our potential economic exposure to such guarantees in the event all contract holders were to begin lifetime withdrawals on the balance sheet date regardless of age. Only a small portion of the Benefit Base is available for withdrawal on an annual basis.</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NAR for the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contracts may not be annuitized until after the waiting period of the contract.</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detailed description of NAR by type of guaranteed minimum benefit can be found in “Business — Segments and Corporate &amp; Other — Annuities — Overview — Net Amount at Risk” included in the 2019 Annual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6" w:right="3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account values and NAR of contract holders by type of guaranteed minimum benefit for variable annuity contracts were as follows at: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14"/>
                <w:szCs w:val="14"/>
                <w:b w:val="1"/>
                <w:bCs w:val="1"/>
                <w:color w:val="auto"/>
              </w:rPr>
              <w:t>March 31, 2020 (1)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rPr>
              <w:t>December 31, 2019 (1)</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Account</w:t>
            </w:r>
          </w:p>
        </w:tc>
        <w:tc>
          <w:tcPr>
            <w:tcW w:w="200" w:type="dxa"/>
            <w:vAlign w:val="bottom"/>
          </w:tcPr>
          <w:p>
            <w:pPr>
              <w:spacing w:after="0"/>
              <w:rPr>
                <w:sz w:val="13"/>
                <w:szCs w:val="13"/>
                <w:color w:val="auto"/>
              </w:rPr>
            </w:pPr>
          </w:p>
        </w:tc>
        <w:tc>
          <w:tcPr>
            <w:tcW w:w="8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Death</w:t>
            </w:r>
          </w:p>
        </w:tc>
        <w:tc>
          <w:tcPr>
            <w:tcW w:w="180" w:type="dxa"/>
            <w:vAlign w:val="bottom"/>
          </w:tcPr>
          <w:p>
            <w:pPr>
              <w:spacing w:after="0"/>
              <w:rPr>
                <w:sz w:val="13"/>
                <w:szCs w:val="13"/>
                <w:color w:val="auto"/>
              </w:rPr>
            </w:pPr>
          </w:p>
        </w:tc>
        <w:tc>
          <w:tcPr>
            <w:tcW w:w="700" w:type="dxa"/>
            <w:vAlign w:val="bottom"/>
          </w:tcPr>
          <w:p>
            <w:pPr>
              <w:jc w:val="right"/>
              <w:ind w:right="161"/>
              <w:spacing w:after="0" w:line="153" w:lineRule="exact"/>
              <w:rPr>
                <w:sz w:val="20"/>
                <w:szCs w:val="20"/>
                <w:color w:val="auto"/>
              </w:rPr>
            </w:pPr>
            <w:r>
              <w:rPr>
                <w:rFonts w:ascii="Arial" w:cs="Arial" w:eastAsia="Arial" w:hAnsi="Arial"/>
                <w:sz w:val="14"/>
                <w:szCs w:val="14"/>
                <w:b w:val="1"/>
                <w:bCs w:val="1"/>
                <w:color w:val="auto"/>
              </w:rPr>
              <w:t>Living</w:t>
            </w:r>
          </w:p>
        </w:tc>
        <w:tc>
          <w:tcPr>
            <w:tcW w:w="138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rPr>
              <w:t>% of Account</w:t>
            </w:r>
          </w:p>
        </w:tc>
        <w:tc>
          <w:tcPr>
            <w:tcW w:w="140" w:type="dxa"/>
            <w:vAlign w:val="bottom"/>
          </w:tcPr>
          <w:p>
            <w:pPr>
              <w:spacing w:after="0"/>
              <w:rPr>
                <w:sz w:val="13"/>
                <w:szCs w:val="13"/>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Account</w:t>
            </w:r>
          </w:p>
        </w:tc>
        <w:tc>
          <w:tcPr>
            <w:tcW w:w="180" w:type="dxa"/>
            <w:vAlign w:val="bottom"/>
          </w:tcPr>
          <w:p>
            <w:pPr>
              <w:spacing w:after="0"/>
              <w:rPr>
                <w:sz w:val="13"/>
                <w:szCs w:val="13"/>
                <w:color w:val="auto"/>
              </w:rPr>
            </w:pPr>
          </w:p>
        </w:tc>
        <w:tc>
          <w:tcPr>
            <w:tcW w:w="8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Death</w:t>
            </w:r>
          </w:p>
        </w:tc>
        <w:tc>
          <w:tcPr>
            <w:tcW w:w="160" w:type="dxa"/>
            <w:vAlign w:val="bottom"/>
          </w:tcPr>
          <w:p>
            <w:pPr>
              <w:spacing w:after="0"/>
              <w:rPr>
                <w:sz w:val="13"/>
                <w:szCs w:val="13"/>
                <w:color w:val="auto"/>
              </w:rPr>
            </w:pPr>
          </w:p>
        </w:tc>
        <w:tc>
          <w:tcPr>
            <w:tcW w:w="720" w:type="dxa"/>
            <w:vAlign w:val="bottom"/>
          </w:tcPr>
          <w:p>
            <w:pPr>
              <w:jc w:val="right"/>
              <w:ind w:right="161"/>
              <w:spacing w:after="0" w:line="153" w:lineRule="exact"/>
              <w:rPr>
                <w:sz w:val="20"/>
                <w:szCs w:val="20"/>
                <w:color w:val="auto"/>
              </w:rPr>
            </w:pPr>
            <w:r>
              <w:rPr>
                <w:rFonts w:ascii="Arial" w:cs="Arial" w:eastAsia="Arial" w:hAnsi="Arial"/>
                <w:sz w:val="14"/>
                <w:szCs w:val="14"/>
                <w:b w:val="1"/>
                <w:bCs w:val="1"/>
                <w:color w:val="auto"/>
              </w:rPr>
              <w:t>Living</w:t>
            </w:r>
          </w:p>
        </w:tc>
        <w:tc>
          <w:tcPr>
            <w:tcW w:w="1260" w:type="dxa"/>
            <w:vAlign w:val="bottom"/>
          </w:tcPr>
          <w:p>
            <w:pPr>
              <w:jc w:val="right"/>
              <w:ind w:right="81"/>
              <w:spacing w:after="0" w:line="153" w:lineRule="exact"/>
              <w:rPr>
                <w:sz w:val="20"/>
                <w:szCs w:val="20"/>
                <w:color w:val="auto"/>
              </w:rPr>
            </w:pPr>
            <w:r>
              <w:rPr>
                <w:rFonts w:ascii="Arial" w:cs="Arial" w:eastAsia="Arial" w:hAnsi="Arial"/>
                <w:sz w:val="14"/>
                <w:szCs w:val="14"/>
                <w:b w:val="1"/>
                <w:bCs w:val="1"/>
                <w:color w:val="auto"/>
              </w:rPr>
              <w:t>% of Account</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Benefit NAR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7"/>
              </w:rPr>
              <w:t>Benefit NAR</w:t>
            </w:r>
          </w:p>
        </w:tc>
        <w:tc>
          <w:tcPr>
            <w:tcW w:w="13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Value In-the-</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Benefit NAR</w:t>
            </w:r>
          </w:p>
        </w:tc>
        <w:tc>
          <w:tcPr>
            <w:tcW w:w="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Benefit NAR</w:t>
            </w:r>
          </w:p>
        </w:tc>
        <w:tc>
          <w:tcPr>
            <w:tcW w:w="1260" w:type="dxa"/>
            <w:vAlign w:val="bottom"/>
          </w:tcPr>
          <w:p>
            <w:pPr>
              <w:jc w:val="right"/>
              <w:ind w:right="101"/>
              <w:spacing w:after="0" w:line="149" w:lineRule="exact"/>
              <w:rPr>
                <w:sz w:val="20"/>
                <w:szCs w:val="20"/>
                <w:color w:val="auto"/>
              </w:rPr>
            </w:pPr>
            <w:r>
              <w:rPr>
                <w:rFonts w:ascii="Arial" w:cs="Arial" w:eastAsia="Arial" w:hAnsi="Arial"/>
                <w:sz w:val="14"/>
                <w:szCs w:val="14"/>
                <w:b w:val="1"/>
                <w:bCs w:val="1"/>
                <w:color w:val="auto"/>
              </w:rPr>
              <w:t>Value In-the-</w:t>
            </w:r>
          </w:p>
        </w:tc>
        <w:tc>
          <w:tcPr>
            <w:tcW w:w="0" w:type="dxa"/>
            <w:vAlign w:val="bottom"/>
          </w:tcPr>
          <w:p>
            <w:pPr>
              <w:spacing w:after="0"/>
              <w:rPr>
                <w:sz w:val="1"/>
                <w:szCs w:val="1"/>
                <w:color w:val="auto"/>
              </w:rPr>
            </w:pPr>
          </w:p>
        </w:tc>
      </w:tr>
      <w:tr>
        <w:trPr>
          <w:trHeight w:val="192"/>
        </w:trPr>
        <w:tc>
          <w:tcPr>
            <w:tcW w:w="2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(1)</w:t>
            </w:r>
          </w:p>
        </w:tc>
        <w:tc>
          <w:tcPr>
            <w:tcW w:w="13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Money (2)</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(1)</w:t>
            </w:r>
          </w:p>
        </w:tc>
        <w:tc>
          <w:tcPr>
            <w:tcW w:w="12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Money (2)</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360" w:type="dxa"/>
            <w:vAlign w:val="bottom"/>
            <w:gridSpan w:val="5"/>
          </w:tcPr>
          <w:p>
            <w:pPr>
              <w:ind w:left="70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33,908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10,189</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41,302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4,722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37"/>
        </w:trPr>
        <w:tc>
          <w:tcPr>
            <w:tcW w:w="2820" w:type="dxa"/>
            <w:vAlign w:val="bottom"/>
          </w:tcPr>
          <w:p>
            <w:pPr>
              <w:ind w:left="40"/>
              <w:spacing w:after="0"/>
              <w:rPr>
                <w:sz w:val="20"/>
                <w:szCs w:val="20"/>
                <w:color w:val="auto"/>
              </w:rPr>
            </w:pPr>
            <w:r>
              <w:rPr>
                <w:rFonts w:ascii="Arial" w:cs="Arial" w:eastAsia="Arial" w:hAnsi="Arial"/>
                <w:sz w:val="16"/>
                <w:szCs w:val="16"/>
                <w:color w:val="auto"/>
              </w:rPr>
              <w:t>GMIB Max w/ Enhanced DB</w:t>
            </w:r>
          </w:p>
        </w:tc>
        <w:tc>
          <w:tcPr>
            <w:tcW w:w="16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10,417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3,967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176</w:t>
            </w:r>
          </w:p>
        </w:tc>
        <w:tc>
          <w:tcPr>
            <w:tcW w:w="128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11,807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2,673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 Max w/o Enhanced DB</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5,942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70"/>
        </w:trPr>
        <w:tc>
          <w:tcPr>
            <w:tcW w:w="2820" w:type="dxa"/>
            <w:vAlign w:val="bottom"/>
          </w:tcPr>
          <w:p>
            <w:pPr>
              <w:ind w:left="40"/>
              <w:spacing w:after="0"/>
              <w:rPr>
                <w:sz w:val="20"/>
                <w:szCs w:val="20"/>
                <w:color w:val="auto"/>
              </w:rPr>
            </w:pPr>
            <w:r>
              <w:rPr>
                <w:rFonts w:ascii="Arial" w:cs="Arial" w:eastAsia="Arial" w:hAnsi="Arial"/>
                <w:sz w:val="16"/>
                <w:szCs w:val="16"/>
                <w:color w:val="auto"/>
              </w:rPr>
              <w:t>GMWB4L (FlexChoice</w:t>
            </w:r>
            <w:r>
              <w:rPr>
                <w:rFonts w:ascii="Arial" w:cs="Arial" w:eastAsia="Arial" w:hAnsi="Arial"/>
                <w:sz w:val="21"/>
                <w:szCs w:val="21"/>
                <w:color w:val="auto"/>
                <w:vertAlign w:val="superscript"/>
              </w:rPr>
              <w:t>SM</w:t>
            </w:r>
            <w:r>
              <w:rPr>
                <w:rFonts w:ascii="Arial" w:cs="Arial" w:eastAsia="Arial" w:hAnsi="Arial"/>
                <w:sz w:val="16"/>
                <w:szCs w:val="16"/>
                <w:color w:val="auto"/>
              </w:rPr>
              <w:t>)</w:t>
            </w:r>
          </w:p>
        </w:tc>
        <w:tc>
          <w:tcPr>
            <w:tcW w:w="160" w:type="dxa"/>
            <w:vAlign w:val="bottom"/>
          </w:tcPr>
          <w:p>
            <w:pPr>
              <w:spacing w:after="0"/>
              <w:rPr>
                <w:sz w:val="23"/>
                <w:szCs w:val="23"/>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3,887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309</w:t>
            </w:r>
          </w:p>
        </w:tc>
        <w:tc>
          <w:tcPr>
            <w:tcW w:w="1280" w:type="dxa"/>
            <w:vAlign w:val="bottom"/>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4,130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25</w:t>
            </w:r>
          </w:p>
        </w:tc>
        <w:tc>
          <w:tcPr>
            <w:tcW w:w="126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GMAB</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37"/>
        </w:trPr>
        <w:tc>
          <w:tcPr>
            <w:tcW w:w="2820" w:type="dxa"/>
            <w:vAlign w:val="bottom"/>
          </w:tcPr>
          <w:p>
            <w:pPr>
              <w:ind w:left="40"/>
              <w:spacing w:after="0"/>
              <w:rPr>
                <w:sz w:val="20"/>
                <w:szCs w:val="20"/>
                <w:color w:val="auto"/>
              </w:rPr>
            </w:pPr>
            <w:r>
              <w:rPr>
                <w:rFonts w:ascii="Arial" w:cs="Arial" w:eastAsia="Arial" w:hAnsi="Arial"/>
                <w:sz w:val="16"/>
                <w:szCs w:val="16"/>
                <w:color w:val="auto"/>
              </w:rPr>
              <w:t>GMWB</w:t>
            </w:r>
          </w:p>
        </w:tc>
        <w:tc>
          <w:tcPr>
            <w:tcW w:w="16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2,224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117</w:t>
            </w:r>
          </w:p>
        </w:tc>
        <w:tc>
          <w:tcPr>
            <w:tcW w:w="128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2,783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8</w:t>
            </w: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GMWB4L</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12,138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2,007</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14,904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509</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37"/>
        </w:trPr>
        <w:tc>
          <w:tcPr>
            <w:tcW w:w="2820" w:type="dxa"/>
            <w:vAlign w:val="bottom"/>
          </w:tcPr>
          <w:p>
            <w:pPr>
              <w:ind w:left="40"/>
              <w:spacing w:after="0"/>
              <w:rPr>
                <w:sz w:val="20"/>
                <w:szCs w:val="20"/>
                <w:color w:val="auto"/>
              </w:rPr>
            </w:pPr>
            <w:r>
              <w:rPr>
                <w:rFonts w:ascii="Arial" w:cs="Arial" w:eastAsia="Arial" w:hAnsi="Arial"/>
                <w:sz w:val="16"/>
                <w:szCs w:val="16"/>
                <w:color w:val="auto"/>
              </w:rPr>
              <w:t>EDB Only</w:t>
            </w:r>
          </w:p>
        </w:tc>
        <w:tc>
          <w:tcPr>
            <w:tcW w:w="16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3,222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1,129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6"/>
                <w:szCs w:val="16"/>
                <w:color w:val="auto"/>
              </w:rPr>
              <w:t>3,740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609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8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3"/>
        </w:trPr>
        <w:tc>
          <w:tcPr>
            <w:tcW w:w="2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GMDB Only (Other than EDB)</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15,240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N/A</w:t>
            </w: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18,183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43"/>
        </w:trPr>
        <w:tc>
          <w:tcPr>
            <w:tcW w:w="2820" w:type="dxa"/>
            <w:vAlign w:val="bottom"/>
          </w:tcPr>
          <w:p>
            <w:pPr>
              <w:ind w:left="36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87,549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12,998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12,853</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104,271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6,671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5,293</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Arial" w:cs="Arial" w:eastAsia="Arial" w:hAnsi="Arial"/>
                <w:sz w:val="14"/>
                <w:szCs w:val="14"/>
                <w:color w:val="auto"/>
              </w:rPr>
              <w:t>______________</w:t>
            </w: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“Death Benefit NAR” and “Living Benefit NAR” are not additive at the contract level.</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In-the-money is defined as any contract with a living benefit NAR in excess of zero.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GAAP, certain of our variable annuity guarantee features are accounted for as insurance liabilities and recorded on the balance sheet in future policy benefits with changes reported in policyholder benefits and claims. These liabilities are accounted for using long-term assumptions of equity and bond market returns and the level of interest rates. Therefore, these liabilities, valued at $5.1 billion at March 31, 2020, are less sensitive than derivative instruments to periodic changes to equity and fixed income market returns and the level of interest rates. Guarantees accounted for in this manner include GMDBs, as well as the life contingent portion of GMIBs and certain GMWBs. All other variable annuity guarantee features are accounted for as embedded derivatives and recorded on the balance sheet in PABs with changes reported in net derivative gains (losses). These liabilities, valued at $4.4 billion at March 31, 2020, are accounted for at estimated fair value. Guarantees accounted for in this manner include GMABs, GMWBs and the non-life contingent portions of GMIBs. In some cases, a guarantee will have multiple features or options that require separate accounting such that the guarantee is not fully accounted for under only one of the accounting models (known as “split accounting”). Additionally, the index protection and accumulation features of Shield Annuities are accounted for as embedded derivatives, recorded on the balance sheet in PABs with changes reported in net derivative gains (losses) and valued at ($116) million at March 31, 2020. See “Management’s Discussion and Analysis of Financial Condition and Results of Operations — Summary of Critical Accounting Estimates” included in the 2019 Annual Report.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6" w:right="33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GAAP variable annuity reserve balances by guarantee type and accounting model were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Reserves</w:t>
            </w: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8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Future Policy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Policyholder</w:t>
            </w:r>
          </w:p>
        </w:tc>
        <w:tc>
          <w:tcPr>
            <w:tcW w:w="100" w:type="dxa"/>
            <w:vAlign w:val="bottom"/>
          </w:tcPr>
          <w:p>
            <w:pPr>
              <w:spacing w:after="0"/>
              <w:rPr>
                <w:sz w:val="13"/>
                <w:szCs w:val="13"/>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Future Policy</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Policyholder</w:t>
            </w:r>
          </w:p>
        </w:tc>
        <w:tc>
          <w:tcPr>
            <w:tcW w:w="100" w:type="dxa"/>
            <w:vAlign w:val="bottom"/>
          </w:tcPr>
          <w:p>
            <w:pPr>
              <w:spacing w:after="0"/>
              <w:rPr>
                <w:sz w:val="13"/>
                <w:szCs w:val="13"/>
                <w:color w:val="auto"/>
              </w:rPr>
            </w:pPr>
          </w:p>
        </w:tc>
        <w:tc>
          <w:tcPr>
            <w:tcW w:w="66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Account</w:t>
            </w: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w w:val="97"/>
              </w:rPr>
              <w:t>Benefits</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Account Balances</w:t>
            </w: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6"/>
              </w:rPr>
              <w:t>Reserves</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4"/>
              </w:rPr>
              <w:t>Benefits</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Balances</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3"/>
              </w:rPr>
              <w:t>Reserves</w:t>
            </w:r>
          </w:p>
        </w:tc>
        <w:tc>
          <w:tcPr>
            <w:tcW w:w="0" w:type="dxa"/>
            <w:vAlign w:val="bottom"/>
          </w:tcPr>
          <w:p>
            <w:pPr>
              <w:spacing w:after="0"/>
              <w:rPr>
                <w:sz w:val="1"/>
                <w:szCs w:val="1"/>
                <w:color w:val="auto"/>
              </w:rPr>
            </w:pPr>
          </w:p>
        </w:tc>
      </w:tr>
      <w:tr>
        <w:trPr>
          <w:trHeight w:val="196"/>
        </w:trPr>
        <w:tc>
          <w:tcPr>
            <w:tcW w:w="4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GMDB</w:t>
            </w: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1,442</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1,362</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color w:val="auto"/>
              </w:rPr>
              <w:t>GMIB</w:t>
            </w:r>
          </w:p>
        </w:tc>
        <w:tc>
          <w:tcPr>
            <w:tcW w:w="20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2,931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3,342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6,273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2,677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1,844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4,521</w:t>
            </w:r>
          </w:p>
        </w:tc>
        <w:tc>
          <w:tcPr>
            <w:tcW w:w="0" w:type="dxa"/>
            <w:vAlign w:val="bottom"/>
          </w:tcPr>
          <w:p>
            <w:pPr>
              <w:spacing w:after="0"/>
              <w:rPr>
                <w:sz w:val="1"/>
                <w:szCs w:val="1"/>
                <w:color w:val="auto"/>
              </w:rPr>
            </w:pPr>
          </w:p>
        </w:tc>
      </w:tr>
      <w:tr>
        <w:trPr>
          <w:trHeight w:val="33"/>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GMIB Max</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color w:val="auto"/>
              </w:rPr>
              <w:t>GMAB</w:t>
            </w:r>
          </w:p>
        </w:tc>
        <w:tc>
          <w:tcPr>
            <w:tcW w:w="20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GMWB</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color w:val="auto"/>
              </w:rPr>
              <w:t>GMWB4L</w:t>
            </w:r>
          </w:p>
        </w:tc>
        <w:tc>
          <w:tcPr>
            <w:tcW w:w="20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571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33"/>
        </w:trPr>
        <w:tc>
          <w:tcPr>
            <w:tcW w:w="4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GMWB4L (FlexChoice</w:t>
            </w:r>
            <w:r>
              <w:rPr>
                <w:rFonts w:ascii="Arial" w:cs="Arial" w:eastAsia="Arial" w:hAnsi="Arial"/>
                <w:sz w:val="21"/>
                <w:szCs w:val="21"/>
                <w:color w:val="auto"/>
                <w:vertAlign w:val="superscript"/>
              </w:rPr>
              <w:t>SM</w:t>
            </w: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c>
          <w:tcPr>
            <w:tcW w:w="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840" w:type="dxa"/>
            <w:vAlign w:val="bottom"/>
          </w:tcPr>
          <w:p>
            <w:pPr>
              <w:ind w:left="36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5,144</w:t>
            </w:r>
          </w:p>
        </w:tc>
        <w:tc>
          <w:tcPr>
            <w:tcW w:w="2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4,415</w:t>
            </w:r>
          </w:p>
        </w:tc>
        <w:tc>
          <w:tcPr>
            <w:tcW w:w="1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2"/>
              <w:spacing w:after="0"/>
              <w:rPr>
                <w:sz w:val="20"/>
                <w:szCs w:val="20"/>
                <w:color w:val="auto"/>
              </w:rPr>
            </w:pPr>
            <w:r>
              <w:rPr>
                <w:rFonts w:ascii="Arial" w:cs="Arial" w:eastAsia="Arial" w:hAnsi="Arial"/>
                <w:sz w:val="16"/>
                <w:szCs w:val="16"/>
                <w:color w:val="auto"/>
              </w:rPr>
              <w:t>9,559</w:t>
            </w:r>
          </w:p>
        </w:tc>
        <w:tc>
          <w:tcPr>
            <w:tcW w:w="100" w:type="dxa"/>
            <w:vAlign w:val="bottom"/>
          </w:tcPr>
          <w:p>
            <w:pPr>
              <w:spacing w:after="0"/>
              <w:rPr>
                <w:sz w:val="21"/>
                <w:szCs w:val="21"/>
                <w:color w:val="auto"/>
              </w:rPr>
            </w:pP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4,857</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1,656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6,513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Hedging Variable Annuity 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notional amount and estimated fair value of the derivatives held in our macro interest rate hedging program were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March 31, 2020</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Notional</w:t>
            </w:r>
          </w:p>
        </w:tc>
        <w:tc>
          <w:tcPr>
            <w:tcW w:w="2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22"/>
                <w:szCs w:val="22"/>
                <w:color w:val="auto"/>
              </w:rPr>
            </w:pPr>
          </w:p>
        </w:tc>
        <w:tc>
          <w:tcPr>
            <w:tcW w:w="110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w w:val="99"/>
              </w:rPr>
              <w:t>Gross Notional</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71"/>
        </w:trPr>
        <w:tc>
          <w:tcPr>
            <w:tcW w:w="394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Instrument Type</w:t>
            </w: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6"/>
                <w:szCs w:val="6"/>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Liabilities</w:t>
            </w: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6"/>
                <w:szCs w:val="6"/>
                <w:color w:val="auto"/>
              </w:rPr>
            </w:pPr>
          </w:p>
        </w:tc>
        <w:tc>
          <w:tcPr>
            <w:tcW w:w="94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92"/>
        </w:trPr>
        <w:tc>
          <w:tcPr>
            <w:tcW w:w="3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 (1)</w:t>
            </w: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4"/>
                <w:szCs w:val="14"/>
                <w:b w:val="1"/>
                <w:bCs w:val="1"/>
                <w:color w:val="auto"/>
              </w:rPr>
              <w:t>Amount (1)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gridSpan w:val="4"/>
          </w:tcPr>
          <w:p>
            <w:pPr>
              <w:jc w:val="right"/>
              <w:ind w:right="741"/>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7,344</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3940" w:type="dxa"/>
            <w:vAlign w:val="bottom"/>
            <w:gridSpan w:val="2"/>
          </w:tcPr>
          <w:p>
            <w:pPr>
              <w:ind w:left="40"/>
              <w:spacing w:after="0"/>
              <w:rPr>
                <w:sz w:val="20"/>
                <w:szCs w:val="20"/>
                <w:color w:val="auto"/>
              </w:rPr>
            </w:pPr>
            <w:r>
              <w:rPr>
                <w:rFonts w:ascii="Arial" w:cs="Arial" w:eastAsia="Arial" w:hAnsi="Arial"/>
                <w:sz w:val="16"/>
                <w:szCs w:val="16"/>
                <w:color w:val="auto"/>
              </w:rPr>
              <w:t>Interest rate options</w:t>
            </w:r>
          </w:p>
        </w:tc>
        <w:tc>
          <w:tcPr>
            <w:tcW w:w="1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27,650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3,657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29,750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forwards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6,656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5,418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43"/>
        </w:trPr>
        <w:tc>
          <w:tcPr>
            <w:tcW w:w="394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37,151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5,714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42,512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1,674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8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gross notional amounts presented do not necessarily represent the relative economic coverage provided by option instruments because certain positions were closed out by entering into offsetting positions that are not netted in the above table.</w:t>
      </w:r>
    </w:p>
    <w:p>
      <w:pPr>
        <w:spacing w:after="0" w:line="6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gross notional amount and estimated fair value of the derivatives in our variable annuity hedging program were as follows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March 31, 2020</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Notional</w:t>
            </w:r>
          </w:p>
        </w:tc>
        <w:tc>
          <w:tcPr>
            <w:tcW w:w="2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22"/>
                <w:szCs w:val="22"/>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Gross Notional</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71"/>
        </w:trPr>
        <w:tc>
          <w:tcPr>
            <w:tcW w:w="394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Instrument Type</w:t>
            </w:r>
          </w:p>
        </w:tc>
        <w:tc>
          <w:tcPr>
            <w:tcW w:w="1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6"/>
                <w:szCs w:val="6"/>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Liabilities</w:t>
            </w: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6"/>
                <w:szCs w:val="6"/>
                <w:color w:val="auto"/>
              </w:rPr>
            </w:pPr>
          </w:p>
        </w:tc>
        <w:tc>
          <w:tcPr>
            <w:tcW w:w="94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92"/>
        </w:trPr>
        <w:tc>
          <w:tcPr>
            <w:tcW w:w="3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 (1)</w:t>
            </w: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 (1)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index options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41,980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46,968</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1,713</w:t>
            </w:r>
          </w:p>
        </w:tc>
        <w:tc>
          <w:tcPr>
            <w:tcW w:w="0" w:type="dxa"/>
            <w:vAlign w:val="bottom"/>
          </w:tcPr>
          <w:p>
            <w:pPr>
              <w:spacing w:after="0"/>
              <w:rPr>
                <w:sz w:val="1"/>
                <w:szCs w:val="1"/>
                <w:color w:val="auto"/>
              </w:rPr>
            </w:pPr>
          </w:p>
        </w:tc>
      </w:tr>
      <w:tr>
        <w:trPr>
          <w:trHeight w:val="237"/>
        </w:trPr>
        <w:tc>
          <w:tcPr>
            <w:tcW w:w="3940" w:type="dxa"/>
            <w:vAlign w:val="bottom"/>
            <w:gridSpan w:val="2"/>
          </w:tcPr>
          <w:p>
            <w:pPr>
              <w:ind w:left="40"/>
              <w:spacing w:after="0"/>
              <w:rPr>
                <w:sz w:val="20"/>
                <w:szCs w:val="20"/>
                <w:color w:val="auto"/>
              </w:rPr>
            </w:pPr>
            <w:r>
              <w:rPr>
                <w:rFonts w:ascii="Arial" w:cs="Arial" w:eastAsia="Arial" w:hAnsi="Arial"/>
                <w:sz w:val="16"/>
                <w:szCs w:val="16"/>
                <w:color w:val="auto"/>
              </w:rPr>
              <w:t>Equity total return swaps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8,516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1,423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7,723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Equity variance swaps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37"/>
        </w:trPr>
        <w:tc>
          <w:tcPr>
            <w:tcW w:w="394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2,845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7,344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options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25,850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37"/>
        </w:trPr>
        <w:tc>
          <w:tcPr>
            <w:tcW w:w="3940" w:type="dxa"/>
            <w:vAlign w:val="bottom"/>
            <w:gridSpan w:val="2"/>
          </w:tcPr>
          <w:p>
            <w:pPr>
              <w:ind w:left="40"/>
              <w:spacing w:after="0"/>
              <w:rPr>
                <w:sz w:val="20"/>
                <w:szCs w:val="20"/>
                <w:color w:val="auto"/>
              </w:rPr>
            </w:pPr>
            <w:r>
              <w:rPr>
                <w:rFonts w:ascii="Arial" w:cs="Arial" w:eastAsia="Arial" w:hAnsi="Arial"/>
                <w:sz w:val="16"/>
                <w:szCs w:val="16"/>
                <w:color w:val="auto"/>
              </w:rPr>
              <w:t>Interest rate forwards</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2,722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83,011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6,784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92,121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2,395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2,354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6" w:right="3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3" w:lineRule="exact"/>
        <w:rPr>
          <w:sz w:val="20"/>
          <w:szCs w:val="20"/>
          <w:color w:val="auto"/>
        </w:rPr>
      </w:pPr>
    </w:p>
    <w:p>
      <w:pPr>
        <w:ind w:left="340" w:hanging="332"/>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gross notional amounts presented do not necessarily represent the relative economic coverage provided by option instruments because certain positions were closed out by entering into offsetting positions that are not netted in the above table.</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Period to period changes in the estimated fair value of these hedges affect our net income, as well as stockholders’ equity and these effects can be material in any given period. See “Risk Factors — Risks Related to Our Business — Our variable annuity exposure risk management strategy may not be effective, may result in significant volatility in our profitability measures and may negatively affect our statutory capital,” “Management’s Discussion and Analysis of Financial Condition and Results of Operations — Summary of Critical Accounting Estimates” and “Management’s Discussion and Analysis of Financial Condition and Results of Operations — Risk Management Strategies” all included in the 2019 Annual Report.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including those related to the COVID-19 pandemic, see “— Industry Trends — COVID-19 Pandemic,” “— Investments — Current Environment” and “Part II. Other Information — Item 1A. Risk Factors” herein, as well as “Management’s Discussion and Analysis of Financial Condition and Results of Operations — Industry Trends and Uncertainties” and “Management’s Discussion and Analysis of Financial Condition and Results of Operations — Investments — Current Environment” in our 2019 Annual Report.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Management</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Based upon our capitalization, expectations regarding maintaining our business mix, ratings, and funding sources available to us, we believe we have sufficient liquidity to meet business requirements under current market conditions and certain stress scenarios. Our Board of Directors and senior management are directly involved in the governance of the capital management process, including proposed changes to the annual capital plan and capital targets. We are targeting a debt-to-capital ratio commensurate with our parent company credit ratings and our insurance subsidiaries’ financial strength ratings. We continuously monitor and adjust our liquidity and capital plans in light of market conditions, as well as changing needs and opportunities.</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a substantial short-term liquidity position, which was $4.5 billion and $2.8 billion at March 31, 2020 and December 31, 2019,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integral part of our liquidity management includes managing our level of liquid assets, which was $44.9 billion and $42.6 billion at March 31, 2020 and December 31, 2019,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derivatives and assets held on deposit or in trust.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7" w:lineRule="exact"/>
        <w:rPr>
          <w:sz w:val="20"/>
          <w:szCs w:val="20"/>
          <w:color w:val="auto"/>
        </w:rPr>
      </w:pPr>
    </w:p>
    <w:p>
      <w:pPr>
        <w:jc w:val="both"/>
        <w:ind w:left="180" w:firstLine="324"/>
        <w:spacing w:after="0" w:line="269" w:lineRule="auto"/>
        <w:rPr>
          <w:sz w:val="20"/>
          <w:szCs w:val="20"/>
          <w:color w:val="auto"/>
        </w:rPr>
      </w:pPr>
      <w:r>
        <w:rPr>
          <w:rFonts w:ascii="Arial" w:cs="Arial" w:eastAsia="Arial" w:hAnsi="Arial"/>
          <w:sz w:val="17"/>
          <w:szCs w:val="17"/>
          <w:color w:val="auto"/>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26" w:right="3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right="720" w:firstLine="324"/>
        <w:spacing w:after="0" w:line="375" w:lineRule="auto"/>
        <w:rPr>
          <w:sz w:val="20"/>
          <w:szCs w:val="20"/>
          <w:color w:val="auto"/>
        </w:rPr>
      </w:pPr>
      <w:r>
        <w:rPr>
          <w:rFonts w:ascii="Arial" w:cs="Arial" w:eastAsia="Arial" w:hAnsi="Arial"/>
          <w:sz w:val="18"/>
          <w:szCs w:val="18"/>
          <w:color w:val="auto"/>
        </w:rPr>
        <w:t xml:space="preserve">Under certain adverse market and economic conditions, our access to liquidity may deteriorate, or the cost to access liquidity may increase. </w:t>
      </w:r>
      <w:r>
        <w:rPr>
          <w:rFonts w:ascii="Arial" w:cs="Arial" w:eastAsia="Arial" w:hAnsi="Arial"/>
          <w:sz w:val="18"/>
          <w:szCs w:val="18"/>
          <w:b w:val="1"/>
          <w:bCs w:val="1"/>
          <w:i w:val="1"/>
          <w:iCs w:val="1"/>
          <w:u w:val="single" w:color="auto"/>
          <w:color w:val="auto"/>
        </w:rPr>
        <w:t>Capital</w:t>
      </w:r>
    </w:p>
    <w:p>
      <w:pPr>
        <w:spacing w:after="0" w:line="1"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We manage our capital position to maintain our financial strength and credit ratings. Our capital position is supported by our ability to generate cash flows within our insurance companies, our ability to effectively manage the risks of our businesses and our expected ability to borrow funds and raise additional capital to meet operating and growth needs in the event of adverse market and economic conditions.</w:t>
      </w:r>
    </w:p>
    <w:p>
      <w:pPr>
        <w:spacing w:after="0" w:line="76" w:lineRule="exact"/>
        <w:rPr>
          <w:sz w:val="20"/>
          <w:szCs w:val="20"/>
          <w:color w:val="auto"/>
        </w:rPr>
      </w:pPr>
    </w:p>
    <w:p>
      <w:pPr>
        <w:jc w:val="both"/>
        <w:ind w:left="180" w:firstLine="324"/>
        <w:spacing w:after="0" w:line="301" w:lineRule="auto"/>
        <w:rPr>
          <w:sz w:val="20"/>
          <w:szCs w:val="20"/>
          <w:color w:val="auto"/>
        </w:rPr>
      </w:pPr>
      <w:r>
        <w:rPr>
          <w:rFonts w:ascii="Arial" w:cs="Arial" w:eastAsia="Arial" w:hAnsi="Arial"/>
          <w:sz w:val="16"/>
          <w:szCs w:val="16"/>
          <w:color w:val="auto"/>
        </w:rPr>
        <w:t>We target to maintain a debt-to-capital ratio of approximately 25%, which we monitor using an average of our key leverage ratios as calculated by A.M. Best, Fitch, Moody’s and S&amp;P. As such, we may opportunistically look to pursue additional financing over time, which may include the incurrence of additional term loans, borrowings under credit facilities, the issuance of debt, equity or hybrid securities or the refinancing of existing indebtedness. There can be no assurance that we will be able to complete any such financing transactions on terms and conditions favorable to us or at all.</w:t>
      </w:r>
    </w:p>
    <w:p>
      <w:pPr>
        <w:spacing w:after="0" w:line="49" w:lineRule="exact"/>
        <w:rPr>
          <w:sz w:val="20"/>
          <w:szCs w:val="20"/>
          <w:color w:val="auto"/>
        </w:rPr>
      </w:pPr>
    </w:p>
    <w:p>
      <w:pPr>
        <w:jc w:val="both"/>
        <w:ind w:left="180" w:firstLine="324"/>
        <w:spacing w:after="0" w:line="296" w:lineRule="auto"/>
        <w:rPr>
          <w:sz w:val="20"/>
          <w:szCs w:val="20"/>
          <w:color w:val="auto"/>
        </w:rPr>
      </w:pPr>
      <w:r>
        <w:rPr>
          <w:rFonts w:ascii="Arial" w:cs="Arial" w:eastAsia="Arial" w:hAnsi="Arial"/>
          <w:sz w:val="16"/>
          <w:szCs w:val="16"/>
          <w:color w:val="auto"/>
        </w:rPr>
        <w:t>In support of our target combined risk based capital (“RBC”) ratio between 400% and 450%, we expect to continue to maintain a capital and exposure risk management program that targets total assets supporting our variable annuity contracts at or above the average of the worst two percent of a set of capital markets scenarios over the life of the contracts (“CTE98”) level in normal market conditions. We refer to our target level of assets as our “Variable Annuity Target Funding Level.” While total assets supporting our variable annuity capital may exceed the CTE98 level, under stressed conditions we intend to allow such assets supporting our variable annuities to range between a target floor level of CTE95 and CTE98.</w:t>
      </w:r>
    </w:p>
    <w:p>
      <w:pPr>
        <w:spacing w:after="0" w:line="53"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On February 6, 2020, we authorized the repurchase of up to $500 million of our common stock, which is in addition to the $600 million aggregate stock repurchase authorizations announced in May 2019 and August 2018. On May 11, 2020, we announced the temporary suspension of repurchases of our common stock while we continue to evaluate the impacts of the COVID-19 pandemic. Repurchases made under the February 6, 2020 authorization may be made through open market purchases, including pursuant to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spacing w:after="0" w:line="70"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We currently have no plans to declare and pay dividends on our common stock. Any future declaration and payment of dividends or other distributions or returns of capital will be at the discretion of our Board of Directors and will depend on and be subject to our financial condition, results of operations, cash needs, regulatory and other constraints, capital requirements (including capital requirements of our subsidiaries), contractual restrictions and any other factors that our Board of Directors deems relevant in making such a determination. Therefore, there can be no assurance that we will pay any dividends or make other distributions or returns of capital on our common stock, or as to the amount of any such dividends, distributions or returns of capital.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6" w:right="3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Sources and Uses of Liquidity and Capital</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primary sources and uses of liquidity and capital were as follows at:</w:t>
      </w:r>
    </w:p>
    <w:p>
      <w:pPr>
        <w:spacing w:after="0" w:line="271"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13335</wp:posOffset>
            </wp:positionV>
            <wp:extent cx="17741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r>
      <w:tr>
        <w:trPr>
          <w:trHeight w:val="250"/>
        </w:trPr>
        <w:tc>
          <w:tcPr>
            <w:tcW w:w="8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21"/>
                <w:szCs w:val="21"/>
                <w:color w:val="auto"/>
              </w:rPr>
            </w:pP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Sources:</w:t>
            </w:r>
          </w:p>
        </w:tc>
        <w:tc>
          <w:tcPr>
            <w:tcW w:w="8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Operating activities, net</w:t>
            </w:r>
          </w:p>
        </w:tc>
        <w:tc>
          <w:tcPr>
            <w:tcW w:w="86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376</w:t>
            </w: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policyholder account balances, net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947</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86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w w:val="89"/>
              </w:rPr>
              <w:t>6,597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issued</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Preferred stock issued, net of issuance costs</w:t>
            </w:r>
          </w:p>
        </w:tc>
        <w:tc>
          <w:tcPr>
            <w:tcW w:w="86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412</w:t>
            </w:r>
          </w:p>
        </w:tc>
      </w:tr>
      <w:tr>
        <w:trPr>
          <w:trHeight w:val="33"/>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sources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8,189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2,735</w:t>
            </w:r>
          </w:p>
        </w:tc>
      </w:tr>
      <w:tr>
        <w:trPr>
          <w:trHeight w:val="231"/>
        </w:trPr>
        <w:tc>
          <w:tcPr>
            <w:tcW w:w="8440" w:type="dxa"/>
            <w:vAlign w:val="bottom"/>
          </w:tcPr>
          <w:p>
            <w:pPr>
              <w:ind w:left="40"/>
              <w:spacing w:after="0"/>
              <w:rPr>
                <w:sz w:val="20"/>
                <w:szCs w:val="20"/>
                <w:color w:val="auto"/>
              </w:rPr>
            </w:pPr>
            <w:r>
              <w:rPr>
                <w:rFonts w:ascii="Arial" w:cs="Arial" w:eastAsia="Arial" w:hAnsi="Arial"/>
                <w:sz w:val="16"/>
                <w:szCs w:val="16"/>
                <w:b w:val="1"/>
                <w:bCs w:val="1"/>
                <w:color w:val="auto"/>
              </w:rPr>
              <w:t>Uses:</w:t>
            </w:r>
          </w:p>
        </w:tc>
        <w:tc>
          <w:tcPr>
            <w:tcW w:w="8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Investing activities, net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1,484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1,272</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86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1,067</w:t>
            </w: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repaid</w:t>
            </w: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600</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Dividends on preferred stock</w:t>
            </w:r>
          </w:p>
        </w:tc>
        <w:tc>
          <w:tcPr>
            <w:tcW w:w="86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stock acquired in connection with share repurchases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r>
      <w:tr>
        <w:trPr>
          <w:trHeight w:val="237"/>
        </w:trPr>
        <w:tc>
          <w:tcPr>
            <w:tcW w:w="8440" w:type="dxa"/>
            <w:vAlign w:val="bottom"/>
          </w:tcPr>
          <w:p>
            <w:pPr>
              <w:ind w:left="4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86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11</w:t>
            </w:r>
          </w:p>
        </w:tc>
      </w:tr>
      <w:tr>
        <w:trPr>
          <w:trHeight w:val="33"/>
        </w:trPr>
        <w:tc>
          <w:tcPr>
            <w:tcW w:w="8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r>
      <w:tr>
        <w:trPr>
          <w:trHeight w:val="217"/>
        </w:trPr>
        <w:tc>
          <w:tcPr>
            <w:tcW w:w="8440" w:type="dxa"/>
            <w:vAlign w:val="bottom"/>
          </w:tcPr>
          <w:p>
            <w:pPr>
              <w:ind w:left="180"/>
              <w:spacing w:after="0"/>
              <w:rPr>
                <w:sz w:val="20"/>
                <w:szCs w:val="20"/>
                <w:color w:val="auto"/>
              </w:rPr>
            </w:pPr>
            <w:r>
              <w:rPr>
                <w:rFonts w:ascii="Arial" w:cs="Arial" w:eastAsia="Arial" w:hAnsi="Arial"/>
                <w:sz w:val="16"/>
                <w:szCs w:val="16"/>
                <w:color w:val="auto"/>
              </w:rPr>
              <w:t>Total uses</w:t>
            </w: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89"/>
              </w:rPr>
              <w:t>2,136</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3,016</w:t>
            </w:r>
          </w:p>
        </w:tc>
      </w:tr>
      <w:tr>
        <w:trPr>
          <w:trHeight w:val="33"/>
        </w:trPr>
        <w:tc>
          <w:tcPr>
            <w:tcW w:w="8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(decrease) in cash and cash equivalents</w:t>
            </w:r>
          </w:p>
        </w:tc>
        <w:tc>
          <w:tcPr>
            <w:tcW w:w="860" w:type="dxa"/>
            <w:vAlign w:val="bottom"/>
            <w:tcBorders>
              <w:bottom w:val="single" w:sz="8" w:color="auto"/>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6,053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r>
      <w:tr>
        <w:trPr>
          <w:trHeight w:val="20"/>
        </w:trPr>
        <w:tc>
          <w:tcPr>
            <w:tcW w:w="8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117" w:lineRule="exact"/>
        <w:rPr>
          <w:sz w:val="20"/>
          <w:szCs w:val="20"/>
          <w:color w:val="auto"/>
        </w:rPr>
      </w:pPr>
    </w:p>
    <w:p>
      <w:pPr>
        <w:jc w:val="both"/>
        <w:ind w:left="340" w:firstLine="324"/>
        <w:spacing w:after="0" w:line="296" w:lineRule="auto"/>
        <w:rPr>
          <w:sz w:val="20"/>
          <w:szCs w:val="20"/>
          <w:color w:val="auto"/>
        </w:rPr>
      </w:pPr>
      <w:r>
        <w:rPr>
          <w:rFonts w:ascii="Arial" w:cs="Arial" w:eastAsia="Arial" w:hAnsi="Arial"/>
          <w:sz w:val="16"/>
          <w:szCs w:val="16"/>
          <w:color w:val="auto"/>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Sources of Liquidity and Capital</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 addition to the summary description of liquidity and capital sources discussed in “— Sources and Uses of Liquidity and Capital,” the following additional information is provided regarding our primary sources of liquidity and capital: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6" w:right="3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Funding Sources</w:t>
      </w:r>
    </w:p>
    <w:p>
      <w:pPr>
        <w:spacing w:after="0" w:line="117"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Liquidity is provided by a variety of funding sources, including 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Preferred Stock</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Note 10 of the Notes to the Consolidated Financial Statements included in the 2019 Annual Report.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Federal Home Loan Bank Funding Agreements, Reported in Policyholder Account Balances</w:t>
      </w:r>
    </w:p>
    <w:p>
      <w:pPr>
        <w:spacing w:after="0" w:line="117" w:lineRule="exact"/>
        <w:rPr>
          <w:sz w:val="20"/>
          <w:szCs w:val="20"/>
          <w:color w:val="auto"/>
        </w:rPr>
      </w:pPr>
    </w:p>
    <w:p>
      <w:pPr>
        <w:jc w:val="both"/>
        <w:ind w:left="500" w:firstLine="324"/>
        <w:spacing w:after="0" w:line="291" w:lineRule="auto"/>
        <w:rPr>
          <w:sz w:val="20"/>
          <w:szCs w:val="20"/>
          <w:color w:val="auto"/>
        </w:rPr>
      </w:pPr>
      <w:r>
        <w:rPr>
          <w:rFonts w:ascii="Arial" w:cs="Arial" w:eastAsia="Arial" w:hAnsi="Arial"/>
          <w:sz w:val="16"/>
          <w:szCs w:val="16"/>
          <w:color w:val="auto"/>
        </w:rPr>
        <w:t>Brighthouse Life Insurance Company is a member of the Federal Home Loan Bank (“FHLB”) of Atlanta, where we maintain an active funding agreement program, along with inactive funding agreement programs with certain other FHLBs. At both March 31, 2020 and December 31, 2019, Brighthouse Life Insurance Company had obligations outstanding under funding agreements of $595 million. During the three months ended March 31, 2020 and 2019, there were no issuances or repayments under funding agreements. On April 2, 2020, Brighthouse Life Insurance Company issued funding agreements for an aggregate collateralized borrowing of $1.0 billion to provide a readily available source of contingent liquidity. The April 2020 funding agreements mature in the fourth quarter of 2020. For additional information regarding the funding agreement program, see Note 3 of the Notes to the Consolidated Financial Statements included in the 2019 Annual Report.</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Farmer Mac Funding Agreements, Reported in Policyholder Account Balances</w:t>
      </w:r>
    </w:p>
    <w:p>
      <w:pPr>
        <w:spacing w:after="0" w:line="117" w:lineRule="exact"/>
        <w:rPr>
          <w:sz w:val="20"/>
          <w:szCs w:val="20"/>
          <w:color w:val="auto"/>
        </w:rPr>
      </w:pPr>
    </w:p>
    <w:p>
      <w:pPr>
        <w:jc w:val="both"/>
        <w:ind w:left="500" w:firstLine="324"/>
        <w:spacing w:after="0" w:line="263" w:lineRule="auto"/>
        <w:rPr>
          <w:sz w:val="20"/>
          <w:szCs w:val="20"/>
          <w:color w:val="auto"/>
        </w:rPr>
      </w:pPr>
      <w:r>
        <w:rPr>
          <w:rFonts w:ascii="Arial" w:cs="Arial" w:eastAsia="Arial" w:hAnsi="Arial"/>
          <w:sz w:val="18"/>
          <w:szCs w:val="18"/>
          <w:color w:val="auto"/>
        </w:rPr>
        <w:t>Brighthouse Life Insurance Company has a funding agreement program with the Federal Agricultural Mortgage Corporation and its affiliate Farmer Mac Mortgage Securities Corporation (“Farmer Mac”), pursuant to which the parties may enter into funding agreements in an aggregate amount of up to $500 million. At March 31, 2020, there were no borrowings under this funding agreement program.</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Credit Facilities</w:t>
      </w:r>
    </w:p>
    <w:p>
      <w:pPr>
        <w:spacing w:after="0" w:line="117" w:lineRule="exact"/>
        <w:rPr>
          <w:sz w:val="20"/>
          <w:szCs w:val="20"/>
          <w:color w:val="auto"/>
        </w:rPr>
      </w:pPr>
    </w:p>
    <w:p>
      <w:pPr>
        <w:jc w:val="both"/>
        <w:ind w:left="500" w:firstLine="324"/>
        <w:spacing w:after="0" w:line="259" w:lineRule="auto"/>
        <w:rPr>
          <w:sz w:val="20"/>
          <w:szCs w:val="20"/>
          <w:color w:val="auto"/>
        </w:rPr>
      </w:pPr>
      <w:r>
        <w:rPr>
          <w:rFonts w:ascii="Arial" w:cs="Arial" w:eastAsia="Arial" w:hAnsi="Arial"/>
          <w:sz w:val="18"/>
          <w:szCs w:val="18"/>
          <w:color w:val="auto"/>
        </w:rPr>
        <w:t>We maintain a $1.0 billion senior unsecured revolving credit facility (the “Revolving Credit Facility”) scheduled to mature in May 2024, all of which may be used for revolving loans and/or letters of credit, and a $1.0 billion unsecured term loan facility (the “Term Loan Facility”) scheduled to mature in February 2024. At March 31, 2020, there were no borrowings or letters of credit outstanding under the Revolving Credit Facility and there was $1.0 billion outstanding under the Term Loan Facility.</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Committed Facilities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Repurchase Facility</w:t>
      </w:r>
    </w:p>
    <w:p>
      <w:pPr>
        <w:spacing w:after="0" w:line="117" w:lineRule="exact"/>
        <w:rPr>
          <w:sz w:val="20"/>
          <w:szCs w:val="20"/>
          <w:color w:val="auto"/>
        </w:rPr>
      </w:pPr>
    </w:p>
    <w:p>
      <w:pPr>
        <w:jc w:val="both"/>
        <w:ind w:left="660" w:firstLine="324"/>
        <w:spacing w:after="0" w:line="254" w:lineRule="auto"/>
        <w:rPr>
          <w:sz w:val="20"/>
          <w:szCs w:val="20"/>
          <w:color w:val="auto"/>
        </w:rPr>
      </w:pPr>
      <w:r>
        <w:rPr>
          <w:rFonts w:ascii="Arial" w:cs="Arial" w:eastAsia="Arial" w:hAnsi="Arial"/>
          <w:sz w:val="18"/>
          <w:szCs w:val="18"/>
          <w:color w:val="auto"/>
        </w:rPr>
        <w:t>Brighthouse Life Insurance Company maintains a secured committed repurchase facility (the “Repurchase Facility”) with a financial institution, pursuant to which Brighthouse Life Insurance Company may enter into repurchase transactions in an aggregate amount of up to $2.0 billion. The Repurchase Facility has a term ending on July 31, 2021. Under the Repurchase Facility, Brighthouse Life Insurance Company may sell certain eligible securities at a purchase price based on the market value of the securities less an applicable margin based on the types of securities sold, with a concurrent agreement to repurchase such securities at a predetermined future date (ranging from two weeks to three months) and at a price which represents the original purchase price plus interest. At March 31, 2020, there were no borrowings under the Repurchase Facility.</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 Financing Arrangement</w:t>
      </w:r>
    </w:p>
    <w:p>
      <w:pPr>
        <w:spacing w:after="0" w:line="117" w:lineRule="exact"/>
        <w:rPr>
          <w:sz w:val="20"/>
          <w:szCs w:val="20"/>
          <w:color w:val="auto"/>
        </w:rPr>
      </w:pPr>
    </w:p>
    <w:p>
      <w:pPr>
        <w:jc w:val="both"/>
        <w:ind w:left="660" w:firstLine="324"/>
        <w:spacing w:after="0" w:line="259" w:lineRule="auto"/>
        <w:rPr>
          <w:sz w:val="20"/>
          <w:szCs w:val="20"/>
          <w:color w:val="auto"/>
        </w:rPr>
      </w:pPr>
      <w:r>
        <w:rPr>
          <w:rFonts w:ascii="Arial" w:cs="Arial" w:eastAsia="Arial" w:hAnsi="Arial"/>
          <w:sz w:val="18"/>
          <w:szCs w:val="18"/>
          <w:color w:val="auto"/>
        </w:rPr>
        <w:t>Our reinsurance subsidiary, BRCD, was formed to manage our capital and risk exposures and to support our term and ULSG businesses through the use of affiliated reinsurance arrangements and related reserve financing. BRCD maintains a $10.0 billion financing arrangement with a pool of highly rated third-party reinsurers consisting of credit-linked notes that each mature in 2037. At March 31, 2020, there were no borrowings and there was $10.0 billion of funding available under this financing arrangement.</w:t>
      </w:r>
    </w:p>
    <w:p>
      <w:pPr>
        <w:spacing w:after="0" w:line="79" w:lineRule="exact"/>
        <w:rPr>
          <w:sz w:val="20"/>
          <w:szCs w:val="20"/>
          <w:color w:val="auto"/>
        </w:rPr>
      </w:pPr>
    </w:p>
    <w:p>
      <w:pPr>
        <w:jc w:val="both"/>
        <w:ind w:left="660" w:firstLine="324"/>
        <w:spacing w:after="0" w:line="263" w:lineRule="auto"/>
        <w:rPr>
          <w:sz w:val="20"/>
          <w:szCs w:val="20"/>
          <w:color w:val="auto"/>
        </w:rPr>
      </w:pPr>
      <w:r>
        <w:rPr>
          <w:rFonts w:ascii="Arial" w:cs="Arial" w:eastAsia="Arial" w:hAnsi="Arial"/>
          <w:sz w:val="18"/>
          <w:szCs w:val="18"/>
          <w:color w:val="auto"/>
        </w:rPr>
        <w:t>BRCD is capitalized with cash and invested assets, including funds withheld (“Minimum Initial Target Assets”) at a level we believe to be sufficient to satisfy its future cash obligations assuming a permanent level yield curve, consistent with NAIC cash flow testing scenarios. BRCD utilizes the above referenced financing arrangement to cover the difference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26" w:right="3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between full required statutory assets (i.e., NAIC Valuation of Life Insurance Policies Model Regulation (Regulation XXX) and NAIC Actuarial Guideline 38 (Guideline AXXX) reserves plus target risk margin appropriate to meet capital needs) and Minimum Initial Target Assets. An admitted deferred tax asset could also serve to reduce the amount of funding required under the above referenced financing arrangement.</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Outstanding Long-term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outstanding long-term debt was as follows at: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20" w:type="dxa"/>
            <w:vAlign w:val="bottom"/>
            <w:gridSpan w:val="4"/>
          </w:tcPr>
          <w:p>
            <w:pPr>
              <w:jc w:val="right"/>
              <w:ind w:right="120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(1)</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2,970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Term loan</w:t>
            </w:r>
          </w:p>
        </w:tc>
        <w:tc>
          <w:tcPr>
            <w:tcW w:w="220" w:type="dxa"/>
            <w:vAlign w:val="bottom"/>
          </w:tcPr>
          <w:p>
            <w:pPr>
              <w:spacing w:after="0"/>
              <w:rPr>
                <w:sz w:val="20"/>
                <w:szCs w:val="20"/>
                <w:color w:val="auto"/>
              </w:rPr>
            </w:pPr>
          </w:p>
        </w:tc>
        <w:tc>
          <w:tcPr>
            <w:tcW w:w="1460" w:type="dxa"/>
            <w:vAlign w:val="bottom"/>
          </w:tcPr>
          <w:p>
            <w:pPr>
              <w:jc w:val="right"/>
              <w:ind w:right="22"/>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Junior subordinated debentures (1)</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long-term debt (2)</w:t>
            </w:r>
          </w:p>
        </w:tc>
        <w:tc>
          <w:tcPr>
            <w:tcW w:w="220" w:type="dxa"/>
            <w:vAlign w:val="bottom"/>
          </w:tcPr>
          <w:p>
            <w:pPr>
              <w:spacing w:after="0"/>
              <w:rPr>
                <w:sz w:val="20"/>
                <w:szCs w:val="20"/>
                <w:color w:val="auto"/>
              </w:rPr>
            </w:pPr>
          </w:p>
        </w:tc>
        <w:tc>
          <w:tcPr>
            <w:tcW w:w="1460" w:type="dxa"/>
            <w:vAlign w:val="bottom"/>
          </w:tcPr>
          <w:p>
            <w:pPr>
              <w:jc w:val="right"/>
              <w:ind w:right="22"/>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2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long-term debt</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4,365</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9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unamortized debt issuance costs and debt discount totaling $42 million at both March 31, 2020 and December 31, 2019 for senior notes and junior subordinated debentures on a combined basis.</w:t>
      </w:r>
    </w:p>
    <w:p>
      <w:pPr>
        <w:spacing w:after="0" w:line="62"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non-recourse debt for which creditors have no access, subject to customary exceptions, to the general assets of the Company other than recourse to certain investment companies.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Debt and Facility Covenants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The Company’s debt instruments and credit and committed facilities contain certain administrative, reporting and legal covenants. Additionally, the Company’s credit facilities contain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the Company, which could restrict our operations and use of funds. At March 31, 2020, the Company was in compliance with these financial covenants.</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Uses of Liquidity and Capital</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 addition to the summarized description of liquidity and capital uses discussed in “— Sources and Uses of Liquidity and Capital,” the following additional information is provided regarding our primary uses of liquidity and capital: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117" w:lineRule="exact"/>
        <w:rPr>
          <w:sz w:val="20"/>
          <w:szCs w:val="20"/>
          <w:color w:val="auto"/>
        </w:rPr>
      </w:pPr>
    </w:p>
    <w:p>
      <w:pPr>
        <w:jc w:val="both"/>
        <w:ind w:left="340" w:firstLine="324"/>
        <w:spacing w:after="0" w:line="311" w:lineRule="auto"/>
        <w:rPr>
          <w:sz w:val="20"/>
          <w:szCs w:val="20"/>
          <w:color w:val="auto"/>
        </w:rPr>
      </w:pPr>
      <w:r>
        <w:rPr>
          <w:rFonts w:ascii="Arial" w:cs="Arial" w:eastAsia="Arial" w:hAnsi="Arial"/>
          <w:sz w:val="16"/>
          <w:szCs w:val="16"/>
          <w:color w:val="auto"/>
        </w:rPr>
        <w:t>During the three months ended March 31, 2020 and 2019, we repurchased 5,674,387 shares and 1,417,582 shares, respectively, of our common stock through open market purchases pursuant to 10b5-1 plans for $142 million and $52 million, respectively. On May 11, 2020, the Company announced that it has temporarily suspended repurchases of its common stock while it continues to evaluate the impacts of the COVID-19 pandemic.</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Preferred Stock Dividends</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On February 14, 2020, BHF declared a dividend of $412.50 per share, for a total of $7 million, on our perpetual 6.600% Series A non-cumulative preferred stock, which was paid on March 25, 2020 to stockholders of record as of March 10,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6" w:right="3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Debt Repurchases</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We may from time to time seek to retire or purchase our outstanding indebtedness through cash purchases and/or exchanges for other securities, purchases in the open market, privately negotiated transactions or otherwise. Any such repurchases or exchanges will be dependent upon several factors, including our liquidity requirements, contractual restrictions, general market conditions, and applicable regulatory, legal and accounting factors. Whether or not we repurchase any debt and the size and timing of any such repurchases will be determined at our discretion.</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Insurance Liabilities</w:t>
      </w:r>
    </w:p>
    <w:p>
      <w:pPr>
        <w:spacing w:after="0" w:line="117" w:lineRule="exact"/>
        <w:rPr>
          <w:sz w:val="20"/>
          <w:szCs w:val="20"/>
          <w:color w:val="auto"/>
        </w:rPr>
      </w:pPr>
    </w:p>
    <w:p>
      <w:pPr>
        <w:jc w:val="both"/>
        <w:ind w:left="340" w:firstLine="324"/>
        <w:spacing w:after="0" w:line="301" w:lineRule="auto"/>
        <w:rPr>
          <w:sz w:val="20"/>
          <w:szCs w:val="20"/>
          <w:color w:val="auto"/>
        </w:rPr>
      </w:pPr>
      <w:r>
        <w:rPr>
          <w:rFonts w:ascii="Arial" w:cs="Arial" w:eastAsia="Arial" w:hAnsi="Arial"/>
          <w:sz w:val="16"/>
          <w:szCs w:val="16"/>
          <w:color w:val="auto"/>
        </w:rPr>
        <w:t>Liabilities arising from our insurance activities primarily relate to benefit payments under various annuity and life insurance products, as well as payments for policy surrenders, withdrawals and loans. Surrender or lapse behavior differs somewhat by product but tends to occur in the ordinary course of business. During the three months ended March 31, 2020 and 2019, general account surrenders and withdrawals totaled $545 million and $740 million, respectively, of which $517 million and $615 million, respectively, was attributable to products within the Annuities segment.</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Pledged Collateral</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We pledge collateral to, and have collateral pledged to us by, counterparties in connection with our derivatives. At March 31, 2020 and December 31, 2019, counterparties were obligated to return cash collateral pledged by us of $5 million and $0, respectively. At March 31, 2020 and December 31, 2019, we were obligated to return cash collateral pledged to us by counterparties of $7.4 billion and $1.3 billion, respectively. See Note 5 of the Notes to the Interim Condensed Consolidated Financial Statements for additional information about pledged collateral. We also pledge collateral from time to time in connection with funding agreements.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Securities Lending</w:t>
      </w:r>
    </w:p>
    <w:p>
      <w:pPr>
        <w:spacing w:after="0" w:line="117"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color w:val="auto"/>
        </w:rPr>
        <w:t>We have a securities lending program whereby securities are loaned to third parties, primarily brokerage firms and commercial banks. We obtain collateral, usually cash, from the borrower, which must be returned to the borrower when the loaned securities are returned to us. Under our securities lending program, we were liable for cash collateral under our control of $3.6 billion and $3.1 billion at March 31, 2020 and December 31, 2019, respectively. Of these amounts, $1.2 billion and $1.3 billion at March 31, 2020 and December 31, 2019, respectively, were on open, meaning that the related loaned security could be returned to us on the next business day requiring the immediate return of cash collateral we hold. The estimated fair value of the securities on loan related to the cash collateral on open at March 31, 2020 was $1.2 billion, all of which were U.S. government and agency securities which, if put back to us, could be immediately sold to satisfy the cash requirement. See Note 4 of the Notes to the Interim Condensed Consolidated Financial Statements.</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17" w:lineRule="exact"/>
        <w:rPr>
          <w:sz w:val="20"/>
          <w:szCs w:val="20"/>
          <w:color w:val="auto"/>
        </w:rPr>
      </w:pPr>
    </w:p>
    <w:p>
      <w:pPr>
        <w:jc w:val="both"/>
        <w:ind w:left="340" w:firstLine="324"/>
        <w:spacing w:after="0" w:line="275" w:lineRule="auto"/>
        <w:rPr>
          <w:sz w:val="20"/>
          <w:szCs w:val="20"/>
          <w:color w:val="auto"/>
        </w:rPr>
      </w:pPr>
      <w:r>
        <w:rPr>
          <w:rFonts w:ascii="Arial" w:cs="Arial" w:eastAsia="Arial" w:hAnsi="Arial"/>
          <w:sz w:val="17"/>
          <w:szCs w:val="17"/>
          <w:color w:val="auto"/>
        </w:rPr>
        <w:t>Putative or certified class action litigation and other litigation, and claims and assessments against us, in addition to those discussed elsewhere herein and those otherwise provided for in the financial statements, have arisen in the course of our business, including, but not limited to, in connection with our activities as an insurer, employer, investor, investment advisor, and taxpayer. Further, state insurance regulatory authorities and other federal and state authorities regularly make inquiries and conduct investigations concerning our compliance with applicable insurance and other laws and regulations. See Note 10 of the Notes to the Interim Condensed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Parent Company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Liquidity and Capital</w:t>
      </w:r>
    </w:p>
    <w:p>
      <w:pPr>
        <w:spacing w:after="0" w:line="117" w:lineRule="exact"/>
        <w:rPr>
          <w:sz w:val="20"/>
          <w:szCs w:val="20"/>
          <w:color w:val="auto"/>
        </w:rPr>
      </w:pPr>
    </w:p>
    <w:p>
      <w:pPr>
        <w:jc w:val="both"/>
        <w:ind w:left="180" w:firstLine="324"/>
        <w:spacing w:after="0" w:line="263" w:lineRule="auto"/>
        <w:rPr>
          <w:sz w:val="20"/>
          <w:szCs w:val="20"/>
          <w:color w:val="auto"/>
        </w:rPr>
      </w:pPr>
      <w:r>
        <w:rPr>
          <w:rFonts w:ascii="Arial" w:cs="Arial" w:eastAsia="Arial" w:hAnsi="Arial"/>
          <w:sz w:val="18"/>
          <w:szCs w:val="18"/>
          <w:color w:val="auto"/>
        </w:rPr>
        <w:t>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and/or as a result of compliance with regulatory requirements.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Short-term Liquidity and Liquid Assets</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At March 31, 2020 and December 31, 2019, BHF and certain of its non-insurance subsidiaries had short-term liquidity of $905 million and $723 million, respectively. Short-term liquidity is comprised of cash and cash equivalents and short-term investments.</w:t>
      </w:r>
    </w:p>
    <w:p>
      <w:pPr>
        <w:spacing w:after="0" w:line="62"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At March 31, 2020 and December 31, 2019, BHF and certain of its non-insurance subsidiaries had liquid assets of $955 million and $767 million, respectively, of which $902 million and $715 million, respectively, was held by BHF. Liquid assets are comprised of cash and cash equivalents, short-term investments and publicly-traded securities.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26" w:right="3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Statutory Capital and Dividends</w:t>
      </w:r>
    </w:p>
    <w:p>
      <w:pPr>
        <w:spacing w:after="0" w:line="117" w:lineRule="exact"/>
        <w:rPr>
          <w:sz w:val="20"/>
          <w:szCs w:val="20"/>
          <w:color w:val="auto"/>
        </w:rPr>
      </w:pPr>
    </w:p>
    <w:p>
      <w:pPr>
        <w:jc w:val="both"/>
        <w:ind w:left="340" w:firstLine="324"/>
        <w:spacing w:after="0" w:line="290" w:lineRule="auto"/>
        <w:rPr>
          <w:sz w:val="20"/>
          <w:szCs w:val="20"/>
          <w:color w:val="auto"/>
        </w:rPr>
      </w:pPr>
      <w:r>
        <w:rPr>
          <w:rFonts w:ascii="Arial" w:cs="Arial" w:eastAsia="Arial" w:hAnsi="Arial"/>
          <w:sz w:val="16"/>
          <w:szCs w:val="16"/>
          <w:color w:val="auto"/>
        </w:rPr>
        <w:t>The NAIC and state insurance departments have established regulations that provide minimum capitalization requirements based on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the total adjusted capital (“TAC”) does not meet or exceed certain RBC levels. As of the date of the most recent annual statutory financial statements filed with insurance regulators, the TAC of each of our insurance subsidiaries subject to these requirements was in excess of each of those RBC levels.</w:t>
      </w:r>
    </w:p>
    <w:p>
      <w:pPr>
        <w:spacing w:after="0" w:line="57"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insurance laws and regulations. See Notes 10 and 18 of the Notes to the Consolidated Financial Statements in the 2019 Annual Report.</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Sources and Uses of Liquidity and Capital</w:t>
      </w:r>
    </w:p>
    <w:p>
      <w:pPr>
        <w:spacing w:after="0" w:line="117" w:lineRule="exact"/>
        <w:rPr>
          <w:sz w:val="20"/>
          <w:szCs w:val="20"/>
          <w:color w:val="auto"/>
        </w:rPr>
      </w:pPr>
    </w:p>
    <w:p>
      <w:pPr>
        <w:jc w:val="both"/>
        <w:ind w:left="180" w:firstLine="324"/>
        <w:spacing w:after="0" w:line="301" w:lineRule="auto"/>
        <w:rPr>
          <w:sz w:val="20"/>
          <w:szCs w:val="20"/>
          <w:color w:val="auto"/>
        </w:rPr>
      </w:pPr>
      <w:r>
        <w:rPr>
          <w:rFonts w:ascii="Arial" w:cs="Arial" w:eastAsia="Arial" w:hAnsi="Arial"/>
          <w:sz w:val="16"/>
          <w:szCs w:val="16"/>
          <w:color w:val="auto"/>
        </w:rPr>
        <w:t>The principal sources of funds available to BHF include distributions from Brighthouse Holdings, LLC (“BH Holdings”), dividends and returns of capital from its insurance subsidiaries,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49"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primary uses of liquidity of BHF include debt service obligations (including interest expense and debt repayments), preferred stock dividends,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repurchase its common stock, pay all general operating expenses and meet its cash needs.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to the liquidity and capital sources discussed in “— The Company — Primary Sources of Liquidity and Capital” and “— The Company</w:t>
      </w:r>
    </w:p>
    <w:p>
      <w:pPr>
        <w:spacing w:after="0" w:line="46" w:lineRule="exact"/>
        <w:rPr>
          <w:sz w:val="20"/>
          <w:szCs w:val="20"/>
          <w:color w:val="auto"/>
        </w:rPr>
      </w:pPr>
    </w:p>
    <w:p>
      <w:pPr>
        <w:ind w:left="180" w:right="20"/>
        <w:spacing w:after="0" w:line="260" w:lineRule="auto"/>
        <w:rPr>
          <w:sz w:val="20"/>
          <w:szCs w:val="20"/>
          <w:color w:val="auto"/>
        </w:rPr>
      </w:pPr>
      <w:r>
        <w:rPr>
          <w:rFonts w:ascii="Arial" w:cs="Arial" w:eastAsia="Arial" w:hAnsi="Arial"/>
          <w:sz w:val="18"/>
          <w:szCs w:val="18"/>
          <w:color w:val="auto"/>
        </w:rPr>
        <w:t>— Primary Uses of Liquidity and Capital,” the following additional information is provided regarding BHF’s primary sources and uses of liquidity and capital:</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Distributions from and Capital Contributions to BH Holdings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During the three months ended March 31, 2020 and 2019, BHF received cash distributions of $488 million and $195 million, respectively, from BH Holdings and made cash capital contributions of $0 and $412 million, respectively, to BH Holdings. The $488 million distribution was primarily related to a $300 million ordinary cash dividend paid by Brighthouse Life Insurance Company to BH Holdings in the first quarter of 2020. On April 24, 2020, BHF received a $500 million cash distribution from BH Holdings, which related to a $500 million ordinary cash dividend paid by Brighthouse Life Insurance Company to BH Holdings also on April 24,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26" w:right="3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Short-term Intercompany Loans</w:t>
      </w:r>
    </w:p>
    <w:p>
      <w:pPr>
        <w:spacing w:after="0" w:line="117" w:lineRule="exact"/>
        <w:rPr>
          <w:sz w:val="20"/>
          <w:szCs w:val="20"/>
          <w:color w:val="auto"/>
        </w:rPr>
      </w:pPr>
    </w:p>
    <w:p>
      <w:pPr>
        <w:jc w:val="both"/>
        <w:ind w:left="340" w:firstLine="324"/>
        <w:spacing w:after="0" w:line="290" w:lineRule="auto"/>
        <w:rPr>
          <w:sz w:val="20"/>
          <w:szCs w:val="20"/>
          <w:color w:val="auto"/>
        </w:rPr>
      </w:pPr>
      <w:r>
        <w:rPr>
          <w:rFonts w:ascii="Arial" w:cs="Arial" w:eastAsia="Arial" w:hAnsi="Arial"/>
          <w:sz w:val="16"/>
          <w:szCs w:val="16"/>
          <w:color w:val="auto"/>
        </w:rPr>
        <w:t>As of March 31, 2020, BHF, as borrower, had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three months ended March 31, 2020 and 2019, BHF borrowed $165 million and $188 million, respectively, from certain of its non-insurance subsidiaries under short-term intercompany loan agreements and repaid $315 million and $384 million, respectively, to certain of its non-insurance company subsidiaries under short-term intercompany loan agreements. At March 31, 2020 and December 31, 2019, BHF had total obligations outstanding of $193 million and $343 million, respectively, under such agreements.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Intercompany Liquidity Facilities</w:t>
      </w:r>
    </w:p>
    <w:p>
      <w:pPr>
        <w:spacing w:after="0" w:line="117" w:lineRule="exact"/>
        <w:rPr>
          <w:sz w:val="20"/>
          <w:szCs w:val="20"/>
          <w:color w:val="auto"/>
        </w:rPr>
      </w:pPr>
    </w:p>
    <w:p>
      <w:pPr>
        <w:jc w:val="both"/>
        <w:ind w:left="340" w:firstLine="324"/>
        <w:spacing w:after="0" w:line="296" w:lineRule="auto"/>
        <w:rPr>
          <w:sz w:val="20"/>
          <w:szCs w:val="20"/>
          <w:color w:val="auto"/>
        </w:rPr>
      </w:pPr>
      <w:r>
        <w:rPr>
          <w:rFonts w:ascii="Arial" w:cs="Arial" w:eastAsia="Arial" w:hAnsi="Arial"/>
          <w:sz w:val="16"/>
          <w:szCs w:val="16"/>
          <w:color w:val="auto"/>
        </w:rPr>
        <w:t>As of March 31, 2020, we maintained intercompany liquidity facilities with certain of our insurance and non-insurance company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not more than 364 days. During the three months ended March 31, 2020 and 2019, there were no borrowings or repayments by BHF under intercompany liquidity facilities and, at both March 31, 2020 and December 31, 2019, BHF had no obligations outstanding under such facilities.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6" w:right="3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This report, including Management’s Discussion and Analysis of Financial Condition and Results of Operations,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or all forward-looking statements may turn out to be wrong. They can be affected by inaccurate assumptions or by known or unknown risks and uncertainties. Many such factors will be important in determining the actual future results of Brighthouse.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138" w:lineRule="exact"/>
        <w:rPr>
          <w:sz w:val="20"/>
          <w:szCs w:val="20"/>
          <w:color w:val="auto"/>
        </w:rPr>
      </w:pPr>
    </w:p>
    <w:p>
      <w:pPr>
        <w:ind w:left="720" w:hanging="388"/>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impact of the ongoing COVID-19 pandemic;</w:t>
      </w:r>
    </w:p>
    <w:p>
      <w:pPr>
        <w:spacing w:after="0" w:line="171" w:lineRule="exact"/>
        <w:rPr>
          <w:rFonts w:ascii="Arial" w:cs="Arial" w:eastAsia="Arial" w:hAnsi="Arial"/>
          <w:sz w:val="18"/>
          <w:szCs w:val="18"/>
          <w:color w:val="auto"/>
        </w:rPr>
      </w:pPr>
    </w:p>
    <w:p>
      <w:pPr>
        <w:ind w:left="720" w:hanging="388"/>
        <w:spacing w:after="0"/>
        <w:tabs>
          <w:tab w:leader="none" w:pos="7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differences between actual experience and actuarial assumptions and the effectiveness of our actuarial models;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higher risk management costs and exposure to increased market risk due to guarantees within certain of our products;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effectiveness of our variable annuity exposure risk management strategy and the impact of such strategy on volatility in our profitability measures and negative effects on our statutory capital;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reserves we are required to hold against our variable annuities as a result of actuarial guidelines;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potential material adverse effect of changes in accounting standards, practices and/or policies applicable to us, including changes in the accounting for long duration contracts;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degree of leverage due to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impact of adverse capital and credit market conditions, including with respect to our ability to meet liquidity needs and access capital;</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impact of changes in regulation and in supervisory and enforcement policies on our insurance business or other operations;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availability of reinsurance and the ability of the counterparties to our reinsurance or indemnification arrangements to perform their obligations thereunder;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adverse impact to liabilities for policyholder claims as a result of extreme mortality events;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ability of our insurance subsidiaries to pay dividends to us, and our ability to pay dividends to our shareholders and repurchase our common stock;</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effectiveness of our policies and procedures in managing risk;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through distribution channels;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6" w:right="3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right="2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all or any portion of the tax consequences of our separation from MetLife are not as expected, leading to material additional taxes or material adverse consequences to tax attributes that impact us;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uncertainty of the outcome of any disputes with MetLife over tax-related or other matters and agreements or disagreements regarding MetLife’s or our obligations under our other agreements;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potential material negative tax impact of potential future tax legislation that could make some of our products less attractive to consumers;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factors described in this report and from time to time in documents that we file with the SEC.</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our 2019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routinely use our Investor Relations website to provide presentations, press releases and other information that may be deemed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post financial information. Information contained on or connected to any website referenced in this report or any of our other filings with the SEC is not incorporated by reference in this report or in any other report or document we file with the SEC, and any website references are intended to be inactive textual references only unless expressly noted.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6" w:right="3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regularly analyze our market risk exposure to interest rate, equity market price, credit spreads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and annuity operations and general account investment activities. For purposes of this discussion, “market risk” is defined as changes in estimated fair value resulting from changes in interest rates, equity market prices, credit spreads and foreign currency exchange rates. We may have additional financial impacts other than changes in estimated fair value, which are beyond the scope of this discussion. A description of our market risk exposures may be found under “Quantitative and Qualitative Disclosures About Market Risk” in the 2019 Annual Report.</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have been no material changes to our market risk exposures from the market risk exposures previously disclosed in the 2019 Annual Report, with the exception of sensitivity to changes in interest rates. Sensitivity to a 100 basis point rise in interest rates increased by $1.7 billion or 22%, to $9.4 billion as of March 31, 2020 from $7.7 billion as of December 31, 2019, primarily as a result of lower interest rates increasing the estimated fair value of interest rate derivative contracts, in line with management expectations.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March 31, 2020.</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MetLife provides certain services to the Company on a transitional basis through services agreements. The Company continues to change business processes, implement systems and establish new third-party arrangements. We consider these in aggregate to be material changes in our internal control over financial reporting.</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as noted above, there were no changes to the Company’s internal control over financial reporting (as defined in Rules 13a-15(f) and 15d-15(f) under the Exchange Act) that occurred during the quarter ended March 31, 2020 that have materially affected, or are reasonably likely to materially affect, these internal controls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26" w:right="3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382"/>
        <w:spacing w:after="0" w:line="263" w:lineRule="auto"/>
        <w:rPr>
          <w:sz w:val="20"/>
          <w:szCs w:val="20"/>
          <w:color w:val="auto"/>
        </w:rPr>
      </w:pPr>
      <w:r>
        <w:rPr>
          <w:rFonts w:ascii="Arial" w:cs="Arial" w:eastAsia="Arial" w:hAnsi="Arial"/>
          <w:sz w:val="18"/>
          <w:szCs w:val="18"/>
          <w:color w:val="auto"/>
        </w:rPr>
        <w:t>See Note 10 of the Notes to the Interim Condensed Consolidated Financial Statements. Except as disclosed in the Notes to the Interim Condensed Consolidated Financial Statements, there have been no new material legal proceedings and no material developments in legal proceedings previously disclosed in the 2019 Annual Report.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discuss in this report, in the 2019 Annual Report and in our other filings with the SEC, various risks that may materially affect our business. In addition, see “Management’s Discussion and Analysis of Financial Condition and Results of Operations — Note Regarding Forward-Looking Statements” included herein. The extent to which the COVID-19 pandemic adversely affects our business and financial results may also have the effect of heightening or exacerbating many of the other risks described in the “Risk Factors” section of our 2019 Annual Report.</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ongoing COVID-19 pandemic may materially adversely affect our business, results of operations and financial condition, including capitalization and liquidity</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closely monitoring developments related to the COVID-19 pandemic, which has already negatively impacted us, including as discussed below and as further discussed in “Management’s Discussion and Analysis of Financial Condition and Results of Operations — Industry Trends — COVID-19 Pandemic.” At this time, it is not possible to estimate the severity or duration of the pandemic, including the severity, duration and frequency of any additional “waves” of the pandemic or the timetable for the development and implementation, and the efficacy, of any therapeutic treatment or vaccine for COVID-19. It is likewise not possible to predict or estimate the longer-term effects of the pandemic, or any actions taken to contain or address the pandemic, on the economy at large and on our business, results of operations, financial condition and prospects, including the impact on our investment portfolio and our ratings, or the need for us in the future to revisit or revise targets previously provided to the markets and/or aspects of our business model.</w:t>
      </w:r>
    </w:p>
    <w:p>
      <w:pPr>
        <w:spacing w:after="0" w:line="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key part of our operating strategy is that we leverage third parties to deliver certain services important to our business. As a result, we rely upon the successful implementation and execution of the business continuity plans of such entities in the current environment. While our third-party provider contracts require business continuity and we closely monitor the performance of such third parties, including those that are operating in a remote work environment, successful implementation and execution of their business continuity strategies are largely outside of our control. If any of our third-party providers or partners (including third-party reinsurers) experience operational or financial failures related to the COVID-19 pandemic, or are unable to perform any of their contractual obligations due to a force majeure or otherwise, there could be a material adverse effect on our business, results of operations or financial condition.</w:t>
      </w:r>
    </w:p>
    <w:p>
      <w:pPr>
        <w:spacing w:after="0" w:line="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investment portfolio (and, specifically, the valuations of certain investment assets we hold) has been, and we expect will continue to be, adversely affected as a result of the impact of the COVID-19 pandemic on capital markets and the global economy, as well as uncertainty regarding its duration and outcome. See “Management’s Discussion and Analysis of Financial Condition and Results of Operations — Investments — Current Environment.” Moreover, a sustained period of low interest rates, reduced liquidity and a continued slowdown in U.S. or global economic conditions have adversely affected, and we expect will continue to adversely affect, the values and cash flows of some of our investments. We expect our investments in secured loans and asset-backed securities will be negatively affected by delays or failures of borrowers to make payments of principal and interest when due or delays or moratoriums on enforcement actions with respect to delinquent or defaulted loans imposed by governmental authorities. Further, extreme market volatility may leave us unable to react to market events in a manner consistent with our historical investment practices in dealing with more orderly markets. Market dislocations, decreases in observable market activity or unavailability of information, in each case, arising from the COVID-19 pandemic, may restrict our access to key inputs used to derive certain estimates and assumptions made in connection with financial reporting or otherwise, including estimates and changes in long term macro-economic assumptions relating to accounting for current expected credit losses. See “Management’s Discussion and Analysis of Financial Condition and Results of Operations — Investments — Investment Risks” for further discussion of expected credit losses. Restricted access to such inputs may make our financial statement balances and estimates and assumptions used to run our business subject to greater variability and subjectivity. In addition, market conditions related to the COVID-19 pandemic may increase certain liabilities beyond what our hedges cover.</w:t>
      </w:r>
    </w:p>
    <w:p>
      <w:pPr>
        <w:spacing w:after="0" w:line="6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Credit rating agencies may continue to review and adjust their ratings for the companies that they rate, including us. The credit rating agencies also evaluate the insurance industry as a whole and may change our credit rating based on their overall view of our industry. For example, Fitch recently revised the rating outlook for BHF and certain of its subsidiaries to negative from stable due to the disruption to economic activity and the financial markets from the COVID-19 pandemic. This action by Fitch followed its revision of the rating outlook on the U.S. life insurance industry to negative. Downgrades in our ratings or changes to our rating outlooks could have a material adverse effect on our results of operations and financial condition, including capitalization and liquidity. There can be no assurance that Fitch will not take further adverse action with respect to our ratings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26" w:right="3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or that other rating agencies will not take similar actions in the future. Each rating should be evaluated independently of any other rating.</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Increased economic uncertainty and increased unemployment resulting from the economic impacts of the of the COVID-19 pandemic have also impacted sales of certain of our products and have prompted us to take actions to provide relief to customers adversely affected by the COVID-19 pandemic, as further described in “Management’s Discussion and Analysis of Financial Condition and Results of Operations — Regulatory Developments.” Circumstances resulting from the COVID-19 pandemic may affect the incidence of claims, utilization of benefits, lapses or surrenders of policies and payments on insurance premiums, any of which could impact the revenues and expenses associated with our products.</w:t>
      </w:r>
    </w:p>
    <w:p>
      <w:pPr>
        <w:spacing w:after="0" w:line="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Any risk management or contingency plans or preventative measures we take may not adequately predict or address the impact of the COVID-19 pandemic on our business. Currently, our employees are working remotely. An extended period of remote work arrangements could strain our business continuity plans, increase operational risk, including but not limited to cybersecurity risks, and impair our ability to manage our business.</w:t>
      </w:r>
    </w:p>
    <w:p>
      <w:pPr>
        <w:spacing w:after="0" w:line="5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Both the U.S. federal government and many state legislatures and insurance regulators have passed new legislation and regulations in response to the COVID-19 pandemic that affect the conduct of our business. Changes in our circumstances due to the COVID-19 pandemic could subject us to additional legal and regulatory restrictions under existing laws and regulations, such as the Coronavirus Aid, Relief, and Economic Security Act. Future legal and regulatory responses could also materially affect the conduct of our business going forward as well as our results of operations and financial condition.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Purchases of BHF common stock made by or on behalf of BHF or its affiliates during the three months ended March 31, 2020 are set forth below:</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2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Average Price Paid per</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 Yet Be</w:t>
            </w:r>
          </w:p>
        </w:tc>
        <w:tc>
          <w:tcPr>
            <w:tcW w:w="0" w:type="dxa"/>
            <w:vAlign w:val="bottom"/>
          </w:tcPr>
          <w:p>
            <w:pPr>
              <w:spacing w:after="0"/>
              <w:rPr>
                <w:sz w:val="1"/>
                <w:szCs w:val="1"/>
                <w:color w:val="auto"/>
              </w:rPr>
            </w:pPr>
          </w:p>
        </w:tc>
      </w:tr>
      <w:tr>
        <w:trPr>
          <w:trHeight w:val="148"/>
        </w:trPr>
        <w:tc>
          <w:tcPr>
            <w:tcW w:w="3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20" w:type="dxa"/>
            <w:vAlign w:val="bottom"/>
          </w:tcPr>
          <w:p>
            <w:pPr>
              <w:spacing w:after="0"/>
              <w:rPr>
                <w:sz w:val="12"/>
                <w:szCs w:val="12"/>
                <w:color w:val="auto"/>
              </w:rPr>
            </w:pPr>
          </w:p>
        </w:tc>
        <w:tc>
          <w:tcPr>
            <w:tcW w:w="1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 the Plans</w:t>
            </w:r>
          </w:p>
        </w:tc>
        <w:tc>
          <w:tcPr>
            <w:tcW w:w="0" w:type="dxa"/>
            <w:vAlign w:val="bottom"/>
          </w:tcPr>
          <w:p>
            <w:pPr>
              <w:spacing w:after="0"/>
              <w:rPr>
                <w:sz w:val="1"/>
                <w:szCs w:val="1"/>
                <w:color w:val="auto"/>
              </w:rPr>
            </w:pPr>
          </w:p>
        </w:tc>
      </w:tr>
      <w:tr>
        <w:trPr>
          <w:trHeight w:val="192"/>
        </w:trPr>
        <w:tc>
          <w:tcPr>
            <w:tcW w:w="3740" w:type="dxa"/>
            <w:vAlign w:val="bottom"/>
            <w:gridSpan w:val="2"/>
            <w:vMerge w:val="continue"/>
          </w:tcPr>
          <w:p>
            <w:pPr>
              <w:spacing w:after="0"/>
              <w:rPr>
                <w:sz w:val="16"/>
                <w:szCs w:val="16"/>
                <w:color w:val="auto"/>
              </w:rPr>
            </w:pPr>
          </w:p>
        </w:tc>
        <w:tc>
          <w:tcPr>
            <w:tcW w:w="1800" w:type="dxa"/>
            <w:vAlign w:val="bottom"/>
          </w:tcPr>
          <w:p>
            <w:pPr>
              <w:jc w:val="right"/>
              <w:ind w:right="402"/>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tcPr>
          <w:p>
            <w:pPr>
              <w:jc w:val="center"/>
              <w:ind w:right="223"/>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63"/>
        </w:trPr>
        <w:tc>
          <w:tcPr>
            <w:tcW w:w="3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January 1 — January 31, 2020</w:t>
            </w:r>
          </w:p>
        </w:tc>
        <w:tc>
          <w:tcPr>
            <w:tcW w:w="1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587,987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39.68</w:t>
            </w:r>
          </w:p>
        </w:tc>
        <w:tc>
          <w:tcPr>
            <w:tcW w:w="10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587,987</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7"/>
        </w:trPr>
        <w:tc>
          <w:tcPr>
            <w:tcW w:w="3740" w:type="dxa"/>
            <w:vAlign w:val="bottom"/>
            <w:gridSpan w:val="2"/>
          </w:tcPr>
          <w:p>
            <w:pPr>
              <w:ind w:left="40"/>
              <w:spacing w:after="0"/>
              <w:rPr>
                <w:sz w:val="20"/>
                <w:szCs w:val="20"/>
                <w:color w:val="auto"/>
              </w:rPr>
            </w:pPr>
            <w:r>
              <w:rPr>
                <w:rFonts w:ascii="Arial" w:cs="Arial" w:eastAsia="Arial" w:hAnsi="Arial"/>
                <w:sz w:val="16"/>
                <w:szCs w:val="16"/>
                <w:color w:val="auto"/>
              </w:rPr>
              <w:t>February 1 — February 29, 2020</w:t>
            </w:r>
          </w:p>
        </w:tc>
        <w:tc>
          <w:tcPr>
            <w:tcW w:w="1800" w:type="dxa"/>
            <w:vAlign w:val="bottom"/>
          </w:tcPr>
          <w:p>
            <w:pPr>
              <w:jc w:val="right"/>
              <w:ind w:right="42"/>
              <w:spacing w:after="0"/>
              <w:rPr>
                <w:sz w:val="20"/>
                <w:szCs w:val="20"/>
                <w:color w:val="auto"/>
              </w:rPr>
            </w:pPr>
            <w:r>
              <w:rPr>
                <w:rFonts w:ascii="Arial" w:cs="Arial" w:eastAsia="Arial" w:hAnsi="Arial"/>
                <w:sz w:val="16"/>
                <w:szCs w:val="16"/>
                <w:color w:val="auto"/>
              </w:rPr>
              <w:t>495,618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3"/>
              <w:spacing w:after="0"/>
              <w:rPr>
                <w:sz w:val="20"/>
                <w:szCs w:val="20"/>
                <w:color w:val="auto"/>
              </w:rPr>
            </w:pPr>
            <w:r>
              <w:rPr>
                <w:rFonts w:ascii="Arial" w:cs="Arial" w:eastAsia="Arial" w:hAnsi="Arial"/>
                <w:sz w:val="16"/>
                <w:szCs w:val="16"/>
                <w:color w:val="auto"/>
              </w:rPr>
              <w:t>43.34</w:t>
            </w:r>
          </w:p>
        </w:tc>
        <w:tc>
          <w:tcPr>
            <w:tcW w:w="100" w:type="dxa"/>
            <w:vAlign w:val="bottom"/>
          </w:tcPr>
          <w:p>
            <w:pPr>
              <w:spacing w:after="0"/>
              <w:rPr>
                <w:sz w:val="20"/>
                <w:szCs w:val="20"/>
                <w:color w:val="auto"/>
              </w:rPr>
            </w:pPr>
          </w:p>
        </w:tc>
        <w:tc>
          <w:tcPr>
            <w:tcW w:w="1780" w:type="dxa"/>
            <w:vAlign w:val="bottom"/>
          </w:tcPr>
          <w:p>
            <w:pPr>
              <w:jc w:val="right"/>
              <w:ind w:right="24"/>
              <w:spacing w:after="0"/>
              <w:rPr>
                <w:sz w:val="20"/>
                <w:szCs w:val="20"/>
                <w:color w:val="auto"/>
              </w:rPr>
            </w:pPr>
            <w:r>
              <w:rPr>
                <w:rFonts w:ascii="Arial" w:cs="Arial" w:eastAsia="Arial" w:hAnsi="Arial"/>
                <w:sz w:val="16"/>
                <w:szCs w:val="16"/>
                <w:color w:val="auto"/>
              </w:rPr>
              <w:t>495,618</w:t>
            </w:r>
          </w:p>
        </w:tc>
        <w:tc>
          <w:tcPr>
            <w:tcW w:w="42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3"/>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33"/>
        </w:trPr>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March 1 — March 31, 2020</w:t>
            </w:r>
          </w:p>
        </w:tc>
        <w:tc>
          <w:tcPr>
            <w:tcW w:w="1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4,660,650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21.40</w:t>
            </w:r>
          </w:p>
        </w:tc>
        <w:tc>
          <w:tcPr>
            <w:tcW w:w="1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4,590,782</w:t>
            </w:r>
          </w:p>
        </w:tc>
        <w:tc>
          <w:tcPr>
            <w:tcW w:w="4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43"/>
        </w:trPr>
        <w:tc>
          <w:tcPr>
            <w:tcW w:w="374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8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5,744,255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5,674,387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20" w:type="dxa"/>
            <w:vAlign w:val="bottom"/>
            <w:vMerge w:val="restart"/>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right="20" w:hanging="492"/>
        <w:spacing w:after="0" w:line="263"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Where applicable, total number of shares purchased includes shares of common stock withheld with respect to option exercise costs and tax withholding obligations associated with the exercise or vesting of share-based compensation awards under our publicly announced benefit plans or programs.</w:t>
      </w:r>
    </w:p>
    <w:p>
      <w:pPr>
        <w:spacing w:after="0" w:line="75"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February 6, 2020, we authorized the repurchase of up to $500 million of our common stock. This stock repurchase authorization is in addition to the $600 million aggregate stock repurchase authorizations announced in May 2019 and August 2018. For more information on common stock repurchases, see “Management’s Discussion and Analysis of Financial Condition and Results of Operations — Liquidity and Capital Resources — The Company — Primary Uses of Liquidity and Capital — Common Stock Repurchases” as well as Notes 7 and 11 of the Notes to the Interim Condensed Consolidated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26" w:right="3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b w:val="1"/>
          <w:bCs w:val="1"/>
          <w:i w:val="1"/>
          <w:iCs w:val="1"/>
          <w:color w:val="auto"/>
        </w:rPr>
        <w:t xml:space="preserve">(Note Regarding Reliance on Statements in Our Contracts: </w:t>
      </w:r>
      <w:r>
        <w:rPr>
          <w:rFonts w:ascii="Arial" w:cs="Arial" w:eastAsia="Arial" w:hAnsi="Arial"/>
          <w:sz w:val="17"/>
          <w:szCs w:val="17"/>
          <w:i w:val="1"/>
          <w:iCs w:val="1"/>
          <w:color w:val="auto"/>
        </w:rPr>
        <w:t>In reviewing the agreements included as exhibits herein, please remember that they are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Brighthouse Financial, Inc.’s other public filings, which are available without charge through the U.S. Securities and Exchange Commission website at www.sec.gov.)</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Exhibit</w:t>
            </w:r>
          </w:p>
        </w:tc>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No.</w:t>
            </w:r>
          </w:p>
        </w:tc>
        <w:tc>
          <w:tcPr>
            <w:tcW w:w="20" w:type="dxa"/>
            <w:vAlign w:val="bottom"/>
          </w:tcPr>
          <w:p>
            <w:pPr>
              <w:spacing w:after="0"/>
              <w:rPr>
                <w:sz w:val="20"/>
                <w:szCs w:val="20"/>
                <w:color w:val="auto"/>
              </w:rPr>
            </w:pPr>
          </w:p>
        </w:tc>
        <w:tc>
          <w:tcPr>
            <w:tcW w:w="9460" w:type="dxa"/>
            <w:vAlign w:val="bottom"/>
            <w:gridSpan w:val="8"/>
          </w:tcPr>
          <w:p>
            <w:pPr>
              <w:ind w:left="42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220" w:type="dxa"/>
            <w:vAlign w:val="bottom"/>
          </w:tcPr>
          <w:p>
            <w:pPr>
              <w:jc w:val="center"/>
              <w:spacing w:after="0" w:line="196" w:lineRule="exact"/>
              <w:rPr>
                <w:sz w:val="20"/>
                <w:szCs w:val="20"/>
                <w:color w:val="auto"/>
              </w:rPr>
            </w:pPr>
            <w:r>
              <w:rPr>
                <w:rFonts w:ascii="Arial" w:cs="Arial" w:eastAsia="Arial" w:hAnsi="Arial"/>
                <w:sz w:val="18"/>
                <w:szCs w:val="18"/>
                <w:color w:val="auto"/>
                <w:w w:val="88"/>
              </w:rPr>
              <w:t>10.1#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gridSpan w:val="8"/>
          </w:tcPr>
          <w:p>
            <w:pPr>
              <w:spacing w:after="0" w:line="196" w:lineRule="exact"/>
              <w:rPr>
                <w:rFonts w:ascii="Arial" w:cs="Arial" w:eastAsia="Arial" w:hAnsi="Arial"/>
                <w:sz w:val="18"/>
                <w:szCs w:val="18"/>
                <w:color w:val="0000FF"/>
                <w:w w:val="91"/>
              </w:rPr>
            </w:pPr>
            <w:hyperlink r:id="rId133">
              <w:r>
                <w:rPr>
                  <w:rFonts w:ascii="Arial" w:cs="Arial" w:eastAsia="Arial" w:hAnsi="Arial"/>
                  <w:sz w:val="18"/>
                  <w:szCs w:val="18"/>
                  <w:color w:val="0000FF"/>
                  <w:w w:val="91"/>
                </w:rPr>
                <w:t>Amended and Restated Brighthouse Services, LLC Short-Term Incentive Plan, as amended February 21, 2020 is incorporated by</w:t>
              </w:r>
            </w:hyperlink>
          </w:p>
        </w:tc>
      </w:tr>
      <w:tr>
        <w:trPr>
          <w:trHeight w:val="196"/>
        </w:trPr>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8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133">
              <w:r>
                <w:rPr>
                  <w:rFonts w:ascii="Arial" w:cs="Arial" w:eastAsia="Arial" w:hAnsi="Arial"/>
                  <w:sz w:val="18"/>
                  <w:szCs w:val="18"/>
                  <w:color w:val="0000FF"/>
                </w:rPr>
                <w:t>reference to Exhibit 10.8 to our Annual Report on Form 10-K, filed February 26, 2020.</w:t>
              </w:r>
            </w:hyperlink>
          </w:p>
        </w:tc>
        <w:tc>
          <w:tcPr>
            <w:tcW w:w="180" w:type="dxa"/>
            <w:vAlign w:val="bottom"/>
            <w:gridSpan w:val="2"/>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2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6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87">
              <w:r>
                <w:rPr>
                  <w:rFonts w:ascii="Arial" w:cs="Arial" w:eastAsia="Arial" w:hAnsi="Arial"/>
                  <w:sz w:val="18"/>
                  <w:szCs w:val="18"/>
                  <w:color w:val="0000FF"/>
                  <w:w w:val="91"/>
                </w:rPr>
                <w:t>Form of Non-Management Director Restricted Stock Unit Agreement (Brighthouse Financial, Inc. 2017 Non-Management</w:t>
              </w:r>
            </w:hyperlink>
          </w:p>
        </w:tc>
        <w:tc>
          <w:tcPr>
            <w:tcW w:w="600" w:type="dxa"/>
            <w:vAlign w:val="bottom"/>
            <w:gridSpan w:val="4"/>
          </w:tcPr>
          <w:p>
            <w:pPr>
              <w:spacing w:after="0"/>
              <w:rPr>
                <w:sz w:val="21"/>
                <w:szCs w:val="21"/>
                <w:color w:val="auto"/>
              </w:rPr>
            </w:pPr>
          </w:p>
        </w:tc>
      </w:tr>
      <w:tr>
        <w:trPr>
          <w:trHeight w:val="196"/>
        </w:trPr>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gridSpan w:val="8"/>
          </w:tcPr>
          <w:p>
            <w:pPr>
              <w:spacing w:after="0" w:line="196" w:lineRule="exact"/>
              <w:rPr>
                <w:rFonts w:ascii="Arial" w:cs="Arial" w:eastAsia="Arial" w:hAnsi="Arial"/>
                <w:sz w:val="18"/>
                <w:szCs w:val="18"/>
                <w:color w:val="0000FF"/>
                <w:w w:val="92"/>
              </w:rPr>
            </w:pPr>
            <w:hyperlink w:anchor="page87">
              <w:r>
                <w:rPr>
                  <w:rFonts w:ascii="Arial" w:cs="Arial" w:eastAsia="Arial" w:hAnsi="Arial"/>
                  <w:sz w:val="18"/>
                  <w:szCs w:val="18"/>
                  <w:color w:val="0000FF"/>
                  <w:w w:val="92"/>
                </w:rPr>
                <w:t>Director Stock Compensation Plan, the “Director Plan”), as amended November 14, 2019 (replaces and updates Exhibit 10.26 to</w:t>
              </w:r>
            </w:hyperlink>
          </w:p>
        </w:tc>
      </w:tr>
      <w:tr>
        <w:trPr>
          <w:trHeight w:val="196"/>
        </w:trPr>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w:anchor="page87">
              <w:r>
                <w:rPr>
                  <w:rFonts w:ascii="Arial" w:cs="Arial" w:eastAsia="Arial" w:hAnsi="Arial"/>
                  <w:sz w:val="18"/>
                  <w:szCs w:val="18"/>
                  <w:color w:val="0000FF"/>
                  <w:w w:val="92"/>
                </w:rPr>
                <w:t>our Annual Report on Form 10-K, filed on February 26, 2020).</w:t>
              </w:r>
            </w:hyperlink>
          </w:p>
        </w:tc>
        <w:tc>
          <w:tcPr>
            <w:tcW w:w="4700" w:type="dxa"/>
            <w:vAlign w:val="bottom"/>
            <w:tcBorders>
              <w:top w:val="single" w:sz="8" w:color="0000FF"/>
            </w:tcBorders>
            <w:gridSpan w:val="4"/>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250"/>
        </w:trPr>
        <w:tc>
          <w:tcPr>
            <w:tcW w:w="122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88">
              <w:r>
                <w:rPr>
                  <w:rFonts w:ascii="Arial" w:cs="Arial" w:eastAsia="Arial" w:hAnsi="Arial"/>
                  <w:sz w:val="18"/>
                  <w:szCs w:val="18"/>
                  <w:color w:val="0000FF"/>
                  <w:w w:val="90"/>
                </w:rPr>
                <w:t>Form of Non-Management Director Award Agreement Supplement (Director Plan), as amended November 14, 2019 (replaces and</w:t>
              </w:r>
            </w:hyperlink>
          </w:p>
        </w:tc>
        <w:tc>
          <w:tcPr>
            <w:tcW w:w="60" w:type="dxa"/>
            <w:vAlign w:val="bottom"/>
          </w:tcPr>
          <w:p>
            <w:pPr>
              <w:spacing w:after="0"/>
              <w:rPr>
                <w:sz w:val="21"/>
                <w:szCs w:val="21"/>
                <w:color w:val="auto"/>
              </w:rPr>
            </w:pPr>
          </w:p>
        </w:tc>
      </w:tr>
      <w:tr>
        <w:trPr>
          <w:trHeight w:val="196"/>
        </w:trPr>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6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w:anchor="page88">
              <w:r>
                <w:rPr>
                  <w:rFonts w:ascii="Arial" w:cs="Arial" w:eastAsia="Arial" w:hAnsi="Arial"/>
                  <w:sz w:val="18"/>
                  <w:szCs w:val="18"/>
                  <w:color w:val="0000FF"/>
                  <w:w w:val="91"/>
                </w:rPr>
                <w:t>updates Exhibit 10.27 to our Annual Report on Form 10-K, filed on February 26, 2020).</w:t>
              </w:r>
            </w:hyperlink>
          </w:p>
        </w:tc>
        <w:tc>
          <w:tcPr>
            <w:tcW w:w="3100" w:type="dxa"/>
            <w:vAlign w:val="bottom"/>
            <w:gridSpan w:val="5"/>
          </w:tcPr>
          <w:p>
            <w:pPr>
              <w:spacing w:after="0"/>
              <w:rPr>
                <w:sz w:val="17"/>
                <w:szCs w:val="17"/>
                <w:color w:val="auto"/>
              </w:rPr>
            </w:pPr>
          </w:p>
        </w:tc>
      </w:tr>
      <w:tr>
        <w:trPr>
          <w:trHeight w:val="291"/>
        </w:trPr>
        <w:tc>
          <w:tcPr>
            <w:tcW w:w="12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60" w:type="dxa"/>
            <w:vAlign w:val="bottom"/>
            <w:gridSpan w:val="8"/>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Certification of Chief Executive Officer pursuant to Section 302 of the Sarbanes-Oxley Act of 2002.</w:t>
              </w:r>
            </w:hyperlink>
          </w:p>
        </w:tc>
      </w:tr>
      <w:tr>
        <w:trPr>
          <w:trHeight w:val="270"/>
        </w:trPr>
        <w:tc>
          <w:tcPr>
            <w:tcW w:w="12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60" w:type="dxa"/>
            <w:vAlign w:val="bottom"/>
            <w:gridSpan w:val="8"/>
          </w:tcPr>
          <w:p>
            <w:pPr>
              <w:spacing w:after="0"/>
              <w:rPr>
                <w:rFonts w:ascii="Arial" w:cs="Arial" w:eastAsia="Arial" w:hAnsi="Arial"/>
                <w:sz w:val="18"/>
                <w:szCs w:val="18"/>
                <w:u w:val="single" w:color="auto"/>
                <w:color w:val="0000FF"/>
              </w:rPr>
            </w:pPr>
            <w:hyperlink w:anchor="page93">
              <w:r>
                <w:rPr>
                  <w:rFonts w:ascii="Arial" w:cs="Arial" w:eastAsia="Arial" w:hAnsi="Arial"/>
                  <w:sz w:val="18"/>
                  <w:szCs w:val="18"/>
                  <w:u w:val="single" w:color="auto"/>
                  <w:color w:val="0000FF"/>
                </w:rPr>
                <w:t>Certification of Chief Financial Officer pursuant to Section 302 of the Sarbanes-Oxley Act of 2002.</w:t>
              </w:r>
            </w:hyperlink>
          </w:p>
        </w:tc>
      </w:tr>
      <w:tr>
        <w:trPr>
          <w:trHeight w:val="270"/>
        </w:trPr>
        <w:tc>
          <w:tcPr>
            <w:tcW w:w="1220" w:type="dxa"/>
            <w:vAlign w:val="bottom"/>
          </w:tcPr>
          <w:p>
            <w:pPr>
              <w:jc w:val="cente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60" w:type="dxa"/>
            <w:vAlign w:val="bottom"/>
            <w:gridSpan w:val="8"/>
          </w:tcPr>
          <w:p>
            <w:pPr>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Certification of Chief Executive Officer pursuant to Section 906 of the Sarbanes-Oxley Act of 2002.</w:t>
              </w:r>
            </w:hyperlink>
          </w:p>
        </w:tc>
      </w:tr>
      <w:tr>
        <w:trPr>
          <w:trHeight w:val="270"/>
        </w:trPr>
        <w:tc>
          <w:tcPr>
            <w:tcW w:w="1220" w:type="dxa"/>
            <w:vAlign w:val="bottom"/>
          </w:tcPr>
          <w:p>
            <w:pPr>
              <w:jc w:val="cente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60" w:type="dxa"/>
            <w:vAlign w:val="bottom"/>
            <w:gridSpan w:val="8"/>
          </w:tcPr>
          <w:p>
            <w:pPr>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Certification of Chief Financial Officer pursuant to Section 906 of the Sarbanes-Oxley Act of 2002.</w:t>
              </w:r>
            </w:hyperlink>
          </w:p>
        </w:tc>
      </w:tr>
      <w:tr>
        <w:trPr>
          <w:trHeight w:val="256"/>
        </w:trPr>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101.INS*</w:t>
            </w:r>
          </w:p>
        </w:tc>
        <w:tc>
          <w:tcPr>
            <w:tcW w:w="20" w:type="dxa"/>
            <w:vAlign w:val="bottom"/>
          </w:tcPr>
          <w:p>
            <w:pPr>
              <w:spacing w:after="0"/>
              <w:rPr>
                <w:sz w:val="22"/>
                <w:szCs w:val="22"/>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w w:val="97"/>
              </w:rPr>
              <w:t>XBRL Instance Document - the instance document does not appear in the Interactive Data File because its XBRL tags are</w:t>
            </w:r>
          </w:p>
        </w:tc>
      </w:tr>
      <w:tr>
        <w:trPr>
          <w:trHeight w:val="230"/>
        </w:trPr>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101.SCH*</w:t>
            </w:r>
          </w:p>
        </w:tc>
        <w:tc>
          <w:tcPr>
            <w:tcW w:w="20" w:type="dxa"/>
            <w:vAlign w:val="bottom"/>
          </w:tcPr>
          <w:p>
            <w:pPr>
              <w:spacing w:after="0"/>
              <w:rPr>
                <w:sz w:val="23"/>
                <w:szCs w:val="23"/>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101.CAL*</w:t>
            </w:r>
          </w:p>
        </w:tc>
        <w:tc>
          <w:tcPr>
            <w:tcW w:w="20" w:type="dxa"/>
            <w:vAlign w:val="bottom"/>
          </w:tcPr>
          <w:p>
            <w:pPr>
              <w:spacing w:after="0"/>
              <w:rPr>
                <w:sz w:val="23"/>
                <w:szCs w:val="23"/>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101.LAB*</w:t>
            </w:r>
          </w:p>
        </w:tc>
        <w:tc>
          <w:tcPr>
            <w:tcW w:w="20" w:type="dxa"/>
            <w:vAlign w:val="bottom"/>
          </w:tcPr>
          <w:p>
            <w:pPr>
              <w:spacing w:after="0"/>
              <w:rPr>
                <w:sz w:val="23"/>
                <w:szCs w:val="23"/>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101.PRE*</w:t>
            </w:r>
          </w:p>
        </w:tc>
        <w:tc>
          <w:tcPr>
            <w:tcW w:w="20" w:type="dxa"/>
            <w:vAlign w:val="bottom"/>
          </w:tcPr>
          <w:p>
            <w:pPr>
              <w:spacing w:after="0"/>
              <w:rPr>
                <w:sz w:val="23"/>
                <w:szCs w:val="23"/>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15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101.DEF*</w:t>
            </w:r>
          </w:p>
        </w:tc>
        <w:tc>
          <w:tcPr>
            <w:tcW w:w="20" w:type="dxa"/>
            <w:vAlign w:val="bottom"/>
          </w:tcPr>
          <w:p>
            <w:pPr>
              <w:spacing w:after="0"/>
              <w:rPr>
                <w:sz w:val="23"/>
                <w:szCs w:val="23"/>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6"/>
        </w:trPr>
        <w:tc>
          <w:tcPr>
            <w:tcW w:w="1220" w:type="dxa"/>
            <w:vAlign w:val="bottom"/>
          </w:tcPr>
          <w:p>
            <w:pPr>
              <w:jc w:val="center"/>
              <w:spacing w:after="0"/>
              <w:rPr>
                <w:sz w:val="20"/>
                <w:szCs w:val="20"/>
                <w:color w:val="auto"/>
              </w:rPr>
            </w:pPr>
            <w:r>
              <w:rPr>
                <w:rFonts w:ascii="Arial" w:cs="Arial" w:eastAsia="Arial" w:hAnsi="Arial"/>
                <w:sz w:val="18"/>
                <w:szCs w:val="18"/>
                <w:color w:val="auto"/>
                <w:w w:val="97"/>
              </w:rPr>
              <w:t>104*</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w w:val="92"/>
              </w:rPr>
              <w:t>The cover page of Brighthouse Financial, Inc.’s Quarterly Report on Form 10-Q for the quarter ended March 31, 2020, formatted</w:t>
            </w:r>
          </w:p>
        </w:tc>
      </w:tr>
      <w:tr>
        <w:trPr>
          <w:trHeight w:val="230"/>
        </w:trPr>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rPr>
              <w:t>in Inline XBRL (included within the Exhibit 101 attachments).</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Denotes management contracts or compensation plans or arrangements.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26" w:right="3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BRIGHTHOUSE FINANCIAL, INC.</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520" w:type="dxa"/>
            <w:vAlign w:val="bottom"/>
            <w:gridSpan w:val="2"/>
          </w:tcPr>
          <w:p>
            <w:pPr>
              <w:ind w:left="2540"/>
              <w:spacing w:after="0"/>
              <w:rPr>
                <w:sz w:val="20"/>
                <w:szCs w:val="20"/>
                <w:color w:val="auto"/>
              </w:rPr>
            </w:pPr>
            <w:r>
              <w:rPr>
                <w:rFonts w:ascii="Arial" w:cs="Arial" w:eastAsia="Arial" w:hAnsi="Arial"/>
                <w:sz w:val="18"/>
                <w:szCs w:val="18"/>
                <w:color w:val="auto"/>
              </w:rPr>
              <w:t>By:</w:t>
            </w:r>
          </w:p>
        </w:tc>
        <w:tc>
          <w:tcPr>
            <w:tcW w:w="4540" w:type="dxa"/>
            <w:vAlign w:val="bottom"/>
          </w:tcPr>
          <w:p>
            <w:pPr>
              <w:ind w:left="140"/>
              <w:spacing w:after="0"/>
              <w:rPr>
                <w:sz w:val="20"/>
                <w:szCs w:val="20"/>
                <w:color w:val="auto"/>
              </w:rPr>
            </w:pPr>
            <w:r>
              <w:rPr>
                <w:rFonts w:ascii="Arial" w:cs="Arial" w:eastAsia="Arial" w:hAnsi="Arial"/>
                <w:sz w:val="18"/>
                <w:szCs w:val="18"/>
                <w:color w:val="auto"/>
              </w:rPr>
              <w:t>/s/ Edward A. Spehar</w:t>
            </w:r>
          </w:p>
        </w:tc>
      </w:tr>
      <w:tr>
        <w:trPr>
          <w:trHeight w:val="27"/>
        </w:trPr>
        <w:tc>
          <w:tcPr>
            <w:tcW w:w="28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540" w:type="dxa"/>
            <w:vAlign w:val="bottom"/>
          </w:tcPr>
          <w:p>
            <w:pPr>
              <w:ind w:left="140"/>
              <w:spacing w:after="0"/>
              <w:rPr>
                <w:sz w:val="20"/>
                <w:szCs w:val="20"/>
                <w:color w:val="auto"/>
              </w:rPr>
            </w:pPr>
            <w:r>
              <w:rPr>
                <w:rFonts w:ascii="Arial" w:cs="Arial" w:eastAsia="Arial" w:hAnsi="Arial"/>
                <w:sz w:val="18"/>
                <w:szCs w:val="18"/>
                <w:color w:val="auto"/>
              </w:rPr>
              <w:t>Edward A. Spehar</w:t>
            </w:r>
          </w:p>
        </w:tc>
      </w:tr>
      <w:tr>
        <w:trPr>
          <w:trHeight w:val="270"/>
        </w:trPr>
        <w:tc>
          <w:tcPr>
            <w:tcW w:w="2880" w:type="dxa"/>
            <w:vAlign w:val="bottom"/>
          </w:tcPr>
          <w:p>
            <w:pPr>
              <w:spacing w:after="0"/>
              <w:rPr>
                <w:sz w:val="23"/>
                <w:szCs w:val="23"/>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540" w:type="dxa"/>
            <w:vAlign w:val="bottom"/>
          </w:tcPr>
          <w:p>
            <w:pPr>
              <w:ind w:left="14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28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w w:val="99"/>
              </w:rPr>
              <w:t>(Duly Authorized Officer and Principal Financial Officer)</w:t>
            </w:r>
          </w:p>
        </w:tc>
      </w:tr>
      <w:tr>
        <w:trPr>
          <w:trHeight w:val="459"/>
        </w:trPr>
        <w:tc>
          <w:tcPr>
            <w:tcW w:w="3520" w:type="dxa"/>
            <w:vAlign w:val="bottom"/>
            <w:gridSpan w:val="2"/>
          </w:tcPr>
          <w:p>
            <w:pPr>
              <w:spacing w:after="0"/>
              <w:rPr>
                <w:sz w:val="20"/>
                <w:szCs w:val="20"/>
                <w:color w:val="auto"/>
              </w:rPr>
            </w:pPr>
            <w:r>
              <w:rPr>
                <w:rFonts w:ascii="Arial" w:cs="Arial" w:eastAsia="Arial" w:hAnsi="Arial"/>
                <w:sz w:val="18"/>
                <w:szCs w:val="18"/>
                <w:color w:val="auto"/>
              </w:rPr>
              <w:t>Date: May 11, 2020</w:t>
            </w:r>
          </w:p>
        </w:tc>
        <w:tc>
          <w:tcPr>
            <w:tcW w:w="4540" w:type="dxa"/>
            <w:vAlign w:val="bottom"/>
          </w:tcPr>
          <w:p>
            <w:pPr>
              <w:spacing w:after="0"/>
              <w:rPr>
                <w:sz w:val="24"/>
                <w:szCs w:val="24"/>
                <w:color w:val="auto"/>
              </w:rPr>
            </w:pPr>
          </w:p>
        </w:tc>
      </w:tr>
      <w:tr>
        <w:trPr>
          <w:trHeight w:val="432"/>
        </w:trPr>
        <w:tc>
          <w:tcPr>
            <w:tcW w:w="2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40" w:type="dxa"/>
            <w:vAlign w:val="bottom"/>
          </w:tcPr>
          <w:p>
            <w:pPr>
              <w:ind w:left="1680"/>
              <w:spacing w:after="0"/>
              <w:rPr>
                <w:sz w:val="20"/>
                <w:szCs w:val="20"/>
                <w:color w:val="auto"/>
              </w:rPr>
            </w:pPr>
            <w:r>
              <w:rPr>
                <w:rFonts w:ascii="Arial" w:cs="Arial" w:eastAsia="Arial" w:hAnsi="Arial"/>
                <w:sz w:val="18"/>
                <w:szCs w:val="18"/>
                <w:color w:val="auto"/>
              </w:rPr>
              <w:t>85</w:t>
            </w:r>
          </w:p>
        </w:tc>
      </w:tr>
    </w:tbl>
    <w:p>
      <w:pPr>
        <w:sectPr>
          <w:pgSz w:w="11900" w:h="16838" w:orient="portrait"/>
          <w:cols w:equalWidth="0" w:num="1">
            <w:col w:w="11240"/>
          </w:cols>
          <w:pgMar w:left="320" w:top="126"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Exhibit 10.2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NON-MANAGEMENT DIRECTOR RESTRICTED STOCK UNIT AGREEMENT</w:t>
      </w:r>
    </w:p>
    <w:p>
      <w:pPr>
        <w:spacing w:after="0" w:line="260" w:lineRule="exact"/>
        <w:rPr>
          <w:sz w:val="20"/>
          <w:szCs w:val="20"/>
          <w:color w:val="auto"/>
        </w:rPr>
      </w:pPr>
    </w:p>
    <w:p>
      <w:pPr>
        <w:ind w:right="240" w:firstLine="648"/>
        <w:spacing w:after="0" w:line="269" w:lineRule="auto"/>
        <w:rPr>
          <w:sz w:val="20"/>
          <w:szCs w:val="20"/>
          <w:color w:val="auto"/>
        </w:rPr>
      </w:pPr>
      <w:r>
        <w:rPr>
          <w:rFonts w:ascii="Arial" w:cs="Arial" w:eastAsia="Arial" w:hAnsi="Arial"/>
          <w:sz w:val="22"/>
          <w:szCs w:val="22"/>
          <w:color w:val="auto"/>
        </w:rPr>
        <w:t xml:space="preserve">Brighthouse Financial, Inc. (the “Company”) confirms that, on </w:t>
      </w:r>
      <w:r>
        <w:rPr>
          <w:rFonts w:ascii="Arial" w:cs="Arial" w:eastAsia="Arial" w:hAnsi="Arial"/>
          <w:sz w:val="22"/>
          <w:szCs w:val="22"/>
          <w:b w:val="1"/>
          <w:bCs w:val="1"/>
          <w:color w:val="auto"/>
        </w:rPr>
        <w:t>[grant date]</w:t>
      </w:r>
      <w:r>
        <w:rPr>
          <w:rFonts w:ascii="Arial" w:cs="Arial" w:eastAsia="Arial" w:hAnsi="Arial"/>
          <w:sz w:val="22"/>
          <w:szCs w:val="22"/>
          <w:color w:val="auto"/>
        </w:rPr>
        <w:t xml:space="preserve"> (the “Grant Date”), it granted you, </w:t>
      </w:r>
      <w:r>
        <w:rPr>
          <w:rFonts w:ascii="Arial" w:cs="Arial" w:eastAsia="Arial" w:hAnsi="Arial"/>
          <w:sz w:val="22"/>
          <w:szCs w:val="22"/>
          <w:b w:val="1"/>
          <w:bCs w:val="1"/>
          <w:color w:val="auto"/>
        </w:rPr>
        <w:t>[name]</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[number] </w:t>
      </w:r>
      <w:r>
        <w:rPr>
          <w:rFonts w:ascii="Arial" w:cs="Arial" w:eastAsia="Arial" w:hAnsi="Arial"/>
          <w:sz w:val="22"/>
          <w:szCs w:val="22"/>
          <w:color w:val="auto"/>
        </w:rPr>
        <w:t>Restricted Stock Units.</w:t>
      </w:r>
    </w:p>
    <w:p>
      <w:pPr>
        <w:spacing w:after="0" w:line="208" w:lineRule="exact"/>
        <w:rPr>
          <w:sz w:val="20"/>
          <w:szCs w:val="20"/>
          <w:color w:val="auto"/>
        </w:rPr>
      </w:pPr>
    </w:p>
    <w:p>
      <w:pPr>
        <w:ind w:right="520" w:firstLine="648"/>
        <w:spacing w:after="0" w:line="297" w:lineRule="auto"/>
        <w:rPr>
          <w:sz w:val="20"/>
          <w:szCs w:val="20"/>
          <w:color w:val="auto"/>
        </w:rPr>
      </w:pPr>
      <w:r>
        <w:rPr>
          <w:rFonts w:ascii="Arial" w:cs="Arial" w:eastAsia="Arial" w:hAnsi="Arial"/>
          <w:sz w:val="19"/>
          <w:szCs w:val="19"/>
          <w:color w:val="auto"/>
        </w:rPr>
        <w:t>Your Restricted Stock Units are subject to the terms and conditions of the Brighthouse Financial, Inc. 2017 Non-Management Director Stock Compensation Plan (the “Director Plan”) and this Restricted Stock Unit Agreement (this “Agreement”), which includes the Award Agreement Supplement (the “Supplement”). All capitalized terms used in this document that are not defined herein are defined in the Director Plan. Please note that the Director Plan and the Supplement include terms for forfeiture of your Restricted Stock Units under certain circumstances.</w:t>
      </w:r>
    </w:p>
    <w:p>
      <w:pPr>
        <w:spacing w:after="0" w:line="187"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The Period of Restriction for your Restricted Stock Units granted under this Agreement will begin on the Grant Date and will end on the earlier of (i) the first anniversary of the Grant Date and (ii) the date of the Company’s next Annual Meeting of Stockholders following the Grant Date.</w:t>
      </w:r>
    </w:p>
    <w:p>
      <w:pPr>
        <w:spacing w:after="0" w:line="226"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Restricted Stock Units will be due and payable in the form of Shares, or in any other form of payment that the Committee determines in accordance with the Director Plan, as soon as administratively practicable after the conclusion of the Period of Restriction.</w:t>
      </w:r>
    </w:p>
    <w:p>
      <w:pPr>
        <w:spacing w:after="0" w:line="226"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The timing of payment is specified in the Director Plan and in Supplement Section S-6 (“Timing of Payment”), or, if you have elected to defer your Restricted Stock Units under a deferred compensation plan offered by the Company, pursuant to the terms of such deferred compensation plan.</w:t>
      </w:r>
    </w:p>
    <w:p>
      <w:pPr>
        <w:spacing w:after="0" w:line="226"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IN WITNESS WHEREOF, Brighthouse Financial, Inc. has caused this Agreement to be offered to you, and you have accepted this Agreement by the electronic means made available to you.</w:t>
      </w:r>
    </w:p>
    <w:p>
      <w:pPr>
        <w:sectPr>
          <w:pgSz w:w="11900" w:h="16838" w:orient="portrait"/>
          <w:cols w:equalWidth="0" w:num="1">
            <w:col w:w="11240"/>
          </w:cols>
          <w:pgMar w:left="320" w:top="342"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b w:val="1"/>
          <w:bCs w:val="1"/>
          <w:color w:val="auto"/>
        </w:rPr>
        <w:t>Exhibit 10.3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NON-MANAGEMENT DIRECTOR AWARD AGREEMENT SUPPLEMENT</w:t>
      </w:r>
    </w:p>
    <w:p>
      <w:pPr>
        <w:spacing w:after="0" w:line="226"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This Award Agreement Supplement (this “Supplement”) provides terms that are part of your Award Agreement (the “Agreement”) under the Brighthouse Financial, Inc. 2017 Non-Management Director Stock Compensation Plan (the “Director Plan”). In this Supplement, “Award” refers to the Restricted Stock Units, Stock Options, or Restricted Units that are the subject of the Award Agreement. All capitalized terms used in this document that are not defined herein are defined in the Director Plan document.</w:t>
      </w:r>
    </w:p>
    <w:p>
      <w:pPr>
        <w:spacing w:after="0" w:line="18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S-1.</w:t>
      </w:r>
      <w:r>
        <w:rPr>
          <w:sz w:val="20"/>
          <w:szCs w:val="20"/>
          <w:color w:val="auto"/>
        </w:rPr>
        <w:tab/>
      </w:r>
      <w:r>
        <w:rPr>
          <w:rFonts w:ascii="Arial" w:cs="Arial" w:eastAsia="Arial" w:hAnsi="Arial"/>
          <w:sz w:val="19"/>
          <w:szCs w:val="19"/>
          <w:b w:val="1"/>
          <w:bCs w:val="1"/>
          <w:u w:val="single" w:color="auto"/>
          <w:color w:val="auto"/>
        </w:rPr>
        <w:t>Change of Status</w:t>
      </w:r>
      <w:r>
        <w:rPr>
          <w:rFonts w:ascii="Arial" w:cs="Arial" w:eastAsia="Arial" w:hAnsi="Arial"/>
          <w:sz w:val="19"/>
          <w:szCs w:val="19"/>
          <w:color w:val="auto"/>
        </w:rPr>
        <w:t>. The Director Plan describes how various events affect your Award.</w:t>
      </w:r>
    </w:p>
    <w:p>
      <w:pPr>
        <w:spacing w:after="0" w:line="22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S-2.</w:t>
      </w:r>
      <w:r>
        <w:rPr>
          <w:sz w:val="20"/>
          <w:szCs w:val="20"/>
          <w:color w:val="auto"/>
        </w:rPr>
        <w:tab/>
      </w:r>
      <w:r>
        <w:rPr>
          <w:rFonts w:ascii="Arial" w:cs="Arial" w:eastAsia="Arial" w:hAnsi="Arial"/>
          <w:sz w:val="19"/>
          <w:szCs w:val="19"/>
          <w:b w:val="1"/>
          <w:bCs w:val="1"/>
          <w:u w:val="single" w:color="auto"/>
          <w:color w:val="auto"/>
        </w:rPr>
        <w:t>Change of Control</w:t>
      </w:r>
      <w:r>
        <w:rPr>
          <w:rFonts w:ascii="Arial" w:cs="Arial" w:eastAsia="Arial" w:hAnsi="Arial"/>
          <w:sz w:val="19"/>
          <w:szCs w:val="19"/>
          <w:color w:val="auto"/>
        </w:rPr>
        <w:t>. The Director Plan describes how a Change of Control will affect your Award.</w:t>
      </w:r>
    </w:p>
    <w:p>
      <w:pPr>
        <w:spacing w:after="0" w:line="220" w:lineRule="exact"/>
        <w:rPr>
          <w:sz w:val="20"/>
          <w:szCs w:val="20"/>
          <w:color w:val="auto"/>
        </w:rPr>
      </w:pPr>
    </w:p>
    <w:p>
      <w:pPr>
        <w:jc w:val="both"/>
        <w:ind w:right="220" w:firstLine="648"/>
        <w:spacing w:after="0" w:line="256" w:lineRule="auto"/>
        <w:rPr>
          <w:sz w:val="20"/>
          <w:szCs w:val="20"/>
          <w:color w:val="auto"/>
        </w:rPr>
      </w:pPr>
      <w:r>
        <w:rPr>
          <w:rFonts w:ascii="Arial" w:cs="Arial" w:eastAsia="Arial" w:hAnsi="Arial"/>
          <w:sz w:val="22"/>
          <w:szCs w:val="22"/>
          <w:b w:val="1"/>
          <w:bCs w:val="1"/>
          <w:color w:val="auto"/>
        </w:rPr>
        <w:t xml:space="preserve">S-3. </w:t>
      </w: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color w:val="auto"/>
        </w:rPr>
        <w:t>. Except as provided in Section S-4, the Director Plan or as otherwise permitted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you may not sell, transfer, pledge, assign or otherwise alienate or hypothecate any of your Award, and all rights with respect to your Award are exercisable during your lifetime only by you.</w:t>
      </w:r>
    </w:p>
    <w:p>
      <w:pPr>
        <w:spacing w:after="0" w:line="176" w:lineRule="exact"/>
        <w:rPr>
          <w:sz w:val="20"/>
          <w:szCs w:val="20"/>
          <w:color w:val="auto"/>
        </w:rPr>
      </w:pPr>
    </w:p>
    <w:p>
      <w:pPr>
        <w:ind w:right="40" w:firstLine="648"/>
        <w:spacing w:after="0" w:line="249" w:lineRule="auto"/>
        <w:rPr>
          <w:sz w:val="20"/>
          <w:szCs w:val="20"/>
          <w:color w:val="auto"/>
        </w:rPr>
      </w:pPr>
      <w:r>
        <w:rPr>
          <w:rFonts w:ascii="Arial" w:cs="Arial" w:eastAsia="Arial" w:hAnsi="Arial"/>
          <w:sz w:val="22"/>
          <w:szCs w:val="22"/>
          <w:b w:val="1"/>
          <w:bCs w:val="1"/>
          <w:color w:val="auto"/>
        </w:rPr>
        <w:t xml:space="preserve">S-4. </w:t>
      </w:r>
      <w:r>
        <w:rPr>
          <w:rFonts w:ascii="Arial" w:cs="Arial" w:eastAsia="Arial" w:hAnsi="Arial"/>
          <w:sz w:val="22"/>
          <w:szCs w:val="22"/>
          <w:b w:val="1"/>
          <w:bCs w:val="1"/>
          <w:u w:val="single" w:color="auto"/>
          <w:color w:val="auto"/>
        </w:rPr>
        <w:t>Payment to Estate or Beneficiary Designation</w:t>
      </w:r>
      <w:r>
        <w:rPr>
          <w:rFonts w:ascii="Arial" w:cs="Arial" w:eastAsia="Arial" w:hAnsi="Arial"/>
          <w:sz w:val="22"/>
          <w:szCs w:val="22"/>
          <w:color w:val="auto"/>
        </w:rPr>
        <w:t>. You may name one or more beneficiary or beneficiaries who may</w:t>
      </w:r>
      <w:r>
        <w:rPr>
          <w:rFonts w:ascii="Arial" w:cs="Arial" w:eastAsia="Arial" w:hAnsi="Arial"/>
          <w:sz w:val="22"/>
          <w:szCs w:val="22"/>
          <w:b w:val="1"/>
          <w:bCs w:val="1"/>
          <w:color w:val="auto"/>
        </w:rPr>
        <w:t xml:space="preserve"> </w:t>
      </w:r>
      <w:r>
        <w:rPr>
          <w:rFonts w:ascii="Arial" w:cs="Arial" w:eastAsia="Arial" w:hAnsi="Arial"/>
          <w:sz w:val="22"/>
          <w:szCs w:val="22"/>
          <w:color w:val="auto"/>
        </w:rPr>
        <w:t>then exercise any right under the Agreement in the event of your death. Each beneficiary designation for such purpose will revoke all such prior designations. Beneficiary designations must be properly completed on a form prescribed by the Committee and must be filed with the Company during your lifetime. If you have not designated a beneficiary at the time of your death, then the beneficiary shall be your estate.</w:t>
      </w:r>
    </w:p>
    <w:p>
      <w:pPr>
        <w:spacing w:after="0" w:line="186" w:lineRule="exact"/>
        <w:rPr>
          <w:sz w:val="20"/>
          <w:szCs w:val="20"/>
          <w:color w:val="auto"/>
        </w:rPr>
      </w:pPr>
    </w:p>
    <w:p>
      <w:pPr>
        <w:ind w:right="80" w:firstLine="648"/>
        <w:spacing w:after="0" w:line="274" w:lineRule="auto"/>
        <w:rPr>
          <w:sz w:val="20"/>
          <w:szCs w:val="20"/>
          <w:color w:val="auto"/>
        </w:rPr>
      </w:pPr>
      <w:r>
        <w:rPr>
          <w:rFonts w:ascii="Arial" w:cs="Arial" w:eastAsia="Arial" w:hAnsi="Arial"/>
          <w:sz w:val="21"/>
          <w:szCs w:val="21"/>
          <w:b w:val="1"/>
          <w:bCs w:val="1"/>
          <w:color w:val="auto"/>
        </w:rPr>
        <w:t xml:space="preserve">S-5. </w:t>
      </w:r>
      <w:r>
        <w:rPr>
          <w:rFonts w:ascii="Arial" w:cs="Arial" w:eastAsia="Arial" w:hAnsi="Arial"/>
          <w:sz w:val="21"/>
          <w:szCs w:val="21"/>
          <w:b w:val="1"/>
          <w:bCs w:val="1"/>
          <w:u w:val="single" w:color="auto"/>
          <w:color w:val="auto"/>
        </w:rPr>
        <w:t>Adjustments</w:t>
      </w:r>
      <w:r>
        <w:rPr>
          <w:rFonts w:ascii="Arial" w:cs="Arial" w:eastAsia="Arial" w:hAnsi="Arial"/>
          <w:sz w:val="21"/>
          <w:szCs w:val="21"/>
          <w:color w:val="auto"/>
        </w:rPr>
        <w:t>. The Committee will make appropriate adjustments in the terms and conditions of your Award as</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in Section 4.2 of the Director Plan and may make adjustments in the terms and conditions of your Award as provided in Section 11.2 of the Director Plan. The Committee’s determinations in this regard will be conclusive.</w:t>
      </w:r>
    </w:p>
    <w:p>
      <w:pPr>
        <w:spacing w:after="0" w:line="158" w:lineRule="exact"/>
        <w:rPr>
          <w:sz w:val="20"/>
          <w:szCs w:val="20"/>
          <w:color w:val="auto"/>
        </w:rPr>
      </w:pPr>
    </w:p>
    <w:p>
      <w:pPr>
        <w:ind w:right="220" w:firstLine="648"/>
        <w:spacing w:after="0" w:line="269" w:lineRule="auto"/>
        <w:rPr>
          <w:sz w:val="20"/>
          <w:szCs w:val="20"/>
          <w:color w:val="auto"/>
        </w:rPr>
      </w:pPr>
      <w:r>
        <w:rPr>
          <w:rFonts w:ascii="Arial" w:cs="Arial" w:eastAsia="Arial" w:hAnsi="Arial"/>
          <w:sz w:val="22"/>
          <w:szCs w:val="22"/>
          <w:b w:val="1"/>
          <w:bCs w:val="1"/>
          <w:color w:val="auto"/>
        </w:rPr>
        <w:t>S-6</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Timing of Payment</w:t>
      </w:r>
      <w:r>
        <w:rPr>
          <w:rFonts w:ascii="Arial" w:cs="Arial" w:eastAsia="Arial" w:hAnsi="Arial"/>
          <w:sz w:val="22"/>
          <w:szCs w:val="22"/>
          <w:color w:val="auto"/>
        </w:rPr>
        <w:t>. To the extent applicable, the Agreement is intended to comply with Code Section 409A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interpreted accordingly.</w:t>
      </w:r>
    </w:p>
    <w:p>
      <w:pPr>
        <w:spacing w:after="0" w:line="168" w:lineRule="exact"/>
        <w:rPr>
          <w:sz w:val="20"/>
          <w:szCs w:val="20"/>
          <w:color w:val="auto"/>
        </w:rPr>
      </w:pPr>
    </w:p>
    <w:p>
      <w:pPr>
        <w:ind w:right="60" w:firstLine="656"/>
        <w:spacing w:after="0" w:line="263" w:lineRule="auto"/>
        <w:tabs>
          <w:tab w:leader="none" w:pos="1104" w:val="left"/>
        </w:tabs>
        <w:numPr>
          <w:ilvl w:val="0"/>
          <w:numId w:val="69"/>
        </w:numPr>
        <w:rPr>
          <w:rFonts w:ascii="Arial" w:cs="Arial" w:eastAsia="Arial" w:hAnsi="Arial"/>
          <w:sz w:val="22"/>
          <w:szCs w:val="22"/>
          <w:color w:val="auto"/>
        </w:rPr>
      </w:pPr>
      <w:r>
        <w:rPr>
          <w:rFonts w:ascii="Arial" w:cs="Arial" w:eastAsia="Arial" w:hAnsi="Arial"/>
          <w:sz w:val="22"/>
          <w:szCs w:val="22"/>
          <w:color w:val="auto"/>
        </w:rPr>
        <w:t>If payment is due and payable for Awards that are Restricted Stock Units, payment will be made no later than March 15 of the calendar year after the expiration of the applicable Period of Restriction.</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If payment is due and payable due to your death, it will be made upon your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598" w:right="339" w:bottom="1440" w:gutter="0" w:footer="0" w:header="0"/>
        </w:sectPr>
      </w:pPr>
    </w:p>
    <w:bookmarkStart w:id="88" w:name="page89"/>
    <w:bookmarkEnd w:id="88"/>
    <w:p>
      <w:pPr>
        <w:ind w:left="1120" w:hanging="464"/>
        <w:spacing w:after="0"/>
        <w:tabs>
          <w:tab w:leader="none" w:pos="1120" w:val="left"/>
        </w:tabs>
        <w:numPr>
          <w:ilvl w:val="0"/>
          <w:numId w:val="70"/>
        </w:numPr>
        <w:rPr>
          <w:rFonts w:ascii="Arial" w:cs="Arial" w:eastAsia="Arial" w:hAnsi="Arial"/>
          <w:sz w:val="22"/>
          <w:szCs w:val="22"/>
          <w:color w:val="auto"/>
        </w:rPr>
      </w:pPr>
      <w:r>
        <w:rPr>
          <w:rFonts w:ascii="Arial" w:cs="Arial" w:eastAsia="Arial" w:hAnsi="Arial"/>
          <w:sz w:val="22"/>
          <w:szCs w:val="22"/>
          <w:color w:val="auto"/>
        </w:rPr>
        <w:t>Subject to Section S-6(d) below, if payment is due and payable due to a Change of Control:</w:t>
      </w:r>
    </w:p>
    <w:p>
      <w:pPr>
        <w:spacing w:after="0" w:line="219" w:lineRule="exact"/>
        <w:rPr>
          <w:rFonts w:ascii="Arial" w:cs="Arial" w:eastAsia="Arial" w:hAnsi="Arial"/>
          <w:sz w:val="22"/>
          <w:szCs w:val="22"/>
          <w:color w:val="auto"/>
        </w:rPr>
      </w:pPr>
    </w:p>
    <w:p>
      <w:pPr>
        <w:ind w:firstLine="1304"/>
        <w:spacing w:after="0" w:line="287" w:lineRule="auto"/>
        <w:tabs>
          <w:tab w:leader="none" w:pos="1764" w:val="left"/>
        </w:tabs>
        <w:numPr>
          <w:ilvl w:val="1"/>
          <w:numId w:val="70"/>
        </w:numPr>
        <w:rPr>
          <w:rFonts w:ascii="Arial" w:cs="Arial" w:eastAsia="Arial" w:hAnsi="Arial"/>
          <w:sz w:val="21"/>
          <w:szCs w:val="21"/>
          <w:color w:val="auto"/>
        </w:rPr>
      </w:pPr>
      <w:r>
        <w:rPr>
          <w:rFonts w:ascii="Arial" w:cs="Arial" w:eastAsia="Arial" w:hAnsi="Arial"/>
          <w:sz w:val="21"/>
          <w:szCs w:val="21"/>
          <w:color w:val="auto"/>
        </w:rPr>
        <w:t>if the Change of Control that causes payment to be due and payable is a “change of control” as defined under Code Section 409A, such sum shall be paid to you within thirty (30) days after the Change of Control; or</w:t>
      </w:r>
    </w:p>
    <w:p>
      <w:pPr>
        <w:spacing w:after="0" w:line="191" w:lineRule="exact"/>
        <w:rPr>
          <w:rFonts w:ascii="Arial" w:cs="Arial" w:eastAsia="Arial" w:hAnsi="Arial"/>
          <w:sz w:val="21"/>
          <w:szCs w:val="21"/>
          <w:color w:val="auto"/>
        </w:rPr>
      </w:pPr>
    </w:p>
    <w:p>
      <w:pPr>
        <w:jc w:val="both"/>
        <w:ind w:right="140" w:firstLine="1304"/>
        <w:spacing w:after="0" w:line="253" w:lineRule="auto"/>
        <w:tabs>
          <w:tab w:leader="none" w:pos="1764" w:val="left"/>
        </w:tabs>
        <w:numPr>
          <w:ilvl w:val="1"/>
          <w:numId w:val="70"/>
        </w:numPr>
        <w:rPr>
          <w:rFonts w:ascii="Arial" w:cs="Arial" w:eastAsia="Arial" w:hAnsi="Arial"/>
          <w:sz w:val="22"/>
          <w:szCs w:val="22"/>
          <w:color w:val="auto"/>
        </w:rPr>
      </w:pPr>
      <w:r>
        <w:rPr>
          <w:rFonts w:ascii="Arial" w:cs="Arial" w:eastAsia="Arial" w:hAnsi="Arial"/>
          <w:sz w:val="22"/>
          <w:szCs w:val="22"/>
          <w:color w:val="auto"/>
        </w:rPr>
        <w:t>if the Change of Control that causes payment to be due and payable is not a “change of control” as defined under Code Section 409A, such sum shall be paid to you at the time determined under Section S-6(a) on the same basis as if the Standard Terms applied.</w:t>
      </w:r>
    </w:p>
    <w:p>
      <w:pPr>
        <w:spacing w:after="0" w:line="225" w:lineRule="exact"/>
        <w:rPr>
          <w:rFonts w:ascii="Arial" w:cs="Arial" w:eastAsia="Arial" w:hAnsi="Arial"/>
          <w:sz w:val="22"/>
          <w:szCs w:val="22"/>
          <w:color w:val="auto"/>
        </w:rPr>
      </w:pPr>
    </w:p>
    <w:p>
      <w:pPr>
        <w:ind w:right="20" w:firstLine="656"/>
        <w:spacing w:after="0" w:line="271" w:lineRule="auto"/>
        <w:tabs>
          <w:tab w:leader="none" w:pos="1116" w:val="left"/>
        </w:tabs>
        <w:numPr>
          <w:ilvl w:val="0"/>
          <w:numId w:val="70"/>
        </w:numPr>
        <w:rPr>
          <w:rFonts w:ascii="Arial" w:cs="Arial" w:eastAsia="Arial" w:hAnsi="Arial"/>
          <w:sz w:val="21"/>
          <w:szCs w:val="21"/>
          <w:color w:val="auto"/>
        </w:rPr>
      </w:pPr>
      <w:r>
        <w:rPr>
          <w:rFonts w:ascii="Arial" w:cs="Arial" w:eastAsia="Arial" w:hAnsi="Arial"/>
          <w:sz w:val="21"/>
          <w:szCs w:val="21"/>
          <w:color w:val="auto"/>
        </w:rPr>
        <w:t>If prior to the Change of Control the Committee has reasonably determined in good faith that you have been granted an Alternative Award pursuant to Section 15.1 of the Director Plan, the terms of Section S-6(c) will not apply. Any such Alternative Award shall not accelerate the timing of payment or otherwise violate Code Section 409A.</w:t>
      </w:r>
    </w:p>
    <w:p>
      <w:pPr>
        <w:spacing w:after="0" w:line="167" w:lineRule="exact"/>
        <w:rPr>
          <w:rFonts w:ascii="Arial" w:cs="Arial" w:eastAsia="Arial" w:hAnsi="Arial"/>
          <w:sz w:val="21"/>
          <w:szCs w:val="21"/>
          <w:color w:val="auto"/>
        </w:rPr>
      </w:pPr>
    </w:p>
    <w:p>
      <w:pPr>
        <w:jc w:val="both"/>
        <w:ind w:right="180" w:firstLine="656"/>
        <w:spacing w:after="0" w:line="271" w:lineRule="auto"/>
        <w:tabs>
          <w:tab w:leader="none" w:pos="1104" w:val="left"/>
        </w:tabs>
        <w:numPr>
          <w:ilvl w:val="0"/>
          <w:numId w:val="70"/>
        </w:numPr>
        <w:rPr>
          <w:rFonts w:ascii="Arial" w:cs="Arial" w:eastAsia="Arial" w:hAnsi="Arial"/>
          <w:sz w:val="21"/>
          <w:szCs w:val="21"/>
          <w:color w:val="auto"/>
        </w:rPr>
      </w:pPr>
      <w:r>
        <w:rPr>
          <w:rFonts w:ascii="Arial" w:cs="Arial" w:eastAsia="Arial" w:hAnsi="Arial"/>
          <w:sz w:val="21"/>
          <w:szCs w:val="21"/>
          <w:color w:val="auto"/>
        </w:rPr>
        <w:t>Notwithstanding the foregoing to the contrary, if you have elected to defer payment of your Restricted Stock Units under a deferred compensation plan offered by the Company or its affiliate, then payment of the Restricted Stock Units shall be made in accordance with the timing and terms provided under such deferred compensation plan.</w:t>
      </w:r>
    </w:p>
    <w:p>
      <w:pPr>
        <w:spacing w:after="0" w:line="161" w:lineRule="exact"/>
        <w:rPr>
          <w:sz w:val="20"/>
          <w:szCs w:val="20"/>
          <w:color w:val="auto"/>
        </w:rPr>
      </w:pPr>
    </w:p>
    <w:p>
      <w:pPr>
        <w:ind w:right="40" w:firstLine="648"/>
        <w:spacing w:after="0" w:line="262" w:lineRule="auto"/>
        <w:rPr>
          <w:sz w:val="20"/>
          <w:szCs w:val="20"/>
          <w:color w:val="auto"/>
        </w:rPr>
      </w:pPr>
      <w:r>
        <w:rPr>
          <w:rFonts w:ascii="Arial" w:cs="Arial" w:eastAsia="Arial" w:hAnsi="Arial"/>
          <w:sz w:val="21"/>
          <w:szCs w:val="21"/>
          <w:b w:val="1"/>
          <w:bCs w:val="1"/>
          <w:color w:val="auto"/>
        </w:rPr>
        <w:t xml:space="preserve">S-7. </w:t>
      </w:r>
      <w:r>
        <w:rPr>
          <w:rFonts w:ascii="Arial" w:cs="Arial" w:eastAsia="Arial" w:hAnsi="Arial"/>
          <w:sz w:val="21"/>
          <w:szCs w:val="21"/>
          <w:b w:val="1"/>
          <w:bCs w:val="1"/>
          <w:u w:val="single" w:color="auto"/>
          <w:color w:val="auto"/>
        </w:rPr>
        <w:t>Closing Price</w:t>
      </w:r>
      <w:r>
        <w:rPr>
          <w:rFonts w:ascii="Arial" w:cs="Arial" w:eastAsia="Arial" w:hAnsi="Arial"/>
          <w:sz w:val="21"/>
          <w:szCs w:val="21"/>
          <w:color w:val="auto"/>
        </w:rPr>
        <w:t>. For purposes of the Agreement, Closing Price will mean the closing price of a Share as reported in</w:t>
      </w:r>
      <w:r>
        <w:rPr>
          <w:rFonts w:ascii="Arial" w:cs="Arial" w:eastAsia="Arial" w:hAnsi="Arial"/>
          <w:sz w:val="21"/>
          <w:szCs w:val="21"/>
          <w:b w:val="1"/>
          <w:bCs w:val="1"/>
          <w:color w:val="auto"/>
        </w:rPr>
        <w:t xml:space="preserve"> </w:t>
      </w:r>
      <w:r>
        <w:rPr>
          <w:rFonts w:ascii="Arial" w:cs="Arial" w:eastAsia="Arial" w:hAnsi="Arial"/>
          <w:sz w:val="21"/>
          <w:szCs w:val="21"/>
          <w:color w:val="auto"/>
        </w:rPr>
        <w:t>the principal consolidated transaction reporting system for the National Association of Securities Dealers Automated Quotations (or on such other recognized quotation system on which the trading prices of the Shares are quoted at the relevant time), or in the event that there are no Share transactions reported on such tape or other system on the applicable date, the closing price on the immediately preceding date on which Share transactions were reported. Closing Price shall constitute “Fair Market Value” under the Director Plan for all purposes related to your Award.</w:t>
      </w:r>
    </w:p>
    <w:p>
      <w:pPr>
        <w:spacing w:after="0" w:line="173" w:lineRule="exact"/>
        <w:rPr>
          <w:sz w:val="20"/>
          <w:szCs w:val="20"/>
          <w:color w:val="auto"/>
        </w:rPr>
      </w:pPr>
    </w:p>
    <w:p>
      <w:pPr>
        <w:ind w:right="60" w:firstLine="648"/>
        <w:spacing w:after="0" w:line="264" w:lineRule="auto"/>
        <w:rPr>
          <w:sz w:val="20"/>
          <w:szCs w:val="20"/>
          <w:color w:val="auto"/>
        </w:rPr>
      </w:pPr>
      <w:r>
        <w:rPr>
          <w:rFonts w:ascii="Arial" w:cs="Arial" w:eastAsia="Arial" w:hAnsi="Arial"/>
          <w:sz w:val="21"/>
          <w:szCs w:val="21"/>
          <w:b w:val="1"/>
          <w:bCs w:val="1"/>
          <w:color w:val="auto"/>
        </w:rPr>
        <w:t xml:space="preserve">S-8. </w:t>
      </w:r>
      <w:r>
        <w:rPr>
          <w:rFonts w:ascii="Arial" w:cs="Arial" w:eastAsia="Arial" w:hAnsi="Arial"/>
          <w:sz w:val="21"/>
          <w:szCs w:val="21"/>
          <w:b w:val="1"/>
          <w:bCs w:val="1"/>
          <w:u w:val="single" w:color="auto"/>
          <w:color w:val="auto"/>
        </w:rPr>
        <w:t>Governing Law; Choice of Forum</w:t>
      </w:r>
      <w:r>
        <w:rPr>
          <w:rFonts w:ascii="Arial" w:cs="Arial" w:eastAsia="Arial" w:hAnsi="Arial"/>
          <w:sz w:val="21"/>
          <w:szCs w:val="21"/>
          <w:color w:val="auto"/>
        </w:rPr>
        <w:t>. The Agreement will be construed in accordance with and governed by the</w:t>
      </w:r>
      <w:r>
        <w:rPr>
          <w:rFonts w:ascii="Arial" w:cs="Arial" w:eastAsia="Arial" w:hAnsi="Arial"/>
          <w:sz w:val="21"/>
          <w:szCs w:val="21"/>
          <w:b w:val="1"/>
          <w:bCs w:val="1"/>
          <w:color w:val="auto"/>
        </w:rPr>
        <w:t xml:space="preserve"> </w:t>
      </w:r>
      <w:r>
        <w:rPr>
          <w:rFonts w:ascii="Arial" w:cs="Arial" w:eastAsia="Arial" w:hAnsi="Arial"/>
          <w:sz w:val="21"/>
          <w:szCs w:val="21"/>
          <w:color w:val="auto"/>
        </w:rPr>
        <w:t>laws of the State of Delaware, regardless of the law that might be applied under principles of conflict of laws. Except as otherwise provided in the Company’s Amended and Restated Certificate of Incorporation or Amended and Restated Bylaws, any action to enforce the Agreement or any action otherwise regarding the Agreement must be brought in a court in the State of New York to which jurisdiction the Company and you consent.</w:t>
      </w:r>
    </w:p>
    <w:p>
      <w:pPr>
        <w:spacing w:after="0" w:line="17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b w:val="1"/>
          <w:bCs w:val="1"/>
          <w:color w:val="auto"/>
        </w:rPr>
        <w:t>S-9.</w:t>
      </w:r>
      <w:r>
        <w:rPr>
          <w:sz w:val="20"/>
          <w:szCs w:val="20"/>
          <w:color w:val="auto"/>
        </w:rPr>
        <w:tab/>
      </w:r>
      <w:r>
        <w:rPr>
          <w:rFonts w:ascii="Arial" w:cs="Arial" w:eastAsia="Arial" w:hAnsi="Arial"/>
          <w:sz w:val="19"/>
          <w:szCs w:val="19"/>
          <w:b w:val="1"/>
          <w:bCs w:val="1"/>
          <w:u w:val="single" w:color="auto"/>
          <w:color w:val="auto"/>
        </w:rPr>
        <w:t>Miscellaneous</w:t>
      </w:r>
      <w:r>
        <w:rPr>
          <w:rFonts w:ascii="Arial" w:cs="Arial" w:eastAsia="Arial" w:hAnsi="Arial"/>
          <w:sz w:val="19"/>
          <w:szCs w:val="19"/>
          <w:color w:val="auto"/>
        </w:rPr>
        <w:t>.</w:t>
      </w:r>
    </w:p>
    <w:p>
      <w:pPr>
        <w:spacing w:after="0" w:line="226" w:lineRule="exact"/>
        <w:rPr>
          <w:sz w:val="20"/>
          <w:szCs w:val="20"/>
          <w:color w:val="auto"/>
        </w:rPr>
      </w:pPr>
    </w:p>
    <w:p>
      <w:pPr>
        <w:jc w:val="both"/>
        <w:ind w:firstLine="656"/>
        <w:spacing w:after="0" w:line="312" w:lineRule="auto"/>
        <w:tabs>
          <w:tab w:leader="none" w:pos="1104" w:val="left"/>
        </w:tabs>
        <w:numPr>
          <w:ilvl w:val="0"/>
          <w:numId w:val="71"/>
        </w:numPr>
        <w:rPr>
          <w:rFonts w:ascii="Arial" w:cs="Arial" w:eastAsia="Arial" w:hAnsi="Arial"/>
          <w:sz w:val="19"/>
          <w:szCs w:val="19"/>
          <w:color w:val="auto"/>
        </w:rPr>
      </w:pPr>
      <w:r>
        <w:rPr>
          <w:rFonts w:ascii="Arial" w:cs="Arial" w:eastAsia="Arial" w:hAnsi="Arial"/>
          <w:sz w:val="19"/>
          <w:szCs w:val="19"/>
          <w:color w:val="auto"/>
        </w:rPr>
        <w:t>For purposes of the Agreement, “Committee” includes any direct or indirect delegate of the Committee as defined in the Director Plan and (unless otherwise indicated) the word “Section” refers to a Section in the Agreement. Any other capitalized word used in the Agreement and not defined in the Agreement, including each form of that word, is defined in the Director Plan.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348" w:right="379" w:bottom="1440" w:gutter="0" w:footer="0" w:header="0"/>
        </w:sectPr>
      </w:pPr>
    </w:p>
    <w:bookmarkStart w:id="89" w:name="page90"/>
    <w:bookmarkEnd w:id="89"/>
    <w:p>
      <w:pPr>
        <w:ind w:left="-656" w:right="40" w:firstLine="656"/>
        <w:spacing w:after="0" w:line="261" w:lineRule="auto"/>
        <w:tabs>
          <w:tab w:leader="none" w:pos="448" w:val="left"/>
        </w:tabs>
        <w:numPr>
          <w:ilvl w:val="0"/>
          <w:numId w:val="72"/>
        </w:numPr>
        <w:rPr>
          <w:rFonts w:ascii="Arial" w:cs="Arial" w:eastAsia="Arial" w:hAnsi="Arial"/>
          <w:sz w:val="21"/>
          <w:szCs w:val="21"/>
          <w:color w:val="auto"/>
        </w:rPr>
      </w:pPr>
      <w:r>
        <w:rPr>
          <w:rFonts w:ascii="Arial" w:cs="Arial" w:eastAsia="Arial" w:hAnsi="Arial"/>
          <w:sz w:val="21"/>
          <w:szCs w:val="21"/>
          <w:color w:val="auto"/>
        </w:rPr>
        <w:t>Any determination or interpretation by the Committee pursuant to the Agreement will be final and conclusive. In the event of a conflict between any term of the Agreement and the terms of the Director Plan, the terms of the Director Plan control. The Agreement and the Director Plan represent the entire agreement between you and the Company, and you and all Affiliates, regarding your Award. No promises, terms, or agreements of any kind regarding your Award that are not set forth, or referred to, in the Agreement or in the Director Plan are part of the Agreement. In the event any provision of the Agreement is held illegal or invalid, the rest of the Agreement will remain enforceable.</w:t>
      </w:r>
    </w:p>
    <w:p>
      <w:pPr>
        <w:spacing w:after="0" w:line="179" w:lineRule="exact"/>
        <w:rPr>
          <w:rFonts w:ascii="Arial" w:cs="Arial" w:eastAsia="Arial" w:hAnsi="Arial"/>
          <w:sz w:val="21"/>
          <w:szCs w:val="21"/>
          <w:color w:val="auto"/>
        </w:rPr>
      </w:pPr>
    </w:p>
    <w:p>
      <w:pPr>
        <w:ind w:left="-656" w:firstLine="656"/>
        <w:spacing w:after="0" w:line="263" w:lineRule="auto"/>
        <w:tabs>
          <w:tab w:leader="none" w:pos="4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Your Award is not Shares and do not give you the rights of a holder of Shares. You will not be credited with anything additional with respect to your Award on account of any dividend paid on Shares.</w:t>
      </w:r>
    </w:p>
    <w:p>
      <w:pPr>
        <w:spacing w:after="0" w:line="174" w:lineRule="exact"/>
        <w:rPr>
          <w:rFonts w:ascii="Arial" w:cs="Arial" w:eastAsia="Arial" w:hAnsi="Arial"/>
          <w:sz w:val="22"/>
          <w:szCs w:val="22"/>
          <w:color w:val="auto"/>
        </w:rPr>
      </w:pPr>
    </w:p>
    <w:p>
      <w:pPr>
        <w:ind w:left="-656" w:right="20" w:firstLine="656"/>
        <w:spacing w:after="0" w:line="290" w:lineRule="auto"/>
        <w:tabs>
          <w:tab w:leader="none" w:pos="456"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Committee may, in its discretion, settle an Award otherwise payable in Shares instead in the form of cash, to the extent settlement in Shares is prohibited by law or would require you or the Company to obtain the approval of any governmental and/or regulatory body. The Committee may, in its discretion, require you at any time to immediately sell Shares you acquire under the Agreement, in which case, the Company shall have the authority to issue sales instructions in relation to such Shares on your behalf. If the Committee determines that applicable law requires that you receive fewer Shares or a lesser amount of cash than that otherwise determined under the terms of the Agreement, you will receive that number of Shares or amount of cash the Committee determines is due under applicable law. No Shares will be issued or no cash will be paid if that issuance or payment would result in a violation of applicable law, including United States securities laws and any other applicable securities laws.</w:t>
      </w:r>
    </w:p>
    <w:p>
      <w:pPr>
        <w:spacing w:after="0" w:line="155" w:lineRule="exact"/>
        <w:rPr>
          <w:rFonts w:ascii="Arial" w:cs="Arial" w:eastAsia="Arial" w:hAnsi="Arial"/>
          <w:sz w:val="19"/>
          <w:szCs w:val="19"/>
          <w:color w:val="auto"/>
        </w:rPr>
      </w:pPr>
    </w:p>
    <w:p>
      <w:pPr>
        <w:ind w:left="-656" w:right="260" w:firstLine="656"/>
        <w:spacing w:after="0" w:line="247" w:lineRule="auto"/>
        <w:tabs>
          <w:tab w:leader="none" w:pos="444"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issuance of Shares or payment of cash pursuant to your Award is subject to all applicable laws, rules and regulations, and to any approvals by any governmental agencies or national securities exchanges as may be required. The Company’s grant of the Award to you is not intended to be a public offering of securities outside the United States, and the Company has not submitted any registration statement, prospectus, or other securities filing with authorities outside the United States, except where required by law. Your Award has not been, and will not be, reviewed by or registered with any securities authorities outside the United States</w:t>
      </w:r>
    </w:p>
    <w:p>
      <w:pPr>
        <w:spacing w:after="0" w:line="192" w:lineRule="exact"/>
        <w:rPr>
          <w:rFonts w:ascii="Arial" w:cs="Arial" w:eastAsia="Arial" w:hAnsi="Arial"/>
          <w:sz w:val="22"/>
          <w:szCs w:val="22"/>
          <w:color w:val="auto"/>
        </w:rPr>
      </w:pPr>
    </w:p>
    <w:p>
      <w:pPr>
        <w:ind w:left="-656" w:right="40" w:firstLine="656"/>
        <w:spacing w:after="0" w:line="253" w:lineRule="auto"/>
        <w:tabs>
          <w:tab w:leader="none" w:pos="416" w:val="left"/>
        </w:tabs>
        <w:numPr>
          <w:ilvl w:val="0"/>
          <w:numId w:val="72"/>
        </w:numPr>
        <w:rPr>
          <w:rFonts w:ascii="Arial" w:cs="Arial" w:eastAsia="Arial" w:hAnsi="Arial"/>
          <w:sz w:val="22"/>
          <w:szCs w:val="22"/>
          <w:color w:val="auto"/>
        </w:rPr>
      </w:pPr>
      <w:r>
        <w:rPr>
          <w:rFonts w:ascii="Arial" w:cs="Arial" w:eastAsia="Arial" w:hAnsi="Arial"/>
          <w:sz w:val="22"/>
          <w:szCs w:val="22"/>
          <w:color w:val="auto"/>
        </w:rPr>
        <w:t>You agree to repatriate all payments under the Agreement or cash attributable to Shares you acquire under the Agreement to the extent required under any applicable legal requirements, such as foreign exchange rules and regulations in your country of residence or country of employment.</w:t>
      </w:r>
    </w:p>
    <w:p>
      <w:pPr>
        <w:spacing w:after="0" w:line="185" w:lineRule="exact"/>
        <w:rPr>
          <w:rFonts w:ascii="Arial" w:cs="Arial" w:eastAsia="Arial" w:hAnsi="Arial"/>
          <w:sz w:val="22"/>
          <w:szCs w:val="22"/>
          <w:color w:val="auto"/>
        </w:rPr>
      </w:pPr>
    </w:p>
    <w:p>
      <w:pPr>
        <w:ind w:left="464" w:hanging="464"/>
        <w:spacing w:after="0"/>
        <w:tabs>
          <w:tab w:leader="none" w:pos="464" w:val="left"/>
        </w:tabs>
        <w:numPr>
          <w:ilvl w:val="0"/>
          <w:numId w:val="72"/>
        </w:numPr>
        <w:rPr>
          <w:rFonts w:ascii="Arial" w:cs="Arial" w:eastAsia="Arial" w:hAnsi="Arial"/>
          <w:sz w:val="22"/>
          <w:szCs w:val="22"/>
          <w:color w:val="auto"/>
        </w:rPr>
      </w:pPr>
      <w:r>
        <w:rPr>
          <w:rFonts w:ascii="Arial" w:cs="Arial" w:eastAsia="Arial" w:hAnsi="Arial"/>
          <w:sz w:val="22"/>
          <w:szCs w:val="22"/>
          <w:color w:val="auto"/>
        </w:rPr>
        <w:t>Your Award is subject to any Company compensation recoupment policy in effect from time to time.</w:t>
      </w:r>
    </w:p>
    <w:p>
      <w:pPr>
        <w:spacing w:after="0" w:line="219" w:lineRule="exact"/>
        <w:rPr>
          <w:rFonts w:ascii="Arial" w:cs="Arial" w:eastAsia="Arial" w:hAnsi="Arial"/>
          <w:sz w:val="22"/>
          <w:szCs w:val="22"/>
          <w:color w:val="auto"/>
        </w:rPr>
      </w:pPr>
    </w:p>
    <w:p>
      <w:pPr>
        <w:ind w:left="-656" w:right="80" w:firstLine="656"/>
        <w:spacing w:after="0" w:line="265" w:lineRule="auto"/>
        <w:tabs>
          <w:tab w:leader="none" w:pos="452" w:val="left"/>
        </w:tabs>
        <w:numPr>
          <w:ilvl w:val="0"/>
          <w:numId w:val="72"/>
        </w:numPr>
        <w:rPr>
          <w:rFonts w:ascii="Arial" w:cs="Arial" w:eastAsia="Arial" w:hAnsi="Arial"/>
          <w:sz w:val="21"/>
          <w:szCs w:val="21"/>
          <w:color w:val="auto"/>
        </w:rPr>
      </w:pPr>
      <w:r>
        <w:rPr>
          <w:rFonts w:ascii="Arial" w:cs="Arial" w:eastAsia="Arial" w:hAnsi="Arial"/>
          <w:sz w:val="21"/>
          <w:szCs w:val="21"/>
          <w:color w:val="auto"/>
        </w:rPr>
        <w:t>You acknowledge that the ultimate liability for all such taxes is and remains your responsibility (or that of your beneficiary or estate) and that neither the Company nor any Affiliate makes any representations or undertakings regarding the treatment of any tax withholding in connection with any aspect of any of your Award, including the grant or payment on account of the Award, and that neither the Company nor any Affiliate commits to structure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64"/>
          </w:cols>
          <w:pgMar w:left="976" w:top="348" w:right="359" w:bottom="1440" w:gutter="0" w:footer="0" w:header="0"/>
        </w:sectPr>
      </w:pPr>
    </w:p>
    <w:bookmarkStart w:id="90" w:name="page91"/>
    <w:bookmarkEnd w:id="90"/>
    <w:p>
      <w:pPr>
        <w:spacing w:after="0"/>
        <w:rPr>
          <w:sz w:val="20"/>
          <w:szCs w:val="20"/>
          <w:color w:val="auto"/>
        </w:rPr>
      </w:pPr>
      <w:r>
        <w:rPr>
          <w:rFonts w:ascii="Arial" w:cs="Arial" w:eastAsia="Arial" w:hAnsi="Arial"/>
          <w:sz w:val="19"/>
          <w:szCs w:val="19"/>
          <w:color w:val="auto"/>
        </w:rPr>
        <w:t>terms of the grant of or any aspect of any Award to reduce or eliminate your (or you estate’s or any heir’s) liability for such tax.</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You agree to take any and all actions as may be required to comply with your personal tax obligations.</w:t>
      </w:r>
    </w:p>
    <w:p>
      <w:pPr>
        <w:spacing w:after="0" w:line="202" w:lineRule="exact"/>
        <w:rPr>
          <w:sz w:val="20"/>
          <w:szCs w:val="20"/>
          <w:color w:val="auto"/>
        </w:rPr>
      </w:pPr>
    </w:p>
    <w:p>
      <w:pPr>
        <w:ind w:right="660" w:firstLine="656"/>
        <w:spacing w:after="0" w:line="271" w:lineRule="auto"/>
        <w:tabs>
          <w:tab w:leader="none" w:pos="1060" w:val="left"/>
        </w:tabs>
        <w:numPr>
          <w:ilvl w:val="0"/>
          <w:numId w:val="73"/>
        </w:numPr>
        <w:rPr>
          <w:rFonts w:ascii="Arial" w:cs="Arial" w:eastAsia="Arial" w:hAnsi="Arial"/>
          <w:sz w:val="21"/>
          <w:szCs w:val="21"/>
          <w:color w:val="auto"/>
        </w:rPr>
      </w:pPr>
      <w:r>
        <w:rPr>
          <w:rFonts w:ascii="Arial" w:cs="Arial" w:eastAsia="Arial" w:hAnsi="Arial"/>
          <w:sz w:val="21"/>
          <w:szCs w:val="21"/>
          <w:color w:val="auto"/>
        </w:rPr>
        <w:t>You agree that the Agreement and any other documents related to the Director Plan or your Award are to be presented to you in English, except where prohibited by law. If any such document is translated into a language other than English, the English version will control, to the extent permitted by applicable law.</w:t>
      </w:r>
    </w:p>
    <w:p>
      <w:pPr>
        <w:spacing w:after="0" w:line="167" w:lineRule="exact"/>
        <w:rPr>
          <w:rFonts w:ascii="Arial" w:cs="Arial" w:eastAsia="Arial" w:hAnsi="Arial"/>
          <w:sz w:val="21"/>
          <w:szCs w:val="21"/>
          <w:color w:val="auto"/>
        </w:rPr>
      </w:pPr>
    </w:p>
    <w:p>
      <w:pPr>
        <w:ind w:firstLine="656"/>
        <w:spacing w:after="0" w:line="250" w:lineRule="auto"/>
        <w:tabs>
          <w:tab w:leader="none" w:pos="1064"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collection, processing and transfer of your personal data (collectively “Data Handling”) is necessary for the Company’s administration of the Director Plan, the Agreement and your Award, and such Data Handling shall be done consistent with applicable law, the data privacy consents, if any, signed by you, and/or your local company’s governing policies with respect to data privacy.</w:t>
      </w:r>
    </w:p>
    <w:p>
      <w:pPr>
        <w:spacing w:after="0" w:line="187" w:lineRule="exact"/>
        <w:rPr>
          <w:rFonts w:ascii="Arial" w:cs="Arial" w:eastAsia="Arial" w:hAnsi="Arial"/>
          <w:sz w:val="22"/>
          <w:szCs w:val="22"/>
          <w:color w:val="auto"/>
        </w:rPr>
      </w:pPr>
    </w:p>
    <w:p>
      <w:pPr>
        <w:ind w:left="1120" w:hanging="464"/>
        <w:spacing w:after="0"/>
        <w:tabs>
          <w:tab w:leader="none" w:pos="1120" w:val="left"/>
        </w:tabs>
        <w:numPr>
          <w:ilvl w:val="0"/>
          <w:numId w:val="73"/>
        </w:numPr>
        <w:rPr>
          <w:rFonts w:ascii="Arial" w:cs="Arial" w:eastAsia="Arial" w:hAnsi="Arial"/>
          <w:sz w:val="22"/>
          <w:szCs w:val="22"/>
          <w:color w:val="auto"/>
        </w:rPr>
      </w:pPr>
      <w:r>
        <w:rPr>
          <w:rFonts w:ascii="Arial" w:cs="Arial" w:eastAsia="Arial" w:hAnsi="Arial"/>
          <w:sz w:val="22"/>
          <w:szCs w:val="22"/>
          <w:color w:val="auto"/>
        </w:rPr>
        <w:t>In accepting the Agreement, you acknowledge, to the extent allowed by law, that:</w:t>
      </w:r>
    </w:p>
    <w:p>
      <w:pPr>
        <w:spacing w:after="0" w:line="219" w:lineRule="exact"/>
        <w:rPr>
          <w:rFonts w:ascii="Arial" w:cs="Arial" w:eastAsia="Arial" w:hAnsi="Arial"/>
          <w:sz w:val="22"/>
          <w:szCs w:val="22"/>
          <w:color w:val="auto"/>
        </w:rPr>
      </w:pPr>
    </w:p>
    <w:p>
      <w:pPr>
        <w:ind w:left="1780" w:hanging="476"/>
        <w:spacing w:after="0"/>
        <w:tabs>
          <w:tab w:leader="none" w:pos="1780" w:val="left"/>
        </w:tabs>
        <w:numPr>
          <w:ilvl w:val="1"/>
          <w:numId w:val="73"/>
        </w:numPr>
        <w:rPr>
          <w:rFonts w:ascii="Arial" w:cs="Arial" w:eastAsia="Arial" w:hAnsi="Arial"/>
          <w:sz w:val="22"/>
          <w:szCs w:val="22"/>
          <w:color w:val="auto"/>
        </w:rPr>
      </w:pPr>
      <w:r>
        <w:rPr>
          <w:rFonts w:ascii="Arial" w:cs="Arial" w:eastAsia="Arial" w:hAnsi="Arial"/>
          <w:sz w:val="22"/>
          <w:szCs w:val="22"/>
          <w:color w:val="auto"/>
        </w:rPr>
        <w:t>the future Closing Price of Shares is unknown and cannot be predicted with certainty; and</w:t>
      </w:r>
    </w:p>
    <w:p>
      <w:pPr>
        <w:spacing w:after="0" w:line="219" w:lineRule="exact"/>
        <w:rPr>
          <w:rFonts w:ascii="Arial" w:cs="Arial" w:eastAsia="Arial" w:hAnsi="Arial"/>
          <w:sz w:val="22"/>
          <w:szCs w:val="22"/>
          <w:color w:val="auto"/>
        </w:rPr>
      </w:pPr>
    </w:p>
    <w:p>
      <w:pPr>
        <w:ind w:right="180" w:firstLine="1304"/>
        <w:spacing w:after="0" w:line="253" w:lineRule="auto"/>
        <w:tabs>
          <w:tab w:leader="none" w:pos="1764" w:val="left"/>
        </w:tabs>
        <w:numPr>
          <w:ilvl w:val="1"/>
          <w:numId w:val="73"/>
        </w:numPr>
        <w:rPr>
          <w:rFonts w:ascii="Arial" w:cs="Arial" w:eastAsia="Arial" w:hAnsi="Arial"/>
          <w:sz w:val="22"/>
          <w:szCs w:val="22"/>
          <w:color w:val="auto"/>
        </w:rPr>
      </w:pPr>
      <w:r>
        <w:rPr>
          <w:rFonts w:ascii="Arial" w:cs="Arial" w:eastAsia="Arial" w:hAnsi="Arial"/>
          <w:sz w:val="22"/>
          <w:szCs w:val="22"/>
          <w:color w:val="auto"/>
        </w:rPr>
        <w:t>to the fullest extent permitted by law, no claim or entitlement to compensation or damages arises from termination of the Award or diminution in value of the Award and you irrevocably release the Company and each Affiliate from any such claim that may arise.</w:t>
      </w:r>
    </w:p>
    <w:p>
      <w:pPr>
        <w:spacing w:after="0" w:line="185" w:lineRule="exact"/>
        <w:rPr>
          <w:rFonts w:ascii="Arial" w:cs="Arial" w:eastAsia="Arial" w:hAnsi="Arial"/>
          <w:sz w:val="22"/>
          <w:szCs w:val="22"/>
          <w:color w:val="auto"/>
        </w:rPr>
      </w:pPr>
    </w:p>
    <w:p>
      <w:pPr>
        <w:jc w:val="both"/>
        <w:ind w:right="20" w:firstLine="656"/>
        <w:spacing w:after="0" w:line="302" w:lineRule="auto"/>
        <w:tabs>
          <w:tab w:leader="none" w:pos="1064"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Company may impose other requirements as a condition of your Award, to the extent the Committee determines, in its discretion, that such other requirements are necessary or advisable in order to comply with law or facilitate the operation or administration of the Agreement, your Award, or the Director Plan. To the extent the Company determines in its discretion that you are required to execute any document or undertaking for this purpose, you agree to do so.</w:t>
      </w:r>
    </w:p>
    <w:p>
      <w:pPr>
        <w:spacing w:after="0" w:line="136" w:lineRule="exact"/>
        <w:rPr>
          <w:sz w:val="20"/>
          <w:szCs w:val="20"/>
          <w:color w:val="auto"/>
        </w:rPr>
      </w:pPr>
    </w:p>
    <w:p>
      <w:pPr>
        <w:ind w:firstLine="648"/>
        <w:spacing w:after="0" w:line="267" w:lineRule="auto"/>
        <w:rPr>
          <w:sz w:val="20"/>
          <w:szCs w:val="20"/>
          <w:color w:val="auto"/>
        </w:rPr>
      </w:pPr>
      <w:r>
        <w:rPr>
          <w:rFonts w:ascii="Arial" w:cs="Arial" w:eastAsia="Arial" w:hAnsi="Arial"/>
          <w:sz w:val="21"/>
          <w:szCs w:val="21"/>
          <w:b w:val="1"/>
          <w:bCs w:val="1"/>
          <w:color w:val="auto"/>
        </w:rPr>
        <w:t xml:space="preserve">S-10. </w:t>
      </w:r>
      <w:r>
        <w:rPr>
          <w:rFonts w:ascii="Arial" w:cs="Arial" w:eastAsia="Arial" w:hAnsi="Arial"/>
          <w:sz w:val="21"/>
          <w:szCs w:val="21"/>
          <w:b w:val="1"/>
          <w:bCs w:val="1"/>
          <w:u w:val="single" w:color="auto"/>
          <w:color w:val="auto"/>
        </w:rPr>
        <w:t>Amendments</w:t>
      </w:r>
      <w:r>
        <w:rPr>
          <w:rFonts w:ascii="Arial" w:cs="Arial" w:eastAsia="Arial" w:hAnsi="Arial"/>
          <w:sz w:val="21"/>
          <w:szCs w:val="21"/>
          <w:color w:val="auto"/>
        </w:rPr>
        <w:t>. The Committee has the exclusive right to amend the Agreement as long as the amendment does</w:t>
      </w:r>
      <w:r>
        <w:rPr>
          <w:rFonts w:ascii="Arial" w:cs="Arial" w:eastAsia="Arial" w:hAnsi="Arial"/>
          <w:sz w:val="21"/>
          <w:szCs w:val="21"/>
          <w:b w:val="1"/>
          <w:bCs w:val="1"/>
          <w:color w:val="auto"/>
        </w:rPr>
        <w:t xml:space="preserve"> </w:t>
      </w:r>
      <w:r>
        <w:rPr>
          <w:rFonts w:ascii="Arial" w:cs="Arial" w:eastAsia="Arial" w:hAnsi="Arial"/>
          <w:sz w:val="21"/>
          <w:szCs w:val="21"/>
          <w:color w:val="auto"/>
        </w:rPr>
        <w:t>not adversely affect any of your previously-granted Awards in any material way (without your written consent) and is otherwise consistent with the Director Plan. The Company will give written notice to you (or, in the event of your death, to your beneficiary or estate) of any amendment as promptly as practicable after its adoption.</w:t>
      </w:r>
    </w:p>
    <w:p>
      <w:pPr>
        <w:spacing w:after="0" w:line="167"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b w:val="1"/>
          <w:bCs w:val="1"/>
          <w:color w:val="auto"/>
        </w:rPr>
        <w:t xml:space="preserve">S-11. </w:t>
      </w:r>
      <w:r>
        <w:rPr>
          <w:rFonts w:ascii="Arial" w:cs="Arial" w:eastAsia="Arial" w:hAnsi="Arial"/>
          <w:sz w:val="22"/>
          <w:szCs w:val="22"/>
          <w:b w:val="1"/>
          <w:bCs w:val="1"/>
          <w:u w:val="single" w:color="auto"/>
          <w:color w:val="auto"/>
        </w:rPr>
        <w:t>Deadline to Accept</w:t>
      </w:r>
      <w:r>
        <w:rPr>
          <w:rFonts w:ascii="Arial" w:cs="Arial" w:eastAsia="Arial" w:hAnsi="Arial"/>
          <w:sz w:val="22"/>
          <w:szCs w:val="22"/>
          <w:color w:val="auto"/>
        </w:rPr>
        <w:t>. If you wish to accept the terms of the Agreement you must do so by the electronic means</w:t>
      </w:r>
      <w:r>
        <w:rPr>
          <w:rFonts w:ascii="Arial" w:cs="Arial" w:eastAsia="Arial" w:hAnsi="Arial"/>
          <w:sz w:val="22"/>
          <w:szCs w:val="22"/>
          <w:b w:val="1"/>
          <w:bCs w:val="1"/>
          <w:color w:val="auto"/>
        </w:rPr>
        <w:t xml:space="preserve"> </w:t>
      </w:r>
      <w:r>
        <w:rPr>
          <w:rFonts w:ascii="Arial" w:cs="Arial" w:eastAsia="Arial" w:hAnsi="Arial"/>
          <w:sz w:val="22"/>
          <w:szCs w:val="22"/>
          <w:color w:val="auto"/>
        </w:rPr>
        <w:t>made available to you within sixty (60) days after receiving the Agreement. The Committee may, in its sole discretion, extend the time within which you may accept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348" w:right="359" w:bottom="1440" w:gutter="0" w:footer="0" w:header="0"/>
        </w:sectPr>
      </w:pPr>
    </w:p>
    <w:bookmarkStart w:id="91" w:name="page92"/>
    <w:bookmarkEnd w:id="91"/>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Eric T. Steigerwalt, certify that:</w:t>
      </w:r>
    </w:p>
    <w:p>
      <w:pPr>
        <w:spacing w:after="0" w:line="171" w:lineRule="exact"/>
        <w:rPr>
          <w:sz w:val="20"/>
          <w:szCs w:val="20"/>
          <w:color w:val="auto"/>
        </w:rPr>
      </w:pPr>
    </w:p>
    <w:p>
      <w:pPr>
        <w:ind w:left="180" w:hanging="172"/>
        <w:spacing w:after="0"/>
        <w:tabs>
          <w:tab w:leader="none" w:pos="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firstLine="8"/>
        <w:spacing w:after="0" w:line="308" w:lineRule="auto"/>
        <w:tabs>
          <w:tab w:leader="none" w:pos="192"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306" w:lineRule="exact"/>
        <w:rPr>
          <w:sz w:val="20"/>
          <w:szCs w:val="20"/>
          <w:color w:val="auto"/>
        </w:rPr>
      </w:pPr>
    </w:p>
    <w:p>
      <w:pPr>
        <w:jc w:val="center"/>
        <w:ind w:left="672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31750</wp:posOffset>
            </wp:positionV>
            <wp:extent cx="28632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57" w:lineRule="exact"/>
        <w:rPr>
          <w:sz w:val="20"/>
          <w:szCs w:val="20"/>
          <w:color w:val="auto"/>
        </w:rPr>
      </w:pPr>
    </w:p>
    <w:p>
      <w:pPr>
        <w:jc w:val="center"/>
        <w:ind w:left="6720"/>
        <w:spacing w:after="0"/>
        <w:rPr>
          <w:sz w:val="20"/>
          <w:szCs w:val="20"/>
          <w:color w:val="auto"/>
        </w:rPr>
      </w:pPr>
      <w:r>
        <w:rPr>
          <w:rFonts w:ascii="Arial" w:cs="Arial" w:eastAsia="Arial" w:hAnsi="Arial"/>
          <w:sz w:val="18"/>
          <w:szCs w:val="18"/>
          <w:color w:val="auto"/>
        </w:rPr>
        <w:t>Eric T. Steigerwalt</w:t>
      </w:r>
    </w:p>
    <w:p>
      <w:pPr>
        <w:spacing w:after="0" w:line="63" w:lineRule="exact"/>
        <w:rPr>
          <w:sz w:val="20"/>
          <w:szCs w:val="20"/>
          <w:color w:val="auto"/>
        </w:rPr>
      </w:pPr>
    </w:p>
    <w:p>
      <w:pPr>
        <w:jc w:val="center"/>
        <w:ind w:left="67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92" w:name="page93"/>
    <w:bookmarkEnd w:id="92"/>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Edward A. Spehar, certify that:</w:t>
      </w:r>
    </w:p>
    <w:p>
      <w:pPr>
        <w:spacing w:after="0" w:line="171" w:lineRule="exact"/>
        <w:rPr>
          <w:sz w:val="20"/>
          <w:szCs w:val="20"/>
          <w:color w:val="auto"/>
        </w:rPr>
      </w:pPr>
    </w:p>
    <w:p>
      <w:pPr>
        <w:ind w:left="180" w:hanging="172"/>
        <w:spacing w:after="0"/>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firstLine="8"/>
        <w:spacing w:after="0" w:line="308" w:lineRule="auto"/>
        <w:tabs>
          <w:tab w:leader="none" w:pos="192"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306" w:lineRule="exact"/>
        <w:rPr>
          <w:sz w:val="20"/>
          <w:szCs w:val="20"/>
          <w:color w:val="auto"/>
        </w:rPr>
      </w:pPr>
    </w:p>
    <w:p>
      <w:pPr>
        <w:jc w:val="center"/>
        <w:ind w:left="622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31750</wp:posOffset>
            </wp:positionV>
            <wp:extent cx="31718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57" w:lineRule="exact"/>
        <w:rPr>
          <w:sz w:val="20"/>
          <w:szCs w:val="20"/>
          <w:color w:val="auto"/>
        </w:rPr>
      </w:pPr>
    </w:p>
    <w:p>
      <w:pPr>
        <w:jc w:val="center"/>
        <w:ind w:left="6220"/>
        <w:spacing w:after="0"/>
        <w:rPr>
          <w:sz w:val="20"/>
          <w:szCs w:val="20"/>
          <w:color w:val="auto"/>
        </w:rPr>
      </w:pPr>
      <w:r>
        <w:rPr>
          <w:rFonts w:ascii="Arial" w:cs="Arial" w:eastAsia="Arial" w:hAnsi="Arial"/>
          <w:sz w:val="18"/>
          <w:szCs w:val="18"/>
          <w:color w:val="auto"/>
        </w:rPr>
        <w:t>Edward A. Spehar</w:t>
      </w:r>
    </w:p>
    <w:p>
      <w:pPr>
        <w:spacing w:after="0" w:line="63" w:lineRule="exact"/>
        <w:rPr>
          <w:sz w:val="20"/>
          <w:szCs w:val="20"/>
          <w:color w:val="auto"/>
        </w:rPr>
      </w:pPr>
    </w:p>
    <w:p>
      <w:pPr>
        <w:jc w:val="center"/>
        <w:ind w:left="62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1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SECTION 906 CERTIFICATION</w:t>
      </w:r>
    </w:p>
    <w:p>
      <w:pPr>
        <w:spacing w:after="0" w:line="14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CERTIFICATION PURSUANT TO SECTION 1350 OF CHAPTER 63 OF TITLE 18 OF THE UNITED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STATES CODE</w:t>
      </w:r>
    </w:p>
    <w:p>
      <w:pPr>
        <w:spacing w:after="0" w:line="13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 Eric T. Steigerwalt, certify that, to my knowledge, (i) Brighthouse Financial, Inc.’s Quarterly Report on Form 10-Q for the quarter ended March 31, 2020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00" w:lineRule="exact"/>
        <w:rPr>
          <w:sz w:val="20"/>
          <w:szCs w:val="20"/>
          <w:color w:val="auto"/>
        </w:rPr>
      </w:pPr>
    </w:p>
    <w:p>
      <w:pPr>
        <w:spacing w:after="0" w:line="322" w:lineRule="exact"/>
        <w:rPr>
          <w:sz w:val="20"/>
          <w:szCs w:val="20"/>
          <w:color w:val="auto"/>
        </w:rPr>
      </w:pPr>
    </w:p>
    <w:p>
      <w:pPr>
        <w:jc w:val="center"/>
        <w:ind w:left="658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31750</wp:posOffset>
            </wp:positionV>
            <wp:extent cx="29489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7" w:lineRule="exact"/>
        <w:rPr>
          <w:sz w:val="20"/>
          <w:szCs w:val="20"/>
          <w:color w:val="auto"/>
        </w:rPr>
      </w:pPr>
    </w:p>
    <w:p>
      <w:pPr>
        <w:jc w:val="center"/>
        <w:ind w:left="6580"/>
        <w:spacing w:after="0"/>
        <w:rPr>
          <w:sz w:val="20"/>
          <w:szCs w:val="20"/>
          <w:color w:val="auto"/>
        </w:rPr>
      </w:pPr>
      <w:r>
        <w:rPr>
          <w:rFonts w:ascii="Arial" w:cs="Arial" w:eastAsia="Arial" w:hAnsi="Arial"/>
          <w:sz w:val="18"/>
          <w:szCs w:val="18"/>
          <w:color w:val="auto"/>
        </w:rPr>
        <w:t>Eric T. Steigerwalt</w:t>
      </w:r>
    </w:p>
    <w:p>
      <w:pPr>
        <w:spacing w:after="0" w:line="63" w:lineRule="exact"/>
        <w:rPr>
          <w:sz w:val="20"/>
          <w:szCs w:val="20"/>
          <w:color w:val="auto"/>
        </w:rPr>
      </w:pPr>
    </w:p>
    <w:p>
      <w:pPr>
        <w:jc w:val="center"/>
        <w:ind w:left="6580"/>
        <w:spacing w:after="0"/>
        <w:rPr>
          <w:sz w:val="20"/>
          <w:szCs w:val="20"/>
          <w:color w:val="auto"/>
        </w:rPr>
      </w:pPr>
      <w:r>
        <w:rPr>
          <w:rFonts w:ascii="Arial" w:cs="Arial" w:eastAsia="Arial" w:hAnsi="Arial"/>
          <w:sz w:val="18"/>
          <w:szCs w:val="18"/>
          <w:color w:val="auto"/>
        </w:rPr>
        <w:t>President and Chief Executive Officer</w:t>
      </w:r>
    </w:p>
    <w:p>
      <w:pPr>
        <w:spacing w:after="0" w:line="17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SECTION 906 CERTIFICATION</w:t>
      </w:r>
    </w:p>
    <w:p>
      <w:pPr>
        <w:spacing w:after="0" w:line="14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CERTIFICATION PURSUANT TO SECTION 1350 OF CHAPTER 63 OF TITLE 18 OF THE UNITED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STATES CODE</w:t>
      </w:r>
    </w:p>
    <w:p>
      <w:pPr>
        <w:spacing w:after="0" w:line="13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 Edward A. Spehar, certify that, to my knowledge, (i) Brighthouse Financial, Inc.’s Quarterly Report on Form 10-Q for the quarter ended March 31, 2020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00" w:lineRule="exact"/>
        <w:rPr>
          <w:sz w:val="20"/>
          <w:szCs w:val="20"/>
          <w:color w:val="auto"/>
        </w:rPr>
      </w:pPr>
    </w:p>
    <w:p>
      <w:pPr>
        <w:spacing w:after="0" w:line="322"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31750</wp:posOffset>
            </wp:positionV>
            <wp:extent cx="30429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Edward A. Spehar</w:t>
      </w:r>
    </w:p>
    <w:p>
      <w:pPr>
        <w:spacing w:after="0" w:line="63" w:lineRule="exact"/>
        <w:rPr>
          <w:sz w:val="20"/>
          <w:szCs w:val="20"/>
          <w:color w:val="auto"/>
        </w:rPr>
      </w:pPr>
    </w:p>
    <w:p>
      <w:pPr>
        <w:jc w:val="center"/>
        <w:ind w:left="6420"/>
        <w:spacing w:after="0"/>
        <w:rPr>
          <w:sz w:val="20"/>
          <w:szCs w:val="20"/>
          <w:color w:val="auto"/>
        </w:rPr>
      </w:pPr>
      <w:r>
        <w:rPr>
          <w:rFonts w:ascii="Arial" w:cs="Arial" w:eastAsia="Arial" w:hAnsi="Arial"/>
          <w:sz w:val="18"/>
          <w:szCs w:val="18"/>
          <w:color w:val="auto"/>
        </w:rPr>
        <w:t>Executive Vice President and Chief Financial Officer</w:t>
      </w:r>
    </w:p>
    <w:p>
      <w:pPr>
        <w:spacing w:after="0" w:line="17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decimal"/>
      <w:start w:val="5"/>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1."/>
      <w:numFmt w:val="decimal"/>
      <w:start w:val="4"/>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decimal"/>
      <w:start w:val="1"/>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1)"/>
      <w:numFmt w:val="decimal"/>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1)"/>
      <w:numFmt w:val="decimal"/>
      <w:start w:val="1"/>
    </w:lvl>
  </w:abstractNum>
  <w:abstractNum w:abstractNumId="17">
    <w:nsid w:val="542289EC"/>
    <w:multiLevelType w:val="hybridMultilevel"/>
    <w:lvl w:ilvl="0">
      <w:lvlJc w:val="left"/>
      <w:lvlText w:val="(%1)"/>
      <w:numFmt w:val="decimal"/>
      <w:start w:val="1"/>
    </w:lvl>
  </w:abstractNum>
  <w:abstractNum w:abstractNumId="18">
    <w:nsid w:val="6DE91B18"/>
    <w:multiLevelType w:val="hybridMultilevel"/>
    <w:lvl w:ilvl="0">
      <w:lvlJc w:val="left"/>
      <w:lvlText w:val="(%1)"/>
      <w:numFmt w:val="decimal"/>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4"/>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1)"/>
      <w:numFmt w:val="lowerRoman"/>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lvl w:ilvl="1">
      <w:lvlJc w:val="left"/>
      <w:lvlText w:val="◦"/>
      <w:numFmt w:val="bullet"/>
      <w:start w:val="1"/>
    </w:lvl>
  </w:abstractNum>
  <w:abstractNum w:abstractNumId="32">
    <w:nsid w:val="374A3FE6"/>
    <w:multiLevelType w:val="hybridMultilevel"/>
    <w:lvl w:ilvl="0">
      <w:lvlJc w:val="left"/>
      <w:lvlText w:val="•"/>
      <w:numFmt w:val="bullet"/>
      <w:start w:val="1"/>
    </w:lvl>
    <w:lvl w:ilvl="1">
      <w:lvlJc w:val="left"/>
      <w:lvlText w:val="◦"/>
      <w:numFmt w:val="bullet"/>
      <w:start w:val="1"/>
    </w:lvl>
  </w:abstractNum>
  <w:abstractNum w:abstractNumId="33">
    <w:nsid w:val="4F4EF005"/>
    <w:multiLevelType w:val="hybridMultilevel"/>
    <w:lvl w:ilvl="0">
      <w:lvlJc w:val="left"/>
      <w:lvlText w:val="•"/>
      <w:numFmt w:val="bullet"/>
      <w:start w:val="1"/>
    </w:lvl>
    <w:lvl w:ilvl="1">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1)"/>
      <w:numFmt w:val="decimal"/>
      <w:start w:val="126"/>
    </w:lvl>
  </w:abstractNum>
  <w:abstractNum w:abstractNumId="36">
    <w:nsid w:val="275AC794"/>
    <w:multiLevelType w:val="hybridMultilevel"/>
    <w:lvl w:ilvl="0">
      <w:lvlJc w:val="left"/>
      <w:lvlText w:val="(%1)"/>
      <w:numFmt w:val="decimal"/>
      <w:start w:val="38"/>
    </w:lvl>
  </w:abstractNum>
  <w:abstractNum w:abstractNumId="37">
    <w:nsid w:val="39386575"/>
    <w:multiLevelType w:val="hybridMultilevel"/>
    <w:lvl w:ilvl="0">
      <w:lvlJc w:val="left"/>
      <w:lvlText w:val="(%1)"/>
      <w:numFmt w:val="decimal"/>
      <w:start w:val="365"/>
    </w:lvl>
  </w:abstractNum>
  <w:abstractNum w:abstractNumId="38">
    <w:nsid w:val="1CF10FD8"/>
    <w:multiLevelType w:val="hybridMultilevel"/>
    <w:lvl w:ilvl="0">
      <w:lvlJc w:val="left"/>
      <w:lvlText w:val="•"/>
      <w:numFmt w:val="bullet"/>
      <w:start w:val="1"/>
    </w:lvl>
    <w:lvl w:ilvl="1">
      <w:lvlJc w:val="left"/>
      <w:lvlText w:val="◦"/>
      <w:numFmt w:val="bullet"/>
      <w:start w:val="1"/>
    </w:lvl>
  </w:abstractNum>
  <w:abstractNum w:abstractNumId="39">
    <w:nsid w:val="180115BE"/>
    <w:multiLevelType w:val="hybridMultilevel"/>
    <w:lvl w:ilvl="0">
      <w:lvlJc w:val="left"/>
      <w:lvlText w:val="•"/>
      <w:numFmt w:val="bullet"/>
      <w:start w:val="1"/>
    </w:lvl>
    <w:lvl w:ilvl="1">
      <w:lvlJc w:val="left"/>
      <w:lvlText w:val="◦"/>
      <w:numFmt w:val="bullet"/>
      <w:start w:val="1"/>
    </w:lvl>
  </w:abstractNum>
  <w:abstractNum w:abstractNumId="40">
    <w:nsid w:val="235BA861"/>
    <w:multiLevelType w:val="hybridMultilevel"/>
    <w:lvl w:ilvl="0">
      <w:lvlJc w:val="left"/>
      <w:lvlText w:val="(%1)"/>
      <w:numFmt w:val="decimal"/>
      <w:start w:val="58"/>
    </w:lvl>
  </w:abstractNum>
  <w:abstractNum w:abstractNumId="41">
    <w:nsid w:val="47398C89"/>
    <w:multiLevelType w:val="hybridMultilevel"/>
    <w:lvl w:ilvl="0">
      <w:lvlJc w:val="left"/>
      <w:lvlText w:val="(%1)"/>
      <w:numFmt w:val="decimal"/>
      <w:start w:val="19"/>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1)"/>
      <w:numFmt w:val="decimal"/>
      <w:start w:val="307"/>
    </w:lvl>
  </w:abstractNum>
  <w:abstractNum w:abstractNumId="45">
    <w:nsid w:val="D34B6A8"/>
    <w:multiLevelType w:val="hybridMultilevel"/>
    <w:lvl w:ilvl="0">
      <w:lvlJc w:val="left"/>
      <w:lvlText w:val="(%1)"/>
      <w:numFmt w:val="decimal"/>
      <w:start w:val="52"/>
    </w:lvl>
  </w:abstractNum>
  <w:abstractNum w:abstractNumId="46">
    <w:nsid w:val="10233C99"/>
    <w:multiLevelType w:val="hybridMultilevel"/>
    <w:lvl w:ilvl="0">
      <w:lvlJc w:val="left"/>
      <w:lvlText w:val="(%1)"/>
      <w:numFmt w:val="decimal"/>
      <w:start w:val="90"/>
    </w:lvl>
  </w:abstractNum>
  <w:abstractNum w:abstractNumId="47">
    <w:nsid w:val="3F6AB60F"/>
    <w:multiLevelType w:val="hybridMultilevel"/>
    <w:lvl w:ilvl="0">
      <w:lvlJc w:val="left"/>
      <w:lvlText w:val="(%1)"/>
      <w:numFmt w:val="decimal"/>
      <w:start w:val="20"/>
    </w:lvl>
  </w:abstractNum>
  <w:abstractNum w:abstractNumId="48">
    <w:nsid w:val="61574095"/>
    <w:multiLevelType w:val="hybridMultilevel"/>
    <w:lvl w:ilvl="0">
      <w:lvlJc w:val="left"/>
      <w:lvlText w:val="•"/>
      <w:numFmt w:val="bullet"/>
      <w:start w:val="1"/>
    </w:lvl>
    <w:lvl w:ilvl="1">
      <w:lvlJc w:val="left"/>
      <w:lvlText w:val="◦"/>
      <w:numFmt w:val="bullet"/>
      <w:start w:val="1"/>
    </w:lvl>
  </w:abstractNum>
  <w:abstractNum w:abstractNumId="49">
    <w:nsid w:val="7E0C57B1"/>
    <w:multiLevelType w:val="hybridMultilevel"/>
    <w:lvl w:ilvl="0">
      <w:lvlJc w:val="left"/>
      <w:lvlText w:val="(%1)"/>
      <w:numFmt w:val="lowerRoman"/>
      <w:start w:val="1"/>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
      <w:numFmt w:val="bullet"/>
      <w:start w:val="1"/>
    </w:lvl>
  </w:abstractNum>
  <w:abstractNum w:abstractNumId="56">
    <w:nsid w:val="1DBABF00"/>
    <w:multiLevelType w:val="hybridMultilevel"/>
    <w:lvl w:ilvl="0">
      <w:lvlJc w:val="left"/>
      <w:lvlText w:val="•"/>
      <w:numFmt w:val="bullet"/>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emdash "/>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1)"/>
      <w:numFmt w:val="lowerLetter"/>
      <w:start w:val="1"/>
    </w:lvl>
  </w:abstractNum>
  <w:abstractNum w:abstractNumId="69">
    <w:nsid w:val="168E121F"/>
    <w:multiLevelType w:val="hybridMultilevel"/>
    <w:lvl w:ilvl="0">
      <w:lvlJc w:val="left"/>
      <w:lvlText w:val="(%1)"/>
      <w:numFmt w:val="lowerLetter"/>
      <w:start w:val="3"/>
    </w:lvl>
    <w:lvl w:ilvl="1">
      <w:lvlJc w:val="left"/>
      <w:lvlText w:val="(%2)"/>
      <w:numFmt w:val="decimal"/>
      <w:start w:val="1"/>
    </w:lvl>
  </w:abstractNum>
  <w:abstractNum w:abstractNumId="70">
    <w:nsid w:val="1EBA5D23"/>
    <w:multiLevelType w:val="hybridMultilevel"/>
    <w:lvl w:ilvl="0">
      <w:lvlJc w:val="left"/>
      <w:lvlText w:val="(%1)"/>
      <w:numFmt w:val="lowerLetter"/>
      <w:start w:val="1"/>
    </w:lvl>
  </w:abstractNum>
  <w:abstractNum w:abstractNumId="71">
    <w:nsid w:val="661E3F1E"/>
    <w:multiLevelType w:val="hybridMultilevel"/>
    <w:lvl w:ilvl="0">
      <w:lvlJc w:val="left"/>
      <w:lvlText w:val="(%1)"/>
      <w:numFmt w:val="lowerLetter"/>
      <w:start w:val="2"/>
    </w:lvl>
  </w:abstractNum>
  <w:abstractNum w:abstractNumId="72">
    <w:nsid w:val="5DC79EA8"/>
    <w:multiLevelType w:val="hybridMultilevel"/>
    <w:lvl w:ilvl="0">
      <w:lvlJc w:val="left"/>
      <w:lvlText w:val="(%1)"/>
      <w:numFmt w:val="lowerLetter"/>
      <w:start w:val="9"/>
    </w:lvl>
    <w:lvl w:ilvl="1">
      <w:lvlJc w:val="left"/>
      <w:lvlText w:val="(%2)"/>
      <w:numFmt w:val="decimal"/>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3" Type="http://schemas.openxmlformats.org/officeDocument/2006/relationships/hyperlink" Target="http://www.sec.gov/Archives/edgar/data/1685040/000168504020000007/bhf-12312019x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2020-05-11T15:43:36Z</dcterms:created>
  <dcterms:modified xsi:type="dcterms:W3CDTF">2020-05-11T15:43:36Z</dcterms:modified>
</cp:coreProperties>
</file>