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160"/>
        <w:ind w:left="0" w:right="0" w:firstLine="36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UNITED STATES </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tbl>
      <w:tblPr>
        <w:tblW w:w="9026" w:type="dxa"/>
        <w:jc w:val="center"/>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bl>
    <w:p>
      <w:pPr>
        <w:pStyle w:val="TextBody"/>
        <w:bidi w:val="0"/>
        <w:spacing w:lineRule="auto" w:line="288" w:before="2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 xml:space="preserve">For the quarterly period ended March 31, 2025 </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 to ___</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001-37905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drawing>
          <wp:inline distT="0" distB="0" distL="0" distR="0">
            <wp:extent cx="23336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3625" cy="533400"/>
                    </a:xfrm>
                    <a:prstGeom prst="rect">
                      <a:avLst/>
                    </a:prstGeom>
                  </pic:spPr>
                </pic:pic>
              </a:graphicData>
            </a:graphic>
          </wp:inline>
        </w:drawing>
      </w:r>
      <w:bookmarkStart w:id="0" w:name="i-1"/>
      <w:bookmarkEnd w:id="0"/>
    </w:p>
    <w:p>
      <w:pPr>
        <w:pStyle w:val="TextBody"/>
        <w:bidi w:val="0"/>
        <w:spacing w:lineRule="auto" w:line="216" w:before="120" w:after="283"/>
        <w:jc w:val="center"/>
        <w:rPr>
          <w:rFonts w:ascii="Times New Roman;sans-serif" w:hAnsi="Times New Roman;sans-serif"/>
          <w:b/>
          <w:color w:val="000000"/>
          <w:sz w:val="36"/>
        </w:rPr>
      </w:pPr>
      <w:r>
        <w:rPr>
          <w:rFonts w:ascii="Times New Roman;sans-serif" w:hAnsi="Times New Roman;sans-serif"/>
          <w:b/>
          <w:color w:val="000000"/>
          <w:sz w:val="36"/>
        </w:rPr>
        <w:t xml:space="preserve">Brighthouse Financial, Inc. </w:t>
      </w:r>
    </w:p>
    <w:p>
      <w:pPr>
        <w:pStyle w:val="TextBody"/>
        <w:bidi w:val="0"/>
        <w:spacing w:lineRule="auto" w:line="288" w:before="60" w:after="283"/>
        <w:ind w:left="0" w:right="0" w:firstLine="36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7836" w:type="dxa"/>
        <w:jc w:val="center"/>
        <w:tblInd w:w="0" w:type="dxa"/>
        <w:tblLayout w:type="fixed"/>
        <w:tblCellMar>
          <w:top w:w="28" w:type="dxa"/>
          <w:left w:w="28" w:type="dxa"/>
          <w:bottom w:w="28" w:type="dxa"/>
          <w:right w:w="28" w:type="dxa"/>
        </w:tblCellMar>
      </w:tblPr>
      <w:tblGrid>
        <w:gridCol w:w="606"/>
        <w:gridCol w:w="533"/>
        <w:gridCol w:w="533"/>
        <w:gridCol w:w="533"/>
        <w:gridCol w:w="533"/>
        <w:gridCol w:w="533"/>
        <w:gridCol w:w="533"/>
        <w:gridCol w:w="533"/>
        <w:gridCol w:w="547"/>
        <w:gridCol w:w="109"/>
        <w:gridCol w:w="109"/>
        <w:gridCol w:w="109"/>
        <w:gridCol w:w="765"/>
        <w:gridCol w:w="765"/>
        <w:gridCol w:w="1095"/>
      </w:tblGrid>
      <w:tr>
        <w:trP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81-3846992</w:t>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 Identification No.)</w:t>
            </w:r>
          </w:p>
        </w:tc>
      </w:tr>
      <w:tr>
        <w:trPr/>
        <w:tc>
          <w:tcPr>
            <w:tcW w:w="48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100" w:after="100"/>
              <w:jc w:val="center"/>
              <w:rPr>
                <w:rFonts w:ascii="Times New Roman;sans-serif" w:hAnsi="Times New Roman;sans-serif"/>
                <w:b/>
                <w:color w:val="000000"/>
                <w:sz w:val="16"/>
              </w:rPr>
            </w:pPr>
            <w:r>
              <w:rPr>
                <w:rFonts w:ascii="Times New Roman;sans-serif" w:hAnsi="Times New Roman;sans-serif"/>
                <w:b/>
                <w:color w:val="000000"/>
                <w:sz w:val="16"/>
              </w:rPr>
              <w:t>11225 North Community House Road, Charlotte, North Carolina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ans-serif" w:hAnsi="Times New Roman;sans-serif"/>
                <w:b/>
                <w:color w:val="000000"/>
                <w:sz w:val="16"/>
              </w:rPr>
            </w:pPr>
            <w:r>
              <w:rPr>
                <w:rFonts w:ascii="Times New Roman;sans-serif" w:hAnsi="Times New Roman;sans-serif"/>
                <w:b/>
                <w:color w:val="000000"/>
                <w:sz w:val="16"/>
              </w:rPr>
              <w:t>28277</w:t>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(Zip Code)</w:t>
            </w:r>
          </w:p>
        </w:tc>
      </w:tr>
    </w:tbl>
    <w:p>
      <w:pPr>
        <w:pStyle w:val="TextBody"/>
        <w:bidi w:val="0"/>
        <w:spacing w:lineRule="auto" w:line="288" w:before="2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 xml:space="preserve">(980) 365-7100 </w:t>
      </w:r>
    </w:p>
    <w:p>
      <w:pPr>
        <w:pStyle w:val="TextBody"/>
        <w:bidi w:val="0"/>
        <w:spacing w:lineRule="auto" w:line="288" w:before="0" w:after="0"/>
        <w:jc w:val="center"/>
        <w:rPr>
          <w:rFonts w:ascii="Times New Roman;sans-serif" w:hAnsi="Times New Roman;sans-serif"/>
          <w:b w:val="false"/>
          <w:i/>
          <w:color w:val="000000"/>
          <w:sz w:val="14"/>
        </w:rPr>
      </w:pPr>
      <w:r>
        <w:rPr>
          <w:rFonts w:ascii="Times New Roman;sans-serif" w:hAnsi="Times New Roman;sans-serif"/>
          <w:b w:val="false"/>
          <w:i/>
          <w:color w:val="000000"/>
          <w:sz w:val="14"/>
        </w:rPr>
        <w:t>(Registrant’s telephone number, including area code)</w:t>
      </w:r>
    </w:p>
    <w:p>
      <w:pPr>
        <w:pStyle w:val="TextBody"/>
        <w:bidi w:val="0"/>
        <w:spacing w:lineRule="auto" w:line="288" w:before="12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442"/>
        <w:gridCol w:w="2094"/>
        <w:gridCol w:w="2112"/>
        <w:gridCol w:w="370"/>
        <w:gridCol w:w="370"/>
        <w:gridCol w:w="372"/>
        <w:gridCol w:w="714"/>
        <w:gridCol w:w="714"/>
        <w:gridCol w:w="1017"/>
      </w:tblGrid>
      <w:tr>
        <w:trPr/>
        <w:tc>
          <w:tcPr>
            <w:tcW w:w="244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u w:val="single"/>
              </w:rPr>
            </w:pPr>
            <w:r>
              <w:rPr>
                <w:rFonts w:ascii="Times New Roman;sans-serif" w:hAnsi="Times New Roman;sans-serif"/>
                <w:b w:val="false"/>
                <w:color w:val="000000"/>
                <w:sz w:val="14"/>
                <w:u w:val="single"/>
              </w:rPr>
              <w:t>Title of each class</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u w:val="single"/>
              </w:rPr>
            </w:pPr>
            <w:r>
              <w:rPr>
                <w:rFonts w:ascii="Times New Roman;sans-serif" w:hAnsi="Times New Roman;sans-serif"/>
                <w:b w:val="false"/>
                <w:color w:val="000000"/>
                <w:sz w:val="14"/>
                <w:u w:val="single"/>
              </w:rPr>
              <w:t>Trading symbol(s)</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u w:val="single"/>
              </w:rPr>
            </w:pPr>
            <w:r>
              <w:rPr>
                <w:rFonts w:ascii="Times New Roman;sans-serif" w:hAnsi="Times New Roman;sans-serif"/>
                <w:b w:val="false"/>
                <w:color w:val="000000"/>
                <w:sz w:val="14"/>
                <w:u w:val="single"/>
              </w:rPr>
              <w:t>Name of each exchange on which registered</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par value $0.01 per share</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Depositary Shares, each representing a 1/1,000th interest in a share of 6.600% Non-Cumulative Preferred Stock, Series A</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BHFAP</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Depositary Shares, each representing a 1/1,000th interest in a share of 6.750% Non-Cumulative Preferred Stock, Series B</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BHFAO</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Depositary Shares, each representing a 1/1,000th interest in a share of 5.375% Non-Cumulative Preferred Stock, Series C</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BHFAN</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Depositary Shares, each representing a 1/1,000th interest in a share of 4.625% Non-Cumulative Preferred Stock, Series D</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BHFAM</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6.250% Junior Subordinated Debentures due 2058</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BHFAL</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bl>
    <w:p>
      <w:pPr>
        <w:pStyle w:val="TextBody"/>
        <w:bidi w:val="0"/>
        <w:spacing w:lineRule="auto" w:line="288" w:before="20" w:after="283"/>
        <w:jc w:val="both"/>
        <w:rPr/>
      </w:pPr>
      <w:r>
        <w:rPr>
          <w:rFonts w:ascii="Times New Roman;sans-serif" w:hAnsi="Times New Roman;sans-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4"/>
        </w:rPr>
        <w:t xml:space="preserve">No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4"/>
        </w:rPr>
        <w:t>No </w:t>
      </w:r>
      <w:r>
        <w:rPr>
          <w:color w:val="000000"/>
        </w:rPr>
        <w:t>☐</w:t>
      </w:r>
    </w:p>
    <w:p>
      <w:pPr>
        <w:pStyle w:val="TextBody"/>
        <w:bidi w:val="0"/>
        <w:spacing w:lineRule="auto" w:line="288" w:before="120" w:after="283"/>
        <w:jc w:val="both"/>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054" w:type="dxa"/>
        <w:jc w:val="center"/>
        <w:tblInd w:w="0" w:type="dxa"/>
        <w:tblLayout w:type="fixed"/>
        <w:tblCellMar>
          <w:top w:w="28" w:type="dxa"/>
          <w:left w:w="28" w:type="dxa"/>
          <w:bottom w:w="28" w:type="dxa"/>
          <w:right w:w="28" w:type="dxa"/>
        </w:tblCellMar>
      </w:tblPr>
      <w:tblGrid>
        <w:gridCol w:w="494"/>
        <w:gridCol w:w="434"/>
        <w:gridCol w:w="436"/>
        <w:gridCol w:w="109"/>
        <w:gridCol w:w="109"/>
        <w:gridCol w:w="109"/>
        <w:gridCol w:w="109"/>
        <w:gridCol w:w="109"/>
        <w:gridCol w:w="109"/>
        <w:gridCol w:w="421"/>
        <w:gridCol w:w="421"/>
        <w:gridCol w:w="423"/>
        <w:gridCol w:w="133"/>
        <w:gridCol w:w="133"/>
        <w:gridCol w:w="133"/>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Accelerated filer</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Times New Roman;sans-serif" w:hAnsi="Times New Roman;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14"/>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4"/>
        </w:rPr>
        <w:t>No </w:t>
      </w:r>
      <w:r>
        <w:rPr>
          <w:color w:val="000000"/>
        </w:rPr>
        <w:t>☑</w:t>
      </w:r>
    </w:p>
    <w:p>
      <w:pPr>
        <w:pStyle w:val="TextBody"/>
        <w:bidi w:val="0"/>
        <w:spacing w:lineRule="auto" w:line="288" w:before="120" w:after="283"/>
        <w:jc w:val="both"/>
        <w:rPr>
          <w:rFonts w:ascii="Times New Roman;sans-serif" w:hAnsi="Times New Roman;sans-serif"/>
          <w:b w:val="false"/>
          <w:color w:val="000000"/>
          <w:sz w:val="14"/>
        </w:rPr>
      </w:pPr>
      <w:r>
        <w:rPr>
          <w:rFonts w:ascii="Times New Roman;sans-serif" w:hAnsi="Times New Roman;sans-serif"/>
          <w:b w:val="false"/>
          <w:color w:val="000000"/>
          <w:sz w:val="14"/>
        </w:rPr>
        <w:t>As of May 6, 2025, 57,408,986 shares of the registrant’s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txbxContent>
                </v:textbox>
                <w10:wrap type="none"/>
              </v:rect>
            </w:pict>
          </mc:Fallback>
        </mc:AlternateContent>
      </w:r>
    </w:p>
    <w:p>
      <w:pPr>
        <w:pStyle w:val="TextBody"/>
        <w:bidi w:val="0"/>
        <w:spacing w:before="180" w:after="160"/>
        <w:ind w:left="0" w:right="0" w:firstLine="36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89"/>
        <w:gridCol w:w="340"/>
        <w:gridCol w:w="340"/>
        <w:gridCol w:w="3136"/>
        <w:gridCol w:w="2726"/>
        <w:gridCol w:w="2700"/>
        <w:gridCol w:w="167"/>
        <w:gridCol w:w="167"/>
        <w:gridCol w:w="240"/>
      </w:tblGrid>
      <w:tr>
        <w:trPr/>
        <w:tc>
          <w:tcPr>
            <w:tcW w:w="3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10">
              <w:r>
                <w:rPr>
                  <w:rStyle w:val="InternetLink"/>
                  <w:rFonts w:ascii="Times New Roman;sans-serif" w:hAnsi="Times New Roman;sans-serif"/>
                  <w:b/>
                  <w:color w:val="0000FF"/>
                  <w:sz w:val="20"/>
                  <w:u w:val="single"/>
                </w:rPr>
                <w:t>Part I — Financial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(at March 31, 2025 (Unaudited) and December 31, 2024 and for the Three Months Ended March 31, 2025 and 2024 (Unaudited)):</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22b5cee3a85542ce8f931fe58d2cdb9e_16">
              <w:r>
                <w:rPr>
                  <w:rStyle w:val="InternetLink"/>
                  <w:rFonts w:ascii="Times New Roman;sans-serif" w:hAnsi="Times New Roman;sans-serif"/>
                  <w:b w:val="false"/>
                  <w:color w:val="0000FF"/>
                  <w:sz w:val="20"/>
                  <w:u w:val="single"/>
                </w:rPr>
                <w:t>Interim Condensed Consolidated Balance Sheets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16">
              <w:r>
                <w:rPr>
                  <w:rStyle w:val="InternetLink"/>
                  <w:rFonts w:ascii="Times New Roman;sans-serif" w:hAnsi="Times New Roman;sans-serif"/>
                  <w:b w:val="false"/>
                  <w:color w:val="0000FF"/>
                  <w:sz w:val="20"/>
                  <w:u w:val="single"/>
                </w:rPr>
                <w:t>2</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22b5cee3a85542ce8f931fe58d2cdb9e_19">
              <w:r>
                <w:rPr>
                  <w:rStyle w:val="InternetLink"/>
                  <w:rFonts w:ascii="Times New Roman;sans-serif" w:hAnsi="Times New Roman;sans-serif"/>
                  <w:b w:val="false"/>
                  <w:color w:val="0000FF"/>
                  <w:sz w:val="20"/>
                  <w:u w:val="single"/>
                </w:rPr>
                <w:t>Interim Condensed Consolidated Statements of Operations and Comprehensive Income (Loss)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19">
              <w:r>
                <w:rPr>
                  <w:rStyle w:val="InternetLink"/>
                  <w:rFonts w:ascii="Times New Roman;sans-serif" w:hAnsi="Times New Roman;sans-serif"/>
                  <w:b w:val="false"/>
                  <w:color w:val="0000FF"/>
                  <w:sz w:val="20"/>
                  <w:u w:val="single"/>
                </w:rPr>
                <w:t>3</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22b5cee3a85542ce8f931fe58d2cdb9e_25">
              <w:r>
                <w:rPr>
                  <w:rStyle w:val="InternetLink"/>
                  <w:rFonts w:ascii="Times New Roman;sans-serif" w:hAnsi="Times New Roman;sans-serif"/>
                  <w:b w:val="false"/>
                  <w:color w:val="0000FF"/>
                  <w:sz w:val="20"/>
                  <w:u w:val="single"/>
                </w:rPr>
                <w:t>Interim Condensed Consolidated Statements of Equity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25">
              <w:r>
                <w:rPr>
                  <w:rStyle w:val="InternetLink"/>
                  <w:rFonts w:ascii="Times New Roman;sans-serif" w:hAnsi="Times New Roman;sans-serif"/>
                  <w:b w:val="false"/>
                  <w:color w:val="0000FF"/>
                  <w:sz w:val="20"/>
                  <w:u w:val="single"/>
                </w:rPr>
                <w:t>4</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22b5cee3a85542ce8f931fe58d2cdb9e_28">
              <w:r>
                <w:rPr>
                  <w:rStyle w:val="InternetLink"/>
                  <w:rFonts w:ascii="Times New Roman;sans-serif" w:hAnsi="Times New Roman;sans-serif"/>
                  <w:b w:val="false"/>
                  <w:color w:val="0000FF"/>
                  <w:sz w:val="20"/>
                  <w:u w:val="single"/>
                </w:rPr>
                <w:t>Interim Condensed Consolidated Statements of Cash Flows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28">
              <w:r>
                <w:rPr>
                  <w:rStyle w:val="InternetLink"/>
                  <w:rFonts w:ascii="Times New Roman;sans-serif" w:hAnsi="Times New Roman;sans-serif"/>
                  <w:b w:val="false"/>
                  <w:color w:val="0000FF"/>
                  <w:sz w:val="20"/>
                  <w:u w:val="single"/>
                </w:rPr>
                <w:t>5</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22b5cee3a85542ce8f931fe58d2cdb9e_31">
              <w:r>
                <w:rPr>
                  <w:rStyle w:val="InternetLink"/>
                  <w:rFonts w:ascii="Times New Roman;sans-serif" w:hAnsi="Times New Roman;sans-serif"/>
                  <w:b w:val="false"/>
                  <w:color w:val="0000FF"/>
                  <w:sz w:val="20"/>
                  <w:u w:val="single"/>
                </w:rPr>
                <w:t>Notes to the Interim Condensed Consolidated 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22b5cee3a85542ce8f931fe58d2cdb9e_31">
              <w:r>
                <w:rPr>
                  <w:rStyle w:val="InternetLink"/>
                  <w:rFonts w:ascii="Times New Roman;sans-serif" w:hAnsi="Times New Roman;sans-serif"/>
                  <w:b w:val="false"/>
                  <w:color w:val="0000FF"/>
                  <w:sz w:val="20"/>
                  <w:u w:val="single"/>
                </w:rPr>
                <w:t>Note 1 — Business, Basis of Presentation and Summary of Significant Accounting Policies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31">
              <w:r>
                <w:rPr>
                  <w:rStyle w:val="InternetLink"/>
                  <w:rFonts w:ascii="Times New Roman;sans-serif" w:hAnsi="Times New Roman;sans-serif"/>
                  <w:b w:val="false"/>
                  <w:color w:val="0000FF"/>
                  <w:sz w:val="20"/>
                  <w:u w:val="single"/>
                </w:rPr>
                <w:t>6</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22b5cee3a85542ce8f931fe58d2cdb9e_37">
              <w:r>
                <w:rPr>
                  <w:rStyle w:val="InternetLink"/>
                  <w:rFonts w:ascii="Times New Roman;sans-serif" w:hAnsi="Times New Roman;sans-serif"/>
                  <w:b w:val="false"/>
                  <w:color w:val="0000FF"/>
                  <w:sz w:val="20"/>
                  <w:u w:val="single"/>
                </w:rPr>
                <w:t>Note 2 — Segment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37">
              <w:r>
                <w:rPr>
                  <w:rStyle w:val="InternetLink"/>
                  <w:rFonts w:ascii="Times New Roman;sans-serif" w:hAnsi="Times New Roman;sans-serif"/>
                  <w:b w:val="false"/>
                  <w:color w:val="0000FF"/>
                  <w:sz w:val="20"/>
                  <w:u w:val="single"/>
                </w:rPr>
                <w:t>7</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22b5cee3a85542ce8f931fe58d2cdb9e_49">
              <w:r>
                <w:rPr>
                  <w:rStyle w:val="InternetLink"/>
                  <w:rFonts w:ascii="Times New Roman;sans-serif" w:hAnsi="Times New Roman;sans-serif"/>
                  <w:b w:val="false"/>
                  <w:color w:val="0000FF"/>
                  <w:sz w:val="20"/>
                  <w:u w:val="single"/>
                </w:rPr>
                <w:t>Note 3 — Insurance Liabilities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49">
              <w:r>
                <w:rPr>
                  <w:rStyle w:val="InternetLink"/>
                  <w:rFonts w:ascii="Times New Roman;sans-serif" w:hAnsi="Times New Roman;sans-serif"/>
                  <w:b w:val="false"/>
                  <w:color w:val="0000FF"/>
                  <w:sz w:val="20"/>
                  <w:u w:val="single"/>
                </w:rPr>
                <w:t>12</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22b5cee3a85542ce8f931fe58d2cdb9e_70">
              <w:r>
                <w:rPr>
                  <w:rStyle w:val="InternetLink"/>
                  <w:rFonts w:ascii="Times New Roman;sans-serif" w:hAnsi="Times New Roman;sans-serif"/>
                  <w:b w:val="false"/>
                  <w:color w:val="0000FF"/>
                  <w:sz w:val="20"/>
                  <w:u w:val="single"/>
                </w:rPr>
                <w:t>Note 4 — Market Risk Benefits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70">
              <w:r>
                <w:rPr>
                  <w:rStyle w:val="InternetLink"/>
                  <w:rFonts w:ascii="Times New Roman;sans-serif" w:hAnsi="Times New Roman;sans-serif"/>
                  <w:b w:val="false"/>
                  <w:color w:val="0000FF"/>
                  <w:sz w:val="20"/>
                  <w:u w:val="single"/>
                </w:rPr>
                <w:t>16</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22b5cee3a85542ce8f931fe58d2cdb9e_79">
              <w:r>
                <w:rPr>
                  <w:rStyle w:val="InternetLink"/>
                  <w:rFonts w:ascii="Times New Roman;sans-serif" w:hAnsi="Times New Roman;sans-serif"/>
                  <w:b w:val="false"/>
                  <w:color w:val="0000FF"/>
                  <w:sz w:val="20"/>
                  <w:u w:val="single"/>
                </w:rPr>
                <w:t>Note 5 — Separate Accounts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79">
              <w:r>
                <w:rPr>
                  <w:rStyle w:val="InternetLink"/>
                  <w:rFonts w:ascii="Times New Roman;sans-serif" w:hAnsi="Times New Roman;sans-serif"/>
                  <w:b w:val="false"/>
                  <w:color w:val="0000FF"/>
                  <w:sz w:val="20"/>
                  <w:u w:val="single"/>
                </w:rPr>
                <w:t>16</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22b5cee3a85542ce8f931fe58d2cdb9e_88">
              <w:r>
                <w:rPr>
                  <w:rStyle w:val="InternetLink"/>
                  <w:rFonts w:ascii="Times New Roman;sans-serif" w:hAnsi="Times New Roman;sans-serif"/>
                  <w:b w:val="false"/>
                  <w:color w:val="0000FF"/>
                  <w:sz w:val="20"/>
                  <w:u w:val="single"/>
                </w:rPr>
                <w:t>Note 6 — Deferred Policy Acquisition Costs, Value of Business Acquired and Other Intangibles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88">
              <w:r>
                <w:rPr>
                  <w:rStyle w:val="InternetLink"/>
                  <w:rFonts w:ascii="Times New Roman;sans-serif" w:hAnsi="Times New Roman;sans-serif"/>
                  <w:b w:val="false"/>
                  <w:color w:val="0000FF"/>
                  <w:sz w:val="20"/>
                  <w:u w:val="single"/>
                </w:rPr>
                <w:t>18</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22b5cee3a85542ce8f931fe58d2cdb9e_100">
              <w:r>
                <w:rPr>
                  <w:rStyle w:val="InternetLink"/>
                  <w:rFonts w:ascii="Times New Roman;sans-serif" w:hAnsi="Times New Roman;sans-serif"/>
                  <w:b w:val="false"/>
                  <w:color w:val="0000FF"/>
                  <w:sz w:val="20"/>
                  <w:u w:val="single"/>
                </w:rPr>
                <w:t>Note 7 — Investments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100">
              <w:r>
                <w:rPr>
                  <w:rStyle w:val="InternetLink"/>
                  <w:rFonts w:ascii="Times New Roman;sans-serif" w:hAnsi="Times New Roman;sans-serif"/>
                  <w:b w:val="false"/>
                  <w:color w:val="0000FF"/>
                  <w:sz w:val="20"/>
                  <w:u w:val="single"/>
                </w:rPr>
                <w:t>19</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22b5cee3a85542ce8f931fe58d2cdb9e_163">
              <w:r>
                <w:rPr>
                  <w:rStyle w:val="InternetLink"/>
                  <w:rFonts w:ascii="Times New Roman;sans-serif" w:hAnsi="Times New Roman;sans-serif"/>
                  <w:b w:val="false"/>
                  <w:color w:val="0000FF"/>
                  <w:sz w:val="20"/>
                  <w:u w:val="single"/>
                </w:rPr>
                <w:t>Note 8 — Derivatives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163">
              <w:r>
                <w:rPr>
                  <w:rStyle w:val="InternetLink"/>
                  <w:rFonts w:ascii="Times New Roman;sans-serif" w:hAnsi="Times New Roman;sans-serif"/>
                  <w:b w:val="false"/>
                  <w:color w:val="0000FF"/>
                  <w:sz w:val="20"/>
                  <w:u w:val="single"/>
                </w:rPr>
                <w:t>31</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22b5cee3a85542ce8f931fe58d2cdb9e_190">
              <w:r>
                <w:rPr>
                  <w:rStyle w:val="InternetLink"/>
                  <w:rFonts w:ascii="Times New Roman;sans-serif" w:hAnsi="Times New Roman;sans-serif"/>
                  <w:b w:val="false"/>
                  <w:color w:val="0000FF"/>
                  <w:sz w:val="20"/>
                  <w:u w:val="single"/>
                </w:rPr>
                <w:t>Note 9 — Fair Value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190">
              <w:r>
                <w:rPr>
                  <w:rStyle w:val="InternetLink"/>
                  <w:rFonts w:ascii="Times New Roman;sans-serif" w:hAnsi="Times New Roman;sans-serif"/>
                  <w:b w:val="false"/>
                  <w:color w:val="0000FF"/>
                  <w:sz w:val="20"/>
                  <w:u w:val="single"/>
                </w:rPr>
                <w:t>36</w:t>
              </w:r>
            </w:hyperlink>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856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22b5cee3a85542ce8f931fe58d2cdb9e_226">
              <w:r>
                <w:rPr>
                  <w:rStyle w:val="InternetLink"/>
                  <w:rFonts w:ascii="Times New Roman;sans-serif" w:hAnsi="Times New Roman;sans-serif"/>
                  <w:b w:val="false"/>
                  <w:color w:val="0000FF"/>
                  <w:sz w:val="20"/>
                  <w:u w:val="single"/>
                </w:rPr>
                <w:t>Note 10 — Equity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226">
              <w:r>
                <w:rPr>
                  <w:rStyle w:val="InternetLink"/>
                  <w:rFonts w:ascii="Times New Roman;sans-serif" w:hAnsi="Times New Roman;sans-serif"/>
                  <w:b w:val="false"/>
                  <w:color w:val="0000FF"/>
                  <w:sz w:val="20"/>
                  <w:u w:val="single"/>
                </w:rPr>
                <w:t>45</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22b5cee3a85542ce8f931fe58d2cdb9e_244">
              <w:r>
                <w:rPr>
                  <w:rStyle w:val="InternetLink"/>
                  <w:rFonts w:ascii="Times New Roman;sans-serif" w:hAnsi="Times New Roman;sans-serif"/>
                  <w:b w:val="false"/>
                  <w:color w:val="0000FF"/>
                  <w:sz w:val="20"/>
                  <w:u w:val="single"/>
                </w:rPr>
                <w:t>Note 11 — Other Revenues and Other Expenses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244">
              <w:r>
                <w:rPr>
                  <w:rStyle w:val="InternetLink"/>
                  <w:rFonts w:ascii="Times New Roman;sans-serif" w:hAnsi="Times New Roman;sans-serif"/>
                  <w:b w:val="false"/>
                  <w:color w:val="0000FF"/>
                  <w:sz w:val="20"/>
                  <w:u w:val="single"/>
                </w:rPr>
                <w:t>47</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22b5cee3a85542ce8f931fe58d2cdb9e_253">
              <w:r>
                <w:rPr>
                  <w:rStyle w:val="InternetLink"/>
                  <w:rFonts w:ascii="Times New Roman;sans-serif" w:hAnsi="Times New Roman;sans-serif"/>
                  <w:b w:val="false"/>
                  <w:color w:val="0000FF"/>
                  <w:sz w:val="20"/>
                  <w:u w:val="single"/>
                </w:rPr>
                <w:t>Note 12 — Earnings Per Common Share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253">
              <w:r>
                <w:rPr>
                  <w:rStyle w:val="InternetLink"/>
                  <w:rFonts w:ascii="Times New Roman;sans-serif" w:hAnsi="Times New Roman;sans-serif"/>
                  <w:b w:val="false"/>
                  <w:color w:val="0000FF"/>
                  <w:sz w:val="20"/>
                  <w:u w:val="single"/>
                </w:rPr>
                <w:t>48</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22b5cee3a85542ce8f931fe58d2cdb9e_259">
              <w:r>
                <w:rPr>
                  <w:rStyle w:val="InternetLink"/>
                  <w:rFonts w:ascii="Times New Roman;sans-serif" w:hAnsi="Times New Roman;sans-serif"/>
                  <w:b w:val="false"/>
                  <w:color w:val="0000FF"/>
                  <w:sz w:val="20"/>
                  <w:u w:val="single"/>
                </w:rPr>
                <w:t>Note 13 — Contingencies, Commitments and Guarantees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259">
              <w:r>
                <w:rPr>
                  <w:rStyle w:val="InternetLink"/>
                  <w:rFonts w:ascii="Times New Roman;sans-serif" w:hAnsi="Times New Roman;sans-serif"/>
                  <w:b w:val="false"/>
                  <w:color w:val="0000FF"/>
                  <w:sz w:val="20"/>
                  <w:u w:val="single"/>
                </w:rPr>
                <w:t>49</w:t>
              </w:r>
            </w:hyperlink>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856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274">
              <w:r>
                <w:rPr>
                  <w:rStyle w:val="InternetLink"/>
                  <w:rFonts w:ascii="Times New Roman;sans-serif" w:hAnsi="Times New Roman;sans-serif"/>
                  <w:b/>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22b5cee3a85542ce8f931fe58d2cdb9e_274">
              <w:r>
                <w:rPr>
                  <w:rStyle w:val="InternetLink"/>
                  <w:rFonts w:ascii="Times New Roman;sans-serif" w:hAnsi="Times New Roman;sans-serif"/>
                  <w:b w:val="false"/>
                  <w:color w:val="0000FF"/>
                  <w:sz w:val="20"/>
                  <w:u w:val="single"/>
                </w:rPr>
                <w:t>53</w:t>
              </w:r>
            </w:hyperlink>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493">
              <w:r>
                <w:rPr>
                  <w:rStyle w:val="InternetLink"/>
                  <w:rFonts w:ascii="Times New Roman;sans-serif" w:hAnsi="Times New Roman;sans-serif"/>
                  <w:b/>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22b5cee3a85542ce8f931fe58d2cdb9e_493">
              <w:r>
                <w:rPr>
                  <w:rStyle w:val="InternetLink"/>
                  <w:rFonts w:ascii="Times New Roman;sans-serif" w:hAnsi="Times New Roman;sans-serif"/>
                  <w:b w:val="false"/>
                  <w:color w:val="0000FF"/>
                  <w:sz w:val="20"/>
                  <w:u w:val="single"/>
                </w:rPr>
                <w:t>89</w:t>
              </w:r>
            </w:hyperlink>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499">
              <w:r>
                <w:rPr>
                  <w:rStyle w:val="InternetLink"/>
                  <w:rFonts w:ascii="Times New Roman;sans-serif" w:hAnsi="Times New Roman;sans-serif"/>
                  <w:b/>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499">
              <w:r>
                <w:rPr>
                  <w:rStyle w:val="InternetLink"/>
                  <w:rFonts w:ascii="Times New Roman;sans-serif" w:hAnsi="Times New Roman;sans-serif"/>
                  <w:b w:val="false"/>
                  <w:color w:val="0000FF"/>
                  <w:sz w:val="20"/>
                  <w:u w:val="single"/>
                </w:rPr>
                <w:t>90</w:t>
              </w:r>
            </w:hyperlink>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502">
              <w:r>
                <w:rPr>
                  <w:rStyle w:val="InternetLink"/>
                  <w:rFonts w:ascii="Times New Roman;sans-serif" w:hAnsi="Times New Roman;sans-serif"/>
                  <w:b/>
                  <w:color w:val="0000FF"/>
                  <w:sz w:val="20"/>
                  <w:u w:val="single"/>
                </w:rPr>
                <w:t>Part II — 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505">
              <w:r>
                <w:rPr>
                  <w:rStyle w:val="InternetLink"/>
                  <w:rFonts w:ascii="Times New Roman;sans-serif" w:hAnsi="Times New Roman;sans-serif"/>
                  <w:b/>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22b5cee3a85542ce8f931fe58d2cdb9e_505">
              <w:r>
                <w:rPr>
                  <w:rStyle w:val="InternetLink"/>
                  <w:rFonts w:ascii="Times New Roman;sans-serif" w:hAnsi="Times New Roman;sans-serif"/>
                  <w:b w:val="false"/>
                  <w:color w:val="0000FF"/>
                  <w:sz w:val="20"/>
                  <w:u w:val="single"/>
                </w:rPr>
                <w:t>90</w:t>
              </w:r>
            </w:hyperlink>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1A. </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508">
              <w:r>
                <w:rPr>
                  <w:rStyle w:val="InternetLink"/>
                  <w:rFonts w:ascii="Times New Roman;sans-serif" w:hAnsi="Times New Roman;sans-serif"/>
                  <w:b/>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22b5cee3a85542ce8f931fe58d2cdb9e_508">
              <w:r>
                <w:rPr>
                  <w:rStyle w:val="InternetLink"/>
                  <w:rFonts w:ascii="Times New Roman;sans-serif" w:hAnsi="Times New Roman;sans-serif"/>
                  <w:b w:val="false"/>
                  <w:color w:val="0000FF"/>
                  <w:sz w:val="20"/>
                  <w:u w:val="single"/>
                </w:rPr>
                <w:t>90</w:t>
              </w:r>
            </w:hyperlink>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511">
              <w:r>
                <w:rPr>
                  <w:rStyle w:val="InternetLink"/>
                  <w:rFonts w:ascii="Times New Roman;sans-serif" w:hAnsi="Times New Roman;sans-serif"/>
                  <w:b/>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511">
              <w:r>
                <w:rPr>
                  <w:rStyle w:val="InternetLink"/>
                  <w:rFonts w:ascii="Times New Roman;sans-serif" w:hAnsi="Times New Roman;sans-serif"/>
                  <w:b w:val="false"/>
                  <w:color w:val="0000FF"/>
                  <w:sz w:val="20"/>
                  <w:u w:val="single"/>
                </w:rPr>
                <w:t>90</w:t>
              </w:r>
            </w:hyperlink>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Item 5.</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517">
              <w:r>
                <w:rPr>
                  <w:rStyle w:val="InternetLink"/>
                  <w:rFonts w:ascii="Times New Roman;sans-serif" w:hAnsi="Times New Roman;sans-serif"/>
                  <w:b/>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22b5cee3a85542ce8f931fe58d2cdb9e_517">
              <w:r>
                <w:rPr>
                  <w:rStyle w:val="InternetLink"/>
                  <w:rFonts w:ascii="Times New Roman;sans-serif" w:hAnsi="Times New Roman;sans-serif"/>
                  <w:b w:val="false"/>
                  <w:color w:val="0000FF"/>
                  <w:sz w:val="20"/>
                  <w:u w:val="single"/>
                </w:rPr>
                <w:t>90</w:t>
              </w:r>
            </w:hyperlink>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6. </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529">
              <w:r>
                <w:rPr>
                  <w:rStyle w:val="InternetLink"/>
                  <w:rFonts w:ascii="Times New Roman;sans-serif" w:hAnsi="Times New Roman;sans-serif"/>
                  <w:b/>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529">
              <w:r>
                <w:rPr>
                  <w:rStyle w:val="InternetLink"/>
                  <w:rFonts w:ascii="Times New Roman;sans-serif" w:hAnsi="Times New Roman;sans-serif"/>
                  <w:b w:val="false"/>
                  <w:color w:val="0000FF"/>
                  <w:sz w:val="20"/>
                  <w:u w:val="single"/>
                </w:rPr>
                <w:t>91</w:t>
              </w:r>
            </w:hyperlink>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532">
              <w:r>
                <w:rPr>
                  <w:rStyle w:val="InternetLink"/>
                  <w:rFonts w:ascii="Times New Roman;sans-serif" w:hAnsi="Times New Roman;sans-serif"/>
                  <w:b/>
                  <w:color w:val="0000FF"/>
                  <w:sz w:val="20"/>
                  <w:u w:val="single"/>
                </w:rPr>
                <w:t>Signature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532">
              <w:r>
                <w:rPr>
                  <w:rStyle w:val="InternetLink"/>
                  <w:rFonts w:ascii="Times New Roman;sans-serif" w:hAnsi="Times New Roman;sans-serif"/>
                  <w:b w:val="false"/>
                  <w:color w:val="0000FF"/>
                  <w:sz w:val="20"/>
                  <w:u w:val="single"/>
                </w:rPr>
                <w:t>92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txbxContent>
                </v:textbox>
                <w10:wrap type="none"/>
              </v:rect>
            </w:pict>
          </mc:Fallback>
        </mc:AlternateContent>
      </w:r>
    </w:p>
    <w:p>
      <w:pPr>
        <w:pStyle w:val="TextBody"/>
        <w:bidi w:val="0"/>
        <w:spacing w:lineRule="auto" w:line="288" w:before="0" w:after="0"/>
        <w:jc w:val="both"/>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Interim 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 (Unaudited) and December 31, 2024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millions, except share and per share data)</w:t>
      </w:r>
    </w:p>
    <w:tbl>
      <w:tblPr>
        <w:tblW w:w="10205" w:type="dxa"/>
        <w:jc w:val="center"/>
        <w:tblInd w:w="0" w:type="dxa"/>
        <w:tblLayout w:type="fixed"/>
        <w:tblCellMar>
          <w:top w:w="28" w:type="dxa"/>
          <w:left w:w="28" w:type="dxa"/>
          <w:bottom w:w="28" w:type="dxa"/>
          <w:right w:w="28" w:type="dxa"/>
        </w:tblCellMar>
      </w:tblPr>
      <w:tblGrid>
        <w:gridCol w:w="2529"/>
        <w:gridCol w:w="2233"/>
        <w:gridCol w:w="2262"/>
        <w:gridCol w:w="109"/>
        <w:gridCol w:w="109"/>
        <w:gridCol w:w="109"/>
        <w:gridCol w:w="215"/>
        <w:gridCol w:w="807"/>
        <w:gridCol w:w="119"/>
        <w:gridCol w:w="109"/>
        <w:gridCol w:w="109"/>
        <w:gridCol w:w="109"/>
        <w:gridCol w:w="217"/>
        <w:gridCol w:w="819"/>
        <w:gridCol w:w="350"/>
      </w:tblGrid>
      <w:tr>
        <w:trPr/>
        <w:tc>
          <w:tcPr>
            <w:tcW w:w="2529"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7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Fixed maturity securities available-for-sale, at estimated fair value (amortized cost: $87,070 and $87,603, respectively; allowance for credit losses of $56 and $81,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80,055 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Trading securities, at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 at estimated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Mortgage loans (net of allowance for credit losses of $209 and $178,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23,286 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2,024 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Limited partnerships and limited liability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4,827 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 principally at estimated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1,868 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invested assets, principally at estimated fair value (net of allowance for credit losses of $0 and $0,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5,250 </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117,257 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117,387 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Premiums, reinsurance and other receivables (net of allowance for credit losses of $3 and $3,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21,126 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policy acquisition costs and value of business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4,710 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income tax recoverable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1,875 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 risk benefit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Separate account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85,636 </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234,681 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238,537 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Future policy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31,475 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87,989 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 risk benefit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8,329 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policy-related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3,878 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for collateral under securities loaned and other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3,891 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3,155 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7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Separate account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85,636 </w:t>
            </w:r>
          </w:p>
        </w:tc>
        <w:tc>
          <w:tcPr>
            <w:tcW w:w="35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229,377 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233,513 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Contingencies, Commitments and Guarantees (Note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Brighthouse Financial, Inc.’s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par value $0.01 per share; $1,753 aggregate liquidation preference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per share; 1,000,000,000 shares authorized; 123,983,633 and 123,480,326 shares issued, respectively; 57,868,389 and 58,629,049 shares outstanding,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13,927 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(1,119)</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66,115,244 and 64,851,277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(5,278)</w:t>
            </w:r>
          </w:p>
        </w:tc>
        <w:tc>
          <w:tcPr>
            <w:tcW w:w="35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Brighthouse Financial, Inc.’s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4,959 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5,024 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234,681 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238,537 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00"/>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Interim Condensed 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2025 and 2024 (Unaudited)</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2588"/>
        <w:gridCol w:w="2266"/>
        <w:gridCol w:w="2294"/>
        <w:gridCol w:w="109"/>
        <w:gridCol w:w="109"/>
        <w:gridCol w:w="179"/>
        <w:gridCol w:w="179"/>
        <w:gridCol w:w="322"/>
        <w:gridCol w:w="811"/>
        <w:gridCol w:w="179"/>
        <w:gridCol w:w="109"/>
        <w:gridCol w:w="109"/>
        <w:gridCol w:w="109"/>
        <w:gridCol w:w="196"/>
        <w:gridCol w:w="489"/>
        <w:gridCol w:w="157"/>
      </w:tblGrid>
      <w:tr>
        <w:trPr/>
        <w:tc>
          <w:tcPr>
            <w:tcW w:w="2588"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169" w:type="dxa"/>
            <w:gridSpan w:val="6"/>
            <w:tcBorders/>
          </w:tcPr>
          <w:p>
            <w:pPr>
              <w:pStyle w:val="TableContents"/>
              <w:bidi w:val="0"/>
              <w:spacing w:before="0" w:after="283"/>
              <w:jc w:val="left"/>
              <w:rPr>
                <w:sz w:val="4"/>
                <w:szCs w:val="4"/>
              </w:rPr>
            </w:pPr>
            <w:r>
              <w:rPr>
                <w:sz w:val="4"/>
                <w:szCs w:val="4"/>
              </w:rPr>
            </w:r>
          </w:p>
        </w:tc>
      </w:tr>
      <w:tr>
        <w:trPr/>
        <w:tc>
          <w:tcPr>
            <w:tcW w:w="7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Universal life and investment-type product policy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benefits and claims (including liability remeasurement gains (losses) of $0 and $0,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credited to policyholder account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policy acquisition costs and value of business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Brighthouse Financial,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Preferred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Brighthouse Financial,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95" w:type="dxa"/>
        <w:jc w:val="center"/>
        <w:tblInd w:w="0" w:type="dxa"/>
        <w:tblLayout w:type="fixed"/>
        <w:tblCellMar>
          <w:top w:w="28" w:type="dxa"/>
          <w:left w:w="28" w:type="dxa"/>
          <w:bottom w:w="28" w:type="dxa"/>
          <w:right w:w="28" w:type="dxa"/>
        </w:tblCellMar>
      </w:tblPr>
      <w:tblGrid>
        <w:gridCol w:w="831"/>
        <w:gridCol w:w="731"/>
        <w:gridCol w:w="733"/>
        <w:gridCol w:w="109"/>
        <w:gridCol w:w="109"/>
        <w:gridCol w:w="109"/>
        <w:gridCol w:w="109"/>
        <w:gridCol w:w="196"/>
        <w:gridCol w:w="541"/>
        <w:gridCol w:w="109"/>
        <w:gridCol w:w="109"/>
        <w:gridCol w:w="109"/>
        <w:gridCol w:w="109"/>
        <w:gridCol w:w="196"/>
        <w:gridCol w:w="541"/>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Interim Condensed 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2025 and 2024 (Unaudited)</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11423" w:type="dxa"/>
        <w:jc w:val="center"/>
        <w:tblInd w:w="0" w:type="dxa"/>
        <w:tblLayout w:type="fixed"/>
        <w:tblCellMar>
          <w:top w:w="28" w:type="dxa"/>
          <w:left w:w="28" w:type="dxa"/>
          <w:bottom w:w="28" w:type="dxa"/>
          <w:right w:w="28" w:type="dxa"/>
        </w:tblCellMar>
      </w:tblPr>
      <w:tblGrid>
        <w:gridCol w:w="575"/>
        <w:gridCol w:w="215"/>
        <w:gridCol w:w="216"/>
        <w:gridCol w:w="109"/>
        <w:gridCol w:w="109"/>
        <w:gridCol w:w="109"/>
        <w:gridCol w:w="181"/>
        <w:gridCol w:w="406"/>
        <w:gridCol w:w="109"/>
        <w:gridCol w:w="109"/>
        <w:gridCol w:w="109"/>
        <w:gridCol w:w="109"/>
        <w:gridCol w:w="227"/>
        <w:gridCol w:w="265"/>
        <w:gridCol w:w="139"/>
        <w:gridCol w:w="109"/>
        <w:gridCol w:w="109"/>
        <w:gridCol w:w="109"/>
        <w:gridCol w:w="181"/>
        <w:gridCol w:w="541"/>
        <w:gridCol w:w="109"/>
        <w:gridCol w:w="109"/>
        <w:gridCol w:w="109"/>
        <w:gridCol w:w="109"/>
        <w:gridCol w:w="181"/>
        <w:gridCol w:w="481"/>
        <w:gridCol w:w="109"/>
        <w:gridCol w:w="109"/>
        <w:gridCol w:w="109"/>
        <w:gridCol w:w="109"/>
        <w:gridCol w:w="181"/>
        <w:gridCol w:w="481"/>
        <w:gridCol w:w="109"/>
        <w:gridCol w:w="109"/>
        <w:gridCol w:w="109"/>
        <w:gridCol w:w="109"/>
        <w:gridCol w:w="239"/>
        <w:gridCol w:w="636"/>
        <w:gridCol w:w="146"/>
        <w:gridCol w:w="109"/>
        <w:gridCol w:w="109"/>
        <w:gridCol w:w="109"/>
        <w:gridCol w:w="222"/>
        <w:gridCol w:w="573"/>
        <w:gridCol w:w="136"/>
        <w:gridCol w:w="109"/>
        <w:gridCol w:w="109"/>
        <w:gridCol w:w="109"/>
        <w:gridCol w:w="320"/>
        <w:gridCol w:w="506"/>
        <w:gridCol w:w="195"/>
        <w:gridCol w:w="109"/>
        <w:gridCol w:w="109"/>
        <w:gridCol w:w="109"/>
        <w:gridCol w:w="181"/>
        <w:gridCol w:w="46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Brighthouse Financial, Inc.’s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(5,278)</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4,959 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acquired in connection with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(4,670)</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5,239 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423" w:type="dxa"/>
        <w:jc w:val="center"/>
        <w:tblInd w:w="0" w:type="dxa"/>
        <w:tblLayout w:type="fixed"/>
        <w:tblCellMar>
          <w:top w:w="28" w:type="dxa"/>
          <w:left w:w="28" w:type="dxa"/>
          <w:bottom w:w="28" w:type="dxa"/>
          <w:right w:w="28" w:type="dxa"/>
        </w:tblCellMar>
      </w:tblPr>
      <w:tblGrid>
        <w:gridCol w:w="575"/>
        <w:gridCol w:w="215"/>
        <w:gridCol w:w="216"/>
        <w:gridCol w:w="109"/>
        <w:gridCol w:w="109"/>
        <w:gridCol w:w="109"/>
        <w:gridCol w:w="181"/>
        <w:gridCol w:w="406"/>
        <w:gridCol w:w="109"/>
        <w:gridCol w:w="109"/>
        <w:gridCol w:w="109"/>
        <w:gridCol w:w="109"/>
        <w:gridCol w:w="227"/>
        <w:gridCol w:w="265"/>
        <w:gridCol w:w="139"/>
        <w:gridCol w:w="109"/>
        <w:gridCol w:w="109"/>
        <w:gridCol w:w="109"/>
        <w:gridCol w:w="181"/>
        <w:gridCol w:w="541"/>
        <w:gridCol w:w="109"/>
        <w:gridCol w:w="109"/>
        <w:gridCol w:w="109"/>
        <w:gridCol w:w="109"/>
        <w:gridCol w:w="181"/>
        <w:gridCol w:w="481"/>
        <w:gridCol w:w="109"/>
        <w:gridCol w:w="109"/>
        <w:gridCol w:w="109"/>
        <w:gridCol w:w="109"/>
        <w:gridCol w:w="181"/>
        <w:gridCol w:w="481"/>
        <w:gridCol w:w="109"/>
        <w:gridCol w:w="109"/>
        <w:gridCol w:w="109"/>
        <w:gridCol w:w="109"/>
        <w:gridCol w:w="239"/>
        <w:gridCol w:w="636"/>
        <w:gridCol w:w="146"/>
        <w:gridCol w:w="109"/>
        <w:gridCol w:w="109"/>
        <w:gridCol w:w="109"/>
        <w:gridCol w:w="222"/>
        <w:gridCol w:w="573"/>
        <w:gridCol w:w="136"/>
        <w:gridCol w:w="109"/>
        <w:gridCol w:w="109"/>
        <w:gridCol w:w="109"/>
        <w:gridCol w:w="320"/>
        <w:gridCol w:w="506"/>
        <w:gridCol w:w="195"/>
        <w:gridCol w:w="109"/>
        <w:gridCol w:w="109"/>
        <w:gridCol w:w="109"/>
        <w:gridCol w:w="181"/>
        <w:gridCol w:w="46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Brighthouse Financial, Inc.’s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(5,246)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4,943 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acquired in connection with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(5,413)</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4,195 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Interim 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2025 and 2024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8903" w:type="dxa"/>
        <w:jc w:val="center"/>
        <w:tblInd w:w="0" w:type="dxa"/>
        <w:tblLayout w:type="fixed"/>
        <w:tblCellMar>
          <w:top w:w="28" w:type="dxa"/>
          <w:left w:w="28" w:type="dxa"/>
          <w:bottom w:w="28" w:type="dxa"/>
          <w:right w:w="28" w:type="dxa"/>
        </w:tblCellMar>
      </w:tblPr>
      <w:tblGrid>
        <w:gridCol w:w="2462"/>
        <w:gridCol w:w="2169"/>
        <w:gridCol w:w="2178"/>
        <w:gridCol w:w="196"/>
        <w:gridCol w:w="556"/>
        <w:gridCol w:w="109"/>
        <w:gridCol w:w="109"/>
        <w:gridCol w:w="109"/>
        <w:gridCol w:w="109"/>
        <w:gridCol w:w="196"/>
        <w:gridCol w:w="556"/>
        <w:gridCol w:w="154"/>
      </w:tblGrid>
      <w:tr>
        <w:trPr/>
        <w:tc>
          <w:tcPr>
            <w:tcW w:w="2462"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maturities and repayments of:</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maturity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Mortgage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Limited partnerships and limited liability companies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maturity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Mortgage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Limited partnerships and limited liability companies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received in connection with freestanding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in connection with freestanding derivatives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policy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other invested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Policyholder account balances: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Withdrawals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payables for collateral under securities loaned and other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preferred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acquired in connection with share repurchases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element on certain derivative instruments and other derivative related transactions,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paid (received) for:</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Business, 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Brighthouse Financial, Inc. (“BHF” and, together with its subsidiaries, “Brighthouse Financial” or the “Company”) is a holding company formed in 2016 to own the legal entities that historically operated a substantial portion of MetLife, Inc.’s former retail segment until becoming a separate, publicly-traded company in August 2017. Brighthouse Financial is one of the largest providers of annuity and life insurance products in the U.S. through multiple independent distribution channels and marketing arrangements with a diverse network of distribution partners. The Company is organized into the following reportable segments: Annuities; Life; Run-off; and Corporate &amp; Other.</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Consolidation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consolidated financial statements include the accounts of Brighthouse Financial, as well as partnerships and limited liability companies (“LLC”) that the Company controls. Intercompany accounts and transactions have been eliminated.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2024 consolidated balance sheet data was derived from audited consolidated financial statements included in Brighthouse Financial, Inc.’s Annual Report on Form 10-K for the year ended December 31, 2024 (the “2024 Annual Report”), which include all disclosures required by GAAP. Therefore, these interim condensed consolidated financial statements should be read in conjunction with the consolidated financial statements of the Company included in the 2024 Annual Report.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establishment of a trading portfolio comprised of fixed income securities, the Company updated its impacted accounting policies as described below. See Note 1 of the Notes to the Consolidated Financial Statements included in the 2024 Annual Report for a description of the Company’s accounting policies that did not change.</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Investments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Trading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trading securities consist primarily of fixed maturity securities and are reported at their estimated fair value. Realized and unrealized investment gains (losses) on trading securities are recorded in net investment income on the interim condensed consolidated statements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Adoption of New Accounting Pronouncements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to GAAP are established by the Financial Accounting Standards Board (“FASB”) in the form of accounting standards updates (“ASU”) to the FASB Accounting Standards Codification. The Company considers the applicability and impact of all ASUs. There were no significant ASUs adopted during the period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Business, Basis of Presentation and Summary of Significant Accounting Policies (continued)</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Future Adoption of New Accounting Pronouncements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In November 2024, the FASB issued new guidance on income statement expense disclosures (ASU 2024-03, </w:t>
      </w:r>
      <w:r>
        <w:rPr>
          <w:rFonts w:ascii="Times New Roman;sans-serif" w:hAnsi="Times New Roman;sans-serif"/>
          <w:b w:val="false"/>
          <w:i/>
          <w:color w:val="000000"/>
          <w:sz w:val="20"/>
        </w:rPr>
        <w:t>Income Statement—Reporting Comprehensive Income—Expense Disaggregation Disclosures (Subtopic 220-40)</w:t>
      </w:r>
      <w:r>
        <w:rPr>
          <w:rFonts w:ascii="Times New Roman;sans-serif" w:hAnsi="Times New Roman;sans-serif"/>
          <w:b w:val="false"/>
          <w:color w:val="000000"/>
          <w:sz w:val="20"/>
        </w:rPr>
        <w:t>: Disaggregation of Income Statement Expenses). This ASU requires public companies to disclose additional disaggregated information about expenses in the notes to financial statements at each interim and annual reporting period. This ASU is effective for fiscal years starting January 1, 2027, and for interim periods starting January 1, 2028. This ASU is required to be adopted prospectively with the option of retrospective application. The Company is currently evaluating the impact of this guidance on its financial statements.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In December 2023, the FASB issued new guidance on Income Tax Disclosures (ASU 2023-09,</w:t>
      </w:r>
      <w:r>
        <w:rPr>
          <w:color w:val="000000"/>
        </w:rPr>
        <w:t xml:space="preserve">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This ASU updates the required income tax disclosures to include disclosure of income taxes paid disaggregated by jurisdiction and greater disaggregation of information in the required rate reconciliation. This ASU is effective for annual periods starting with fiscal year 2025, and is to be applied on a prospective basis with the option of retrospective application. The Company is currently evaluating the impact of this guidance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organized and provides its products and services through the following reportable segments: Annuities; Life; Run-off; and Corporate &amp; Other. The Company’s chief operating decision maker (“CODM”) views and manages the business through these segments.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Annuities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Annuities segment consists of a variety of variable, fixed, index-linked and income annuities designed to address contract holders’ needs for protected wealth accumulation on a tax-deferred basis, wealth transfer and income security.</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Life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Life segment consists of insurance products, including term, universal, whole and variable life products designed to address policyholders’ needs for financial security and protected wealth transfer, which may be on a tax-advantaged basis.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Run-off</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Run-off segment consists primarily of products that are no longer actively sold and are separately managed, including universal life with secondary guarantees (“ULSG”), structured settlements, pension risk transfer contracts, certain company-owned life insurance policies and certain funding agreements.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Corporate &amp; Other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Corporate &amp; Other segment consists of activities related to funding agreements associated with the Company’s institutional spread margin business, excess capital not allocated to the other segments, interest expense related to the Company’s outstanding debt, and preferred stock dividends, as well as expenses associated with certain legal proceedings and income tax audit issues. Corporate &amp; Other also includes long-term care business reinsured through 100% quota share reinsurance agreements.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Measure and Segment Accounting Policies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CODM is its Chief Executive Officer (“CEO”). The CEO uses adjusted earnings to evaluate segment performance and facilitate comparisons to industry results.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which may be positive or negative, focuses on the Company’s primary businesses by excluding the impact of market volatility, which could distort trends. Adjusted earnings was updated during the first quarter of 2025 in connection with the establishment of a trading portfolio comprised of certain fixed income securities. The Company did not have trading securities prior to the first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Segment Information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items are excluded from total revenues in calculating adjusted earnings: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investment gains (losses);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 gains (losses) on trading securities measured at estimated fair value through net investment income;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items are excluded from total expenses in calculating adjusted earnings: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 in market risk benefits (“MRB”);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 in fair value of the crediting rate on experience-rated contracts and market value adjustments on institutional group annuities that are economically offset by gains (losses) on the related trading securities (“Market Value Adjustments”).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related to adjusted earnings is calculated using the statutory tax rate of 21%, net of impacts related to the dividends received deduction, tax credits and current period non-recurring items.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Annuities, Life and Run-off segments, if any, are held in Corporate &amp; Other. Segment net investment income reflects the performance of each segment’s respective invested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Segment Information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provide information about the Company’s segments, including significant segment expenses, and reconciliations to Net income (loss) available to common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591"/>
        <w:gridCol w:w="1248"/>
        <w:gridCol w:w="1255"/>
        <w:gridCol w:w="109"/>
        <w:gridCol w:w="109"/>
        <w:gridCol w:w="109"/>
        <w:gridCol w:w="196"/>
        <w:gridCol w:w="556"/>
        <w:gridCol w:w="109"/>
        <w:gridCol w:w="109"/>
        <w:gridCol w:w="109"/>
        <w:gridCol w:w="109"/>
        <w:gridCol w:w="196"/>
        <w:gridCol w:w="421"/>
        <w:gridCol w:w="109"/>
        <w:gridCol w:w="109"/>
        <w:gridCol w:w="109"/>
        <w:gridCol w:w="109"/>
        <w:gridCol w:w="196"/>
        <w:gridCol w:w="421"/>
        <w:gridCol w:w="109"/>
        <w:gridCol w:w="109"/>
        <w:gridCol w:w="109"/>
        <w:gridCol w:w="109"/>
        <w:gridCol w:w="338"/>
        <w:gridCol w:w="727"/>
        <w:gridCol w:w="188"/>
        <w:gridCol w:w="109"/>
        <w:gridCol w:w="109"/>
        <w:gridCol w:w="109"/>
        <w:gridCol w:w="196"/>
        <w:gridCol w:w="556"/>
        <w:gridCol w:w="158"/>
      </w:tblGrid>
      <w:tr>
        <w:trPr/>
        <w:tc>
          <w:tcPr>
            <w:tcW w:w="159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Revenues excluded from adjusted earnings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benefits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credited to policyholder account balances, excluding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gains (losses) on trading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 excluding investment hedge adjustments of $0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Segment Information (continued)</w:t>
      </w:r>
    </w:p>
    <w:tbl>
      <w:tblPr>
        <w:tblW w:w="10205" w:type="dxa"/>
        <w:jc w:val="left"/>
        <w:tblInd w:w="0" w:type="dxa"/>
        <w:tblLayout w:type="fixed"/>
        <w:tblCellMar>
          <w:top w:w="28" w:type="dxa"/>
          <w:left w:w="28" w:type="dxa"/>
          <w:bottom w:w="28" w:type="dxa"/>
          <w:right w:w="28" w:type="dxa"/>
        </w:tblCellMar>
      </w:tblPr>
      <w:tblGrid>
        <w:gridCol w:w="1618"/>
        <w:gridCol w:w="1279"/>
        <w:gridCol w:w="1286"/>
        <w:gridCol w:w="109"/>
        <w:gridCol w:w="109"/>
        <w:gridCol w:w="109"/>
        <w:gridCol w:w="196"/>
        <w:gridCol w:w="488"/>
        <w:gridCol w:w="109"/>
        <w:gridCol w:w="109"/>
        <w:gridCol w:w="109"/>
        <w:gridCol w:w="109"/>
        <w:gridCol w:w="196"/>
        <w:gridCol w:w="421"/>
        <w:gridCol w:w="109"/>
        <w:gridCol w:w="109"/>
        <w:gridCol w:w="109"/>
        <w:gridCol w:w="109"/>
        <w:gridCol w:w="196"/>
        <w:gridCol w:w="472"/>
        <w:gridCol w:w="109"/>
        <w:gridCol w:w="109"/>
        <w:gridCol w:w="109"/>
        <w:gridCol w:w="109"/>
        <w:gridCol w:w="341"/>
        <w:gridCol w:w="734"/>
        <w:gridCol w:w="190"/>
        <w:gridCol w:w="109"/>
        <w:gridCol w:w="109"/>
        <w:gridCol w:w="109"/>
        <w:gridCol w:w="196"/>
        <w:gridCol w:w="472"/>
        <w:gridCol w:w="158"/>
      </w:tblGrid>
      <w:tr>
        <w:trPr/>
        <w:tc>
          <w:tcPr>
            <w:tcW w:w="161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4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Revenues excluded from adjusted earnings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benefits and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credited to policyholder account balances, excluding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gains (losses) on trading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 excluding investment hedge adjustments of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(1)For each reportable segment, certain revenues are excluded from adjusted earnings (loss), including net investment gains (losses), investment gains (losses) on trading securities and net derivative gains (losses), excluding investment hedge adjustments.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(2)Other expenses include corporate expense allocations directly attributable to each of the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 by segment were as follows at:</w:t>
      </w:r>
    </w:p>
    <w:tbl>
      <w:tblPr>
        <w:tblW w:w="4914" w:type="dxa"/>
        <w:jc w:val="left"/>
        <w:tblInd w:w="0" w:type="dxa"/>
        <w:tblLayout w:type="fixed"/>
        <w:tblCellMar>
          <w:top w:w="28" w:type="dxa"/>
          <w:left w:w="28" w:type="dxa"/>
          <w:bottom w:w="28" w:type="dxa"/>
          <w:right w:w="28" w:type="dxa"/>
        </w:tblCellMar>
      </w:tblPr>
      <w:tblGrid>
        <w:gridCol w:w="527"/>
        <w:gridCol w:w="461"/>
        <w:gridCol w:w="467"/>
        <w:gridCol w:w="109"/>
        <w:gridCol w:w="109"/>
        <w:gridCol w:w="109"/>
        <w:gridCol w:w="237"/>
        <w:gridCol w:w="891"/>
        <w:gridCol w:w="132"/>
        <w:gridCol w:w="109"/>
        <w:gridCol w:w="109"/>
        <w:gridCol w:w="109"/>
        <w:gridCol w:w="279"/>
        <w:gridCol w:w="1047"/>
        <w:gridCol w:w="219"/>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163,830 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26,261 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234,681 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238,537 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Segment Information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premiums, universal life and investment-type product policy fees and other revenues by major product group were as follows:</w:t>
      </w:r>
    </w:p>
    <w:tbl>
      <w:tblPr>
        <w:tblW w:w="4811" w:type="dxa"/>
        <w:jc w:val="left"/>
        <w:tblInd w:w="0" w:type="dxa"/>
        <w:tblLayout w:type="fixed"/>
        <w:tblCellMar>
          <w:top w:w="28" w:type="dxa"/>
          <w:left w:w="28" w:type="dxa"/>
          <w:bottom w:w="28" w:type="dxa"/>
          <w:right w:w="28" w:type="dxa"/>
        </w:tblCellMar>
      </w:tblPr>
      <w:tblGrid>
        <w:gridCol w:w="645"/>
        <w:gridCol w:w="568"/>
        <w:gridCol w:w="572"/>
        <w:gridCol w:w="109"/>
        <w:gridCol w:w="109"/>
        <w:gridCol w:w="109"/>
        <w:gridCol w:w="150"/>
        <w:gridCol w:w="150"/>
        <w:gridCol w:w="150"/>
        <w:gridCol w:w="150"/>
        <w:gridCol w:w="270"/>
        <w:gridCol w:w="581"/>
        <w:gridCol w:w="150"/>
        <w:gridCol w:w="109"/>
        <w:gridCol w:w="109"/>
        <w:gridCol w:w="109"/>
        <w:gridCol w:w="196"/>
        <w:gridCol w:w="421"/>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Annuity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Life insurance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premiums, universal life and investment-type product policy fees and other revenues originated in the U.S.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derived from any individual customer did not exceed 10% of premiums, universal life and investment-type product policy fees and other revenues for the three months ended March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Insurance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Liability for Future Policy Benefits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regarding liability for future policy benefits (“LFPB”) for non-participating traditional and limited-payment contracts was as follows: </w:t>
      </w:r>
    </w:p>
    <w:tbl>
      <w:tblPr>
        <w:tblW w:w="10205" w:type="dxa"/>
        <w:jc w:val="left"/>
        <w:tblInd w:w="0" w:type="dxa"/>
        <w:tblLayout w:type="fixed"/>
        <w:tblCellMar>
          <w:top w:w="28" w:type="dxa"/>
          <w:left w:w="28" w:type="dxa"/>
          <w:bottom w:w="28" w:type="dxa"/>
          <w:right w:w="28" w:type="dxa"/>
        </w:tblCellMar>
      </w:tblPr>
      <w:tblGrid>
        <w:gridCol w:w="910"/>
        <w:gridCol w:w="343"/>
        <w:gridCol w:w="344"/>
        <w:gridCol w:w="109"/>
        <w:gridCol w:w="109"/>
        <w:gridCol w:w="109"/>
        <w:gridCol w:w="208"/>
        <w:gridCol w:w="591"/>
        <w:gridCol w:w="256"/>
        <w:gridCol w:w="109"/>
        <w:gridCol w:w="109"/>
        <w:gridCol w:w="109"/>
        <w:gridCol w:w="197"/>
        <w:gridCol w:w="561"/>
        <w:gridCol w:w="243"/>
        <w:gridCol w:w="109"/>
        <w:gridCol w:w="109"/>
        <w:gridCol w:w="109"/>
        <w:gridCol w:w="224"/>
        <w:gridCol w:w="740"/>
        <w:gridCol w:w="276"/>
        <w:gridCol w:w="109"/>
        <w:gridCol w:w="109"/>
        <w:gridCol w:w="109"/>
        <w:gridCol w:w="208"/>
        <w:gridCol w:w="591"/>
        <w:gridCol w:w="256"/>
        <w:gridCol w:w="109"/>
        <w:gridCol w:w="109"/>
        <w:gridCol w:w="109"/>
        <w:gridCol w:w="197"/>
        <w:gridCol w:w="561"/>
        <w:gridCol w:w="243"/>
        <w:gridCol w:w="109"/>
        <w:gridCol w:w="109"/>
        <w:gridCol w:w="109"/>
        <w:gridCol w:w="223"/>
        <w:gridCol w:w="736"/>
        <w:gridCol w:w="335"/>
      </w:tblGrid>
      <w:tr>
        <w:trPr/>
        <w:tc>
          <w:tcPr>
            <w:tcW w:w="91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Term and Whole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Income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Structured Settlement and Pension Risk Transfer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Term and Whole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Income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Structured Settlement and Pension Risk Transfer Annuities</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millions)</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Present value of expected net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 at original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model refinements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actual variances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premiums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 at original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changes in discount rate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Present value of expected future policy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6,697 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 at original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7,085 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model refinements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actual variances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4,140 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6,857 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4,035 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7,083 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 at original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4,160 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6,798 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4,068 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7,013 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changes in discount rate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3,810 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6,109 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3,717 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6,437 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liability for future policy benefits,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3,810 </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6,109 </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2,446 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3,717 </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6,437 </w:t>
            </w:r>
          </w:p>
        </w:tc>
        <w:tc>
          <w:tcPr>
            <w:tcW w:w="3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Reinsurance recoverable,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liability for future policy benefits, after reinsurance recoverable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3,687 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6,375 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duration of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years</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interest accretion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4.05 </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3.99 </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5.31 </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premiums or assessments recognized during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future gross premiums,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future gross premiums, 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future benefit payments,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13,173 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13,622 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future benefit payments, 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7,013 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Insurance Liabilities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the additional insurance liabilities for universal life-type contracts with secondary guarantees was as follows:</w:t>
      </w:r>
    </w:p>
    <w:tbl>
      <w:tblPr>
        <w:tblW w:w="7485" w:type="dxa"/>
        <w:jc w:val="center"/>
        <w:tblInd w:w="0" w:type="dxa"/>
        <w:tblLayout w:type="fixed"/>
        <w:tblCellMar>
          <w:top w:w="28" w:type="dxa"/>
          <w:left w:w="28" w:type="dxa"/>
          <w:bottom w:w="28" w:type="dxa"/>
          <w:right w:w="28" w:type="dxa"/>
        </w:tblCellMar>
      </w:tblPr>
      <w:tblGrid>
        <w:gridCol w:w="1727"/>
        <w:gridCol w:w="1515"/>
        <w:gridCol w:w="1528"/>
        <w:gridCol w:w="109"/>
        <w:gridCol w:w="109"/>
        <w:gridCol w:w="109"/>
        <w:gridCol w:w="196"/>
        <w:gridCol w:w="556"/>
        <w:gridCol w:w="256"/>
        <w:gridCol w:w="109"/>
        <w:gridCol w:w="109"/>
        <w:gridCol w:w="109"/>
        <w:gridCol w:w="196"/>
        <w:gridCol w:w="556"/>
        <w:gridCol w:w="301"/>
      </w:tblGrid>
      <w:tr>
        <w:trPr/>
        <w:tc>
          <w:tcPr>
            <w:tcW w:w="172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 before the effect of unrealized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actual variances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7,824 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assessments collected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 before the effect of unrealized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7,906 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unrealized gains and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7,686 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Reinsurance recoverable,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additional liability, after reinsurance recoverable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6,239 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duration of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6.7 years</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interest accretion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Gross assessments recognized during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net LFPBs for non-participating traditional and limited-payment contracts and the additional insurance liabilities for universal life-type contracts with secondary guarantees reported in the preceding rollforward tables to LFPBs on the consolidated balance sheets was as follows at:</w:t>
      </w:r>
    </w:p>
    <w:tbl>
      <w:tblPr>
        <w:tblW w:w="7340" w:type="dxa"/>
        <w:jc w:val="center"/>
        <w:tblInd w:w="0" w:type="dxa"/>
        <w:tblLayout w:type="fixed"/>
        <w:tblCellMar>
          <w:top w:w="28" w:type="dxa"/>
          <w:left w:w="28" w:type="dxa"/>
          <w:bottom w:w="28" w:type="dxa"/>
          <w:right w:w="28" w:type="dxa"/>
        </w:tblCellMar>
      </w:tblPr>
      <w:tblGrid>
        <w:gridCol w:w="1715"/>
        <w:gridCol w:w="1507"/>
        <w:gridCol w:w="1517"/>
        <w:gridCol w:w="109"/>
        <w:gridCol w:w="109"/>
        <w:gridCol w:w="109"/>
        <w:gridCol w:w="196"/>
        <w:gridCol w:w="646"/>
        <w:gridCol w:w="109"/>
        <w:gridCol w:w="109"/>
        <w:gridCol w:w="109"/>
        <w:gridCol w:w="109"/>
        <w:gridCol w:w="196"/>
        <w:gridCol w:w="646"/>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reported in the preceding rollforward tables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care insurance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ULSG liabilities, including liability for profits followed by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Participating whole life insurance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 profit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liability for future policy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liabilities related to fully reinsured individual long-term care insurance. See Note 2.</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(2)Participating whole life insurance uses an interest assumption based on the non-forfeiture interest rate, ranging from 3.5% to 4.5%, and mortality rates guaranteed in calculating the cash surrender values described in such contracts, and also includes a liability for terminal dividends. Participating whole life insurance represented 3% of the Company’s life insurance in-force at both March 31, 2025 and 2024, and 39% and 41% of gross traditional life insurance premiums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Insurance Liabilities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Policyholder Account Balances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policyholder account balances was as follows:</w:t>
      </w:r>
    </w:p>
    <w:tbl>
      <w:tblPr>
        <w:tblW w:w="10205" w:type="dxa"/>
        <w:jc w:val="left"/>
        <w:tblInd w:w="0" w:type="dxa"/>
        <w:tblLayout w:type="fixed"/>
        <w:tblCellMar>
          <w:top w:w="28" w:type="dxa"/>
          <w:left w:w="28" w:type="dxa"/>
          <w:bottom w:w="28" w:type="dxa"/>
          <w:right w:w="28" w:type="dxa"/>
        </w:tblCellMar>
      </w:tblPr>
      <w:tblGrid>
        <w:gridCol w:w="972"/>
        <w:gridCol w:w="301"/>
        <w:gridCol w:w="304"/>
        <w:gridCol w:w="109"/>
        <w:gridCol w:w="109"/>
        <w:gridCol w:w="109"/>
        <w:gridCol w:w="210"/>
        <w:gridCol w:w="598"/>
        <w:gridCol w:w="259"/>
        <w:gridCol w:w="109"/>
        <w:gridCol w:w="109"/>
        <w:gridCol w:w="109"/>
        <w:gridCol w:w="206"/>
        <w:gridCol w:w="586"/>
        <w:gridCol w:w="254"/>
        <w:gridCol w:w="109"/>
        <w:gridCol w:w="109"/>
        <w:gridCol w:w="109"/>
        <w:gridCol w:w="204"/>
        <w:gridCol w:w="675"/>
        <w:gridCol w:w="251"/>
        <w:gridCol w:w="109"/>
        <w:gridCol w:w="109"/>
        <w:gridCol w:w="109"/>
        <w:gridCol w:w="201"/>
        <w:gridCol w:w="664"/>
        <w:gridCol w:w="248"/>
        <w:gridCol w:w="109"/>
        <w:gridCol w:w="109"/>
        <w:gridCol w:w="109"/>
        <w:gridCol w:w="196"/>
        <w:gridCol w:w="556"/>
        <w:gridCol w:w="241"/>
        <w:gridCol w:w="109"/>
        <w:gridCol w:w="109"/>
        <w:gridCol w:w="109"/>
        <w:gridCol w:w="246"/>
        <w:gridCol w:w="700"/>
        <w:gridCol w:w="371"/>
      </w:tblGrid>
      <w:tr>
        <w:trPr/>
        <w:tc>
          <w:tcPr>
            <w:tcW w:w="9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Universal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Variable Annuities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ULSG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Company-Owned Life Insurance (1)</w:t>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millions)</w:t>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48,605 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Premiums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Surrenders and withdrawals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transfers from (to) separate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credited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related to embedded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2,597 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3,730 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47,896 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14,516 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crediting rate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0.96 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0.63 </w:t>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0.48 </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0.97 </w:t>
            </w:r>
          </w:p>
        </w:tc>
        <w:tc>
          <w:tcPr>
            <w:tcW w:w="2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0.82 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0.65 </w:t>
            </w:r>
          </w:p>
        </w:tc>
        <w:tc>
          <w:tcPr>
            <w:tcW w:w="3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41,627 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14,672 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Premiums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Surrenders and withdrawals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transfers from (to) separate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credited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related to 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2,561 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4,170 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44,350 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14,923 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crediting rate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0.98 </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0.66 </w:t>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0.41 </w:t>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0.94 </w:t>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0.80 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3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liabilities related to separate account products where the contract holder elected a general account investment option.</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(2)Excludes the effects of embedded derivatives related to index-linked crediting rates.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policyholder account balances reported in the preceding rollforward table to the liability for policyholder account balances on the consolidated balance sheets was as follows at:</w:t>
      </w:r>
    </w:p>
    <w:tbl>
      <w:tblPr>
        <w:tblW w:w="7881" w:type="dxa"/>
        <w:jc w:val="center"/>
        <w:tblInd w:w="0" w:type="dxa"/>
        <w:tblLayout w:type="fixed"/>
        <w:tblCellMar>
          <w:top w:w="28" w:type="dxa"/>
          <w:left w:w="28" w:type="dxa"/>
          <w:bottom w:w="28" w:type="dxa"/>
          <w:right w:w="28" w:type="dxa"/>
        </w:tblCellMar>
      </w:tblPr>
      <w:tblGrid>
        <w:gridCol w:w="1913"/>
        <w:gridCol w:w="1681"/>
        <w:gridCol w:w="1686"/>
        <w:gridCol w:w="109"/>
        <w:gridCol w:w="109"/>
        <w:gridCol w:w="109"/>
        <w:gridCol w:w="196"/>
        <w:gridCol w:w="646"/>
        <w:gridCol w:w="109"/>
        <w:gridCol w:w="109"/>
        <w:gridCol w:w="109"/>
        <w:gridCol w:w="109"/>
        <w:gridCol w:w="196"/>
        <w:gridCol w:w="646"/>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 reported in the preceding rollforward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Funding agreements classified as investment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Institutional group 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investment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Insurance Liabilities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 of account values by range of guaranteed minimum crediting rates and the related range of difference, in basis points, between rates being credited to policyholders and the respective guaranteed minimums was as follows at:</w:t>
      </w:r>
    </w:p>
    <w:tbl>
      <w:tblPr>
        <w:tblW w:w="10205" w:type="dxa"/>
        <w:jc w:val="left"/>
        <w:tblInd w:w="0" w:type="dxa"/>
        <w:tblLayout w:type="fixed"/>
        <w:tblCellMar>
          <w:top w:w="28" w:type="dxa"/>
          <w:left w:w="28" w:type="dxa"/>
          <w:bottom w:w="28" w:type="dxa"/>
          <w:right w:w="28" w:type="dxa"/>
        </w:tblCellMar>
      </w:tblPr>
      <w:tblGrid>
        <w:gridCol w:w="711"/>
        <w:gridCol w:w="624"/>
        <w:gridCol w:w="628"/>
        <w:gridCol w:w="109"/>
        <w:gridCol w:w="109"/>
        <w:gridCol w:w="109"/>
        <w:gridCol w:w="304"/>
        <w:gridCol w:w="865"/>
        <w:gridCol w:w="169"/>
        <w:gridCol w:w="109"/>
        <w:gridCol w:w="109"/>
        <w:gridCol w:w="109"/>
        <w:gridCol w:w="296"/>
        <w:gridCol w:w="841"/>
        <w:gridCol w:w="164"/>
        <w:gridCol w:w="109"/>
        <w:gridCol w:w="109"/>
        <w:gridCol w:w="109"/>
        <w:gridCol w:w="312"/>
        <w:gridCol w:w="885"/>
        <w:gridCol w:w="173"/>
        <w:gridCol w:w="109"/>
        <w:gridCol w:w="109"/>
        <w:gridCol w:w="109"/>
        <w:gridCol w:w="362"/>
        <w:gridCol w:w="1029"/>
        <w:gridCol w:w="201"/>
        <w:gridCol w:w="109"/>
        <w:gridCol w:w="109"/>
        <w:gridCol w:w="109"/>
        <w:gridCol w:w="196"/>
        <w:gridCol w:w="646"/>
        <w:gridCol w:w="16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Range of Guaranteed Minimum Crediting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At Guaranteed Minimum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 to 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51 to 150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Greater than 150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Annuities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Life insurance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ULSG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Annuities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Life insurance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ULSG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policyholder account balances for fixed rate annuities and the fixed account portion of variable annuities.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(2)Includes policyholder account balances for retained asset accounts, universal life policies and the fixed account portion of universal variable life insurance policies.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(3)Amounts are gross of policy loans.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5 for information regarding net amount at risk and cash surrender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before="180" w:after="283"/>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Market Risk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MRB assets and liabilities associated with variable annuities was as follows:</w:t>
      </w:r>
    </w:p>
    <w:tbl>
      <w:tblPr>
        <w:tblW w:w="9022" w:type="dxa"/>
        <w:jc w:val="center"/>
        <w:tblInd w:w="0" w:type="dxa"/>
        <w:tblLayout w:type="fixed"/>
        <w:tblCellMar>
          <w:top w:w="28" w:type="dxa"/>
          <w:left w:w="28" w:type="dxa"/>
          <w:bottom w:w="28" w:type="dxa"/>
          <w:right w:w="28" w:type="dxa"/>
        </w:tblCellMar>
      </w:tblPr>
      <w:tblGrid>
        <w:gridCol w:w="2042"/>
        <w:gridCol w:w="1791"/>
        <w:gridCol w:w="1807"/>
        <w:gridCol w:w="109"/>
        <w:gridCol w:w="109"/>
        <w:gridCol w:w="109"/>
        <w:gridCol w:w="109"/>
        <w:gridCol w:w="109"/>
        <w:gridCol w:w="162"/>
        <w:gridCol w:w="162"/>
        <w:gridCol w:w="291"/>
        <w:gridCol w:w="827"/>
        <w:gridCol w:w="162"/>
        <w:gridCol w:w="109"/>
        <w:gridCol w:w="109"/>
        <w:gridCol w:w="109"/>
        <w:gridCol w:w="196"/>
        <w:gridCol w:w="556"/>
        <w:gridCol w:w="154"/>
      </w:tblGrid>
      <w:tr>
        <w:trPr/>
        <w:tc>
          <w:tcPr>
            <w:tcW w:w="2042"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 before effect of changes in nonperformance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actual different from expected experience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fund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risk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Aging of the block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 before effect of changes in nonperformance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nonperformance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Reinsurance recoverable,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 net of reinsurance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attained age of contract holder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 years</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(1)Amounts represent the sum of MRB assets and MRB liabilities presented on the consolidated balance sheets at March 31, 2025 and 2024, with the exception of $30 million and $8 million, respectively, of index-linked annuities not included in this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Separate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Separate Accounts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separate account liabilities was as follows:</w:t>
      </w:r>
    </w:p>
    <w:tbl>
      <w:tblPr>
        <w:tblW w:w="10205" w:type="dxa"/>
        <w:jc w:val="left"/>
        <w:tblInd w:w="0" w:type="dxa"/>
        <w:tblLayout w:type="fixed"/>
        <w:tblCellMar>
          <w:top w:w="28" w:type="dxa"/>
          <w:left w:w="28" w:type="dxa"/>
          <w:bottom w:w="28" w:type="dxa"/>
          <w:right w:w="28" w:type="dxa"/>
        </w:tblCellMar>
      </w:tblPr>
      <w:tblGrid>
        <w:gridCol w:w="602"/>
        <w:gridCol w:w="306"/>
        <w:gridCol w:w="309"/>
        <w:gridCol w:w="109"/>
        <w:gridCol w:w="109"/>
        <w:gridCol w:w="109"/>
        <w:gridCol w:w="207"/>
        <w:gridCol w:w="685"/>
        <w:gridCol w:w="115"/>
        <w:gridCol w:w="109"/>
        <w:gridCol w:w="109"/>
        <w:gridCol w:w="109"/>
        <w:gridCol w:w="222"/>
        <w:gridCol w:w="630"/>
        <w:gridCol w:w="123"/>
        <w:gridCol w:w="109"/>
        <w:gridCol w:w="109"/>
        <w:gridCol w:w="109"/>
        <w:gridCol w:w="342"/>
        <w:gridCol w:w="970"/>
        <w:gridCol w:w="191"/>
        <w:gridCol w:w="109"/>
        <w:gridCol w:w="109"/>
        <w:gridCol w:w="109"/>
        <w:gridCol w:w="207"/>
        <w:gridCol w:w="685"/>
        <w:gridCol w:w="115"/>
        <w:gridCol w:w="109"/>
        <w:gridCol w:w="109"/>
        <w:gridCol w:w="109"/>
        <w:gridCol w:w="222"/>
        <w:gridCol w:w="630"/>
        <w:gridCol w:w="123"/>
        <w:gridCol w:w="109"/>
        <w:gridCol w:w="109"/>
        <w:gridCol w:w="109"/>
        <w:gridCol w:w="334"/>
        <w:gridCol w:w="950"/>
        <w:gridCol w:w="275"/>
      </w:tblGrid>
      <w:tr>
        <w:trPr/>
        <w:tc>
          <w:tcPr>
            <w:tcW w:w="60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Company-Owned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Company-Owned Life Insurance</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Surrenders and withdrawals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performance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transfers from (to) general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73,889 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81,792 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6,259 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5. Separate Accounts (continued)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separate account liabilities reported in the preceding rollforward table to the separate account liabilities balance on the consolidated balance sheets was as follows at:</w:t>
      </w:r>
    </w:p>
    <w:tbl>
      <w:tblPr>
        <w:tblW w:w="7610" w:type="dxa"/>
        <w:jc w:val="center"/>
        <w:tblInd w:w="0" w:type="dxa"/>
        <w:tblLayout w:type="fixed"/>
        <w:tblCellMar>
          <w:top w:w="28" w:type="dxa"/>
          <w:left w:w="28" w:type="dxa"/>
          <w:bottom w:w="28" w:type="dxa"/>
          <w:right w:w="28" w:type="dxa"/>
        </w:tblCellMar>
      </w:tblPr>
      <w:tblGrid>
        <w:gridCol w:w="1813"/>
        <w:gridCol w:w="1593"/>
        <w:gridCol w:w="1603"/>
        <w:gridCol w:w="109"/>
        <w:gridCol w:w="109"/>
        <w:gridCol w:w="109"/>
        <w:gridCol w:w="196"/>
        <w:gridCol w:w="646"/>
        <w:gridCol w:w="109"/>
        <w:gridCol w:w="109"/>
        <w:gridCol w:w="109"/>
        <w:gridCol w:w="109"/>
        <w:gridCol w:w="196"/>
        <w:gridCol w:w="646"/>
        <w:gridCol w:w="154"/>
      </w:tblGrid>
      <w:tr>
        <w:trPr/>
        <w:tc>
          <w:tcPr>
            <w:tcW w:w="181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 reported in the preceding rollforward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income annuities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risk transfer 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separate account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90,332 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estimated fair value of assets, by major investment asset category, supporting separate accounts was as follows at:</w:t>
      </w:r>
    </w:p>
    <w:tbl>
      <w:tblPr>
        <w:tblW w:w="6727" w:type="dxa"/>
        <w:jc w:val="center"/>
        <w:tblInd w:w="0" w:type="dxa"/>
        <w:tblLayout w:type="fixed"/>
        <w:tblCellMar>
          <w:top w:w="28" w:type="dxa"/>
          <w:left w:w="28" w:type="dxa"/>
          <w:bottom w:w="28" w:type="dxa"/>
          <w:right w:w="28" w:type="dxa"/>
        </w:tblCellMar>
      </w:tblPr>
      <w:tblGrid>
        <w:gridCol w:w="1181"/>
        <w:gridCol w:w="1039"/>
        <w:gridCol w:w="1049"/>
        <w:gridCol w:w="109"/>
        <w:gridCol w:w="109"/>
        <w:gridCol w:w="109"/>
        <w:gridCol w:w="259"/>
        <w:gridCol w:w="856"/>
        <w:gridCol w:w="144"/>
        <w:gridCol w:w="109"/>
        <w:gridCol w:w="109"/>
        <w:gridCol w:w="109"/>
        <w:gridCol w:w="304"/>
        <w:gridCol w:w="1002"/>
        <w:gridCol w:w="239"/>
      </w:tblGrid>
      <w:tr>
        <w:trPr/>
        <w:tc>
          <w:tcPr>
            <w:tcW w:w="1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82,309 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85,423 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aggregate estimated fair value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82,524 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85,636 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Amount at Risk and Cash Surrender Values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the net amount at risk and cash surrender value for insurance products was as follows at:</w:t>
      </w:r>
    </w:p>
    <w:tbl>
      <w:tblPr>
        <w:tblW w:w="10205" w:type="dxa"/>
        <w:jc w:val="left"/>
        <w:tblInd w:w="0" w:type="dxa"/>
        <w:tblLayout w:type="fixed"/>
        <w:tblCellMar>
          <w:top w:w="28" w:type="dxa"/>
          <w:left w:w="28" w:type="dxa"/>
          <w:bottom w:w="28" w:type="dxa"/>
          <w:right w:w="28" w:type="dxa"/>
        </w:tblCellMar>
      </w:tblPr>
      <w:tblGrid>
        <w:gridCol w:w="783"/>
        <w:gridCol w:w="504"/>
        <w:gridCol w:w="461"/>
        <w:gridCol w:w="109"/>
        <w:gridCol w:w="109"/>
        <w:gridCol w:w="109"/>
        <w:gridCol w:w="223"/>
        <w:gridCol w:w="736"/>
        <w:gridCol w:w="124"/>
        <w:gridCol w:w="109"/>
        <w:gridCol w:w="109"/>
        <w:gridCol w:w="109"/>
        <w:gridCol w:w="207"/>
        <w:gridCol w:w="685"/>
        <w:gridCol w:w="115"/>
        <w:gridCol w:w="109"/>
        <w:gridCol w:w="109"/>
        <w:gridCol w:w="109"/>
        <w:gridCol w:w="218"/>
        <w:gridCol w:w="719"/>
        <w:gridCol w:w="121"/>
        <w:gridCol w:w="109"/>
        <w:gridCol w:w="109"/>
        <w:gridCol w:w="109"/>
        <w:gridCol w:w="212"/>
        <w:gridCol w:w="700"/>
        <w:gridCol w:w="118"/>
        <w:gridCol w:w="109"/>
        <w:gridCol w:w="109"/>
        <w:gridCol w:w="109"/>
        <w:gridCol w:w="196"/>
        <w:gridCol w:w="646"/>
        <w:gridCol w:w="109"/>
        <w:gridCol w:w="109"/>
        <w:gridCol w:w="109"/>
        <w:gridCol w:w="109"/>
        <w:gridCol w:w="260"/>
        <w:gridCol w:w="741"/>
        <w:gridCol w:w="365"/>
      </w:tblGrid>
      <w:tr>
        <w:trPr/>
        <w:tc>
          <w:tcPr>
            <w:tcW w:w="78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Universal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ULSG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Company-Owned Life Insurance</w:t>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 balances reported in the preceding rollforward tables: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2,249 </w:t>
            </w:r>
          </w:p>
        </w:tc>
        <w:tc>
          <w:tcPr>
            <w:tcW w:w="365"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77,619 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47,896 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2,922 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amount at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32,855 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13,271 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2,607 </w:t>
            </w:r>
          </w:p>
        </w:tc>
        <w:tc>
          <w:tcPr>
            <w:tcW w:w="3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surrender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 balances reported in the preceding rollforward tables: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2,054 </w:t>
            </w:r>
          </w:p>
        </w:tc>
        <w:tc>
          <w:tcPr>
            <w:tcW w:w="365"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85,962 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44,350 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amount at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34,968 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12,269 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2,685 </w:t>
            </w:r>
          </w:p>
        </w:tc>
        <w:tc>
          <w:tcPr>
            <w:tcW w:w="3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surrender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Products may contain both separate account and general account fund options; accordingly, net amount at risk and cash surrender value reported in the table above relate to the total account balance for each respective product grouping.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before="180" w:after="283"/>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Deferred Policy Acquisition Costs, Value of Business Acquired and Other Intangibles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Deferred Policy Acquisition Costs and Value of Business Acquired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deferred policy acquisition costs (“DAC”) and value of business acquired (“VOBA”) was as follows:</w:t>
      </w:r>
    </w:p>
    <w:tbl>
      <w:tblPr>
        <w:tblW w:w="10205" w:type="dxa"/>
        <w:jc w:val="center"/>
        <w:tblInd w:w="0" w:type="dxa"/>
        <w:tblLayout w:type="fixed"/>
        <w:tblCellMar>
          <w:top w:w="28" w:type="dxa"/>
          <w:left w:w="28" w:type="dxa"/>
          <w:bottom w:w="28" w:type="dxa"/>
          <w:right w:w="28" w:type="dxa"/>
        </w:tblCellMar>
      </w:tblPr>
      <w:tblGrid>
        <w:gridCol w:w="840"/>
        <w:gridCol w:w="570"/>
        <w:gridCol w:w="575"/>
        <w:gridCol w:w="109"/>
        <w:gridCol w:w="109"/>
        <w:gridCol w:w="109"/>
        <w:gridCol w:w="259"/>
        <w:gridCol w:w="737"/>
        <w:gridCol w:w="144"/>
        <w:gridCol w:w="109"/>
        <w:gridCol w:w="109"/>
        <w:gridCol w:w="109"/>
        <w:gridCol w:w="316"/>
        <w:gridCol w:w="681"/>
        <w:gridCol w:w="178"/>
        <w:gridCol w:w="109"/>
        <w:gridCol w:w="109"/>
        <w:gridCol w:w="109"/>
        <w:gridCol w:w="305"/>
        <w:gridCol w:w="868"/>
        <w:gridCol w:w="170"/>
        <w:gridCol w:w="109"/>
        <w:gridCol w:w="109"/>
        <w:gridCol w:w="109"/>
        <w:gridCol w:w="419"/>
        <w:gridCol w:w="904"/>
        <w:gridCol w:w="236"/>
        <w:gridCol w:w="109"/>
        <w:gridCol w:w="109"/>
        <w:gridCol w:w="109"/>
        <w:gridCol w:w="344"/>
        <w:gridCol w:w="741"/>
        <w:gridCol w:w="283"/>
      </w:tblGrid>
      <w:tr>
        <w:trPr/>
        <w:tc>
          <w:tcPr>
            <w:tcW w:w="84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Term and Whole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DAC and 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DAC and 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2,554 </w:t>
            </w:r>
          </w:p>
        </w:tc>
        <w:tc>
          <w:tcPr>
            <w:tcW w:w="1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1,363 </w:t>
            </w:r>
          </w:p>
        </w:tc>
        <w:tc>
          <w:tcPr>
            <w:tcW w:w="1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2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28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Deferred Sales Inducements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deferred sales inducements, included in other assets, was as follows:</w:t>
      </w:r>
    </w:p>
    <w:tbl>
      <w:tblPr>
        <w:tblW w:w="9659" w:type="dxa"/>
        <w:jc w:val="center"/>
        <w:tblInd w:w="0" w:type="dxa"/>
        <w:tblLayout w:type="fixed"/>
        <w:tblCellMar>
          <w:top w:w="28" w:type="dxa"/>
          <w:left w:w="28" w:type="dxa"/>
          <w:bottom w:w="28" w:type="dxa"/>
          <w:right w:w="28" w:type="dxa"/>
        </w:tblCellMar>
      </w:tblPr>
      <w:tblGrid>
        <w:gridCol w:w="782"/>
        <w:gridCol w:w="686"/>
        <w:gridCol w:w="692"/>
        <w:gridCol w:w="109"/>
        <w:gridCol w:w="109"/>
        <w:gridCol w:w="109"/>
        <w:gridCol w:w="391"/>
        <w:gridCol w:w="842"/>
        <w:gridCol w:w="221"/>
        <w:gridCol w:w="109"/>
        <w:gridCol w:w="109"/>
        <w:gridCol w:w="109"/>
        <w:gridCol w:w="581"/>
        <w:gridCol w:w="713"/>
        <w:gridCol w:w="325"/>
        <w:gridCol w:w="109"/>
        <w:gridCol w:w="109"/>
        <w:gridCol w:w="109"/>
        <w:gridCol w:w="391"/>
        <w:gridCol w:w="842"/>
        <w:gridCol w:w="221"/>
        <w:gridCol w:w="109"/>
        <w:gridCol w:w="109"/>
        <w:gridCol w:w="109"/>
        <w:gridCol w:w="550"/>
        <w:gridCol w:w="677"/>
        <w:gridCol w:w="437"/>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Fixed Rate Annuities</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Deferred Policy Acquisition Costs, Value of Business Acquired and Other Intangibles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Unearned Revenue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unearned revenue, included in other policy-related balances, was as follows:</w:t>
      </w:r>
    </w:p>
    <w:tbl>
      <w:tblPr>
        <w:tblW w:w="10205" w:type="dxa"/>
        <w:jc w:val="center"/>
        <w:tblInd w:w="0" w:type="dxa"/>
        <w:tblLayout w:type="fixed"/>
        <w:tblCellMar>
          <w:top w:w="28" w:type="dxa"/>
          <w:left w:w="28" w:type="dxa"/>
          <w:bottom w:w="28" w:type="dxa"/>
          <w:right w:w="28" w:type="dxa"/>
        </w:tblCellMar>
      </w:tblPr>
      <w:tblGrid>
        <w:gridCol w:w="708"/>
        <w:gridCol w:w="478"/>
        <w:gridCol w:w="482"/>
        <w:gridCol w:w="109"/>
        <w:gridCol w:w="109"/>
        <w:gridCol w:w="109"/>
        <w:gridCol w:w="373"/>
        <w:gridCol w:w="806"/>
        <w:gridCol w:w="210"/>
        <w:gridCol w:w="109"/>
        <w:gridCol w:w="109"/>
        <w:gridCol w:w="109"/>
        <w:gridCol w:w="196"/>
        <w:gridCol w:w="421"/>
        <w:gridCol w:w="109"/>
        <w:gridCol w:w="109"/>
        <w:gridCol w:w="109"/>
        <w:gridCol w:w="109"/>
        <w:gridCol w:w="352"/>
        <w:gridCol w:w="596"/>
        <w:gridCol w:w="198"/>
        <w:gridCol w:w="109"/>
        <w:gridCol w:w="109"/>
        <w:gridCol w:w="109"/>
        <w:gridCol w:w="373"/>
        <w:gridCol w:w="806"/>
        <w:gridCol w:w="210"/>
        <w:gridCol w:w="109"/>
        <w:gridCol w:w="109"/>
        <w:gridCol w:w="109"/>
        <w:gridCol w:w="196"/>
        <w:gridCol w:w="421"/>
        <w:gridCol w:w="109"/>
        <w:gridCol w:w="109"/>
        <w:gridCol w:w="109"/>
        <w:gridCol w:w="109"/>
        <w:gridCol w:w="342"/>
        <w:gridCol w:w="579"/>
        <w:gridCol w:w="278"/>
      </w:tblGrid>
      <w:tr>
        <w:trPr/>
        <w:tc>
          <w:tcPr>
            <w:tcW w:w="70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ULSG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ULSG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to the Interim Condensed Consolidated Financial Statements and Notes 1 and 10 of the Notes to the Consolidated Financial Statements included in the 2024 Annual Report for a description of the Company’s accounting policies for investments and the fair value hierarchy for investments and the related valuation methodologies.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Fixed Maturity Securities Available-For-Sale</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Fixed Maturity Securities by Sector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by sector were as follows at:</w:t>
      </w:r>
    </w:p>
    <w:tbl>
      <w:tblPr>
        <w:tblW w:w="12564" w:type="dxa"/>
        <w:jc w:val="left"/>
        <w:tblInd w:w="0" w:type="dxa"/>
        <w:tblLayout w:type="fixed"/>
        <w:tblCellMar>
          <w:top w:w="28" w:type="dxa"/>
          <w:left w:w="28" w:type="dxa"/>
          <w:bottom w:w="28" w:type="dxa"/>
          <w:right w:w="28" w:type="dxa"/>
        </w:tblCellMar>
      </w:tblPr>
      <w:tblGrid>
        <w:gridCol w:w="495"/>
        <w:gridCol w:w="411"/>
        <w:gridCol w:w="250"/>
        <w:gridCol w:w="196"/>
        <w:gridCol w:w="646"/>
        <w:gridCol w:w="109"/>
        <w:gridCol w:w="109"/>
        <w:gridCol w:w="109"/>
        <w:gridCol w:w="109"/>
        <w:gridCol w:w="222"/>
        <w:gridCol w:w="375"/>
        <w:gridCol w:w="124"/>
        <w:gridCol w:w="109"/>
        <w:gridCol w:w="109"/>
        <w:gridCol w:w="109"/>
        <w:gridCol w:w="196"/>
        <w:gridCol w:w="421"/>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222"/>
        <w:gridCol w:w="375"/>
        <w:gridCol w:w="124"/>
        <w:gridCol w:w="109"/>
        <w:gridCol w:w="109"/>
        <w:gridCol w:w="109"/>
        <w:gridCol w:w="196"/>
        <w:gridCol w:w="421"/>
        <w:gridCol w:w="109"/>
        <w:gridCol w:w="109"/>
        <w:gridCol w:w="109"/>
        <w:gridCol w:w="109"/>
        <w:gridCol w:w="196"/>
        <w:gridCol w:w="556"/>
        <w:gridCol w:w="109"/>
        <w:gridCol w:w="109"/>
        <w:gridCol w:w="109"/>
        <w:gridCol w:w="109"/>
        <w:gridCol w:w="196"/>
        <w:gridCol w:w="646"/>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2024</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4"/>
              </w:rPr>
            </w:pPr>
            <w:r>
              <w:rPr>
                <w:rFonts w:ascii="Times New Roman;sans-serif" w:hAnsi="Times New Roman;sans-serif"/>
                <w:b/>
                <w:color w:val="000000"/>
                <w:sz w:val="14"/>
              </w:rPr>
              <w:t>Amortized 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Allowance for Credit Losses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4"/>
              </w:rPr>
            </w:pPr>
            <w:r>
              <w:rPr>
                <w:rFonts w:ascii="Times New Roman;sans-serif" w:hAnsi="Times New Roman;sans-serif"/>
                <w:b/>
                <w:color w:val="000000"/>
                <w:sz w:val="14"/>
              </w:rPr>
              <w:t>Estimated Fair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4"/>
              </w:rPr>
            </w:pPr>
            <w:r>
              <w:rPr>
                <w:rFonts w:ascii="Times New Roman;sans-serif" w:hAnsi="Times New Roman;sans-serif"/>
                <w:b/>
                <w:color w:val="000000"/>
                <w:sz w:val="14"/>
              </w:rPr>
              <w:t>Amortized 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Allowance for Credit Losses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4"/>
              </w:rPr>
            </w:pPr>
            <w:r>
              <w:rPr>
                <w:rFonts w:ascii="Times New Roman;sans-serif" w:hAnsi="Times New Roman;sans-serif"/>
                <w:b/>
                <w:color w:val="000000"/>
                <w:sz w:val="14"/>
              </w:rPr>
              <w:t>Estimated Fair Value</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8"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37,123 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Residential mortgage-backed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and agency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Commercial mortgage-backed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State and political subdivision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fixed maturity securities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non-income producing fixed maturity securities with an estimated fair value of $23 million and $30 million at March 31, 2025 and December 31,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Maturities of 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and estimated fair value of fixed maturity securities, by contractual maturity date, were as follows at March 31, 2025:</w:t>
      </w:r>
    </w:p>
    <w:tbl>
      <w:tblPr>
        <w:tblW w:w="10205" w:type="dxa"/>
        <w:jc w:val="left"/>
        <w:tblInd w:w="0" w:type="dxa"/>
        <w:tblLayout w:type="fixed"/>
        <w:tblCellMar>
          <w:top w:w="28" w:type="dxa"/>
          <w:left w:w="28" w:type="dxa"/>
          <w:bottom w:w="28" w:type="dxa"/>
          <w:right w:w="28" w:type="dxa"/>
        </w:tblCellMar>
      </w:tblPr>
      <w:tblGrid>
        <w:gridCol w:w="368"/>
        <w:gridCol w:w="323"/>
        <w:gridCol w:w="325"/>
        <w:gridCol w:w="248"/>
        <w:gridCol w:w="705"/>
        <w:gridCol w:w="138"/>
        <w:gridCol w:w="109"/>
        <w:gridCol w:w="109"/>
        <w:gridCol w:w="109"/>
        <w:gridCol w:w="295"/>
        <w:gridCol w:w="974"/>
        <w:gridCol w:w="164"/>
        <w:gridCol w:w="109"/>
        <w:gridCol w:w="109"/>
        <w:gridCol w:w="109"/>
        <w:gridCol w:w="297"/>
        <w:gridCol w:w="979"/>
        <w:gridCol w:w="165"/>
        <w:gridCol w:w="109"/>
        <w:gridCol w:w="109"/>
        <w:gridCol w:w="109"/>
        <w:gridCol w:w="226"/>
        <w:gridCol w:w="747"/>
        <w:gridCol w:w="126"/>
        <w:gridCol w:w="109"/>
        <w:gridCol w:w="109"/>
        <w:gridCol w:w="109"/>
        <w:gridCol w:w="239"/>
        <w:gridCol w:w="789"/>
        <w:gridCol w:w="133"/>
        <w:gridCol w:w="109"/>
        <w:gridCol w:w="109"/>
        <w:gridCol w:w="109"/>
        <w:gridCol w:w="260"/>
        <w:gridCol w:w="857"/>
        <w:gridCol w:w="212"/>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Due in 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Due After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Due After Five Years Through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Due After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Structured Securities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Total Fixed Maturity Securities</w:t>
            </w:r>
          </w:p>
        </w:tc>
      </w:tr>
      <w:tr>
        <w:trPr/>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Amortized cost</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87,070 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80,640 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(1)Structured securities include residential mortgage-backed securities (“RMBS”), commercial mortgage-backed securities (“CMBS”) and asset-backed securities (“ABS”) (collectively, “Structured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Continuous Gross Unrealized Losses for Fixed Maturity Securities by Sector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and gross unrealized losses of fixed maturity securities in an unrealized loss position, by sector and by length of time that the securities have been in a continuous unrealized loss position, were as follows at:</w:t>
      </w:r>
    </w:p>
    <w:tbl>
      <w:tblPr>
        <w:tblW w:w="10643" w:type="dxa"/>
        <w:jc w:val="center"/>
        <w:tblInd w:w="0" w:type="dxa"/>
        <w:tblLayout w:type="fixed"/>
        <w:tblCellMar>
          <w:top w:w="28" w:type="dxa"/>
          <w:left w:w="28" w:type="dxa"/>
          <w:bottom w:w="28" w:type="dxa"/>
          <w:right w:w="28" w:type="dxa"/>
        </w:tblCellMar>
      </w:tblPr>
      <w:tblGrid>
        <w:gridCol w:w="463"/>
        <w:gridCol w:w="248"/>
        <w:gridCol w:w="250"/>
        <w:gridCol w:w="196"/>
        <w:gridCol w:w="646"/>
        <w:gridCol w:w="109"/>
        <w:gridCol w:w="109"/>
        <w:gridCol w:w="109"/>
        <w:gridCol w:w="109"/>
        <w:gridCol w:w="201"/>
        <w:gridCol w:w="572"/>
        <w:gridCol w:w="113"/>
        <w:gridCol w:w="109"/>
        <w:gridCol w:w="109"/>
        <w:gridCol w:w="109"/>
        <w:gridCol w:w="196"/>
        <w:gridCol w:w="646"/>
        <w:gridCol w:w="109"/>
        <w:gridCol w:w="109"/>
        <w:gridCol w:w="109"/>
        <w:gridCol w:w="109"/>
        <w:gridCol w:w="201"/>
        <w:gridCol w:w="572"/>
        <w:gridCol w:w="113"/>
        <w:gridCol w:w="109"/>
        <w:gridCol w:w="109"/>
        <w:gridCol w:w="109"/>
        <w:gridCol w:w="196"/>
        <w:gridCol w:w="646"/>
        <w:gridCol w:w="109"/>
        <w:gridCol w:w="109"/>
        <w:gridCol w:w="109"/>
        <w:gridCol w:w="109"/>
        <w:gridCol w:w="201"/>
        <w:gridCol w:w="572"/>
        <w:gridCol w:w="113"/>
        <w:gridCol w:w="109"/>
        <w:gridCol w:w="109"/>
        <w:gridCol w:w="109"/>
        <w:gridCol w:w="196"/>
        <w:gridCol w:w="646"/>
        <w:gridCol w:w="109"/>
        <w:gridCol w:w="109"/>
        <w:gridCol w:w="109"/>
        <w:gridCol w:w="109"/>
        <w:gridCol w:w="201"/>
        <w:gridCol w:w="571"/>
        <w:gridCol w:w="159"/>
      </w:tblGrid>
      <w:tr>
        <w:trPr/>
        <w:tc>
          <w:tcPr>
            <w:tcW w:w="4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RMBS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and agency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CMBS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ABS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State and political subdivision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fixed maturity securities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number of securities in an unrealized loss position</w:t>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3,325 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5,123 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3,362 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5,272 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Allowance for Credit Losses for Fixed Maturity Securities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Evaluation and Measurement Methodologies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other comprehensive income (“OCI”).</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$703 million and $672 million at March 31, 2025 and December 31, 2024, respectively, and is included in accrued investment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Current Period Evaluation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Company’s current evaluation of its fixed maturity securities in an unrealized loss position and the current intent or requirement to sell, the Company recorded an allowance for credit losses of $56 million, relating to 18 securities, at March 31, 2025.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Rollforward of the Allowance for Credit Losses for Fixed Maturity Securities by Sector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allowance for credit losses for fixed maturity securities by sector were as follows:</w:t>
      </w:r>
    </w:p>
    <w:tbl>
      <w:tblPr>
        <w:tblW w:w="10205" w:type="dxa"/>
        <w:jc w:val="left"/>
        <w:tblInd w:w="0" w:type="dxa"/>
        <w:tblLayout w:type="fixed"/>
        <w:tblCellMar>
          <w:top w:w="28" w:type="dxa"/>
          <w:left w:w="28" w:type="dxa"/>
          <w:bottom w:w="28" w:type="dxa"/>
          <w:right w:w="28" w:type="dxa"/>
        </w:tblCellMar>
      </w:tblPr>
      <w:tblGrid>
        <w:gridCol w:w="1368"/>
        <w:gridCol w:w="1120"/>
        <w:gridCol w:w="1130"/>
        <w:gridCol w:w="109"/>
        <w:gridCol w:w="109"/>
        <w:gridCol w:w="109"/>
        <w:gridCol w:w="324"/>
        <w:gridCol w:w="549"/>
        <w:gridCol w:w="181"/>
        <w:gridCol w:w="109"/>
        <w:gridCol w:w="109"/>
        <w:gridCol w:w="109"/>
        <w:gridCol w:w="109"/>
        <w:gridCol w:w="109"/>
        <w:gridCol w:w="330"/>
        <w:gridCol w:w="684"/>
        <w:gridCol w:w="184"/>
        <w:gridCol w:w="109"/>
        <w:gridCol w:w="109"/>
        <w:gridCol w:w="109"/>
        <w:gridCol w:w="204"/>
        <w:gridCol w:w="252"/>
        <w:gridCol w:w="115"/>
        <w:gridCol w:w="109"/>
        <w:gridCol w:w="109"/>
        <w:gridCol w:w="109"/>
        <w:gridCol w:w="204"/>
        <w:gridCol w:w="252"/>
        <w:gridCol w:w="115"/>
        <w:gridCol w:w="109"/>
        <w:gridCol w:w="109"/>
        <w:gridCol w:w="109"/>
        <w:gridCol w:w="109"/>
        <w:gridCol w:w="109"/>
        <w:gridCol w:w="109"/>
        <w:gridCol w:w="109"/>
        <w:gridCol w:w="109"/>
        <w:gridCol w:w="109"/>
        <w:gridCol w:w="196"/>
        <w:gridCol w:w="331"/>
        <w:gridCol w:w="159"/>
      </w:tblGrid>
      <w:tr>
        <w:trPr/>
        <w:tc>
          <w:tcPr>
            <w:tcW w:w="136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667" w:type="dxa"/>
            <w:gridSpan w:val="12"/>
            <w:tcBorders/>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on securities where credit losses were not previously recorded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Reductions for securities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allowance on securities with an allowance recorded in a previous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 charged against allowance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on securities where credit losses were not previously recorded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Reductions for securities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allowance on securities with an allowance recorded in a previous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 charged against allowance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 recorded total write-offs of $33 million for the three months ended March 31, 2025. The Company did not record any write-offs for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Mortgage Loans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summarized as follows at:</w:t>
      </w:r>
    </w:p>
    <w:tbl>
      <w:tblPr>
        <w:tblW w:w="6632" w:type="dxa"/>
        <w:jc w:val="left"/>
        <w:tblInd w:w="0" w:type="dxa"/>
        <w:tblLayout w:type="fixed"/>
        <w:tblCellMar>
          <w:top w:w="28" w:type="dxa"/>
          <w:left w:w="28" w:type="dxa"/>
          <w:bottom w:w="28" w:type="dxa"/>
          <w:right w:w="28" w:type="dxa"/>
        </w:tblCellMar>
      </w:tblPr>
      <w:tblGrid>
        <w:gridCol w:w="743"/>
        <w:gridCol w:w="655"/>
        <w:gridCol w:w="656"/>
        <w:gridCol w:w="196"/>
        <w:gridCol w:w="646"/>
        <w:gridCol w:w="109"/>
        <w:gridCol w:w="109"/>
        <w:gridCol w:w="109"/>
        <w:gridCol w:w="109"/>
        <w:gridCol w:w="278"/>
        <w:gridCol w:w="278"/>
        <w:gridCol w:w="268"/>
        <w:gridCol w:w="109"/>
        <w:gridCol w:w="109"/>
        <w:gridCol w:w="109"/>
        <w:gridCol w:w="196"/>
        <w:gridCol w:w="646"/>
        <w:gridCol w:w="109"/>
        <w:gridCol w:w="109"/>
        <w:gridCol w:w="109"/>
        <w:gridCol w:w="109"/>
        <w:gridCol w:w="278"/>
        <w:gridCol w:w="278"/>
        <w:gridCol w:w="315"/>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Agricultural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 loans (1)</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 loans,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(1)Purchases of mortgage loans from third parties were $178 million and $161 million for the three months ended March 31, 2025 and 2024, respectively, and were primarily comprised of residential mortgage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Allowance for Credit Losses for Mortgage Loans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Evaluation and Measurement Methodologies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$126 million and $132 million at March 31, 2025 and December 31, 2024,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 years is used with an input reversion period of one year.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modifications, foreclosure probable loans, and loans with dissimilar risk characteristics.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 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Rollforward of the Allowance for Credit Losses for 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allowance for credit losses by portfolio segment were as follows:</w:t>
      </w:r>
    </w:p>
    <w:tbl>
      <w:tblPr>
        <w:tblW w:w="7650" w:type="dxa"/>
        <w:jc w:val="left"/>
        <w:tblInd w:w="0" w:type="dxa"/>
        <w:tblLayout w:type="fixed"/>
        <w:tblCellMar>
          <w:top w:w="28" w:type="dxa"/>
          <w:left w:w="28" w:type="dxa"/>
          <w:bottom w:w="28" w:type="dxa"/>
          <w:right w:w="28" w:type="dxa"/>
        </w:tblCellMar>
      </w:tblPr>
      <w:tblGrid>
        <w:gridCol w:w="1086"/>
        <w:gridCol w:w="953"/>
        <w:gridCol w:w="961"/>
        <w:gridCol w:w="267"/>
        <w:gridCol w:w="574"/>
        <w:gridCol w:w="150"/>
        <w:gridCol w:w="109"/>
        <w:gridCol w:w="109"/>
        <w:gridCol w:w="109"/>
        <w:gridCol w:w="310"/>
        <w:gridCol w:w="523"/>
        <w:gridCol w:w="173"/>
        <w:gridCol w:w="109"/>
        <w:gridCol w:w="109"/>
        <w:gridCol w:w="109"/>
        <w:gridCol w:w="277"/>
        <w:gridCol w:w="468"/>
        <w:gridCol w:w="156"/>
        <w:gridCol w:w="109"/>
        <w:gridCol w:w="109"/>
        <w:gridCol w:w="109"/>
        <w:gridCol w:w="196"/>
        <w:gridCol w:w="421"/>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Agricultural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provision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Charge-offs, net of recoveries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provision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Credit Quality of 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mortgage loans by year of origination and credit quality indicator was as follows at:</w:t>
      </w:r>
    </w:p>
    <w:tbl>
      <w:tblPr>
        <w:tblW w:w="10205" w:type="dxa"/>
        <w:jc w:val="left"/>
        <w:tblInd w:w="0" w:type="dxa"/>
        <w:tblLayout w:type="fixed"/>
        <w:tblCellMar>
          <w:top w:w="28" w:type="dxa"/>
          <w:left w:w="28" w:type="dxa"/>
          <w:bottom w:w="28" w:type="dxa"/>
          <w:right w:w="28" w:type="dxa"/>
        </w:tblCellMar>
      </w:tblPr>
      <w:tblGrid>
        <w:gridCol w:w="849"/>
        <w:gridCol w:w="718"/>
        <w:gridCol w:w="693"/>
        <w:gridCol w:w="196"/>
        <w:gridCol w:w="421"/>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5"/>
      </w:tblGrid>
      <w:tr>
        <w:trPr/>
        <w:tc>
          <w:tcPr>
            <w:tcW w:w="84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mortgage loans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76% to 80%</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80%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mortgage loans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Agricultural mortgage loans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76% to 80%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80%</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agricultural mortgage loans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Residential mortgage loans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Performing</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Nonperforming</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mortgage loans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23,260 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tbl>
      <w:tblPr>
        <w:tblW w:w="10205" w:type="dxa"/>
        <w:jc w:val="left"/>
        <w:tblInd w:w="0" w:type="dxa"/>
        <w:tblLayout w:type="fixed"/>
        <w:tblCellMar>
          <w:top w:w="28" w:type="dxa"/>
          <w:left w:w="28" w:type="dxa"/>
          <w:bottom w:w="28" w:type="dxa"/>
          <w:right w:w="28" w:type="dxa"/>
        </w:tblCellMar>
      </w:tblPr>
      <w:tblGrid>
        <w:gridCol w:w="872"/>
        <w:gridCol w:w="738"/>
        <w:gridCol w:w="740"/>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646"/>
        <w:gridCol w:w="155"/>
      </w:tblGrid>
      <w:tr>
        <w:trPr/>
        <w:tc>
          <w:tcPr>
            <w:tcW w:w="8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mortgage loans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76% to 80%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80%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mortgage loans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Agricultural mortgage loans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76% to 80%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80%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agricultural mortgage loans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Residential mortgage loans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Nonperforming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mortgage loans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commercial mortgage loans by debt-service coverage ratio was as follows at:</w:t>
      </w:r>
    </w:p>
    <w:tbl>
      <w:tblPr>
        <w:tblW w:w="7791" w:type="dxa"/>
        <w:jc w:val="left"/>
        <w:tblInd w:w="0" w:type="dxa"/>
        <w:tblLayout w:type="fixed"/>
        <w:tblCellMar>
          <w:top w:w="28" w:type="dxa"/>
          <w:left w:w="28" w:type="dxa"/>
          <w:bottom w:w="28" w:type="dxa"/>
          <w:right w:w="28" w:type="dxa"/>
        </w:tblCellMar>
      </w:tblPr>
      <w:tblGrid>
        <w:gridCol w:w="788"/>
        <w:gridCol w:w="692"/>
        <w:gridCol w:w="694"/>
        <w:gridCol w:w="256"/>
        <w:gridCol w:w="846"/>
        <w:gridCol w:w="142"/>
        <w:gridCol w:w="109"/>
        <w:gridCol w:w="109"/>
        <w:gridCol w:w="109"/>
        <w:gridCol w:w="278"/>
        <w:gridCol w:w="278"/>
        <w:gridCol w:w="486"/>
        <w:gridCol w:w="109"/>
        <w:gridCol w:w="109"/>
        <w:gridCol w:w="109"/>
        <w:gridCol w:w="256"/>
        <w:gridCol w:w="846"/>
        <w:gridCol w:w="142"/>
        <w:gridCol w:w="109"/>
        <w:gridCol w:w="109"/>
        <w:gridCol w:w="109"/>
        <w:gridCol w:w="278"/>
        <w:gridCol w:w="278"/>
        <w:gridCol w:w="550"/>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Debt-service coverage ratios: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1.20x</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1.00x - 1.20x</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1.00x</w:t>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13,134 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13,330 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Past Due 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high-quality, well-performing mortgage loan portfolio, with 99% of all mortgage loans classified as performing at both March 31, 2025 and December 31, 2024. Delinquency is defined consistent with industry practice, when mortgage loans are past due as follows: commercial and residential mortgage loans — 60 days; and agricultural mortgage loans — 90 days.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aging of the amortized cost of past due mortgage loans by portfolio segment was as follows at:</w:t>
      </w:r>
    </w:p>
    <w:tbl>
      <w:tblPr>
        <w:tblW w:w="10693" w:type="dxa"/>
        <w:jc w:val="left"/>
        <w:tblInd w:w="0" w:type="dxa"/>
        <w:tblLayout w:type="fixed"/>
        <w:tblCellMar>
          <w:top w:w="28" w:type="dxa"/>
          <w:left w:w="28" w:type="dxa"/>
          <w:bottom w:w="28" w:type="dxa"/>
          <w:right w:w="28" w:type="dxa"/>
        </w:tblCellMar>
      </w:tblPr>
      <w:tblGrid>
        <w:gridCol w:w="239"/>
        <w:gridCol w:w="210"/>
        <w:gridCol w:w="212"/>
        <w:gridCol w:w="204"/>
        <w:gridCol w:w="673"/>
        <w:gridCol w:w="114"/>
        <w:gridCol w:w="109"/>
        <w:gridCol w:w="109"/>
        <w:gridCol w:w="109"/>
        <w:gridCol w:w="229"/>
        <w:gridCol w:w="649"/>
        <w:gridCol w:w="128"/>
        <w:gridCol w:w="109"/>
        <w:gridCol w:w="109"/>
        <w:gridCol w:w="109"/>
        <w:gridCol w:w="205"/>
        <w:gridCol w:w="581"/>
        <w:gridCol w:w="115"/>
        <w:gridCol w:w="109"/>
        <w:gridCol w:w="109"/>
        <w:gridCol w:w="109"/>
        <w:gridCol w:w="196"/>
        <w:gridCol w:w="646"/>
        <w:gridCol w:w="109"/>
        <w:gridCol w:w="109"/>
        <w:gridCol w:w="109"/>
        <w:gridCol w:w="109"/>
        <w:gridCol w:w="204"/>
        <w:gridCol w:w="673"/>
        <w:gridCol w:w="114"/>
        <w:gridCol w:w="109"/>
        <w:gridCol w:w="109"/>
        <w:gridCol w:w="109"/>
        <w:gridCol w:w="229"/>
        <w:gridCol w:w="649"/>
        <w:gridCol w:w="128"/>
        <w:gridCol w:w="109"/>
        <w:gridCol w:w="109"/>
        <w:gridCol w:w="109"/>
        <w:gridCol w:w="205"/>
        <w:gridCol w:w="581"/>
        <w:gridCol w:w="115"/>
        <w:gridCol w:w="109"/>
        <w:gridCol w:w="109"/>
        <w:gridCol w:w="109"/>
        <w:gridCol w:w="196"/>
        <w:gridCol w:w="646"/>
        <w:gridCol w:w="154"/>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Agricultural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Agricultural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2"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30-59 days past due</w:t>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60-89 days past due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90-179 days past due</w:t>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180+ days past due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13,134 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5,583 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23,260 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13,330 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4,591 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5,543 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Mortgage Loans in Nonaccrual Status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placed in a nonaccrual status if there are concerns regarding collectability of future payments or the loan is past due, unless the past due loan is well collateralized.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mortgage loans in a nonaccrual status by portfolio segment was as follows at:</w:t>
      </w:r>
    </w:p>
    <w:tbl>
      <w:tblPr>
        <w:tblW w:w="6418" w:type="dxa"/>
        <w:jc w:val="left"/>
        <w:tblInd w:w="0" w:type="dxa"/>
        <w:tblLayout w:type="fixed"/>
        <w:tblCellMar>
          <w:top w:w="28" w:type="dxa"/>
          <w:left w:w="28" w:type="dxa"/>
          <w:bottom w:w="28" w:type="dxa"/>
          <w:right w:w="28" w:type="dxa"/>
        </w:tblCellMar>
      </w:tblPr>
      <w:tblGrid>
        <w:gridCol w:w="549"/>
        <w:gridCol w:w="481"/>
        <w:gridCol w:w="485"/>
        <w:gridCol w:w="267"/>
        <w:gridCol w:w="574"/>
        <w:gridCol w:w="150"/>
        <w:gridCol w:w="109"/>
        <w:gridCol w:w="109"/>
        <w:gridCol w:w="109"/>
        <w:gridCol w:w="310"/>
        <w:gridCol w:w="523"/>
        <w:gridCol w:w="173"/>
        <w:gridCol w:w="109"/>
        <w:gridCol w:w="109"/>
        <w:gridCol w:w="109"/>
        <w:gridCol w:w="311"/>
        <w:gridCol w:w="669"/>
        <w:gridCol w:w="174"/>
        <w:gridCol w:w="109"/>
        <w:gridCol w:w="109"/>
        <w:gridCol w:w="109"/>
        <w:gridCol w:w="196"/>
        <w:gridCol w:w="421"/>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Agricultural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Residential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Company had $10 million and $3 million of mortgage loans in nonaccrual status for which there was no related allowance for credit losses at March 31, 2025 and December 31, 2024, respectively.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Current period investment income on mortgage loans in nonaccrual status was less than $1 million for both the three months ended March 31, 2025 and 2024.</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Modified 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circumstances, modifications are granted to mortgage loans. Generally, the types of concessions may include interest rate reduction, term extension, principal forgiveness, or a combination of all three. The Company did not have a significant amount of mortgage loans modified during both the three months ended March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Invested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 75% of other invested assets is comprised of freestanding derivatives with positive estimated fair values. See Note 8 for information about freestanding derivatives with positive estimated fair values. Other invested assets also includes the Company’s investment in company-owned life insurance, Federal Home Loan Bank (“FHLB”) stock, leveraged leases and tax credit and renewable energy partnerships.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Unrealized Investment Gains (Losses)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Unrealized investment gains (losses) on fixed maturity securities, and the effect on future policy benefits that would result from the realization of the unrealized gains (losses), are included in net unrealized investment gains (losses) in accumulated other comprehensive income (loss) (“AOCI”).</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unrealized investment gains (losses), included in AOCI, were as follows at:</w:t>
      </w:r>
    </w:p>
    <w:tbl>
      <w:tblPr>
        <w:tblW w:w="6100" w:type="dxa"/>
        <w:jc w:val="left"/>
        <w:tblInd w:w="0" w:type="dxa"/>
        <w:tblLayout w:type="fixed"/>
        <w:tblCellMar>
          <w:top w:w="28" w:type="dxa"/>
          <w:left w:w="28" w:type="dxa"/>
          <w:bottom w:w="28" w:type="dxa"/>
          <w:right w:w="28" w:type="dxa"/>
        </w:tblCellMar>
      </w:tblPr>
      <w:tblGrid>
        <w:gridCol w:w="1077"/>
        <w:gridCol w:w="942"/>
        <w:gridCol w:w="950"/>
        <w:gridCol w:w="264"/>
        <w:gridCol w:w="850"/>
        <w:gridCol w:w="146"/>
        <w:gridCol w:w="109"/>
        <w:gridCol w:w="109"/>
        <w:gridCol w:w="109"/>
        <w:gridCol w:w="308"/>
        <w:gridCol w:w="994"/>
        <w:gridCol w:w="242"/>
      </w:tblGrid>
      <w:tr>
        <w:trPr/>
        <w:tc>
          <w:tcPr>
            <w:tcW w:w="107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(5,934)</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(7,010)</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allocated from:</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Future policy benefits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investment gains (losses)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(4,766)</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net unrealized investment gains (losses) were as follows:</w:t>
      </w:r>
    </w:p>
    <w:tbl>
      <w:tblPr>
        <w:tblW w:w="6823" w:type="dxa"/>
        <w:jc w:val="left"/>
        <w:tblInd w:w="0" w:type="dxa"/>
        <w:tblLayout w:type="fixed"/>
        <w:tblCellMar>
          <w:top w:w="28" w:type="dxa"/>
          <w:left w:w="28" w:type="dxa"/>
          <w:bottom w:w="28" w:type="dxa"/>
          <w:right w:w="28" w:type="dxa"/>
        </w:tblCellMar>
      </w:tblPr>
      <w:tblGrid>
        <w:gridCol w:w="1437"/>
        <w:gridCol w:w="1266"/>
        <w:gridCol w:w="1271"/>
        <w:gridCol w:w="569"/>
        <w:gridCol w:w="1833"/>
        <w:gridCol w:w="447"/>
      </w:tblGrid>
      <w:tr>
        <w:trPr/>
        <w:tc>
          <w:tcPr>
            <w:tcW w:w="143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2024</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(4,766)</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investment gains (losses) during the period</w:t>
            </w:r>
          </w:p>
        </w:tc>
        <w:tc>
          <w:tcPr>
            <w:tcW w:w="2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investment gains (losses) relating to:</w:t>
            </w:r>
          </w:p>
        </w:tc>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Future policy benefits</w:t>
            </w:r>
          </w:p>
        </w:tc>
        <w:tc>
          <w:tcPr>
            <w:tcW w:w="2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w:t>
            </w:r>
          </w:p>
        </w:tc>
        <w:tc>
          <w:tcPr>
            <w:tcW w:w="2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2025</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net unrealized investment gains (losses)</w:t>
            </w:r>
          </w:p>
        </w:tc>
        <w:tc>
          <w:tcPr>
            <w:tcW w:w="5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739 </w:t>
            </w:r>
          </w:p>
        </w:tc>
        <w:tc>
          <w:tcPr>
            <w:tcW w:w="4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investments in any counterparty that were greater than 10% of the Company’s equity, other than the U.S. government and its agencies, at both March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Securities Lending</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Elements of the securities lending program are presented below at:</w:t>
      </w:r>
    </w:p>
    <w:tbl>
      <w:tblPr>
        <w:tblW w:w="6596" w:type="dxa"/>
        <w:jc w:val="left"/>
        <w:tblInd w:w="0" w:type="dxa"/>
        <w:tblLayout w:type="fixed"/>
        <w:tblCellMar>
          <w:top w:w="28" w:type="dxa"/>
          <w:left w:w="28" w:type="dxa"/>
          <w:bottom w:w="28" w:type="dxa"/>
          <w:right w:w="28" w:type="dxa"/>
        </w:tblCellMar>
      </w:tblPr>
      <w:tblGrid>
        <w:gridCol w:w="1257"/>
        <w:gridCol w:w="1102"/>
        <w:gridCol w:w="1106"/>
        <w:gridCol w:w="287"/>
        <w:gridCol w:w="814"/>
        <w:gridCol w:w="159"/>
        <w:gridCol w:w="109"/>
        <w:gridCol w:w="109"/>
        <w:gridCol w:w="109"/>
        <w:gridCol w:w="334"/>
        <w:gridCol w:w="948"/>
        <w:gridCol w:w="262"/>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on loan: (1)</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Amortized cost</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collateral received from counterparties (2)</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Reinvestment portfolio — estimated fair value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fixed maturity securities.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(2)Included in payables for collateral under securities loaned and other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cash collateral liability by loaned security type and remaining tenor of the agreements were as follows at:</w:t>
      </w:r>
    </w:p>
    <w:tbl>
      <w:tblPr>
        <w:tblW w:w="10650" w:type="dxa"/>
        <w:jc w:val="left"/>
        <w:tblInd w:w="0" w:type="dxa"/>
        <w:tblLayout w:type="fixed"/>
        <w:tblCellMar>
          <w:top w:w="28" w:type="dxa"/>
          <w:left w:w="28" w:type="dxa"/>
          <w:bottom w:w="28" w:type="dxa"/>
          <w:right w:w="28" w:type="dxa"/>
        </w:tblCellMar>
      </w:tblPr>
      <w:tblGrid>
        <w:gridCol w:w="348"/>
        <w:gridCol w:w="306"/>
        <w:gridCol w:w="307"/>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09"/>
        <w:gridCol w:w="109"/>
        <w:gridCol w:w="196"/>
        <w:gridCol w:w="556"/>
        <w:gridCol w:w="109"/>
        <w:gridCol w:w="109"/>
        <w:gridCol w:w="109"/>
        <w:gridCol w:w="109"/>
        <w:gridCol w:w="109"/>
        <w:gridCol w:w="109"/>
        <w:gridCol w:w="196"/>
        <w:gridCol w:w="421"/>
        <w:gridCol w:w="109"/>
        <w:gridCol w:w="109"/>
        <w:gridCol w:w="109"/>
        <w:gridCol w:w="109"/>
        <w:gridCol w:w="196"/>
        <w:gridCol w:w="556"/>
        <w:gridCol w:w="109"/>
        <w:gridCol w:w="109"/>
        <w:gridCol w:w="109"/>
        <w:gridCol w:w="109"/>
        <w:gridCol w:w="196"/>
        <w:gridCol w:w="421"/>
        <w:gridCol w:w="109"/>
        <w:gridCol w:w="109"/>
        <w:gridCol w:w="109"/>
        <w:gridCol w:w="109"/>
        <w:gridCol w:w="109"/>
        <w:gridCol w:w="109"/>
        <w:gridCol w:w="196"/>
        <w:gridCol w:w="556"/>
        <w:gridCol w:w="109"/>
        <w:gridCol w:w="109"/>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2722" w:type="dxa"/>
            <w:gridSpan w:val="16"/>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Month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to 6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Month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to 6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2722" w:type="dxa"/>
            <w:gridSpan w:val="16"/>
            <w:tcBorders/>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related loaned security could be returned to the Company on the next business day which would require the Company to immediately return the cash collateral.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March 31, 2025 was $518 million, primarily comprised of U.S. government and agency securities which, if put back to the Company, could be immediately sold to satisfy the cash requirement.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reinvestment portfolio acquired with the cash collateral consisted principally of fixed maturity securities (including agency RMBS, ABS, U.S. and foreign corporate securities, U.S. government and agency securities, non-agency RMBS and CMBS) with 52% invested in agency RMBS, U.S. government and agency securities and cash and cash equivalents at March 31, 2025. If the securities on loan or the reinvestment portfolio become less liquid, the Company has the liquidity resources of most of its general account available to meet any potential cash demands when securities on loan are put back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Invested Assets on Deposit, Held in Trust and Pledged as Collateral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Invested assets on deposit, held in trust and pledged as collateral at estimated fair value were as follows at:</w:t>
      </w:r>
    </w:p>
    <w:tbl>
      <w:tblPr>
        <w:tblW w:w="8186" w:type="dxa"/>
        <w:jc w:val="left"/>
        <w:tblInd w:w="0" w:type="dxa"/>
        <w:tblLayout w:type="fixed"/>
        <w:tblCellMar>
          <w:top w:w="28" w:type="dxa"/>
          <w:left w:w="28" w:type="dxa"/>
          <w:bottom w:w="28" w:type="dxa"/>
          <w:right w:w="28" w:type="dxa"/>
        </w:tblCellMar>
      </w:tblPr>
      <w:tblGrid>
        <w:gridCol w:w="1828"/>
        <w:gridCol w:w="1611"/>
        <w:gridCol w:w="1616"/>
        <w:gridCol w:w="259"/>
        <w:gridCol w:w="856"/>
        <w:gridCol w:w="144"/>
        <w:gridCol w:w="109"/>
        <w:gridCol w:w="109"/>
        <w:gridCol w:w="109"/>
        <w:gridCol w:w="304"/>
        <w:gridCol w:w="1002"/>
        <w:gridCol w:w="239"/>
      </w:tblGrid>
      <w:tr>
        <w:trPr/>
        <w:tc>
          <w:tcPr>
            <w:tcW w:w="182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Invested assets on deposit (regulatory deposits) (1)</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Invested assets held in trust (reinsurance agreements) (2)</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Invested assets pledged as collateral (3)</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invested assets on deposit, held in trust and pledged as collateral</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26,899 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26,994 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 has assets, primarily fixed maturity securities, on deposit with governmental authorities relating to certain policyholder liabilities, of which $28 million and $68 million of the assets on deposit represents restricted cash and cash equivalents at March 31, 2025 and December 31, 2024, respectively.</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Company has assets, primarily fixed maturity securities, held in trust relating to certain reinsurance transactions, of which $182 million and $334 million of the assets held in trust balance represents restricted cash and cash equivalents at March 31, 2025 and December 31, 2024, respectively.</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Company has pledged invested assets in connection with various agreements and transactions, including funding agreements (see Note 3 of the Notes to the Consolidated Financial Statements included in the 2024 Annual Report) and derivative transactions (see Note 8).</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 Securities Lending” for information regarding securities on loan. In addition, the Company’s investment in FHLB common stock, which is considered restricted until redeemed by the issuer, was $223 million and $222 million at redemption value at March 31,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Variable Interest Entities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VIEs for which the Company has concluded that it is the primary beneficiary at either March 31, 2025 or December 31,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and maximum exposure to loss related to the VIEs for which the Company has concluded that it holds a variable interest, but is not the primary beneficiary, were as follows at:</w:t>
      </w:r>
    </w:p>
    <w:tbl>
      <w:tblPr>
        <w:tblW w:w="10205" w:type="dxa"/>
        <w:jc w:val="left"/>
        <w:tblInd w:w="0" w:type="dxa"/>
        <w:tblLayout w:type="fixed"/>
        <w:tblCellMar>
          <w:top w:w="28" w:type="dxa"/>
          <w:left w:w="28" w:type="dxa"/>
          <w:bottom w:w="28" w:type="dxa"/>
          <w:right w:w="28" w:type="dxa"/>
        </w:tblCellMar>
      </w:tblPr>
      <w:tblGrid>
        <w:gridCol w:w="828"/>
        <w:gridCol w:w="717"/>
        <w:gridCol w:w="723"/>
        <w:gridCol w:w="286"/>
        <w:gridCol w:w="944"/>
        <w:gridCol w:w="158"/>
        <w:gridCol w:w="109"/>
        <w:gridCol w:w="109"/>
        <w:gridCol w:w="109"/>
        <w:gridCol w:w="425"/>
        <w:gridCol w:w="1403"/>
        <w:gridCol w:w="236"/>
        <w:gridCol w:w="109"/>
        <w:gridCol w:w="109"/>
        <w:gridCol w:w="109"/>
        <w:gridCol w:w="286"/>
        <w:gridCol w:w="944"/>
        <w:gridCol w:w="158"/>
        <w:gridCol w:w="109"/>
        <w:gridCol w:w="109"/>
        <w:gridCol w:w="109"/>
        <w:gridCol w:w="415"/>
        <w:gridCol w:w="1369"/>
        <w:gridCol w:w="332"/>
      </w:tblGrid>
      <w:tr>
        <w:trPr/>
        <w:tc>
          <w:tcPr>
            <w:tcW w:w="82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Maximum Exposure to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Maximum Exposure to Loss</w:t>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9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Limited partnerships and LLCs</w:t>
            </w:r>
          </w:p>
        </w:tc>
        <w:tc>
          <w:tcPr>
            <w:tcW w:w="12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5,272 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5,278 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20,468 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18,611 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20,752 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unconsolidated VIEs are described below.</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Limited Partnerships and LLCs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Investment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investment income were as follows:</w:t>
      </w:r>
    </w:p>
    <w:tbl>
      <w:tblPr>
        <w:tblW w:w="6745" w:type="dxa"/>
        <w:jc w:val="left"/>
        <w:tblInd w:w="0" w:type="dxa"/>
        <w:tblLayout w:type="fixed"/>
        <w:tblCellMar>
          <w:top w:w="28" w:type="dxa"/>
          <w:left w:w="28" w:type="dxa"/>
          <w:bottom w:w="28" w:type="dxa"/>
          <w:right w:w="28" w:type="dxa"/>
        </w:tblCellMar>
      </w:tblPr>
      <w:tblGrid>
        <w:gridCol w:w="1335"/>
        <w:gridCol w:w="1176"/>
        <w:gridCol w:w="1179"/>
        <w:gridCol w:w="109"/>
        <w:gridCol w:w="109"/>
        <w:gridCol w:w="162"/>
        <w:gridCol w:w="162"/>
        <w:gridCol w:w="291"/>
        <w:gridCol w:w="827"/>
        <w:gridCol w:w="162"/>
        <w:gridCol w:w="109"/>
        <w:gridCol w:w="109"/>
        <w:gridCol w:w="109"/>
        <w:gridCol w:w="196"/>
        <w:gridCol w:w="556"/>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securities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Limited partnerships and LLCs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Investment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(1)Investment gains (losses) were $6 million related to trading securities still held for the three months ended March 31, 2025. There were no investment gains (losses) related to trading securities still held for the three months ended March 31, 2024.</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(2)Includes net investment income pertaining to other limited partnership interests of $56 million and $93 million for the three months ended March 31, 2025 and 2024, respectively.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Investment Gains (Losses)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Components of Net Investment Gains (Losses)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investment gains (losses) were as follows:</w:t>
      </w:r>
    </w:p>
    <w:tbl>
      <w:tblPr>
        <w:tblW w:w="5469" w:type="dxa"/>
        <w:jc w:val="left"/>
        <w:tblInd w:w="0" w:type="dxa"/>
        <w:tblLayout w:type="fixed"/>
        <w:tblCellMar>
          <w:top w:w="28" w:type="dxa"/>
          <w:left w:w="28" w:type="dxa"/>
          <w:bottom w:w="28" w:type="dxa"/>
          <w:right w:w="28" w:type="dxa"/>
        </w:tblCellMar>
      </w:tblPr>
      <w:tblGrid>
        <w:gridCol w:w="928"/>
        <w:gridCol w:w="817"/>
        <w:gridCol w:w="820"/>
        <w:gridCol w:w="109"/>
        <w:gridCol w:w="109"/>
        <w:gridCol w:w="188"/>
        <w:gridCol w:w="188"/>
        <w:gridCol w:w="338"/>
        <w:gridCol w:w="701"/>
        <w:gridCol w:w="188"/>
        <w:gridCol w:w="109"/>
        <w:gridCol w:w="109"/>
        <w:gridCol w:w="109"/>
        <w:gridCol w:w="196"/>
        <w:gridCol w:w="40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83" w:type="dxa"/>
            <w:gridSpan w:val="6"/>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3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Limited partnerships and LLCs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Gains (losses) from foreign currency transactions included within net investment gains (losses) were not significant for both the three months ended March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Sales or Disposals of 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gains and losses on sales of securities are determined on a specific identification basis. Proceeds from sales or disposals of fixed maturity securities and the components of fixed maturity securities net investment gains (losses) were as follows:</w:t>
      </w:r>
    </w:p>
    <w:tbl>
      <w:tblPr>
        <w:tblW w:w="4028" w:type="dxa"/>
        <w:jc w:val="left"/>
        <w:tblInd w:w="0" w:type="dxa"/>
        <w:tblLayout w:type="fixed"/>
        <w:tblCellMar>
          <w:top w:w="28" w:type="dxa"/>
          <w:left w:w="28" w:type="dxa"/>
          <w:bottom w:w="28" w:type="dxa"/>
          <w:right w:w="28" w:type="dxa"/>
        </w:tblCellMar>
      </w:tblPr>
      <w:tblGrid>
        <w:gridCol w:w="797"/>
        <w:gridCol w:w="701"/>
        <w:gridCol w:w="706"/>
        <w:gridCol w:w="196"/>
        <w:gridCol w:w="421"/>
        <w:gridCol w:w="109"/>
        <w:gridCol w:w="109"/>
        <w:gridCol w:w="109"/>
        <w:gridCol w:w="109"/>
        <w:gridCol w:w="196"/>
        <w:gridCol w:w="421"/>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investment gains</w:t>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investment losses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8.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Accounting for 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Notes 1 and 10 of the Notes to the Consolidated Financial Statements included in the 2024 Annual Report for a description of the Company’s accounting policies for derivatives and the fair value hierarchy for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Types of Derivative Instruments and Derivative Strategies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overall risk management strategy that incorporates the use of derivative instruments to minimize its exposure to various market risks. Commonly used derivative instruments include, but are not necessarily limited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Interest rate derivatives: swaps, floors, caps, futures, swaptions and forwards;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Foreign currency exchange rate derivatives: forwards and swaps;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Equity market derivatives: futures, options, total return swaps and hybrid options;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Credit derivatives: index reference credit default swaps.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detailed information on these contracts and the related strategies, see Note 9 of the Notes to the Consolidated Financial Statements included in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Derivatives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Primary Risks Managed by Derivatives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The primary underlying risk exposure, gross notional amount and estimated fair value</w:t>
      </w:r>
      <w:r>
        <w:rPr>
          <w:color w:val="000000"/>
        </w:rPr>
        <w:t xml:space="preserve"> </w:t>
      </w:r>
      <w:r>
        <w:rPr>
          <w:rFonts w:ascii="Times New Roman;sans-serif" w:hAnsi="Times New Roman;sans-serif"/>
          <w:b w:val="false"/>
          <w:color w:val="000000"/>
          <w:sz w:val="20"/>
        </w:rPr>
        <w:t>of derivatives, excluding embedded derivatives, held were as follows at:</w:t>
      </w:r>
    </w:p>
    <w:tbl>
      <w:tblPr>
        <w:tblW w:w="10685" w:type="dxa"/>
        <w:jc w:val="left"/>
        <w:tblInd w:w="0" w:type="dxa"/>
        <w:tblLayout w:type="fixed"/>
        <w:tblCellMar>
          <w:top w:w="28" w:type="dxa"/>
          <w:left w:w="28" w:type="dxa"/>
          <w:bottom w:w="28" w:type="dxa"/>
          <w:right w:w="28" w:type="dxa"/>
        </w:tblCellMar>
      </w:tblPr>
      <w:tblGrid>
        <w:gridCol w:w="457"/>
        <w:gridCol w:w="191"/>
        <w:gridCol w:w="193"/>
        <w:gridCol w:w="840"/>
        <w:gridCol w:w="735"/>
        <w:gridCol w:w="736"/>
        <w:gridCol w:w="109"/>
        <w:gridCol w:w="109"/>
        <w:gridCol w:w="109"/>
        <w:gridCol w:w="196"/>
        <w:gridCol w:w="736"/>
        <w:gridCol w:w="109"/>
        <w:gridCol w:w="109"/>
        <w:gridCol w:w="109"/>
        <w:gridCol w:w="109"/>
        <w:gridCol w:w="196"/>
        <w:gridCol w:w="556"/>
        <w:gridCol w:w="109"/>
        <w:gridCol w:w="109"/>
        <w:gridCol w:w="109"/>
        <w:gridCol w:w="109"/>
        <w:gridCol w:w="196"/>
        <w:gridCol w:w="556"/>
        <w:gridCol w:w="109"/>
        <w:gridCol w:w="109"/>
        <w:gridCol w:w="109"/>
        <w:gridCol w:w="109"/>
        <w:gridCol w:w="196"/>
        <w:gridCol w:w="736"/>
        <w:gridCol w:w="109"/>
        <w:gridCol w:w="109"/>
        <w:gridCol w:w="109"/>
        <w:gridCol w:w="109"/>
        <w:gridCol w:w="196"/>
        <w:gridCol w:w="556"/>
        <w:gridCol w:w="109"/>
        <w:gridCol w:w="109"/>
        <w:gridCol w:w="109"/>
        <w:gridCol w:w="109"/>
        <w:gridCol w:w="196"/>
        <w:gridCol w:w="556"/>
        <w:gridCol w:w="154"/>
      </w:tblGrid>
      <w:tr>
        <w:trPr/>
        <w:tc>
          <w:tcPr>
            <w:tcW w:w="4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2024</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Primary Underlying Risk Exposure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4"/>
              </w:rPr>
            </w:pPr>
            <w:r>
              <w:rPr>
                <w:rFonts w:ascii="Times New Roman;sans-serif" w:hAnsi="Times New Roman;sans-serif"/>
                <w:b/>
                <w:color w:val="000000"/>
                <w:sz w:val="14"/>
              </w:rPr>
              <w:t>Gross Notional Amount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4"/>
              </w:rPr>
            </w:pPr>
            <w:r>
              <w:rPr>
                <w:rFonts w:ascii="Times New Roman;sans-serif" w:hAnsi="Times New Roman;sans-serif"/>
                <w:b/>
                <w:color w:val="000000"/>
                <w:sz w:val="14"/>
              </w:rPr>
              <w:t>Gross Notional Amount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 Fair Value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Liabilities</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15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hedges:</w:t>
            </w:r>
          </w:p>
        </w:tc>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swaps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qualifying hedges</w:t>
            </w:r>
          </w:p>
        </w:tc>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or Not Qualifying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floors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futures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options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Interest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forwards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forwards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Credit default swaps — written</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futures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index options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total return swaps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5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non-designated or non-qualifying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gross notional amounts, a substantial portion of the Company’s derivatives was not designated or did not qualify as part of a hedging relationship at both March 31, 2025 and December 31, 2024. The Company’s use of derivatives includes (i) derivatives that serve as hedges of the Company’s exposure to various risks and generally do not qualify for hedge accounting because they do not meet the criteria required under portfolio hedging rules; (ii) derivatives that economically hedge insurance liabilities and generally do not qualify for hedge accounting because they do not meet the criteria of being “highly effective” as outlined in Accounting Standards Codification 815 — Derivatives and Hedging; (iii) derivatives that economically hedge MRBs that do not qualify for hedge accounting because the changes in estimated fair value of the MRBs are already recorded in net income; and (iv) written credit default swaps that are used to create synthetic credit investments and that do not qualify for hedge accounting because they do not involve a hedging relationship.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Derivatives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and location of gains (losses), including earned income, recognized for derivatives and gains (losses) pertaining to hedged items reported in net derivative gains (losses) were as follows:</w:t>
      </w:r>
    </w:p>
    <w:tbl>
      <w:tblPr>
        <w:tblW w:w="10205" w:type="dxa"/>
        <w:jc w:val="left"/>
        <w:tblInd w:w="0" w:type="dxa"/>
        <w:tblLayout w:type="fixed"/>
        <w:tblCellMar>
          <w:top w:w="28" w:type="dxa"/>
          <w:left w:w="28" w:type="dxa"/>
          <w:bottom w:w="28" w:type="dxa"/>
          <w:right w:w="28" w:type="dxa"/>
        </w:tblCellMar>
      </w:tblPr>
      <w:tblGrid>
        <w:gridCol w:w="985"/>
        <w:gridCol w:w="509"/>
        <w:gridCol w:w="514"/>
        <w:gridCol w:w="338"/>
        <w:gridCol w:w="1086"/>
        <w:gridCol w:w="188"/>
        <w:gridCol w:w="109"/>
        <w:gridCol w:w="109"/>
        <w:gridCol w:w="109"/>
        <w:gridCol w:w="440"/>
        <w:gridCol w:w="912"/>
        <w:gridCol w:w="245"/>
        <w:gridCol w:w="109"/>
        <w:gridCol w:w="109"/>
        <w:gridCol w:w="109"/>
        <w:gridCol w:w="296"/>
        <w:gridCol w:w="615"/>
        <w:gridCol w:w="166"/>
        <w:gridCol w:w="109"/>
        <w:gridCol w:w="109"/>
        <w:gridCol w:w="109"/>
        <w:gridCol w:w="473"/>
        <w:gridCol w:w="582"/>
        <w:gridCol w:w="265"/>
        <w:gridCol w:w="109"/>
        <w:gridCol w:w="109"/>
        <w:gridCol w:w="109"/>
        <w:gridCol w:w="334"/>
        <w:gridCol w:w="676"/>
        <w:gridCol w:w="273"/>
      </w:tblGrid>
      <w:tr>
        <w:trPr/>
        <w:tc>
          <w:tcPr>
            <w:tcW w:w="98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Derivative Gains (Losses) Recognized for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Derivative Gains (Losses) Recognized for Hedged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 (Losses) Deferred in AOCI</w:t>
            </w:r>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Derivatives Designated as Hedging Instruments: </w:t>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hedges:</w:t>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flow hedges</w:t>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or Not Qualifying as Hedging Instruments:</w:t>
            </w:r>
          </w:p>
        </w:tc>
        <w:tc>
          <w:tcPr>
            <w:tcW w:w="1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Credit</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Embedded</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non-qualifying hedges</w:t>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c>
          <w:tcPr>
            <w:tcW w:w="16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Derivatives Designated as Hedging Instruments: </w:t>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2008"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2008"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hedges:</w:t>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flow hedges</w:t>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or Not Qualifying as Hedging Instruments:</w:t>
            </w:r>
          </w:p>
        </w:tc>
        <w:tc>
          <w:tcPr>
            <w:tcW w:w="1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Credit</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Embedded</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non-qualifying hedges</w:t>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(1,920)</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(1,917)</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the Company held no qualified derivatives hedging exposure to future cash flows for forecasted asset purchases.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the balance in AOCI associated with cash flow hedges was $445 million and $469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Credit 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Derivatives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maximum amount of future payments and weighted average years to maturity of written credit default swaps were as follows at:</w:t>
      </w:r>
    </w:p>
    <w:tbl>
      <w:tblPr>
        <w:tblW w:w="10205" w:type="dxa"/>
        <w:jc w:val="left"/>
        <w:tblInd w:w="0" w:type="dxa"/>
        <w:tblLayout w:type="fixed"/>
        <w:tblCellMar>
          <w:top w:w="28" w:type="dxa"/>
          <w:left w:w="28" w:type="dxa"/>
          <w:bottom w:w="28" w:type="dxa"/>
          <w:right w:w="28" w:type="dxa"/>
        </w:tblCellMar>
      </w:tblPr>
      <w:tblGrid>
        <w:gridCol w:w="426"/>
        <w:gridCol w:w="375"/>
        <w:gridCol w:w="376"/>
        <w:gridCol w:w="109"/>
        <w:gridCol w:w="109"/>
        <w:gridCol w:w="109"/>
        <w:gridCol w:w="296"/>
        <w:gridCol w:w="500"/>
        <w:gridCol w:w="166"/>
        <w:gridCol w:w="109"/>
        <w:gridCol w:w="109"/>
        <w:gridCol w:w="109"/>
        <w:gridCol w:w="397"/>
        <w:gridCol w:w="853"/>
        <w:gridCol w:w="222"/>
        <w:gridCol w:w="109"/>
        <w:gridCol w:w="109"/>
        <w:gridCol w:w="109"/>
        <w:gridCol w:w="357"/>
        <w:gridCol w:w="357"/>
        <w:gridCol w:w="358"/>
        <w:gridCol w:w="109"/>
        <w:gridCol w:w="109"/>
        <w:gridCol w:w="109"/>
        <w:gridCol w:w="296"/>
        <w:gridCol w:w="500"/>
        <w:gridCol w:w="166"/>
        <w:gridCol w:w="109"/>
        <w:gridCol w:w="109"/>
        <w:gridCol w:w="109"/>
        <w:gridCol w:w="397"/>
        <w:gridCol w:w="853"/>
        <w:gridCol w:w="222"/>
        <w:gridCol w:w="109"/>
        <w:gridCol w:w="109"/>
        <w:gridCol w:w="109"/>
        <w:gridCol w:w="326"/>
        <w:gridCol w:w="326"/>
        <w:gridCol w:w="474"/>
      </w:tblGrid>
      <w:tr>
        <w:trPr/>
        <w:tc>
          <w:tcPr>
            <w:tcW w:w="4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Rating Agency Designation of Referenced Credit Obligations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of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Maximum Amount of Future Payments under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Weighted Average Years to Maturity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of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Maximum Amount of Future Payments under Credit Default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Weighted Average Years to Maturity (2)</w:t>
            </w:r>
          </w:p>
        </w:tc>
      </w:tr>
      <w:tr>
        <w:trPr/>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Aaa/Aa/A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r>
      <w:tr>
        <w:trPr/>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r>
      <w:tr>
        <w:trPr/>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Caa and Lower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r>
      <w:tr>
        <w:trPr/>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 has written credit protection on index references. The rating agency designations are based on availability and the midpoint of the applicable ratings among Moody’s, S&amp;P and Fitch. If no rating is available from a rating agency, then an internally developed rating is used.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weighted average years to maturity of the credit default swaps is calculated based on weighted average gross notional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Counterparty Credit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exposed to credit-related losses in the event of counterparty nonperformance on derivative instruments. Generally, the credit exposure is the fair value at the reporting date less any collateral received from the counterparty.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manages its credit risk by: (i) entering into derivative transactions with creditworthy counterparties governed by master netting agreements; (ii) trading through regulated exchanges and central clearing counterparties; (iii) obtaining collateral, such as cash and securities, when appropriate; and (iv) setting limits on single party credit exposures which are subject to periodic management review.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for a description of the impact of credit risk on the valuation of derivatives.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Derivatives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net derivative assets and net derivative liabilities after the application of master netting agreements and collateral were as follows at:</w:t>
      </w:r>
    </w:p>
    <w:tbl>
      <w:tblPr>
        <w:tblW w:w="10205" w:type="dxa"/>
        <w:jc w:val="left"/>
        <w:tblInd w:w="0" w:type="dxa"/>
        <w:tblLayout w:type="fixed"/>
        <w:tblCellMar>
          <w:top w:w="28" w:type="dxa"/>
          <w:left w:w="28" w:type="dxa"/>
          <w:bottom w:w="28" w:type="dxa"/>
          <w:right w:w="28" w:type="dxa"/>
        </w:tblCellMar>
      </w:tblPr>
      <w:tblGrid>
        <w:gridCol w:w="501"/>
        <w:gridCol w:w="265"/>
        <w:gridCol w:w="266"/>
        <w:gridCol w:w="109"/>
        <w:gridCol w:w="109"/>
        <w:gridCol w:w="109"/>
        <w:gridCol w:w="263"/>
        <w:gridCol w:w="751"/>
        <w:gridCol w:w="148"/>
        <w:gridCol w:w="109"/>
        <w:gridCol w:w="109"/>
        <w:gridCol w:w="109"/>
        <w:gridCol w:w="314"/>
        <w:gridCol w:w="750"/>
        <w:gridCol w:w="137"/>
        <w:gridCol w:w="137"/>
        <w:gridCol w:w="137"/>
        <w:gridCol w:w="137"/>
        <w:gridCol w:w="357"/>
        <w:gridCol w:w="660"/>
        <w:gridCol w:w="155"/>
        <w:gridCol w:w="109"/>
        <w:gridCol w:w="109"/>
        <w:gridCol w:w="109"/>
        <w:gridCol w:w="202"/>
        <w:gridCol w:w="573"/>
        <w:gridCol w:w="112"/>
        <w:gridCol w:w="109"/>
        <w:gridCol w:w="109"/>
        <w:gridCol w:w="109"/>
        <w:gridCol w:w="294"/>
        <w:gridCol w:w="900"/>
        <w:gridCol w:w="163"/>
        <w:gridCol w:w="109"/>
        <w:gridCol w:w="109"/>
        <w:gridCol w:w="109"/>
        <w:gridCol w:w="384"/>
        <w:gridCol w:w="647"/>
        <w:gridCol w:w="317"/>
      </w:tblGrid>
      <w:tr>
        <w:trPr/>
        <w:tc>
          <w:tcPr>
            <w:tcW w:w="5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 on the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Instruments (1)</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Collateral Received/Pledged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Collateral Received/Pledged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 After Securities Collateral</w:t>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Derivative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Derivative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(1)Represents amounts subject to an enforceable master netting agreement or similar agreement. </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amount of cash collateral offset in the table above is limited to the net estimated fair value of derivatives after application of netting agreement.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(3)Securities collateral received from counterparties is not reported on the consolidated balance sheets and may not be sold or re-pledged unless the counterparty is in default. Amounts do not include excess of collateral pledged or received.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estimated fair values of derivatives in a net liability position containing such credit-contingent provisions and the aggregate estimated fair value of assets posted as collateral for such instruments were as follows at:</w:t>
      </w:r>
    </w:p>
    <w:tbl>
      <w:tblPr>
        <w:tblW w:w="7973" w:type="dxa"/>
        <w:jc w:val="left"/>
        <w:tblInd w:w="0" w:type="dxa"/>
        <w:tblLayout w:type="fixed"/>
        <w:tblCellMar>
          <w:top w:w="28" w:type="dxa"/>
          <w:left w:w="28" w:type="dxa"/>
          <w:bottom w:w="28" w:type="dxa"/>
          <w:right w:w="28" w:type="dxa"/>
        </w:tblCellMar>
      </w:tblPr>
      <w:tblGrid>
        <w:gridCol w:w="1636"/>
        <w:gridCol w:w="1437"/>
        <w:gridCol w:w="1442"/>
        <w:gridCol w:w="109"/>
        <w:gridCol w:w="109"/>
        <w:gridCol w:w="109"/>
        <w:gridCol w:w="287"/>
        <w:gridCol w:w="814"/>
        <w:gridCol w:w="159"/>
        <w:gridCol w:w="109"/>
        <w:gridCol w:w="109"/>
        <w:gridCol w:w="109"/>
        <w:gridCol w:w="334"/>
        <w:gridCol w:w="948"/>
        <w:gridCol w:w="262"/>
      </w:tblGrid>
      <w:tr>
        <w:trPr/>
        <w:tc>
          <w:tcPr>
            <w:tcW w:w="16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 of derivatives in a net liability position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 of collateral provided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(1)After taking into consideration the existence of netting agreements.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over-the-counter (“OTC”) bilateral contracts between two counterparties (“OTC-bilateral”) derivative transactions to third-party custodians.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Considerable judgment is often required in interpreting market data to develop estimates of fair value, and the use of different assumptions or valuation methodologies may have a material effect on the estimated fair value amounts.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tbl>
      <w:tblPr>
        <w:tblW w:w="9728" w:type="dxa"/>
        <w:jc w:val="left"/>
        <w:tblInd w:w="0" w:type="dxa"/>
        <w:tblLayout w:type="fixed"/>
        <w:tblCellMar>
          <w:top w:w="28" w:type="dxa"/>
          <w:left w:w="28" w:type="dxa"/>
          <w:bottom w:w="28" w:type="dxa"/>
          <w:right w:w="28" w:type="dxa"/>
        </w:tblCellMar>
      </w:tblPr>
      <w:tblGrid>
        <w:gridCol w:w="1359"/>
        <w:gridCol w:w="1195"/>
        <w:gridCol w:w="1210"/>
        <w:gridCol w:w="196"/>
        <w:gridCol w:w="556"/>
        <w:gridCol w:w="109"/>
        <w:gridCol w:w="109"/>
        <w:gridCol w:w="109"/>
        <w:gridCol w:w="109"/>
        <w:gridCol w:w="196"/>
        <w:gridCol w:w="736"/>
        <w:gridCol w:w="109"/>
        <w:gridCol w:w="109"/>
        <w:gridCol w:w="109"/>
        <w:gridCol w:w="109"/>
        <w:gridCol w:w="196"/>
        <w:gridCol w:w="646"/>
        <w:gridCol w:w="109"/>
        <w:gridCol w:w="109"/>
        <w:gridCol w:w="109"/>
        <w:gridCol w:w="109"/>
        <w:gridCol w:w="384"/>
        <w:gridCol w:w="1444"/>
        <w:gridCol w:w="302"/>
      </w:tblGrid>
      <w:tr>
        <w:trPr/>
        <w:tc>
          <w:tcPr>
            <w:tcW w:w="135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Estimated Fair Value</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37,543 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80,640 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securities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4,157 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 derivatives on index-linked annuities (2)</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82,524 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170,280 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5,287 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 derivatives on index-linked annuities (2)</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9,963 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24,415 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8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tbl>
      <w:tblPr>
        <w:tblW w:w="9728" w:type="dxa"/>
        <w:jc w:val="left"/>
        <w:tblInd w:w="0" w:type="dxa"/>
        <w:tblLayout w:type="fixed"/>
        <w:tblCellMar>
          <w:top w:w="28" w:type="dxa"/>
          <w:left w:w="28" w:type="dxa"/>
          <w:bottom w:w="28" w:type="dxa"/>
          <w:right w:w="28" w:type="dxa"/>
        </w:tblCellMar>
      </w:tblPr>
      <w:tblGrid>
        <w:gridCol w:w="1359"/>
        <w:gridCol w:w="1195"/>
        <w:gridCol w:w="1210"/>
        <w:gridCol w:w="196"/>
        <w:gridCol w:w="556"/>
        <w:gridCol w:w="109"/>
        <w:gridCol w:w="109"/>
        <w:gridCol w:w="109"/>
        <w:gridCol w:w="109"/>
        <w:gridCol w:w="196"/>
        <w:gridCol w:w="736"/>
        <w:gridCol w:w="109"/>
        <w:gridCol w:w="109"/>
        <w:gridCol w:w="109"/>
        <w:gridCol w:w="109"/>
        <w:gridCol w:w="196"/>
        <w:gridCol w:w="646"/>
        <w:gridCol w:w="109"/>
        <w:gridCol w:w="109"/>
        <w:gridCol w:w="109"/>
        <w:gridCol w:w="109"/>
        <w:gridCol w:w="384"/>
        <w:gridCol w:w="1444"/>
        <w:gridCol w:w="302"/>
      </w:tblGrid>
      <w:tr>
        <w:trPr/>
        <w:tc>
          <w:tcPr>
            <w:tcW w:w="135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Total Estimated Fair Value</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80,055 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securities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4,135 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 derivatives on index-linked annuities (2)</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85,636 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172,910 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5,248 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 derivatives on index-linked annuities (2)</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11,540 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25,117 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(1)Derivative assets are reported in other invested assets and derivative liabilities are reported in other liabilities. The amounts are presented gross in the tables above to reflect the presentation on the consolidated balance sheets.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(2)Embedded derivative assets on index-linked annuities are reported in premiums and other receivables. Embedded derivative liabilities on index-linked annuities are reported in policyholder account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8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Valuation Controls and Procedures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BHF’s Board of Directors regarding compliance with fair value accounting standards.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three months ended March 31, 2025.</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Determination of Fair Value</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for actively traded marketable bonds designated as available-for-sale or trading securities, primarily U.S. government and agency securities, are determined using the quoted market prices and are classified as Level 1 assets. For securities classified as Level 2 assets, fair values are determined using either a market or income approach and are valued based on a variety of observable inputs as described below.</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U.S. corporate and foreign corporate securities:</w:t>
      </w:r>
      <w:r>
        <w:rPr>
          <w:color w:val="000000"/>
        </w:rPr>
        <w:t xml:space="preserve"> </w:t>
      </w:r>
      <w:r>
        <w:rPr>
          <w:rFonts w:ascii="Times New Roman;sans-serif" w:hAnsi="Times New Roman;sans-serif"/>
          <w:b w:val="false"/>
          <w:color w:val="000000"/>
          <w:sz w:val="20"/>
        </w:rPr>
        <w:t>Fair value is determined using third-party commercial pricing services, with the primary inputs 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U.S. government and agency, state and political subdivision and foreign government securities:</w:t>
      </w:r>
      <w:r>
        <w:rPr>
          <w:color w:val="000000"/>
        </w:rPr>
        <w:t xml:space="preserve"> </w:t>
      </w:r>
      <w:r>
        <w:rPr>
          <w:rFonts w:ascii="Times New Roman;sans-serif" w:hAnsi="Times New Roman;sans-serif"/>
          <w:b w:val="false"/>
          <w:color w:val="000000"/>
          <w:sz w:val="20"/>
        </w:rPr>
        <w:t>Fair value is determined using third-party 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8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Structured Securities:</w:t>
      </w:r>
      <w:r>
        <w:rPr>
          <w:color w:val="000000"/>
        </w:rPr>
        <w:t xml:space="preserve"> </w:t>
      </w:r>
      <w:r>
        <w:rPr>
          <w:rFonts w:ascii="Times New Roman;sans-serif" w:hAnsi="Times New Roman;sans-serif"/>
          <w:b w:val="false"/>
          <w:color w:val="000000"/>
          <w:sz w:val="20"/>
        </w:rPr>
        <w:t xml:space="preserve">Fair value is determined using third-party commercial pricing services, with the primary inputs being quoted prices in markets 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Securities and Short-term Investments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Equity securities and short-term investments:</w:t>
      </w:r>
      <w:r>
        <w:rPr>
          <w:color w:val="000000"/>
        </w:rPr>
        <w:t xml:space="preserve"> </w:t>
      </w:r>
      <w:r>
        <w:rPr>
          <w:rFonts w:ascii="Times New Roman;sans-serif" w:hAnsi="Times New Roman;sans-serif"/>
          <w:b w:val="false"/>
          <w:color w:val="000000"/>
          <w:sz w:val="20"/>
        </w:rPr>
        <w:t>Fair value is determined using third-party commercial pricing services, with the primary input being quoted prices in markets that are not active.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Derivatives are financial instruments with values derived from interest rates, foreign currency exchange rates, credit spreads and/or other financial indices. Derivatives may be exchange-traded or contracted in the OTC market. Certain of the Company’s OTC derivatives are cleared and settled through central clearing counterparties (“OTC-cleared”), while others are OTC-bilateral.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for exchange-traded derivatives are determined using the quoted market prices and are classified as Level 1 assets or liabilities.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Market Risk Benefits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MRBs principally include guaranteed minimum benefits on variable annuity contracts including benefits reinsured related to these guarantees.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Any additional fees not included in the attributed fee ratio are considered revenue and reported in universal life and investment-type product policy fees. The attributed fee ratio is not updated in subsequent periods.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the Company’s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Embedded 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Embedded derivatives include crediting rates associated with index-linked annuity contracts. Embedded derivatives are recorded at estimated fair value with changes in estimated fair value reported in net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crediting rates associated with these features are embedded derivatives which are measured at estimated fair value separately from the host fixed annuity contract. These embedded derivatives are classified within policyholder account balances on the consolidated balance sheets.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Actuarial assumptions including policyholder behavior and expectations for renewals at the end of the term period are reviewed at least annually, and if they change significantly, the estimated fair value is adjusted through net income. Capital market inputs used in the measurement of crediting rate embedded derivatives are updated quarterly through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8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Transfers Into or Out of Level 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Assets and Liabilities Measured at Fair Value Using Significant Unobservable Inputs (Level 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tbl>
      <w:tblPr>
        <w:tblW w:w="10205" w:type="dxa"/>
        <w:jc w:val="left"/>
        <w:tblInd w:w="0" w:type="dxa"/>
        <w:tblLayout w:type="fixed"/>
        <w:tblCellMar>
          <w:top w:w="28" w:type="dxa"/>
          <w:left w:w="28" w:type="dxa"/>
          <w:bottom w:w="28" w:type="dxa"/>
          <w:right w:w="28" w:type="dxa"/>
        </w:tblCellMar>
      </w:tblPr>
      <w:tblGrid>
        <w:gridCol w:w="460"/>
        <w:gridCol w:w="404"/>
        <w:gridCol w:w="406"/>
        <w:gridCol w:w="155"/>
        <w:gridCol w:w="155"/>
        <w:gridCol w:w="155"/>
        <w:gridCol w:w="422"/>
        <w:gridCol w:w="299"/>
        <w:gridCol w:w="233"/>
        <w:gridCol w:w="109"/>
        <w:gridCol w:w="109"/>
        <w:gridCol w:w="109"/>
        <w:gridCol w:w="253"/>
        <w:gridCol w:w="253"/>
        <w:gridCol w:w="253"/>
        <w:gridCol w:w="594"/>
        <w:gridCol w:w="321"/>
        <w:gridCol w:w="318"/>
        <w:gridCol w:w="109"/>
        <w:gridCol w:w="109"/>
        <w:gridCol w:w="109"/>
        <w:gridCol w:w="160"/>
        <w:gridCol w:w="160"/>
        <w:gridCol w:w="141"/>
        <w:gridCol w:w="110"/>
        <w:gridCol w:w="110"/>
        <w:gridCol w:w="110"/>
        <w:gridCol w:w="153"/>
        <w:gridCol w:w="153"/>
        <w:gridCol w:w="154"/>
        <w:gridCol w:w="109"/>
        <w:gridCol w:w="109"/>
        <w:gridCol w:w="109"/>
        <w:gridCol w:w="161"/>
        <w:gridCol w:w="161"/>
        <w:gridCol w:w="139"/>
        <w:gridCol w:w="115"/>
        <w:gridCol w:w="115"/>
        <w:gridCol w:w="115"/>
        <w:gridCol w:w="153"/>
        <w:gridCol w:w="153"/>
        <w:gridCol w:w="154"/>
        <w:gridCol w:w="109"/>
        <w:gridCol w:w="109"/>
        <w:gridCol w:w="109"/>
        <w:gridCol w:w="493"/>
        <w:gridCol w:w="493"/>
        <w:gridCol w:w="713"/>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vMerge w:val="restart"/>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4"/>
              </w:rPr>
            </w:pPr>
            <w:r>
              <w:rPr>
                <w:rFonts w:ascii="Times New Roman;sans-serif" w:hAnsi="Times New Roman;sans-serif"/>
                <w:b/>
                <w:color w:val="000000"/>
                <w:sz w:val="14"/>
              </w:rPr>
              <w:t>Impact of Increase in Input on Estimated Fair Value</w:t>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Valuation 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4"/>
              </w:rPr>
            </w:pPr>
            <w:r>
              <w:rPr>
                <w:rFonts w:ascii="Times New Roman;sans-serif" w:hAnsi="Times New Roman;sans-serif"/>
                <w:b/>
                <w:color w:val="000000"/>
                <w:sz w:val="14"/>
              </w:rPr>
              <w:t>Significant 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0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Variable annuity guaranteed minimum benefits</w:t>
            </w:r>
          </w:p>
        </w:tc>
        <w:tc>
          <w:tcPr>
            <w:tcW w:w="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Discounted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Mortality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0.04%</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0.04%</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(1)</w:t>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Lapse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(2)</w:t>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Utilization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Increase (3)</w:t>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Withdrawal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Long-term equity volatilities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12.25%</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12.22%</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37.04%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Increase (5)</w:t>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Nonperformance risk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0.45%</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0.20%</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(6)</w:t>
            </w:r>
          </w:p>
        </w:tc>
      </w:tr>
      <w:tr>
        <w:trPr/>
        <w:tc>
          <w:tcPr>
            <w:tcW w:w="500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Registered index-linked annuity crediting rates</w:t>
            </w:r>
          </w:p>
        </w:tc>
        <w:tc>
          <w:tcPr>
            <w:tcW w:w="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Option pricing techniques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Mortality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0.03%</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0.03%</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(1)</w:t>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Lapse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(2)</w:t>
            </w:r>
          </w:p>
        </w:tc>
      </w:tr>
      <w:tr>
        <w:trPr/>
        <w:tc>
          <w:tcPr>
            <w:tcW w:w="127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Withdrawal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0.50%</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0.50%</w:t>
            </w:r>
          </w:p>
        </w:tc>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r>
      <w:tr>
        <w:trPr/>
        <w:tc>
          <w:tcPr>
            <w:tcW w:w="127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Nonperformance risk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0.21%</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0.30%</w:t>
            </w:r>
          </w:p>
        </w:tc>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(6)</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(1)Mortality rates vary by age and by demographic characteristics such as gender. The range shown reflects the mortality rate for policyholders between 35 and 90 years old. Mortality rate assumptions are set based on company experience and include an assumption for mortality improvement. </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lapse rate range reflects base lapse rates for major product categories for duration 1-20. Base lapse rates are adjusted at the contract level based on a comparison of the actuarially calculated guaranteed values and the current policyholder account value, as well as other factors, such as the applicability of any surrender charges. For variable annuity guarantees, a dynamic lapse function reduces the base lapse rate when the guaranteed amount is greater than the account value as in-the-money contracts are less likely to lapse. Lapse rates are also generally assumed to be lower in periods when a surrender charge applies. </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(3)The utilization rate assumption for variable annuity guarantees estimates the percentage of contract holders with a guaranteed minimum income benefit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8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variable annuity guaranteed minimum withdrawal benefits, any increase (decrease) in withdrawal rates results in an increase (decrease) in the estimated fair value of the guarantees. For variable annuity guaranteed minimum accumulation benefits and GMIBs, any increase (decrease) in withdrawal rates results in a decrease (increase) in the estimated fair value.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(5)Long-term equity volatilities represent equity volatility beyond the period for which observable equity volatilities are available. For any given contract, long-term equity volatility rates vary throughout the period over which cash flows are projected for purposes of valuing MRBs.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(6)Nonperformance risk spread varies by duration. For any given contract, multiple nonperformance risk spreads will apply, depending on the duration of the cash flow being discounted for purposes of valuing the MRB or embedded derivative.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(lower) higher fair value. For derivatives valued based on third-party pricing models, an increase (decrease) in credit spreads would generally result in a (lower) higher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8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assets and (liabilities) measured at estimated fair value on a recurring basis using significant unobservable inputs (excluding MRBs disclosed in Note 4) were summarized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679"/>
        <w:gridCol w:w="266"/>
        <w:gridCol w:w="270"/>
        <w:gridCol w:w="109"/>
        <w:gridCol w:w="109"/>
        <w:gridCol w:w="109"/>
        <w:gridCol w:w="208"/>
        <w:gridCol w:w="537"/>
        <w:gridCol w:w="127"/>
        <w:gridCol w:w="109"/>
        <w:gridCol w:w="109"/>
        <w:gridCol w:w="109"/>
        <w:gridCol w:w="202"/>
        <w:gridCol w:w="453"/>
        <w:gridCol w:w="122"/>
        <w:gridCol w:w="109"/>
        <w:gridCol w:w="109"/>
        <w:gridCol w:w="109"/>
        <w:gridCol w:w="109"/>
        <w:gridCol w:w="109"/>
        <w:gridCol w:w="226"/>
        <w:gridCol w:w="509"/>
        <w:gridCol w:w="138"/>
        <w:gridCol w:w="109"/>
        <w:gridCol w:w="109"/>
        <w:gridCol w:w="109"/>
        <w:gridCol w:w="109"/>
        <w:gridCol w:w="109"/>
        <w:gridCol w:w="188"/>
        <w:gridCol w:w="423"/>
        <w:gridCol w:w="113"/>
        <w:gridCol w:w="109"/>
        <w:gridCol w:w="109"/>
        <w:gridCol w:w="109"/>
        <w:gridCol w:w="226"/>
        <w:gridCol w:w="508"/>
        <w:gridCol w:w="138"/>
        <w:gridCol w:w="109"/>
        <w:gridCol w:w="109"/>
        <w:gridCol w:w="109"/>
        <w:gridCol w:w="210"/>
        <w:gridCol w:w="471"/>
        <w:gridCol w:w="127"/>
        <w:gridCol w:w="109"/>
        <w:gridCol w:w="109"/>
        <w:gridCol w:w="109"/>
        <w:gridCol w:w="226"/>
        <w:gridCol w:w="699"/>
        <w:gridCol w:w="138"/>
        <w:gridCol w:w="109"/>
        <w:gridCol w:w="167"/>
      </w:tblGrid>
      <w:tr>
        <w:trPr/>
        <w:tc>
          <w:tcPr>
            <w:tcW w:w="67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2"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 Measurements Using Significant Unobservable Inputs (Level 3)</w:t>
            </w:r>
          </w:p>
        </w:tc>
        <w:tc>
          <w:tcPr>
            <w:tcW w:w="2801" w:type="dxa"/>
            <w:gridSpan w:val="14"/>
            <w:tcBorders/>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Fixed Maturity 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Corporate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Structured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w:t>
              <w:br/>
              <w:t>Derivatives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Embedded Derivatives on Index-Linked Annuities</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2" w:type="dxa"/>
            <w:gridSpan w:val="3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2801" w:type="dxa"/>
            <w:gridSpan w:val="14"/>
            <w:tcBorders/>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4"/>
              </w:rPr>
            </w:pPr>
            <w:r>
              <w:rPr>
                <w:rFonts w:ascii="Times New Roman;sans-serif" w:hAnsi="Times New Roman;sans-serif"/>
                <w:b/>
                <w:color w:val="000000"/>
                <w:sz w:val="14"/>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(11,493)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net income (loss) (3)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Purchases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Sales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Issuances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Settlements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into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out of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(9,925)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4"/>
              </w:rPr>
            </w:pPr>
            <w:r>
              <w:rPr>
                <w:rFonts w:ascii="Times New Roman;sans-serif" w:hAnsi="Times New Roman;sans-serif"/>
                <w:b/>
                <w:color w:val="000000"/>
                <w:sz w:val="14"/>
              </w:rPr>
              <w:t>Three Months Ended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(8,186)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net income (loss)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Purchases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Sales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Issuances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Settlements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into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out of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(9,941)</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net income (loss) for the instruments still held at March 31, 2025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950 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OCI for the instruments still held as of March 31, 2025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net income (loss) for the instruments still held at March 31, 2024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(2,040)</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OCI for the instruments still held as of March 31, 2024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(1)Comprised of U.S. and foreign corporate securities.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(2)Freestanding derivative assets and liabilities are reported net for purposes of the rollforward.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(3)Amortization of premium/accretion of discount is included 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(4)Interest and dividend accruals, as well as cash interest coupons and dividends received, are excluded from the rollforward.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8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(5)Items purchased/issued and then sold/settled in the same period are excluded from the rollforward. Fees attributed to embedded derivatives are included in settlements.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(6)Gains and losses, in net income (loss) and OCI, are calculated assuming transfers into and/or out of Level 3 occurred at the beginning of the period. Items transferred into and out of Level 3 in the same period are excluded from the rollforward.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(7)Changes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 Carried at Other Than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and estimated fair values for such financial instruments, and their corresponding placement in the fair value hierarchy, are summarized as follows at:</w:t>
      </w:r>
    </w:p>
    <w:tbl>
      <w:tblPr>
        <w:tblW w:w="10205" w:type="dxa"/>
        <w:jc w:val="left"/>
        <w:tblInd w:w="0" w:type="dxa"/>
        <w:tblLayout w:type="fixed"/>
        <w:tblCellMar>
          <w:top w:w="28" w:type="dxa"/>
          <w:left w:w="28" w:type="dxa"/>
          <w:bottom w:w="28" w:type="dxa"/>
          <w:right w:w="28" w:type="dxa"/>
        </w:tblCellMar>
      </w:tblPr>
      <w:tblGrid>
        <w:gridCol w:w="1131"/>
        <w:gridCol w:w="982"/>
        <w:gridCol w:w="990"/>
        <w:gridCol w:w="251"/>
        <w:gridCol w:w="831"/>
        <w:gridCol w:w="139"/>
        <w:gridCol w:w="109"/>
        <w:gridCol w:w="109"/>
        <w:gridCol w:w="109"/>
        <w:gridCol w:w="196"/>
        <w:gridCol w:w="406"/>
        <w:gridCol w:w="109"/>
        <w:gridCol w:w="109"/>
        <w:gridCol w:w="109"/>
        <w:gridCol w:w="109"/>
        <w:gridCol w:w="196"/>
        <w:gridCol w:w="556"/>
        <w:gridCol w:w="109"/>
        <w:gridCol w:w="109"/>
        <w:gridCol w:w="109"/>
        <w:gridCol w:w="109"/>
        <w:gridCol w:w="196"/>
        <w:gridCol w:w="646"/>
        <w:gridCol w:w="109"/>
        <w:gridCol w:w="109"/>
        <w:gridCol w:w="109"/>
        <w:gridCol w:w="109"/>
        <w:gridCol w:w="402"/>
        <w:gridCol w:w="1328"/>
        <w:gridCol w:w="320"/>
      </w:tblGrid>
      <w:tr>
        <w:trPr/>
        <w:tc>
          <w:tcPr>
            <w:tcW w:w="113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Total Estimated Fair Value</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 loans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invested assets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reinsurance and other receivables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30,851 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30,551 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8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tbl>
      <w:tblPr>
        <w:tblW w:w="10205" w:type="dxa"/>
        <w:jc w:val="left"/>
        <w:tblInd w:w="0" w:type="dxa"/>
        <w:tblLayout w:type="fixed"/>
        <w:tblCellMar>
          <w:top w:w="28" w:type="dxa"/>
          <w:left w:w="28" w:type="dxa"/>
          <w:bottom w:w="28" w:type="dxa"/>
          <w:right w:w="28" w:type="dxa"/>
        </w:tblCellMar>
      </w:tblPr>
      <w:tblGrid>
        <w:gridCol w:w="1131"/>
        <w:gridCol w:w="982"/>
        <w:gridCol w:w="990"/>
        <w:gridCol w:w="251"/>
        <w:gridCol w:w="831"/>
        <w:gridCol w:w="139"/>
        <w:gridCol w:w="109"/>
        <w:gridCol w:w="109"/>
        <w:gridCol w:w="109"/>
        <w:gridCol w:w="196"/>
        <w:gridCol w:w="406"/>
        <w:gridCol w:w="109"/>
        <w:gridCol w:w="109"/>
        <w:gridCol w:w="109"/>
        <w:gridCol w:w="109"/>
        <w:gridCol w:w="196"/>
        <w:gridCol w:w="556"/>
        <w:gridCol w:w="109"/>
        <w:gridCol w:w="109"/>
        <w:gridCol w:w="109"/>
        <w:gridCol w:w="109"/>
        <w:gridCol w:w="196"/>
        <w:gridCol w:w="646"/>
        <w:gridCol w:w="109"/>
        <w:gridCol w:w="109"/>
        <w:gridCol w:w="109"/>
        <w:gridCol w:w="109"/>
        <w:gridCol w:w="402"/>
        <w:gridCol w:w="1328"/>
        <w:gridCol w:w="320"/>
      </w:tblGrid>
      <w:tr>
        <w:trPr/>
        <w:tc>
          <w:tcPr>
            <w:tcW w:w="113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Total Estimated Fair Value</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 loans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invested assets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reinsurance and other receivables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31,928 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31,563 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Preferred stock shares authorized, issued and outstanding were as follows at both March 31, 2025 and December 31, 2024:</w:t>
      </w:r>
    </w:p>
    <w:tbl>
      <w:tblPr>
        <w:tblW w:w="8916" w:type="dxa"/>
        <w:jc w:val="left"/>
        <w:tblInd w:w="0" w:type="dxa"/>
        <w:tblLayout w:type="fixed"/>
        <w:tblCellMar>
          <w:top w:w="28" w:type="dxa"/>
          <w:left w:w="28" w:type="dxa"/>
          <w:bottom w:w="28" w:type="dxa"/>
          <w:right w:w="28" w:type="dxa"/>
        </w:tblCellMar>
      </w:tblPr>
      <w:tblGrid>
        <w:gridCol w:w="1364"/>
        <w:gridCol w:w="1195"/>
        <w:gridCol w:w="1205"/>
        <w:gridCol w:w="109"/>
        <w:gridCol w:w="109"/>
        <w:gridCol w:w="109"/>
        <w:gridCol w:w="554"/>
        <w:gridCol w:w="497"/>
        <w:gridCol w:w="481"/>
        <w:gridCol w:w="109"/>
        <w:gridCol w:w="109"/>
        <w:gridCol w:w="109"/>
        <w:gridCol w:w="354"/>
        <w:gridCol w:w="354"/>
        <w:gridCol w:w="356"/>
        <w:gridCol w:w="109"/>
        <w:gridCol w:w="109"/>
        <w:gridCol w:w="109"/>
        <w:gridCol w:w="460"/>
        <w:gridCol w:w="460"/>
        <w:gridCol w:w="655"/>
      </w:tblGrid>
      <w:tr>
        <w:trPr/>
        <w:tc>
          <w:tcPr>
            <w:tcW w:w="136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Outstanding</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6.600% Non-Cumulative Preferred Stock, Series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6.750% Non-Cumulative Preferred Stock, 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16,100 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5.375% Non-Cumulative Preferred Stock, Series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4.625% Non-Cumulative Preferred Stock, Series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 designated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99,929,900 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100,000,000 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70,100 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70,100 </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per share and aggregate dividends declared for BHF’s preferred stock by series were as follows:</w:t>
      </w:r>
    </w:p>
    <w:tbl>
      <w:tblPr>
        <w:tblW w:w="7019"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43"/>
        <w:gridCol w:w="143"/>
        <w:gridCol w:w="155"/>
        <w:gridCol w:w="155"/>
        <w:gridCol w:w="156"/>
        <w:gridCol w:w="143"/>
        <w:gridCol w:w="143"/>
        <w:gridCol w:w="143"/>
        <w:gridCol w:w="258"/>
        <w:gridCol w:w="850"/>
        <w:gridCol w:w="143"/>
        <w:gridCol w:w="109"/>
        <w:gridCol w:w="109"/>
        <w:gridCol w:w="109"/>
        <w:gridCol w:w="268"/>
        <w:gridCol w:w="453"/>
        <w:gridCol w:w="150"/>
        <w:gridCol w:w="109"/>
        <w:gridCol w:w="109"/>
        <w:gridCol w:w="109"/>
        <w:gridCol w:w="196"/>
        <w:gridCol w:w="646"/>
        <w:gridCol w:w="109"/>
        <w:gridCol w:w="109"/>
        <w:gridCol w:w="109"/>
        <w:gridCol w:w="109"/>
        <w:gridCol w:w="263"/>
        <w:gridCol w:w="445"/>
        <w:gridCol w:w="208"/>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719" w:type="dxa"/>
            <w:gridSpan w:val="18"/>
            <w:tcBorders/>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2521" w:type="dxa"/>
            <w:gridSpan w:val="12"/>
            <w:tcBorders/>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 Share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r>
          </w:p>
        </w:tc>
      </w:tr>
      <w:tr>
        <w:trPr/>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39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data)</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Common Stock Repurchase Program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BHF repurchased 1,062,596 and 1,247,311 shares, respectively, of its common stock through open market purchases pursuant to Rule 10b5-1 plans for $59 million and $62 million, respectively. At March 31, 2025, BHF had $484 million remaining under its common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8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Equity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changes in the balances of each component of AOCI was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655"/>
        <w:gridCol w:w="462"/>
        <w:gridCol w:w="464"/>
        <w:gridCol w:w="109"/>
        <w:gridCol w:w="109"/>
        <w:gridCol w:w="109"/>
        <w:gridCol w:w="280"/>
        <w:gridCol w:w="851"/>
        <w:gridCol w:w="155"/>
        <w:gridCol w:w="109"/>
        <w:gridCol w:w="109"/>
        <w:gridCol w:w="109"/>
        <w:gridCol w:w="279"/>
        <w:gridCol w:w="601"/>
        <w:gridCol w:w="157"/>
        <w:gridCol w:w="109"/>
        <w:gridCol w:w="109"/>
        <w:gridCol w:w="109"/>
        <w:gridCol w:w="319"/>
        <w:gridCol w:w="931"/>
        <w:gridCol w:w="178"/>
        <w:gridCol w:w="109"/>
        <w:gridCol w:w="109"/>
        <w:gridCol w:w="109"/>
        <w:gridCol w:w="299"/>
        <w:gridCol w:w="849"/>
        <w:gridCol w:w="166"/>
        <w:gridCol w:w="109"/>
        <w:gridCol w:w="109"/>
        <w:gridCol w:w="109"/>
        <w:gridCol w:w="196"/>
        <w:gridCol w:w="354"/>
        <w:gridCol w:w="109"/>
        <w:gridCol w:w="109"/>
        <w:gridCol w:w="109"/>
        <w:gridCol w:w="109"/>
        <w:gridCol w:w="196"/>
        <w:gridCol w:w="579"/>
        <w:gridCol w:w="163"/>
      </w:tblGrid>
      <w:tr>
        <w:trPr/>
        <w:tc>
          <w:tcPr>
            <w:tcW w:w="65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 2025</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4"/>
              </w:rPr>
            </w:pPr>
            <w:r>
              <w:rPr>
                <w:rFonts w:ascii="Times New Roman;sans-serif" w:hAnsi="Times New Roman;sans-serif"/>
                <w:b/>
                <w:color w:val="000000"/>
                <w:sz w:val="14"/>
              </w:rPr>
              <w:t>Unrealized Gains (Losses) 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AOCI before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(4,690)</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(4,379)</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(4,670)</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62"/>
        <w:gridCol w:w="469"/>
        <w:gridCol w:w="471"/>
        <w:gridCol w:w="109"/>
        <w:gridCol w:w="109"/>
        <w:gridCol w:w="109"/>
        <w:gridCol w:w="285"/>
        <w:gridCol w:w="869"/>
        <w:gridCol w:w="158"/>
        <w:gridCol w:w="109"/>
        <w:gridCol w:w="109"/>
        <w:gridCol w:w="109"/>
        <w:gridCol w:w="283"/>
        <w:gridCol w:w="610"/>
        <w:gridCol w:w="160"/>
        <w:gridCol w:w="109"/>
        <w:gridCol w:w="109"/>
        <w:gridCol w:w="109"/>
        <w:gridCol w:w="324"/>
        <w:gridCol w:w="945"/>
        <w:gridCol w:w="181"/>
        <w:gridCol w:w="109"/>
        <w:gridCol w:w="109"/>
        <w:gridCol w:w="109"/>
        <w:gridCol w:w="332"/>
        <w:gridCol w:w="713"/>
        <w:gridCol w:w="184"/>
        <w:gridCol w:w="109"/>
        <w:gridCol w:w="109"/>
        <w:gridCol w:w="109"/>
        <w:gridCol w:w="196"/>
        <w:gridCol w:w="354"/>
        <w:gridCol w:w="109"/>
        <w:gridCol w:w="109"/>
        <w:gridCol w:w="109"/>
        <w:gridCol w:w="109"/>
        <w:gridCol w:w="196"/>
        <w:gridCol w:w="579"/>
        <w:gridCol w:w="163"/>
      </w:tblGrid>
      <w:tr>
        <w:trPr/>
        <w:tc>
          <w:tcPr>
            <w:tcW w:w="6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 2024</w:t>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4"/>
              </w:rPr>
            </w:pPr>
            <w:r>
              <w:rPr>
                <w:rFonts w:ascii="Times New Roman;sans-serif" w:hAnsi="Times New Roman;sans-serif"/>
                <w:b/>
                <w:color w:val="000000"/>
                <w:sz w:val="14"/>
              </w:rPr>
              <w:t>Unrealized Gains (Losses) 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AOCI before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(4,937)</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(1,711)</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(5,413)</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(1)See Note 7 for information on offsets to investments related to future policy benefits.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(2)Includes OCI related to foreign currency translation and defined benefit plan gains and losses.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effects of income taxes on amounts recorded to AOCI are also recognized in AOCI. These income tax effects are released from AOCI when the related activity is reclassified into results from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8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Equity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amounts reclassified out of each component of AOCI was as follows:</w:t>
      </w:r>
    </w:p>
    <w:tbl>
      <w:tblPr>
        <w:tblW w:w="10205" w:type="dxa"/>
        <w:jc w:val="left"/>
        <w:tblInd w:w="0" w:type="dxa"/>
        <w:tblLayout w:type="fixed"/>
        <w:tblCellMar>
          <w:top w:w="28" w:type="dxa"/>
          <w:left w:w="28" w:type="dxa"/>
          <w:bottom w:w="28" w:type="dxa"/>
          <w:right w:w="28" w:type="dxa"/>
        </w:tblCellMar>
      </w:tblPr>
      <w:tblGrid>
        <w:gridCol w:w="1224"/>
        <w:gridCol w:w="950"/>
        <w:gridCol w:w="957"/>
        <w:gridCol w:w="109"/>
        <w:gridCol w:w="109"/>
        <w:gridCol w:w="109"/>
        <w:gridCol w:w="112"/>
        <w:gridCol w:w="112"/>
        <w:gridCol w:w="112"/>
        <w:gridCol w:w="112"/>
        <w:gridCol w:w="225"/>
        <w:gridCol w:w="444"/>
        <w:gridCol w:w="124"/>
        <w:gridCol w:w="121"/>
        <w:gridCol w:w="121"/>
        <w:gridCol w:w="121"/>
        <w:gridCol w:w="218"/>
        <w:gridCol w:w="430"/>
        <w:gridCol w:w="121"/>
        <w:gridCol w:w="109"/>
        <w:gridCol w:w="109"/>
        <w:gridCol w:w="109"/>
        <w:gridCol w:w="1326"/>
        <w:gridCol w:w="1122"/>
        <w:gridCol w:w="1599"/>
      </w:tblGrid>
      <w:tr>
        <w:trPr/>
        <w:tc>
          <w:tcPr>
            <w:tcW w:w="122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r>
      <w:tr>
        <w:trPr/>
        <w:tc>
          <w:tcPr>
            <w:tcW w:w="3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AOCI Components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4"/>
              </w:rPr>
            </w:pPr>
            <w:r>
              <w:rPr>
                <w:rFonts w:ascii="Times New Roman;sans-serif" w:hAnsi="Times New Roman;sans-serif"/>
                <w:b/>
                <w:color w:val="000000"/>
                <w:sz w:val="14"/>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Consolidated Statements of Operations and Comprehensive Income (Loss) Locations</w:t>
            </w:r>
          </w:p>
        </w:tc>
      </w:tr>
      <w:tr>
        <w:trPr/>
        <w:tc>
          <w:tcPr>
            <w:tcW w:w="3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br/>
              <w:t>March 31,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6"/>
            <w:tcBorders/>
          </w:tcPr>
          <w:p>
            <w:pPr>
              <w:pStyle w:val="TableContents"/>
              <w:bidi w:val="0"/>
              <w:spacing w:before="0" w:after="283"/>
              <w:jc w:val="left"/>
              <w:rPr>
                <w:sz w:val="4"/>
                <w:szCs w:val="4"/>
              </w:rPr>
            </w:pPr>
            <w:r>
              <w:rPr>
                <w:sz w:val="4"/>
                <w:szCs w:val="4"/>
              </w:rPr>
            </w:r>
          </w:p>
        </w:tc>
      </w:tr>
      <w:tr>
        <w:trPr/>
        <w:tc>
          <w:tcPr>
            <w:tcW w:w="3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gains (losses)</w:t>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7"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derivative gains (losses)</w:t>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 before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 net of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gains (losses) on derivatives -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derivative gains (losses)</w:t>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income</w:t>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7"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7"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derivative gains (losses)</w:t>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Gains (losses) on cash flow hedges, before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Gains (losses) on cash flow hedges, net of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Defined benefit plans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net actuarial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defined benefit plans, before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defined benefit plans, net of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reclassifications, net of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11. Other Revenues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Revenues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contracts with mutual funds, fund managers, and their affiliates (collectively, the “Funds”) whereby the Company is paid monthly or quarterly fees (“12b-1 fees”) for providing certain services to customers and distributors of the Funds. The 12b-1 fees, which are included in other revenues,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revenues included 12b-1 fees of $65 million and $67 million for the three months ended March 31, 2025 and 2024, respectively, of which substantially all were reported in the Annuities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11. Other Revenues and Other Expenses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Expenses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on other expenses was as follows:</w:t>
      </w:r>
    </w:p>
    <w:tbl>
      <w:tblPr>
        <w:tblW w:w="8215" w:type="dxa"/>
        <w:jc w:val="left"/>
        <w:tblInd w:w="0" w:type="dxa"/>
        <w:tblLayout w:type="fixed"/>
        <w:tblCellMar>
          <w:top w:w="28" w:type="dxa"/>
          <w:left w:w="28" w:type="dxa"/>
          <w:bottom w:w="28" w:type="dxa"/>
          <w:right w:w="28" w:type="dxa"/>
        </w:tblCellMar>
      </w:tblPr>
      <w:tblGrid>
        <w:gridCol w:w="1917"/>
        <w:gridCol w:w="1685"/>
        <w:gridCol w:w="1693"/>
        <w:gridCol w:w="109"/>
        <w:gridCol w:w="109"/>
        <w:gridCol w:w="185"/>
        <w:gridCol w:w="185"/>
        <w:gridCol w:w="333"/>
        <w:gridCol w:w="716"/>
        <w:gridCol w:w="185"/>
        <w:gridCol w:w="109"/>
        <w:gridCol w:w="109"/>
        <w:gridCol w:w="109"/>
        <w:gridCol w:w="196"/>
        <w:gridCol w:w="421"/>
        <w:gridCol w:w="154"/>
      </w:tblGrid>
      <w:tr>
        <w:trPr/>
        <w:tc>
          <w:tcPr>
            <w:tcW w:w="1917"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3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Contracted services and other labor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Transition services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 and other taxes, licenses and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Volume related costs, excluding compensation, net of DAC capitalization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Capitalization of DAC</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6 for additional information on the capitalization of DAC.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12. Earnings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earnings per common share was as follows:</w:t>
      </w:r>
    </w:p>
    <w:tbl>
      <w:tblPr>
        <w:tblW w:w="9996" w:type="dxa"/>
        <w:jc w:val="left"/>
        <w:tblInd w:w="0" w:type="dxa"/>
        <w:tblLayout w:type="fixed"/>
        <w:tblCellMar>
          <w:top w:w="28" w:type="dxa"/>
          <w:left w:w="28" w:type="dxa"/>
          <w:bottom w:w="28" w:type="dxa"/>
          <w:right w:w="28" w:type="dxa"/>
        </w:tblCellMar>
      </w:tblPr>
      <w:tblGrid>
        <w:gridCol w:w="2147"/>
        <w:gridCol w:w="1886"/>
        <w:gridCol w:w="1892"/>
        <w:gridCol w:w="109"/>
        <w:gridCol w:w="109"/>
        <w:gridCol w:w="109"/>
        <w:gridCol w:w="164"/>
        <w:gridCol w:w="164"/>
        <w:gridCol w:w="404"/>
        <w:gridCol w:w="1119"/>
        <w:gridCol w:w="225"/>
        <w:gridCol w:w="149"/>
        <w:gridCol w:w="149"/>
        <w:gridCol w:w="149"/>
        <w:gridCol w:w="268"/>
        <w:gridCol w:w="742"/>
        <w:gridCol w:w="211"/>
      </w:tblGrid>
      <w:tr>
        <w:trPr/>
        <w:tc>
          <w:tcPr>
            <w:tcW w:w="2147"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668" w:type="dxa"/>
            <w:gridSpan w:val="6"/>
            <w:tcBorders/>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 except share and per share data)</w:t>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58,258,125 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63,036,773 </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effect of share-based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58,258,125 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63,036,773 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w:t>
            </w:r>
          </w:p>
        </w:tc>
        <w:tc>
          <w:tcPr>
            <w:tcW w:w="2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both the three months ended March 31, 2025 and 2024, basic loss per common share equaled diluted loss per common share. The diluted shares were not included in the per share calculation for these periods as the inclusion of such shares would have an antidilutive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Contingencies, Commitments and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Litigation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receives and responds to subpoenas or other inquiries seeking a broad range of information from various state and federal regulators, agencies and officials. The issues involved in information requests and regulatory matters vary widely, but can include inquiries or investigations concerning the Company’s compliance with applicable insurance and other laws and regulations. The Company cooperates in these inquiries.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March 31, 2025.</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Matters as to Which an Estimate Can Be Made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March 31, 2025, the Company estimates the aggregate range of reasonably possible losses to be up to approximately $10 million.</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Matters as to Which an Estimate Cannot Be Made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Sales Practices Claims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Contingencies, Commitments and Guarantees (continued)</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Cost of Insurance Class Actions</w:t>
      </w:r>
    </w:p>
    <w:p>
      <w:pPr>
        <w:pStyle w:val="TextBody"/>
        <w:bidi w:val="0"/>
        <w:spacing w:lineRule="auto" w:line="268" w:before="120" w:after="283"/>
        <w:ind w:left="0" w:right="0" w:firstLine="360"/>
        <w:jc w:val="both"/>
        <w:rPr/>
      </w:pPr>
      <w:r>
        <w:rPr>
          <w:rFonts w:ascii="Times New Roman;sans-serif" w:hAnsi="Times New Roman;sans-serif"/>
          <w:b w:val="false"/>
          <w:i/>
          <w:color w:val="000000"/>
          <w:sz w:val="20"/>
        </w:rPr>
        <w:t xml:space="preserve">Richard A. Newton v. Brighthouse Life Insurance Company </w:t>
      </w:r>
      <w:r>
        <w:rPr>
          <w:rFonts w:ascii="Times New Roman;sans-serif" w:hAnsi="Times New Roman;sans-serif"/>
          <w:b w:val="false"/>
          <w:color w:val="000000"/>
          <w:sz w:val="20"/>
        </w:rPr>
        <w:t>(U.S. District Court, Northern District of Georgia, Atlanta Division, filed May 8, 2020). Plaintiff has filed a purported class action lawsuit against Brighthouse Life Insurance Company. Plaintiff was the owner of a universal life insurance policy issued by Travelers Insurance Company, a predecessor to Brighthouse Life Insurance Company. Plaintiff seeks to certify a class of all persons who own or owned life insurance policies issued where the terms of the life insurance policy provide or provided, among other things, a guarantee that the cost of insurance rates would not be increased by more than a specified percentage in any contract year. Plaintiff also alleges that cost of insurance charges were based on improper factors and should have decreased over time due to improving mortality but did not</w:t>
      </w:r>
      <w:r>
        <w:rPr>
          <w:rFonts w:ascii="Times New Roman;sans-serif" w:hAnsi="Times New Roman;sans-serif"/>
          <w:b w:val="false"/>
          <w:color w:val="0000FF"/>
          <w:sz w:val="24"/>
        </w:rPr>
        <w:t xml:space="preserve">. </w:t>
      </w:r>
      <w:r>
        <w:rPr>
          <w:rFonts w:ascii="Times New Roman;sans-serif" w:hAnsi="Times New Roman;sans-serif"/>
          <w:b w:val="false"/>
          <w:color w:val="000000"/>
          <w:sz w:val="20"/>
        </w:rPr>
        <w:t>Plaintiff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On January 18, 2023, plaintiff filed a motion on consent to amend the second amended class action complaint to narrow the scope of the class sought to those who own or owned policies issued in Georgia. The motion was granted on January 23, 2023, and the third amended class action complaint was filed on January 23, 2023. The Company intends to vigorously defend this matter.</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Lawrence Martin v. Brighthouse Life Insurance Company</w:t>
      </w:r>
      <w:r>
        <w:rPr>
          <w:color w:val="000000"/>
        </w:rPr>
        <w:t xml:space="preserve"> </w:t>
      </w:r>
      <w:r>
        <w:rPr>
          <w:rFonts w:ascii="Times New Roman;sans-serif" w:hAnsi="Times New Roman;sans-serif"/>
          <w:b w:val="false"/>
          <w:color w:val="000000"/>
          <w:sz w:val="20"/>
        </w:rPr>
        <w:t>(U.S. District Court, Southern District of New York, filed April 6, 2021). Plaintiff has filed a purported class action lawsuit against Brighthouse Life Insurance Company. Plaintiff is the owner of a universal life insurance policy issued by Travelers Insurance Company, a predecessor to Brighthouse Life Insurance Company. Plaintiff seeks to certify a class of similarly situated owners of universal life insurance policies issued or administered by defendants and alleges that cost of insurance charges were based on improper factors and should have decreased over time due to improving mortality but did not. Plaintiff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Brighthouse Life Insurance Company of NY, was initially named as a defendant when the lawsuit was filed, but was dismissed as a defendant, without prejudice, in April 2022. The Company intends to vigorously defend this matter.</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MOVEit Data Security Incident Litigation</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Kennedy v. Progress Software Corporation, et al</w:t>
      </w:r>
      <w:r>
        <w:rPr>
          <w:rFonts w:ascii="Times New Roman;sans-serif" w:hAnsi="Times New Roman;sans-serif"/>
          <w:b w:val="false"/>
          <w:color w:val="000000"/>
          <w:sz w:val="20"/>
        </w:rPr>
        <w:t>. (U.S. District Court, District of Massachusetts, filed October 3, 2023). BHF has been named as a defendant in a purported class action lawsuit. The action relates to a data security incident at an alleged third-party vendor, PBI Research Services (“PBI”), and allegedly involves the MOVEit file transfer system that PBI uses in its provision of services (“MOVEit Incident”). As it relates to BHF, plaintiff seeks to certify a subclass of persons whose private information was allegedly maintained by BHF and accessed or acquired in relation to the MOVEit Incident. Plaintiff alleges, among other things, that BHF negligently chose to utilize PBI to store and transfer plaintiff’s and purported class members’ private information despite PBI’s use of the MOVEit software which plaintiff contends contained security vulnerabilities. The complaint asserts claims against BHF for negligence, negligence per se, and unjust enrichment, and plaintiff seeks declaratory and injunctive relief, damages, attorneys’ fees and prejudgment interest. The court dismissed claims for injunctive relief against BHF but denied the remainder of a motion to dismiss based on plaintiff’s lack of standing. BHF intends to vigorously defend this matter.</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Summary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Contingencies, Commitments and Guarantees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Other Loss Contingencies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or other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 On a quarterly basis, the Company reviews relevant information with respect to other loss contingencies and, when applicable, updates its accruals, disclosures and estimates of reasonably possible losses or estimated ranges of loss based on such reviews.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The Company’s tax-related matters have involved disputes with taxing authorities, ongoing audits, evaluation of filing positions and any potential assessments related thereto. In the matters where the Company’s subsidiaries are acting as the reinsured or the reinsurer, such reinsurance matters have involved assertions by third parties primarily related to rates, fees or reinsured benefit calculations, and certain of such reinsurance matters have resulted in arbitration. As of March 31, 2025, the Company estimates the range of reasonably possible losses in excess of the amounts accrued for certain other loss contingencies to be from zero up to approximately</w:t>
      </w:r>
      <w:r>
        <w:rPr>
          <w:color w:val="000000"/>
          <w:shd w:fill="FFFFFF" w:val="clear"/>
        </w:rPr>
        <w:t xml:space="preserve"> </w:t>
      </w:r>
      <w:r>
        <w:rPr>
          <w:rFonts w:ascii="Times New Roman;sans-serif" w:hAnsi="Times New Roman;sans-serif"/>
          <w:b w:val="false"/>
          <w:color w:val="000000"/>
          <w:sz w:val="20"/>
        </w:rPr>
        <w:t>$100 million relating to certain tax matters, as described above. For certain other matters, the Company may not currently be able to estimate the reasonably possible loss or estimated range of loss until developments in such matters have provided sufficient information to support an assessment of such loss.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2024, an arbitration panel ruled in favor of a reinsurer seeking a premium rate increase retroactive to September 2019 resulting in a $187 million loss, of which $167 million was reported in universal life and investment product-type policy fees and $20 million was reported in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Mortgage Loan Commitments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commits to lend funds under mortgage loan commitments. The amounts of these mortgage loan commitments were $249 million and $271 million at March 31, 2025 and December 31, 2024, respectively.</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Commitments to Fund Partnership Investments, Bank Credit Facilities and Private Corporate Bond Investments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commits to fund partnership investments and to lend funds under bank credit facilities and private corporate bond investments. The amounts of these unfunded commitments were $1.6 billion and $1.7 billion at March 31,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22b5cee3a85542ce8f931fe58d2cdb9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Contingencies, Commitments and Guarantees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its business, the Company has provided certain indemnities, guarantees and commitments to third parties such that it may be required to make payments now or in the future. In the context of reinsurance,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with a cumulative maximum of $83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liabilities recorded for indemnities, guarantees and commitments at both March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Index to Management’s Discussion and Analysis of Financial Condition and Results of Operations</w:t>
      </w:r>
    </w:p>
    <w:tbl>
      <w:tblPr>
        <w:tblW w:w="4381" w:type="dxa"/>
        <w:jc w:val="center"/>
        <w:tblInd w:w="0" w:type="dxa"/>
        <w:tblLayout w:type="fixed"/>
        <w:tblCellMar>
          <w:top w:w="28" w:type="dxa"/>
          <w:left w:w="28" w:type="dxa"/>
          <w:bottom w:w="28" w:type="dxa"/>
          <w:right w:w="28" w:type="dxa"/>
        </w:tblCellMar>
      </w:tblPr>
      <w:tblGrid>
        <w:gridCol w:w="1380"/>
        <w:gridCol w:w="1212"/>
        <w:gridCol w:w="1218"/>
        <w:gridCol w:w="167"/>
        <w:gridCol w:w="167"/>
        <w:gridCol w:w="237"/>
      </w:tblGrid>
      <w:tr>
        <w:trPr/>
        <w:tc>
          <w:tcPr>
            <w:tcW w:w="138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277">
              <w:r>
                <w:rPr>
                  <w:rStyle w:val="InternetLink"/>
                  <w:rFonts w:ascii="Times New Roman;sans-serif" w:hAnsi="Times New Roman;sans-serif"/>
                  <w:b w:val="false"/>
                  <w:color w:val="0000FF"/>
                  <w:sz w:val="20"/>
                  <w:u w:val="single"/>
                </w:rPr>
                <w:t>Introduction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277">
              <w:r>
                <w:rPr>
                  <w:rStyle w:val="InternetLink"/>
                  <w:rFonts w:ascii="Times New Roman;sans-serif" w:hAnsi="Times New Roman;sans-serif"/>
                  <w:b w:val="false"/>
                  <w:color w:val="0000FF"/>
                  <w:sz w:val="20"/>
                  <w:u w:val="single"/>
                </w:rPr>
                <w:t>54</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280">
              <w:r>
                <w:rPr>
                  <w:rStyle w:val="InternetLink"/>
                  <w:rFonts w:ascii="Times New Roman;sans-serif" w:hAnsi="Times New Roman;sans-serif"/>
                  <w:b w:val="false"/>
                  <w:color w:val="0000FF"/>
                  <w:sz w:val="20"/>
                  <w:u w:val="single"/>
                </w:rPr>
                <w:t>Executive Summary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280">
              <w:r>
                <w:rPr>
                  <w:rStyle w:val="InternetLink"/>
                  <w:rFonts w:ascii="Times New Roman;sans-serif" w:hAnsi="Times New Roman;sans-serif"/>
                  <w:b w:val="false"/>
                  <w:color w:val="0000FF"/>
                  <w:sz w:val="20"/>
                  <w:u w:val="single"/>
                </w:rPr>
                <w:t>54</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292">
              <w:r>
                <w:rPr>
                  <w:rStyle w:val="InternetLink"/>
                  <w:rFonts w:ascii="Times New Roman;sans-serif" w:hAnsi="Times New Roman;sans-serif"/>
                  <w:b w:val="false"/>
                  <w:color w:val="0000FF"/>
                  <w:sz w:val="20"/>
                  <w:u w:val="single"/>
                </w:rPr>
                <w:t>Industry Trends and Uncertainties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292">
              <w:r>
                <w:rPr>
                  <w:rStyle w:val="InternetLink"/>
                  <w:rFonts w:ascii="Times New Roman;sans-serif" w:hAnsi="Times New Roman;sans-serif"/>
                  <w:b w:val="false"/>
                  <w:color w:val="0000FF"/>
                  <w:sz w:val="20"/>
                  <w:u w:val="single"/>
                </w:rPr>
                <w:t>55</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304">
              <w:r>
                <w:rPr>
                  <w:rStyle w:val="InternetLink"/>
                  <w:rFonts w:ascii="Times New Roman;sans-serif" w:hAnsi="Times New Roman;sans-serif"/>
                  <w:b w:val="false"/>
                  <w:color w:val="0000FF"/>
                  <w:sz w:val="20"/>
                  <w:u w:val="single"/>
                </w:rPr>
                <w:t>Summary of Critical Accounting Estimates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304">
              <w:r>
                <w:rPr>
                  <w:rStyle w:val="InternetLink"/>
                  <w:rFonts w:ascii="Times New Roman;sans-serif" w:hAnsi="Times New Roman;sans-serif"/>
                  <w:b w:val="false"/>
                  <w:color w:val="0000FF"/>
                  <w:sz w:val="20"/>
                  <w:u w:val="single"/>
                </w:rPr>
                <w:t>56</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307">
              <w:r>
                <w:rPr>
                  <w:rStyle w:val="InternetLink"/>
                  <w:rFonts w:ascii="Times New Roman;sans-serif" w:hAnsi="Times New Roman;sans-serif"/>
                  <w:b w:val="false"/>
                  <w:color w:val="0000FF"/>
                  <w:sz w:val="20"/>
                  <w:u w:val="single"/>
                </w:rPr>
                <w:t>Non-GAAP Financial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307">
              <w:r>
                <w:rPr>
                  <w:rStyle w:val="InternetLink"/>
                  <w:rFonts w:ascii="Times New Roman;sans-serif" w:hAnsi="Times New Roman;sans-serif"/>
                  <w:b w:val="false"/>
                  <w:color w:val="0000FF"/>
                  <w:sz w:val="20"/>
                  <w:u w:val="single"/>
                </w:rPr>
                <w:t>57</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310">
              <w:r>
                <w:rPr>
                  <w:rStyle w:val="InternetLink"/>
                  <w:rFonts w:ascii="Times New Roman;sans-serif" w:hAnsi="Times New Roman;sans-serif"/>
                  <w:b w:val="false"/>
                  <w:color w:val="0000FF"/>
                  <w:sz w:val="20"/>
                  <w:u w:val="single"/>
                </w:rPr>
                <w:t>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310">
              <w:r>
                <w:rPr>
                  <w:rStyle w:val="InternetLink"/>
                  <w:rFonts w:ascii="Times New Roman;sans-serif" w:hAnsi="Times New Roman;sans-serif"/>
                  <w:b w:val="false"/>
                  <w:color w:val="0000FF"/>
                  <w:sz w:val="20"/>
                  <w:u w:val="single"/>
                </w:rPr>
                <w:t>59</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391">
              <w:r>
                <w:rPr>
                  <w:rStyle w:val="InternetLink"/>
                  <w:rFonts w:ascii="Times New Roman;sans-serif" w:hAnsi="Times New Roman;sans-serif"/>
                  <w:b w:val="false"/>
                  <w:color w:val="0000FF"/>
                  <w:sz w:val="20"/>
                  <w:u w:val="single"/>
                </w:rPr>
                <w:t>Investments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391">
              <w:r>
                <w:rPr>
                  <w:rStyle w:val="InternetLink"/>
                  <w:rFonts w:ascii="Times New Roman;sans-serif" w:hAnsi="Times New Roman;sans-serif"/>
                  <w:b w:val="false"/>
                  <w:color w:val="0000FF"/>
                  <w:sz w:val="20"/>
                  <w:u w:val="single"/>
                </w:rPr>
                <w:t>67</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442">
              <w:r>
                <w:rPr>
                  <w:rStyle w:val="InternetLink"/>
                  <w:rFonts w:ascii="Times New Roman;sans-serif" w:hAnsi="Times New Roman;sans-serif"/>
                  <w:b w:val="false"/>
                  <w:color w:val="0000FF"/>
                  <w:sz w:val="20"/>
                  <w:u w:val="single"/>
                </w:rPr>
                <w:t>Derivatives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442">
              <w:r>
                <w:rPr>
                  <w:rStyle w:val="InternetLink"/>
                  <w:rFonts w:ascii="Times New Roman;sans-serif" w:hAnsi="Times New Roman;sans-serif"/>
                  <w:b w:val="false"/>
                  <w:color w:val="0000FF"/>
                  <w:sz w:val="20"/>
                  <w:u w:val="single"/>
                </w:rPr>
                <w:t>77</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460">
              <w:r>
                <w:rPr>
                  <w:rStyle w:val="InternetLink"/>
                  <w:rFonts w:ascii="Times New Roman;sans-serif" w:hAnsi="Times New Roman;sans-serif"/>
                  <w:b w:val="false"/>
                  <w:color w:val="0000FF"/>
                  <w:sz w:val="20"/>
                  <w:u w:val="single"/>
                </w:rPr>
                <w:t>Policyholder Liabilities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460">
              <w:r>
                <w:rPr>
                  <w:rStyle w:val="InternetLink"/>
                  <w:rFonts w:ascii="Times New Roman;sans-serif" w:hAnsi="Times New Roman;sans-serif"/>
                  <w:b w:val="false"/>
                  <w:color w:val="0000FF"/>
                  <w:sz w:val="20"/>
                  <w:u w:val="single"/>
                </w:rPr>
                <w:t>78</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481">
              <w:r>
                <w:rPr>
                  <w:rStyle w:val="InternetLink"/>
                  <w:rFonts w:ascii="Times New Roman;sans-serif" w:hAnsi="Times New Roman;sans-serif"/>
                  <w:b w:val="false"/>
                  <w:color w:val="0000FF"/>
                  <w:sz w:val="20"/>
                  <w:u w:val="single"/>
                </w:rPr>
                <w:t>Liquidity and Capital Resources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481">
              <w:r>
                <w:rPr>
                  <w:rStyle w:val="InternetLink"/>
                  <w:rFonts w:ascii="Times New Roman;sans-serif" w:hAnsi="Times New Roman;sans-serif"/>
                  <w:b w:val="false"/>
                  <w:color w:val="0000FF"/>
                  <w:sz w:val="20"/>
                  <w:u w:val="single"/>
                </w:rPr>
                <w:t>80</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b5cee3a85542ce8f931fe58d2cdb9e_490">
              <w:r>
                <w:rPr>
                  <w:rStyle w:val="InternetLink"/>
                  <w:rFonts w:ascii="Times New Roman;sans-serif" w:hAnsi="Times New Roman;sans-serif"/>
                  <w:b w:val="false"/>
                  <w:color w:val="0000FF"/>
                  <w:sz w:val="20"/>
                  <w:u w:val="single"/>
                </w:rPr>
                <w:t>Note Regarding Forward-Looking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b5cee3a85542ce8f931fe58d2cdb9e_490">
              <w:r>
                <w:rPr>
                  <w:rStyle w:val="InternetLink"/>
                  <w:rFonts w:ascii="Times New Roman;sans-serif" w:hAnsi="Times New Roman;sans-serif"/>
                  <w:b w:val="false"/>
                  <w:color w:val="0000FF"/>
                  <w:sz w:val="20"/>
                  <w:u w:val="single"/>
                </w:rPr>
                <w:t>88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 purposes of this discussion, “Brighthouse Financial,” the “Company,” “we,” “our” and “us” refer to Brighthouse Financial, Inc. and its subsidiaries, and “BHF” refers solely to Brighthouse Financial, Inc., the ultimate holding company for all of our subsidiaries, and not to any of its subsidiaries.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2024 (the “2024 Annual Report”) filed with the U.S. Securities and Exchange Commission (“SEC”) on February 28, 2025; and (iii) our current reports on Form 8-K filed in 2025.</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is intended to help the reader understand the results of operations, financial condition and cash flows of Brighthouse Financial for the periods indicated. Prior to discussing our results of operations, we present information that we believe is useful to understanding the discussion of our financial results. This information precedes our results of operations discussion and is most beneficial when read in the sequence presented. A summary of key informational sections is as follows: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Executive Summary” provides summarized information regarding our business, segments and financial results.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Industry Trends and Uncertainties” discusses updates and changes to a number of trends and uncertainties included in our 2024 Annual Report that we believe may materially affect our future financial condition, results of operations or cash flows.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Summary of Critical Accounting Estimates” explains what we believe to be the most critical estimates and judgments applied in determining our results in accordance with accounting principles generally accepted in the United States of America (“GAAP”).</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Non-GAAP Financial Disclosures” defines key financial measures presented in our results of operations discussion that are not calculated in accordance with GAAP but are used by management in evaluating company and segment performance. As described in this section, adjusted earnings is presented by key business activities which are derived, but different, from the line items presented in the GAAP statements of operations. This section also refers to certain other terms used to describe our insurance business and financial and operating metrics but is not intended to be exhaustive.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discussion and analysis presents a review for the three months ended March 31, 2025 and 2024 and period-over-period comparisons between these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one of the largest providers of annuity and life insurance products in the U.S. through multiple independent distribution channels and marketing arrangements with a diverse network of distribution partners. We are organized into the following reportable segments: Annuities; Life; Run-off; and Corporate &amp; Other. See “Business — Segment Information” and “Management’s Discussion and Analysis of Financial Condition and Results of Operations — Executive Summary” included in our 2024 Annual Report, as well as Note 2 of the Notes to the Interim Condensed Consolidated Financial Statements for further information regarding our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available to shareholders and adjusted earnings (loss), a non-GAAP financial measure, were as follows:</w:t>
      </w:r>
    </w:p>
    <w:tbl>
      <w:tblPr>
        <w:tblW w:w="10205" w:type="dxa"/>
        <w:jc w:val="left"/>
        <w:tblInd w:w="0" w:type="dxa"/>
        <w:tblLayout w:type="fixed"/>
        <w:tblCellMar>
          <w:top w:w="28" w:type="dxa"/>
          <w:left w:w="28" w:type="dxa"/>
          <w:bottom w:w="28" w:type="dxa"/>
          <w:right w:w="28" w:type="dxa"/>
        </w:tblCellMar>
      </w:tblPr>
      <w:tblGrid>
        <w:gridCol w:w="2637"/>
        <w:gridCol w:w="2288"/>
        <w:gridCol w:w="2296"/>
        <w:gridCol w:w="109"/>
        <w:gridCol w:w="109"/>
        <w:gridCol w:w="109"/>
        <w:gridCol w:w="168"/>
        <w:gridCol w:w="168"/>
        <w:gridCol w:w="305"/>
        <w:gridCol w:w="680"/>
        <w:gridCol w:w="172"/>
        <w:gridCol w:w="109"/>
        <w:gridCol w:w="109"/>
        <w:gridCol w:w="109"/>
        <w:gridCol w:w="196"/>
        <w:gridCol w:w="482"/>
        <w:gridCol w:w="159"/>
      </w:tblGrid>
      <w:tr>
        <w:trPr/>
        <w:tc>
          <w:tcPr>
            <w:tcW w:w="2637"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64" w:type="dxa"/>
            <w:gridSpan w:val="6"/>
            <w:tcBorders/>
          </w:tcPr>
          <w:p>
            <w:pPr>
              <w:pStyle w:val="TableContents"/>
              <w:bidi w:val="0"/>
              <w:spacing w:before="0" w:after="283"/>
              <w:jc w:val="left"/>
              <w:rPr>
                <w:sz w:val="4"/>
                <w:szCs w:val="4"/>
              </w:rPr>
            </w:pPr>
            <w:r>
              <w:rPr>
                <w:sz w:val="4"/>
                <w:szCs w:val="4"/>
              </w:rPr>
            </w:r>
          </w:p>
        </w:tc>
      </w:tr>
      <w:tr>
        <w:trPr/>
        <w:tc>
          <w:tcPr>
            <w:tcW w:w="7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(1)We use the term “net income (loss) available to shareholders” to refer to “net income (loss) available to Brighthouse Financial, Inc.’s common shareholders” and “adjusted loss” to refer to negative adjusted earnings values throughout the results of operations discussions.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we had net loss available to shareholders of $294 million and adjusted earnings of $235 million compared to net loss available to shareholders of $519 million and an adjusted loss of $98 million for the three months ended March 31, 2024. Net loss available to shareholders for the three months ended March 31, 2025 primarily reflects net unfavorable changes in the estimated fair value of our variable annuity guaranteed benefit riders due to market factors, net investment losses on mortgage loans and net investment losses on sales of fixed maturity securities. These unfavorable impacts were partially offset by favorable pre-tax adjusted earnings and a favorable change in the estimated fair value of freestanding interest rate derivatives we use to hedge our universal life with secondary guarantees (“ULSG”) business resulting from decreasing long-term interest rates.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 Non-GAAP Financial Disclosures.” See “— Results of Operations” for a detailed discussion of our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Industry Trends and Uncertainties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our 2024 Annual Report, as amended or supplemented herein, for a comprehensive discussion of some of the key general trends and uncertainties that have influenced the development of our business and our historical financial performance and that we believe will continue to influence our business and results of operations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and Economic Environment</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Shield</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 xml:space="preserve">Level Annuities (“Shield” and “Shield Annuity”) and other separate account products as a result of the effects it has on product demand, revenues, expenses, reserves and our risk management effectiveness. In September, November and December 2024, the Federal Reserve Board (the “Federal Reserve”) decreased the target range for the federal funds rate, and any additional future decrease may negatively impact our business in certain respects, including our investment portfolio, by lowering the level of long-term interest rates and changing the shape of the yield curve. The level of long-term interest rates and the shape of the yield curve can have a negative effect on the profitability for variable annuities, as well as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activity. A sustained or material increase in inflation could also affect our business in several ways. During inflationary periods, the value of fixed income investments falls which could increase realized and unrealized losses. Inflation 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restrictive fiscal and monetary policies, which could constrain overall economic activity and inhibit revenue growth. Events involving limited liquidity, defaults, nonperformance or other adverse developments that affect financial institutions or the financial services industry generally, or concerns or rumors about events of these kinds or other similar risks, could adversely affect market-wide liquidity, which could increase the risk of a recession or an equity market downturn and negatively impact various portions of our business, including our investment portfolio. See “Risk Factors — Economic Environment and Capital Markets-Related Risks — If difficult conditions in the capital markets and the U.S. economy generally persist or are perceived to persist, they may materially adversely affect our business and results of operations”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2024 Annual Report.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above factors affect our expectations regarding future margins. We review our long-term assumptions about capital markets returns and interest rates, along with other assumptions such as contract holder behavior, as part of our annual actuarial review. As additional company specific or industry information on contract holder behavior becomes available, related assumptions may change and may potentially have a material impact on liability valuations and net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closely monitor political and economic conditions that might contribute to market volatility and their impact on our business operations, investment portfolio and derivatives, such as global inflation, tariffs imposed or threatened by the U.S. or foreign governments, uncertainty and instability in certain asset classes (including commercial real estate), supply chain disruptions and recent geopolitical conflicts, including in Europe and the Middle East. See “— Investments — Current Environment” herein, as well as “Risk Factors — Economic Environment and Capital Markets-Related Risks,” “Risk Factors — Risks Related to Our Investment Portfolio,” “Management’s Discussion and Analysis of Financial Condition and Results of Operations — Risk Management Strategies,” “Management’s Discussion and Analysis of Financial Condition and Results of Operations — Industry Trends and Uncertainties” and “Management’s Discussion and Analysis of Financial Condition and Results of Operations —Investments” included in our 2024 Annual Report for a detailed discussion of financial and economic impacts on our business, including the potential impacts of interest rate risk and inflation risk on our investments and overall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Regulatory Developments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insurance subsidiaries and Brighthouse Reinsurance Company of Delaware (“BRCD”) are primarily regulated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2024 Annual Report, as amended or supplemented by our subsequent quarterly reports under the heading “Management’s Discussion and Analysis of Financial Condition and Results of Operations — Industry Trends and Uncertainties — Regulatory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Summary of Critical Accounting Estimates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adopt accounting policies and make estimates and assumptions that affect amounts reported on the Interim Condensed Consolidated Financial Statements.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most critical estimates include those used in determining: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liability for future policy benefits;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estimated fair values of market risk benefits (“MRB”);</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estimated fair values of freestanding derivatives and the recognition and estimated fair value of embedded derivatives requiring bifurcation;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measurement of income taxes and the valuation of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above critical accounting estimates are described in “Management’s Discussion and Analysis of Financial Condition and Results of Operations — Summary of Critical Accounting Estimates” and Note 1 of the Notes to the Consolidated Financial Statements included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Non-GAAP Financial Disclosures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certain measures of our performance that are not calculated in accordance with GAAP. Our definitions of non-GAAP financial measures may differ from those used by other companies.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Adjusted Earnings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is a financial measure used by management to evaluate performance and facilitate comparisons to industry results. We believe the presentation of adjusted earnings, as the Company measures it for management purposes, enhances the understanding of our performance by the investor community by highlighting the results of operations and the underlying profitability drivers of our business.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which may be positive or negative, focuses on our primary businesses by excluding the impact of market volatility, which could distort trends. Adjusted earnings was updated during the first quarter of 2025 in connection with the establishment of a trading portfolio comprised of certain fixed income securities. The Company did not have trading securities prior to the first quarter of 2025.</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items are excluded from total revenues in calculating adjusted earnings: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investment gains (losses);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 gains (losses) on trading securities measured at estimated fair value through net investment income;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items are excluded from total expenses in calculating adjusted earnings: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 in MRBs;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 in fair value of the crediting rate on experience-rated contracts and market value adjustments on institutional group annuities that are economically offset by gains (losses) on the related trading securities (“Market Value Adjustments”).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related to adjusted earnings is calculated using the statutory tax rate of 21%, net of impacts related to the dividends received deduction, tax credits and current period non-recurring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adjusted earnings in a manner consistent with management’s view of the primary business activities that drive the profitability of our core businesses. The following table illustrates how each component of adjusted earnings is calculated from the GAAP statements of operations line items:</w:t>
      </w:r>
    </w:p>
    <w:tbl>
      <w:tblPr>
        <w:tblW w:w="10205" w:type="dxa"/>
        <w:jc w:val="left"/>
        <w:tblInd w:w="0" w:type="dxa"/>
        <w:tblLayout w:type="fixed"/>
        <w:tblCellMar>
          <w:top w:w="28" w:type="dxa"/>
          <w:left w:w="28" w:type="dxa"/>
          <w:bottom w:w="28" w:type="dxa"/>
          <w:right w:w="28" w:type="dxa"/>
        </w:tblCellMar>
      </w:tblPr>
      <w:tblGrid>
        <w:gridCol w:w="293"/>
        <w:gridCol w:w="257"/>
        <w:gridCol w:w="257"/>
        <w:gridCol w:w="777"/>
        <w:gridCol w:w="777"/>
        <w:gridCol w:w="496"/>
        <w:gridCol w:w="201"/>
        <w:gridCol w:w="201"/>
        <w:gridCol w:w="201"/>
        <w:gridCol w:w="1947"/>
        <w:gridCol w:w="1947"/>
        <w:gridCol w:w="285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285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 of Adjusted Earnings</w:t>
            </w:r>
          </w:p>
        </w:tc>
        <w:tc>
          <w:tcPr>
            <w:tcW w:w="734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How Derived from GAAP (1)</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Universal life and investment-type product policy fees</w:t>
            </w:r>
            <w:r>
              <w:rPr>
                <w:color w:val="000000"/>
              </w:rPr>
              <w:t xml:space="preserve"> </w:t>
            </w:r>
            <w:r>
              <w:rPr>
                <w:rFonts w:ascii="Times New Roman;sans-serif" w:hAnsi="Times New Roman;sans-serif"/>
                <w:b w:val="false"/>
                <w:color w:val="000000"/>
                <w:sz w:val="20"/>
              </w:rPr>
              <w:t xml:space="preserve">plus </w:t>
            </w:r>
            <w:r>
              <w:rPr>
                <w:rFonts w:ascii="Times New Roman;sans-serif" w:hAnsi="Times New Roman;sans-serif"/>
                <w:b w:val="false"/>
                <w:i/>
                <w:color w:val="000000"/>
                <w:sz w:val="20"/>
              </w:rPr>
              <w:t>Other revenues</w:t>
            </w:r>
            <w:r>
              <w:rPr>
                <w:rFonts w:ascii="Times New Roman;sans-serif" w:hAnsi="Times New Roman;sans-serif"/>
                <w:b w:val="false"/>
                <w:color w:val="000000"/>
                <w:sz w:val="20"/>
              </w:rPr>
              <w:t>.</w:t>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spread</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 xml:space="preserve">Net investment income </w:t>
            </w:r>
            <w:r>
              <w:rPr>
                <w:rFonts w:ascii="Times New Roman;sans-serif" w:hAnsi="Times New Roman;sans-serif"/>
                <w:b w:val="false"/>
                <w:color w:val="000000"/>
                <w:sz w:val="20"/>
              </w:rPr>
              <w:t xml:space="preserve">(excluding investment gains (losses) on trading securities) plus Investment Hedge Adjustments reduced by </w:t>
            </w:r>
            <w:r>
              <w:rPr>
                <w:rFonts w:ascii="Times New Roman;sans-serif" w:hAnsi="Times New Roman;sans-serif"/>
                <w:b w:val="false"/>
                <w:i/>
                <w:color w:val="000000"/>
                <w:sz w:val="20"/>
              </w:rPr>
              <w:t xml:space="preserve">Interest credited to policyholder account balances </w:t>
            </w:r>
            <w:r>
              <w:rPr>
                <w:rFonts w:ascii="Times New Roman;sans-serif" w:hAnsi="Times New Roman;sans-serif"/>
                <w:b w:val="false"/>
                <w:color w:val="000000"/>
                <w:sz w:val="20"/>
              </w:rPr>
              <w:t>(excluding Market Value Adjustments) and interest on future policy benefits.</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Insurance-related activities</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 xml:space="preserve">Premiums </w:t>
            </w:r>
            <w:r>
              <w:rPr>
                <w:rFonts w:ascii="Times New Roman;sans-serif" w:hAnsi="Times New Roman;sans-serif"/>
                <w:b w:val="false"/>
                <w:color w:val="000000"/>
                <w:sz w:val="20"/>
              </w:rPr>
              <w:t>less</w:t>
            </w:r>
            <w:r>
              <w:rPr>
                <w:color w:val="000000"/>
              </w:rPr>
              <w:t xml:space="preserve"> </w:t>
            </w:r>
            <w:r>
              <w:rPr>
                <w:rFonts w:ascii="Times New Roman;sans-serif" w:hAnsi="Times New Roman;sans-serif"/>
                <w:b w:val="false"/>
                <w:i/>
                <w:color w:val="000000"/>
                <w:sz w:val="20"/>
              </w:rPr>
              <w:t>Policyholder benefits and claims</w:t>
            </w:r>
            <w:r>
              <w:rPr>
                <w:rFonts w:ascii="Times New Roman;sans-serif" w:hAnsi="Times New Roman;sans-serif"/>
                <w:b w:val="false"/>
                <w:color w:val="000000"/>
                <w:sz w:val="20"/>
              </w:rPr>
              <w:t>, excluding interest on future policy benefits.</w:t>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(iv)</w:t>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DAC and VOBA</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(iv)</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Amortization of deferred policy acquisition costs (“DAC”) and value of business acquired (“VOBA”)</w:t>
            </w:r>
            <w:r>
              <w:rPr>
                <w:rFonts w:ascii="Times New Roman;sans-serif" w:hAnsi="Times New Roman;sans-serif"/>
                <w:b w:val="false"/>
                <w:color w:val="000000"/>
                <w:sz w:val="20"/>
              </w:rPr>
              <w:t>.</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w:t>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expenses.</w:t>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w:t>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 expense (benefit)</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Tax impact of the above items, calculated using the statutory tax rate of 21%, net of impacts related to the dividends received deduction, tax credits and current period non-recurring items.</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(1)Italicized items indicate GAAP statements of operations line items.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GAAP guidance for segment reporting, adjusted earnings is also our GAAP measure of segment performance. Accordingly, we report adjusted earnings by segment in Note 2 of the Notes to the Interim Condensed Consolidated Financial Statements.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Adjusted Net Investment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investment income is used by management to measure our performance, and we believe it enhances the understanding of our investment portfolio results. Adjusted net investment income represents GAAP net investment income plus Investment Hedge Adjustments less investment gains (losses) on trading securities. For a reconciliation of adjusted net investment income to net investment income, the most directly comparable GAAP measure, see table note (3) to the summary yield table located in “— Investments — Current Environment — Investment Portfolio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Adjusted Net Investment Income Yield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Similar to adjusted net investment income, adjusted net investment income yield is used by management as a performance measure that we believe enhances the understanding of our investment portfolio results. Adjusted net investment income yield represents adjusted net investment income as a percentage of average quarterly asset carrying values. Asset carrying values exclude unrealized gains (losses), collateral received in connection with our securities lending program, freestanding derivative assets and collateral received from derivative counterparties. 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 For a reconciliation of adjusted net investment income yield to net investment income, the most directly comparable GAAP measure, see the summary yield table located in “— Investments — Current Environment — Investment Portfolio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Consolidated Results for the Three Months Ended March 31, 2025 and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noted, all amounts in the following discussions of our results of operations are stated before income tax except for adjusted earnings, which are presented net of income tax.</w:t>
      </w:r>
    </w:p>
    <w:tbl>
      <w:tblPr>
        <w:tblW w:w="10205" w:type="dxa"/>
        <w:jc w:val="left"/>
        <w:tblInd w:w="0" w:type="dxa"/>
        <w:tblLayout w:type="fixed"/>
        <w:tblCellMar>
          <w:top w:w="28" w:type="dxa"/>
          <w:left w:w="28" w:type="dxa"/>
          <w:bottom w:w="28" w:type="dxa"/>
          <w:right w:w="28" w:type="dxa"/>
        </w:tblCellMar>
      </w:tblPr>
      <w:tblGrid>
        <w:gridCol w:w="2596"/>
        <w:gridCol w:w="2273"/>
        <w:gridCol w:w="2301"/>
        <w:gridCol w:w="109"/>
        <w:gridCol w:w="109"/>
        <w:gridCol w:w="109"/>
        <w:gridCol w:w="164"/>
        <w:gridCol w:w="164"/>
        <w:gridCol w:w="297"/>
        <w:gridCol w:w="747"/>
        <w:gridCol w:w="164"/>
        <w:gridCol w:w="109"/>
        <w:gridCol w:w="109"/>
        <w:gridCol w:w="109"/>
        <w:gridCol w:w="196"/>
        <w:gridCol w:w="490"/>
        <w:gridCol w:w="159"/>
      </w:tblGrid>
      <w:tr>
        <w:trPr/>
        <w:tc>
          <w:tcPr>
            <w:tcW w:w="2596"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72" w:type="dxa"/>
            <w:gridSpan w:val="6"/>
            <w:tcBorders/>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Universal life and investment-type product policy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benefits and claims (including liability remeasurement gains (losses) of $0 and $0,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credited to policyholder account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Brighthouse Financial,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Preferred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income (loss) available to shareholders were as follows:</w:t>
      </w:r>
    </w:p>
    <w:tbl>
      <w:tblPr>
        <w:tblW w:w="10205" w:type="dxa"/>
        <w:jc w:val="left"/>
        <w:tblInd w:w="0" w:type="dxa"/>
        <w:tblLayout w:type="fixed"/>
        <w:tblCellMar>
          <w:top w:w="28" w:type="dxa"/>
          <w:left w:w="28" w:type="dxa"/>
          <w:bottom w:w="28" w:type="dxa"/>
          <w:right w:w="28" w:type="dxa"/>
        </w:tblCellMar>
      </w:tblPr>
      <w:tblGrid>
        <w:gridCol w:w="2636"/>
        <w:gridCol w:w="2247"/>
        <w:gridCol w:w="2258"/>
        <w:gridCol w:w="109"/>
        <w:gridCol w:w="109"/>
        <w:gridCol w:w="109"/>
        <w:gridCol w:w="169"/>
        <w:gridCol w:w="169"/>
        <w:gridCol w:w="306"/>
        <w:gridCol w:w="683"/>
        <w:gridCol w:w="173"/>
        <w:gridCol w:w="109"/>
        <w:gridCol w:w="109"/>
        <w:gridCol w:w="109"/>
        <w:gridCol w:w="196"/>
        <w:gridCol w:w="556"/>
        <w:gridCol w:w="158"/>
      </w:tblGrid>
      <w:tr>
        <w:trPr/>
        <w:tc>
          <w:tcPr>
            <w:tcW w:w="2636"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37" w:type="dxa"/>
            <w:gridSpan w:val="6"/>
            <w:tcBorders/>
          </w:tcPr>
          <w:p>
            <w:pPr>
              <w:pStyle w:val="TableContents"/>
              <w:bidi w:val="0"/>
              <w:spacing w:before="0" w:after="283"/>
              <w:jc w:val="left"/>
              <w:rPr>
                <w:sz w:val="4"/>
                <w:szCs w:val="4"/>
              </w:rPr>
            </w:pPr>
            <w:r>
              <w:rPr>
                <w:sz w:val="4"/>
                <w:szCs w:val="4"/>
              </w:rPr>
            </w:r>
          </w:p>
        </w:tc>
      </w:tr>
      <w:tr>
        <w:trPr/>
        <w:tc>
          <w:tcPr>
            <w:tcW w:w="7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Investment gains (losses) on trading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 excluding investment hedge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value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March 31, 2025 Compared with the Three Months Ended March 31,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Loss available to shareholders before provision for income tax was $382 million ($294 million, net of income tax), a lower loss of $260 million ($225 million, net of income tax) from loss available to shareholders before provision for income tax of $642 million ($519 million, net of income tax) in the prior period.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lower loss before provision for income tax was driven by the following favorable items: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pre-tax adjusted earnings, as discussed in greater detail below;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long-term interest rates on interest rate derivatives used to manage interest rate exposure in our ULSG business, as the long-term interest rate decreased in the current period, resulting in a gain of $22 million, and increased in the prior period, resulting in a loss of $212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lower loss before provision for income tax was partially offset by the following unfavorable items: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losses from variable annuity guaranteed benefit riders, see “— Annuity Guaranteed Benefits and Shield Annuity Liabilities for the Three Months Ended March 31, 2025 and 2024”;</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investment gains (losses) reflecting higher net losses on mortgage loans due to an increase in the allowance for credit losses;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U.S. dollar weakening in the current period and strengthening in the prior period, unfavorably impacting foreign currency forwards;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net impact of embedded derivatives and equity options we use to hedge our non-variable annuity business, as equity markets decreased in the current period and increased in the prior period.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calculated as a percentage of income (loss) before provision for income tax, resulted in an effective tax rate of 25% in the current period compared to 20% in the prior period. Our effective tax rate differs from the statutory tax rate primarily due to the impacts of the dividends received deduction, tax credits and current period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Reconciliation of Net Income (Loss) Available to Shareholders to Adjusted Earnings (Loss)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net income (loss) available to shareholders to adjusted earnings (loss) was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14"/>
        <w:gridCol w:w="1416"/>
        <w:gridCol w:w="1421"/>
        <w:gridCol w:w="109"/>
        <w:gridCol w:w="109"/>
        <w:gridCol w:w="109"/>
        <w:gridCol w:w="196"/>
        <w:gridCol w:w="484"/>
        <w:gridCol w:w="109"/>
        <w:gridCol w:w="109"/>
        <w:gridCol w:w="109"/>
        <w:gridCol w:w="109"/>
        <w:gridCol w:w="196"/>
        <w:gridCol w:w="282"/>
        <w:gridCol w:w="109"/>
        <w:gridCol w:w="109"/>
        <w:gridCol w:w="109"/>
        <w:gridCol w:w="109"/>
        <w:gridCol w:w="196"/>
        <w:gridCol w:w="462"/>
        <w:gridCol w:w="109"/>
        <w:gridCol w:w="109"/>
        <w:gridCol w:w="109"/>
        <w:gridCol w:w="109"/>
        <w:gridCol w:w="313"/>
        <w:gridCol w:w="672"/>
        <w:gridCol w:w="174"/>
        <w:gridCol w:w="109"/>
        <w:gridCol w:w="109"/>
        <w:gridCol w:w="109"/>
        <w:gridCol w:w="196"/>
        <w:gridCol w:w="462"/>
        <w:gridCol w:w="159"/>
      </w:tblGrid>
      <w:tr>
        <w:trPr/>
        <w:tc>
          <w:tcPr>
            <w:tcW w:w="161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derivative gains (losses), excluding investment hedge adjustments of $0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10205" w:type="dxa"/>
        <w:jc w:val="center"/>
        <w:tblInd w:w="0" w:type="dxa"/>
        <w:tblLayout w:type="fixed"/>
        <w:tblCellMar>
          <w:top w:w="28" w:type="dxa"/>
          <w:left w:w="28" w:type="dxa"/>
          <w:bottom w:w="28" w:type="dxa"/>
          <w:right w:w="28" w:type="dxa"/>
        </w:tblCellMar>
      </w:tblPr>
      <w:tblGrid>
        <w:gridCol w:w="1587"/>
        <w:gridCol w:w="1393"/>
        <w:gridCol w:w="1398"/>
        <w:gridCol w:w="109"/>
        <w:gridCol w:w="109"/>
        <w:gridCol w:w="109"/>
        <w:gridCol w:w="210"/>
        <w:gridCol w:w="452"/>
        <w:gridCol w:w="119"/>
        <w:gridCol w:w="109"/>
        <w:gridCol w:w="109"/>
        <w:gridCol w:w="109"/>
        <w:gridCol w:w="196"/>
        <w:gridCol w:w="371"/>
        <w:gridCol w:w="109"/>
        <w:gridCol w:w="109"/>
        <w:gridCol w:w="109"/>
        <w:gridCol w:w="109"/>
        <w:gridCol w:w="196"/>
        <w:gridCol w:w="461"/>
        <w:gridCol w:w="109"/>
        <w:gridCol w:w="109"/>
        <w:gridCol w:w="109"/>
        <w:gridCol w:w="109"/>
        <w:gridCol w:w="304"/>
        <w:gridCol w:w="678"/>
        <w:gridCol w:w="170"/>
        <w:gridCol w:w="109"/>
        <w:gridCol w:w="109"/>
        <w:gridCol w:w="109"/>
        <w:gridCol w:w="196"/>
        <w:gridCol w:w="461"/>
        <w:gridCol w:w="160"/>
      </w:tblGrid>
      <w:tr>
        <w:trPr/>
        <w:tc>
          <w:tcPr>
            <w:tcW w:w="15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Investment gains (losses) on 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derivative gains (losses), excluding investment hedge adjustments of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Consolidated Results for the Three Months Ended March 31, 2025 and 2024 — Adjusted Earnings (Loss)</w:t>
      </w:r>
    </w:p>
    <w:p>
      <w:pPr>
        <w:pStyle w:val="TextBody"/>
        <w:bidi w:val="0"/>
        <w:spacing w:lineRule="auto" w:line="288" w:before="12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components of adjusted earnings (loss) were as follows:</w:t>
      </w:r>
    </w:p>
    <w:tbl>
      <w:tblPr>
        <w:tblW w:w="10205" w:type="dxa"/>
        <w:jc w:val="left"/>
        <w:tblInd w:w="0" w:type="dxa"/>
        <w:tblLayout w:type="fixed"/>
        <w:tblCellMar>
          <w:top w:w="28" w:type="dxa"/>
          <w:left w:w="28" w:type="dxa"/>
          <w:bottom w:w="28" w:type="dxa"/>
          <w:right w:w="28" w:type="dxa"/>
        </w:tblCellMar>
      </w:tblPr>
      <w:tblGrid>
        <w:gridCol w:w="2654"/>
        <w:gridCol w:w="2323"/>
        <w:gridCol w:w="2294"/>
        <w:gridCol w:w="109"/>
        <w:gridCol w:w="109"/>
        <w:gridCol w:w="109"/>
        <w:gridCol w:w="172"/>
        <w:gridCol w:w="172"/>
        <w:gridCol w:w="311"/>
        <w:gridCol w:w="671"/>
        <w:gridCol w:w="178"/>
        <w:gridCol w:w="109"/>
        <w:gridCol w:w="109"/>
        <w:gridCol w:w="109"/>
        <w:gridCol w:w="196"/>
        <w:gridCol w:w="421"/>
        <w:gridCol w:w="159"/>
      </w:tblGrid>
      <w:tr>
        <w:trPr/>
        <w:tc>
          <w:tcPr>
            <w:tcW w:w="2654"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03" w:type="dxa"/>
            <w:gridSpan w:val="6"/>
            <w:tcBorders/>
          </w:tcPr>
          <w:p>
            <w:pPr>
              <w:pStyle w:val="TableContents"/>
              <w:bidi w:val="0"/>
              <w:spacing w:before="0" w:after="283"/>
              <w:jc w:val="left"/>
              <w:rPr>
                <w:sz w:val="4"/>
                <w:szCs w:val="4"/>
              </w:rPr>
            </w:pPr>
            <w:r>
              <w:rPr>
                <w:sz w:val="4"/>
                <w:szCs w:val="4"/>
              </w:rPr>
            </w:r>
          </w:p>
        </w:tc>
      </w:tr>
      <w:tr>
        <w:trPr/>
        <w:tc>
          <w:tcPr>
            <w:tcW w:w="7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2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 and preferred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March 31, 2025 Compared with the Three Months Ended March 31,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$235 million in the current period, an increase of $333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decrease in liability balances in our Run-off segment resulting from a reinsurance premium rate increase associated with the conclusion of a reinsurance arbitration in the prior period;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increase in income annuity underwriting margins;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claims, net of reinsurance, in our Life segment;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fee income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ceded cost of insurance fees in our Life and Run-off segments related to the conclusion of the aforementioned reinsurance arbitration in the prior period;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decline in the net cost of insurance fees driven by the aging in-force business in our Run-off segment;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asset-based fees resulting from lower average separate account balances, a portion of which is offset in other expenses;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ceded cost of insurance fees consistent with unfavorable equity market returns in our Life segment, which is offset in other expenses;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other expenses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conclusion of the aforementioned reinsurance arbitration in our Life and Run-off segments in the prior period;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ceded cost of insurance expenses consistent with unfavorable equity market returns in our Life segment, which is offset in fee income;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asset-based variable annuity expenses resulting from lower average separate account balances, a portion of which is offset in fee income;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deferred compensation and operational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key unfavorable impact was a lower net investment spread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interest credited to policyholders due to higher account balances and actuarial modeling improvements in our Annuities segment;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returns on other limited partnerships;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returns on real estate limited partnerships and limited liability companies (“LLC”);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average invested assets resulting from positive net flows in the general account;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investment yields on our fixed income portfolio, as proceeds from maturing investments and the growth in the investment portfolio were invested at higher yields than the portfolio average.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calculated as a percentage of pre-tax adjusted earnings (loss), resulted in an effective tax rate of 17% in the current period compared to 15% in the prior period. Our effective tax rate differs from the statutory tax rate primarily due to the impacts of the dividends received deduction, tax credits and current period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Segment Results for the Three Months Ended March 31, 2025 and 2024 — Adjusted Earnings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Annuities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adjusted earnings for our Annuities segment were as follows:</w:t>
      </w:r>
    </w:p>
    <w:tbl>
      <w:tblPr>
        <w:tblW w:w="6382" w:type="dxa"/>
        <w:jc w:val="left"/>
        <w:tblInd w:w="0" w:type="dxa"/>
        <w:tblLayout w:type="fixed"/>
        <w:tblCellMar>
          <w:top w:w="28" w:type="dxa"/>
          <w:left w:w="28" w:type="dxa"/>
          <w:bottom w:w="28" w:type="dxa"/>
          <w:right w:w="28" w:type="dxa"/>
        </w:tblCellMar>
      </w:tblPr>
      <w:tblGrid>
        <w:gridCol w:w="1133"/>
        <w:gridCol w:w="997"/>
        <w:gridCol w:w="1005"/>
        <w:gridCol w:w="109"/>
        <w:gridCol w:w="109"/>
        <w:gridCol w:w="109"/>
        <w:gridCol w:w="109"/>
        <w:gridCol w:w="109"/>
        <w:gridCol w:w="185"/>
        <w:gridCol w:w="185"/>
        <w:gridCol w:w="333"/>
        <w:gridCol w:w="716"/>
        <w:gridCol w:w="185"/>
        <w:gridCol w:w="109"/>
        <w:gridCol w:w="109"/>
        <w:gridCol w:w="109"/>
        <w:gridCol w:w="196"/>
        <w:gridCol w:w="421"/>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3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adjusted earnings is driven by separate account balances related to our variable annuity business, as these balances determine asset-based fee income and commissions. The changes in our variable annuities separate account balances are presented in Note 5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March 31, 2025 Compared with the Three Months Ended March 31,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$314 million in the current period, an increase of $1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investment spread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average invested assets resulting from positive net flows in the general account;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returns on real estate limited partnerships and LLCs;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investment yields on our fixed income portfolio, as proceeds from maturing investments and the growth in the investment portfolio were invested at higher yields than the portfolio average;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interest credited to policyholders due to higher account balances and actuarial modeling improvements;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net costs associated with insurance-related activities due to an increase in income annuity underwriting margins.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unfavorable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other expenses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operational expenses;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asset-based variable annuity expenses resulting from lower average separate account balances, a portion of which is offset in fee income;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deferred compensation expenses;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transition services agreement expenses;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fee income due to lower asset-based fees resulting from lower average separate account balances, a portion of which is offset in other expenses.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calculated as a percentage of pre-tax adjusted earnings, resulted in an effective tax rate of 19% in both the current period and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Life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adjusted earnings (loss) for our Life segment were as follows:</w:t>
      </w:r>
    </w:p>
    <w:tbl>
      <w:tblPr>
        <w:tblW w:w="6365" w:type="dxa"/>
        <w:jc w:val="left"/>
        <w:tblInd w:w="0" w:type="dxa"/>
        <w:tblLayout w:type="fixed"/>
        <w:tblCellMar>
          <w:top w:w="28" w:type="dxa"/>
          <w:left w:w="28" w:type="dxa"/>
          <w:bottom w:w="28" w:type="dxa"/>
          <w:right w:w="28" w:type="dxa"/>
        </w:tblCellMar>
      </w:tblPr>
      <w:tblGrid>
        <w:gridCol w:w="1133"/>
        <w:gridCol w:w="997"/>
        <w:gridCol w:w="1005"/>
        <w:gridCol w:w="109"/>
        <w:gridCol w:w="109"/>
        <w:gridCol w:w="109"/>
        <w:gridCol w:w="109"/>
        <w:gridCol w:w="109"/>
        <w:gridCol w:w="204"/>
        <w:gridCol w:w="204"/>
        <w:gridCol w:w="368"/>
        <w:gridCol w:w="622"/>
        <w:gridCol w:w="204"/>
        <w:gridCol w:w="109"/>
        <w:gridCol w:w="109"/>
        <w:gridCol w:w="109"/>
        <w:gridCol w:w="196"/>
        <w:gridCol w:w="406"/>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83" w:type="dxa"/>
            <w:gridSpan w:val="6"/>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2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March 31, 2025 Compared with the Three Months Ended March 31,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$9 million in the current period, an increase of $45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fee income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ceded cost of insurance fees related to the conclusion of the aforementioned reinsurance arbitration in the prior period;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ceded cost of insurance fees consistent with unfavorable equity market returns, which is offset in other expenses;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other expenses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ceded cost of insurance expenses consistent with unfavorable equity market returns, which is offset in fee income;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conclusion of the aforementioned reinsurance arbitration in the prior period;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operational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key unfavorable impact was higher net costs associated with insurance-related activities due to higher claims, net of reinsurance.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calculated as a percentage of pre-tax adjusted earnings (loss), resulted in an effective tax rate of 10% in the current period compared to 22% in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Run-off</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adjusted earnings (loss) for our Run-off segment were as follows:</w:t>
      </w:r>
    </w:p>
    <w:tbl>
      <w:tblPr>
        <w:tblW w:w="6456" w:type="dxa"/>
        <w:jc w:val="left"/>
        <w:tblInd w:w="0" w:type="dxa"/>
        <w:tblLayout w:type="fixed"/>
        <w:tblCellMar>
          <w:top w:w="28" w:type="dxa"/>
          <w:left w:w="28" w:type="dxa"/>
          <w:bottom w:w="28" w:type="dxa"/>
          <w:right w:w="28" w:type="dxa"/>
        </w:tblCellMar>
      </w:tblPr>
      <w:tblGrid>
        <w:gridCol w:w="1133"/>
        <w:gridCol w:w="997"/>
        <w:gridCol w:w="1005"/>
        <w:gridCol w:w="109"/>
        <w:gridCol w:w="109"/>
        <w:gridCol w:w="109"/>
        <w:gridCol w:w="109"/>
        <w:gridCol w:w="109"/>
        <w:gridCol w:w="188"/>
        <w:gridCol w:w="188"/>
        <w:gridCol w:w="338"/>
        <w:gridCol w:w="701"/>
        <w:gridCol w:w="188"/>
        <w:gridCol w:w="109"/>
        <w:gridCol w:w="109"/>
        <w:gridCol w:w="109"/>
        <w:gridCol w:w="196"/>
        <w:gridCol w:w="496"/>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73" w:type="dxa"/>
            <w:gridSpan w:val="6"/>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March 31, 2025 Compared with the Three Months Ended March 31,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loss was $64 million in the current period, a lower loss of $277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decrease in liability balances resulting from a reinsurance premium rate increase associated with the conclusion of the aforementioned reinsurance arbitration in the prior period;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claims, net of reinsurance;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fee income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ceded cost of insurance fees related to the conclusion of the aforementioned reinsurance arbitration in the prior period;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decline in the net cost of insurance fees driven by the aging in-force business;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other expenses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conclusion of the aforementioned reinsurance arbitration in the prior period;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operational expenses.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key unfavorable impact was a lower net investment spread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returns on other limited partnerships;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average invested long-term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interest credited to policyholders due to lower account balances.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calculated as a percentage of pre-tax adjusted earnings (loss), resulted in an effective tax rate of 21% in both the current period and the prior period. Our effective tax rate may differ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Corporate &amp; Other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adjusted earnings (loss) for our Corporate &amp; Other segment were as follows:</w:t>
      </w:r>
    </w:p>
    <w:tbl>
      <w:tblPr>
        <w:tblW w:w="10205" w:type="dxa"/>
        <w:jc w:val="left"/>
        <w:tblInd w:w="0" w:type="dxa"/>
        <w:tblLayout w:type="fixed"/>
        <w:tblCellMar>
          <w:top w:w="28" w:type="dxa"/>
          <w:left w:w="28" w:type="dxa"/>
          <w:bottom w:w="28" w:type="dxa"/>
          <w:right w:w="28" w:type="dxa"/>
        </w:tblCellMar>
      </w:tblPr>
      <w:tblGrid>
        <w:gridCol w:w="2613"/>
        <w:gridCol w:w="2285"/>
        <w:gridCol w:w="2252"/>
        <w:gridCol w:w="109"/>
        <w:gridCol w:w="109"/>
        <w:gridCol w:w="109"/>
        <w:gridCol w:w="109"/>
        <w:gridCol w:w="109"/>
        <w:gridCol w:w="170"/>
        <w:gridCol w:w="170"/>
        <w:gridCol w:w="306"/>
        <w:gridCol w:w="621"/>
        <w:gridCol w:w="170"/>
        <w:gridCol w:w="109"/>
        <w:gridCol w:w="109"/>
        <w:gridCol w:w="109"/>
        <w:gridCol w:w="196"/>
        <w:gridCol w:w="392"/>
        <w:gridCol w:w="158"/>
      </w:tblGrid>
      <w:tr>
        <w:trPr/>
        <w:tc>
          <w:tcPr>
            <w:tcW w:w="2613"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73" w:type="dxa"/>
            <w:gridSpan w:val="6"/>
            <w:tcBorders/>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1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March 31, 2025 Compared with the Three Months Ended March 31,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loss was $24 million in the current period, a lower loss of $10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calculated as a percentage of pre-tax adjusted earnings (loss), resulted in a higher effective tax rate in the current period compared to the prior period. Our effective tax rate differs from the statutory tax rate primarily due to the impacts of the dividends received deduction, tax credits and current period non-recurring items.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other operating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Annuity Guaranteed Benefits and Shield Annuity Liabilities for the Three Months Ended March 31, 2025 and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overall impact on income (loss) available to shareholders before provision for income tax from the performance of annuity guaranteed benefits and Shield Annuity liabilities, which includes (i) changes in the fair value of liabilities and related reinsurance, (ii) fees net of claims and (iii) the mark-to-market of hedges, was as follows:</w:t>
      </w:r>
    </w:p>
    <w:tbl>
      <w:tblPr>
        <w:tblW w:w="7982" w:type="dxa"/>
        <w:jc w:val="left"/>
        <w:tblInd w:w="0" w:type="dxa"/>
        <w:tblLayout w:type="fixed"/>
        <w:tblCellMar>
          <w:top w:w="28" w:type="dxa"/>
          <w:left w:w="28" w:type="dxa"/>
          <w:bottom w:w="28" w:type="dxa"/>
          <w:right w:w="28" w:type="dxa"/>
        </w:tblCellMar>
      </w:tblPr>
      <w:tblGrid>
        <w:gridCol w:w="1476"/>
        <w:gridCol w:w="1298"/>
        <w:gridCol w:w="1306"/>
        <w:gridCol w:w="109"/>
        <w:gridCol w:w="109"/>
        <w:gridCol w:w="109"/>
        <w:gridCol w:w="109"/>
        <w:gridCol w:w="324"/>
        <w:gridCol w:w="324"/>
        <w:gridCol w:w="325"/>
        <w:gridCol w:w="308"/>
        <w:gridCol w:w="781"/>
        <w:gridCol w:w="171"/>
        <w:gridCol w:w="109"/>
        <w:gridCol w:w="109"/>
        <w:gridCol w:w="109"/>
        <w:gridCol w:w="196"/>
        <w:gridCol w:w="55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90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2493" w:type="dxa"/>
            <w:gridSpan w:val="9"/>
            <w:tcBorders/>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benefits mark-to-market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Annuity guaranteed benefit rider fees, net of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Ceded reinsurance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changes attributable to annuity guaranteed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annuity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Shield 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March 31, 2025</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Annuity guaranteed benefits and Shield Annuity liabilities performance was unfavorable for the three months ended March 31, 2025, primarily driven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increases in annuity guaranteed benefits liabilities due to decreasing interest rates and equity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changes in variable annuity hedges due to decreasing equity markets, partially offset by decreasing long-term interest rates;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changes in Shield embedded derivatives due to decreasing equity markets.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March 31,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Annuity guaranteed benefits and Shield Annuity liabilities performance was unfavorable for the three months ended March 31, 2024, primarily driven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decreases in annuity guaranteed benefits liabilities due to increasing interest rates and equity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changes in variable annuity hedges due to increasing equity markets, partially offset by increasing long-term interest rates;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changes in Shield embedded derivatives due to increasing equity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Investment Risk Management Strategy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manage the risks related to our investment portfolio through asset-type allocation as well as industry and issuer diversification. We also use risk limits to promote diversification by asset sector, avoid concentrations in any single issuer and limit overall aggregate credit and equity risk exposure. We manage real estate risk through geographic, property type and product type diversification and asset allocation. Interest rate risk is managed as part of our Asset Liability Management (“ALM”) strategies. We also utilize product design to manage interest rate risk (e.g., market value adjustment features and surrender charges). These ALM strategies include maintaining an investment portfolio that targets a weighted average duration that reflects the duration of our estimated liability cash flow profile. For certain of our liability portfolios, it is not possible to invest assets for the full liability duration, thereby creating some asset/liability mismatch. We also use certain derivatives in the management of credit, interest rate, equity market and foreign currency exchange rate risks.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Investment Management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BRCD.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Current Environment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results of operations are materially affected by conditions in capital markets and the economy, generally. As a U.S. insurance company, we are affected by the monetary policy of the Federal Reserve in the U.S. In 2024, the Federal Reserve decreased the target range for the federal funds rate three times — from between 5.25% and 5.50% to between 4.25% and 4.50%. The Federal Reserve may increase or decrease the federal funds rate in the future, which may have an impact on the pricing levels of risk-bearing investments and may adversely impact the level of product sales. We are also affected by the monetary policy of central banks around the world due to the diversification of our investment portfolio. See “— Industry Trends and Uncertainties — Financial and Economic Environment.”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increases have contributed to the net unrealized loss position in our investment portfolio. As a result of increases in interest rates, the unrealized losses on our fixed maturity securities exceeded the unrealized gains as of March 31, 2025.</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Selected Sector Investments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Market volatility has affected the performance of various asset classes.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and “Risk Factors — Risks Related to Our Investment Portfolio — Ongoing military actions, the continued threat of terrorism, climate change as well as other catastrophic events may adversely affect the value of our investment portfolio and the level of claim losses we incur” included in our 2024 Annual Report.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a continued market focus on commercial real estate, including office properties, as a result of hybrid work arrangements and the resulting impact on the demand for office space.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direct commercial real estate exposure through mortgage loans and certain structured securities, which include residential mortgage-backed securities (“RMBS”), commercial mortgage-backed securities (“CMBS”) and asset-backed securities (“ABS”) (collectively, “Structured Securities”). In addition, we have direct and indirect exposure through certain financial industry corporate fixed maturity securities. See “— Investments — Mortgage Loans” and Note 7 of the Notes to the Interim Condensed Consolidated Financial Statements for information on mortgage loans, including credit quality by portfolio segment and commercial mortgage loans by property type. Additionally, see “— Investments — Fixed Maturity Securities Available-For-Sale — Structured Securities” for information on Structured Securities, including security type, risk profile and ratings profile as well as “— Investments — Fixed Maturity Securities Available-For-Sale — U.S. and Foreign Corporate Fixed Maturity Securities” for our exposure to the finance industry.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Investment Portfolio Results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statements of operations. This summary yield table presentation is consistent with how we measure our investment performance for management purposes, and we believe it enhances understanding of our investment portfolio results.</w:t>
      </w:r>
    </w:p>
    <w:tbl>
      <w:tblPr>
        <w:tblW w:w="8472" w:type="dxa"/>
        <w:jc w:val="left"/>
        <w:tblInd w:w="0" w:type="dxa"/>
        <w:tblLayout w:type="fixed"/>
        <w:tblCellMar>
          <w:top w:w="28" w:type="dxa"/>
          <w:left w:w="28" w:type="dxa"/>
          <w:bottom w:w="28" w:type="dxa"/>
          <w:right w:w="28" w:type="dxa"/>
        </w:tblCellMar>
      </w:tblPr>
      <w:tblGrid>
        <w:gridCol w:w="956"/>
        <w:gridCol w:w="841"/>
        <w:gridCol w:w="842"/>
        <w:gridCol w:w="109"/>
        <w:gridCol w:w="109"/>
        <w:gridCol w:w="109"/>
        <w:gridCol w:w="155"/>
        <w:gridCol w:w="155"/>
        <w:gridCol w:w="155"/>
        <w:gridCol w:w="155"/>
        <w:gridCol w:w="156"/>
        <w:gridCol w:w="155"/>
        <w:gridCol w:w="277"/>
        <w:gridCol w:w="263"/>
        <w:gridCol w:w="373"/>
        <w:gridCol w:w="109"/>
        <w:gridCol w:w="109"/>
        <w:gridCol w:w="109"/>
        <w:gridCol w:w="196"/>
        <w:gridCol w:w="556"/>
        <w:gridCol w:w="109"/>
        <w:gridCol w:w="109"/>
        <w:gridCol w:w="109"/>
        <w:gridCol w:w="109"/>
        <w:gridCol w:w="269"/>
        <w:gridCol w:w="271"/>
        <w:gridCol w:w="374"/>
        <w:gridCol w:w="109"/>
        <w:gridCol w:w="109"/>
        <w:gridCol w:w="109"/>
        <w:gridCol w:w="196"/>
        <w:gridCol w:w="55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662" w:type="dxa"/>
            <w:gridSpan w:val="18"/>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15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2474" w:type="dxa"/>
            <w:gridSpan w:val="12"/>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fees and expenses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investment income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(1)Investment income yields are calculated as investment income as a percentage of average quarterly asset carrying values. Investment income excludes recognized gains and losses and reflects the adjustments discussed in table 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(3)Adjusted net investment income presented in the yield table varies from the most directly comparable GAAP measure due to certain reclassifications, as presented below.</w:t>
      </w:r>
    </w:p>
    <w:tbl>
      <w:tblPr>
        <w:tblW w:w="7438" w:type="dxa"/>
        <w:jc w:val="left"/>
        <w:tblInd w:w="0" w:type="dxa"/>
        <w:tblLayout w:type="fixed"/>
        <w:tblCellMar>
          <w:top w:w="28" w:type="dxa"/>
          <w:left w:w="28" w:type="dxa"/>
          <w:bottom w:w="28" w:type="dxa"/>
          <w:right w:w="28" w:type="dxa"/>
        </w:tblCellMar>
      </w:tblPr>
      <w:tblGrid>
        <w:gridCol w:w="1548"/>
        <w:gridCol w:w="1361"/>
        <w:gridCol w:w="1366"/>
        <w:gridCol w:w="109"/>
        <w:gridCol w:w="109"/>
        <w:gridCol w:w="109"/>
        <w:gridCol w:w="161"/>
        <w:gridCol w:w="161"/>
        <w:gridCol w:w="291"/>
        <w:gridCol w:w="826"/>
        <w:gridCol w:w="164"/>
        <w:gridCol w:w="109"/>
        <w:gridCol w:w="109"/>
        <w:gridCol w:w="109"/>
        <w:gridCol w:w="196"/>
        <w:gridCol w:w="55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Investment hedge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Investment gains (losses) on trading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investment income — in the above yield table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 Results of Operations — Consolidated Results for the Three Months Ended March 31, 2025 and 2024” for an analysis of the period-over-period changes in net investment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Fixed Maturity Securities Available-For-Sale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held by type (public or private) were as follows at:</w:t>
      </w:r>
    </w:p>
    <w:tbl>
      <w:tblPr>
        <w:tblW w:w="9151" w:type="dxa"/>
        <w:jc w:val="left"/>
        <w:tblInd w:w="0" w:type="dxa"/>
        <w:tblLayout w:type="fixed"/>
        <w:tblCellMar>
          <w:top w:w="28" w:type="dxa"/>
          <w:left w:w="28" w:type="dxa"/>
          <w:bottom w:w="28" w:type="dxa"/>
          <w:right w:w="28" w:type="dxa"/>
        </w:tblCellMar>
      </w:tblPr>
      <w:tblGrid>
        <w:gridCol w:w="1025"/>
        <w:gridCol w:w="901"/>
        <w:gridCol w:w="908"/>
        <w:gridCol w:w="109"/>
        <w:gridCol w:w="109"/>
        <w:gridCol w:w="109"/>
        <w:gridCol w:w="294"/>
        <w:gridCol w:w="971"/>
        <w:gridCol w:w="384"/>
        <w:gridCol w:w="109"/>
        <w:gridCol w:w="109"/>
        <w:gridCol w:w="109"/>
        <w:gridCol w:w="278"/>
        <w:gridCol w:w="278"/>
        <w:gridCol w:w="276"/>
        <w:gridCol w:w="109"/>
        <w:gridCol w:w="109"/>
        <w:gridCol w:w="109"/>
        <w:gridCol w:w="294"/>
        <w:gridCol w:w="971"/>
        <w:gridCol w:w="384"/>
        <w:gridCol w:w="109"/>
        <w:gridCol w:w="109"/>
        <w:gridCol w:w="109"/>
        <w:gridCol w:w="278"/>
        <w:gridCol w:w="278"/>
        <w:gridCol w:w="323"/>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of </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of </w:t>
              <w:br/>
              <w:t>Total</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Publicly-traded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66,701 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66,402 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Privately-placed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13,939 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13,653 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80,640 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80,055 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cash and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66.1 </w:t>
            </w:r>
          </w:p>
        </w:tc>
        <w:tc>
          <w:tcPr>
            <w:tcW w:w="3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3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of the Notes to the Interim Condensed Consolidated Financial Statements for further information on our valuation controls and procedures including our formal process to challenge any prices received from independent pricing services that are not considered representative of estimated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Notes 1 and 7 of the Notes to the Interim Condensed Consolidated Financial Statements for further information about fixed maturity securities by sector, contractual maturities, continuous gross unrealized losses and the allowance for credit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Fixed Maturity Securities Credit Quality — Ratings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“Management’s Discussion and Analysis of Financial Condition and Results of Operations — Investments — Fixed Maturity Securities Available-For-Sale — Fixed Maturity Securities Credit Quality — Ratings” included in our 2024 Annual Report for a discussion of the credit quality ratings assigned by Nationally Recognized Statistical Rating Organizations (“NRSRO”), credit quality designations assigned by and methodologies used by the Securities Valuation Office of the National Association of Insurance Commissioners (“NAIC”) for fixed maturity securities and the methodologies adopted by the NAIC for certain Structured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total fixed maturity securities by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tbl>
      <w:tblPr>
        <w:tblW w:w="12401"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175"/>
        <w:gridCol w:w="175"/>
        <w:gridCol w:w="176"/>
        <w:gridCol w:w="109"/>
        <w:gridCol w:w="109"/>
        <w:gridCol w:w="109"/>
        <w:gridCol w:w="181"/>
        <w:gridCol w:w="541"/>
        <w:gridCol w:w="109"/>
        <w:gridCol w:w="109"/>
        <w:gridCol w:w="109"/>
        <w:gridCol w:w="109"/>
        <w:gridCol w:w="202"/>
        <w:gridCol w:w="320"/>
        <w:gridCol w:w="124"/>
        <w:gridCol w:w="109"/>
        <w:gridCol w:w="109"/>
        <w:gridCol w:w="109"/>
        <w:gridCol w:w="181"/>
        <w:gridCol w:w="481"/>
        <w:gridCol w:w="109"/>
        <w:gridCol w:w="109"/>
        <w:gridCol w:w="109"/>
        <w:gridCol w:w="109"/>
        <w:gridCol w:w="181"/>
        <w:gridCol w:w="541"/>
        <w:gridCol w:w="109"/>
        <w:gridCol w:w="109"/>
        <w:gridCol w:w="109"/>
        <w:gridCol w:w="109"/>
        <w:gridCol w:w="231"/>
        <w:gridCol w:w="235"/>
        <w:gridCol w:w="211"/>
        <w:gridCol w:w="109"/>
        <w:gridCol w:w="109"/>
        <w:gridCol w:w="109"/>
        <w:gridCol w:w="181"/>
        <w:gridCol w:w="541"/>
        <w:gridCol w:w="109"/>
        <w:gridCol w:w="109"/>
        <w:gridCol w:w="109"/>
        <w:gridCol w:w="109"/>
        <w:gridCol w:w="202"/>
        <w:gridCol w:w="320"/>
        <w:gridCol w:w="124"/>
        <w:gridCol w:w="109"/>
        <w:gridCol w:w="109"/>
        <w:gridCol w:w="109"/>
        <w:gridCol w:w="181"/>
        <w:gridCol w:w="481"/>
        <w:gridCol w:w="109"/>
        <w:gridCol w:w="109"/>
        <w:gridCol w:w="109"/>
        <w:gridCol w:w="109"/>
        <w:gridCol w:w="181"/>
        <w:gridCol w:w="541"/>
        <w:gridCol w:w="109"/>
        <w:gridCol w:w="327"/>
        <w:gridCol w:w="466"/>
        <w:gridCol w:w="256"/>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December 31, 2024</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2"/>
              </w:rPr>
            </w:pPr>
            <w:r>
              <w:rPr>
                <w:rFonts w:ascii="Times New Roman;sans-serif" w:hAnsi="Times New Roman;sans-serif"/>
                <w:b/>
                <w:color w:val="000000"/>
                <w:sz w:val="12"/>
              </w:rPr>
              <w:t>NAIC 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NRSRO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Unrealized Gain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Unrealized Gain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Total</w:t>
            </w:r>
          </w:p>
        </w:tc>
      </w:tr>
      <w:tr>
        <w:trPr/>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0"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(Dollars in millions)</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Aaa/Aa/A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65.8 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Subtotal investment grade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Caa and 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In or near default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Subtotal below investment grade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15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tbl>
      <w:tblPr>
        <w:tblW w:w="10205" w:type="dxa"/>
        <w:jc w:val="left"/>
        <w:tblInd w:w="0" w:type="dxa"/>
        <w:tblLayout w:type="fixed"/>
        <w:tblCellMar>
          <w:top w:w="28" w:type="dxa"/>
          <w:left w:w="28" w:type="dxa"/>
          <w:bottom w:w="28" w:type="dxa"/>
          <w:right w:w="28" w:type="dxa"/>
        </w:tblCellMar>
      </w:tblPr>
      <w:tblGrid>
        <w:gridCol w:w="511"/>
        <w:gridCol w:w="450"/>
        <w:gridCol w:w="451"/>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421"/>
        <w:gridCol w:w="109"/>
        <w:gridCol w:w="109"/>
        <w:gridCol w:w="109"/>
        <w:gridCol w:w="109"/>
        <w:gridCol w:w="199"/>
        <w:gridCol w:w="428"/>
        <w:gridCol w:w="111"/>
        <w:gridCol w:w="109"/>
        <w:gridCol w:w="109"/>
        <w:gridCol w:w="109"/>
        <w:gridCol w:w="272"/>
        <w:gridCol w:w="460"/>
        <w:gridCol w:w="152"/>
        <w:gridCol w:w="109"/>
        <w:gridCol w:w="109"/>
        <w:gridCol w:w="109"/>
        <w:gridCol w:w="273"/>
        <w:gridCol w:w="901"/>
        <w:gridCol w:w="219"/>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 Maturity Securities — by Sector &amp; Credit Quality Rating</w:t>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NAIC 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Estimated Fair Value</w:t>
            </w:r>
          </w:p>
        </w:tc>
      </w:tr>
      <w:tr>
        <w:trPr/>
        <w:tc>
          <w:tcPr>
            <w:tcW w:w="14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NRSRO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Aaa/Aa/A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Caa and </w:t>
              <w:br/>
              <w:t>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or Near </w:t>
              <w:br/>
              <w:t>Default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37,543 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80,640 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80,055 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U.S. and Foreign Corporate 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diversified portfolio of corporate fixed maturity securities across industries and issuers. Our portfolio does not have any exposure to any single issuer in excess of 1% of total investments and the top ten holdings in aggregate comprise 1% total investments at both March 31, 2025 and December 31, 2024. Our U.S. and foreign corporate fixed maturity securities holdings by industry were as follows at:</w:t>
      </w:r>
    </w:p>
    <w:tbl>
      <w:tblPr>
        <w:tblW w:w="6226" w:type="dxa"/>
        <w:jc w:val="left"/>
        <w:tblInd w:w="0" w:type="dxa"/>
        <w:tblLayout w:type="fixed"/>
        <w:tblCellMar>
          <w:top w:w="28" w:type="dxa"/>
          <w:left w:w="28" w:type="dxa"/>
          <w:bottom w:w="28" w:type="dxa"/>
          <w:right w:w="28" w:type="dxa"/>
        </w:tblCellMar>
      </w:tblPr>
      <w:tblGrid>
        <w:gridCol w:w="476"/>
        <w:gridCol w:w="419"/>
        <w:gridCol w:w="426"/>
        <w:gridCol w:w="109"/>
        <w:gridCol w:w="109"/>
        <w:gridCol w:w="109"/>
        <w:gridCol w:w="196"/>
        <w:gridCol w:w="646"/>
        <w:gridCol w:w="109"/>
        <w:gridCol w:w="109"/>
        <w:gridCol w:w="109"/>
        <w:gridCol w:w="109"/>
        <w:gridCol w:w="278"/>
        <w:gridCol w:w="278"/>
        <w:gridCol w:w="268"/>
        <w:gridCol w:w="109"/>
        <w:gridCol w:w="109"/>
        <w:gridCol w:w="109"/>
        <w:gridCol w:w="196"/>
        <w:gridCol w:w="646"/>
        <w:gridCol w:w="109"/>
        <w:gridCol w:w="109"/>
        <w:gridCol w:w="109"/>
        <w:gridCol w:w="109"/>
        <w:gridCol w:w="278"/>
        <w:gridCol w:w="278"/>
        <w:gridCol w:w="315"/>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Estimated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Estimated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Structured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held $20.1 billion and $20.0 billion of Structured Securities, at estimated fair value, at March 31, 2025 and December 31, 2024, respectively, as presented in the RMBS, CMBS and ABS sections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RMBS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RMBS holdings are diversified by security type, risk profile and ratings profile, which were as follows at:</w:t>
      </w:r>
    </w:p>
    <w:tbl>
      <w:tblPr>
        <w:tblW w:w="10205" w:type="dxa"/>
        <w:jc w:val="left"/>
        <w:tblInd w:w="0" w:type="dxa"/>
        <w:tblLayout w:type="fixed"/>
        <w:tblCellMar>
          <w:top w:w="28" w:type="dxa"/>
          <w:left w:w="28" w:type="dxa"/>
          <w:bottom w:w="28" w:type="dxa"/>
          <w:right w:w="28" w:type="dxa"/>
        </w:tblCellMar>
      </w:tblPr>
      <w:tblGrid>
        <w:gridCol w:w="553"/>
        <w:gridCol w:w="488"/>
        <w:gridCol w:w="481"/>
        <w:gridCol w:w="109"/>
        <w:gridCol w:w="109"/>
        <w:gridCol w:w="109"/>
        <w:gridCol w:w="247"/>
        <w:gridCol w:w="703"/>
        <w:gridCol w:w="137"/>
        <w:gridCol w:w="109"/>
        <w:gridCol w:w="109"/>
        <w:gridCol w:w="109"/>
        <w:gridCol w:w="278"/>
        <w:gridCol w:w="278"/>
        <w:gridCol w:w="268"/>
        <w:gridCol w:w="109"/>
        <w:gridCol w:w="109"/>
        <w:gridCol w:w="109"/>
        <w:gridCol w:w="375"/>
        <w:gridCol w:w="837"/>
        <w:gridCol w:w="210"/>
        <w:gridCol w:w="109"/>
        <w:gridCol w:w="109"/>
        <w:gridCol w:w="109"/>
        <w:gridCol w:w="247"/>
        <w:gridCol w:w="703"/>
        <w:gridCol w:w="137"/>
        <w:gridCol w:w="109"/>
        <w:gridCol w:w="109"/>
        <w:gridCol w:w="109"/>
        <w:gridCol w:w="278"/>
        <w:gridCol w:w="278"/>
        <w:gridCol w:w="268"/>
        <w:gridCol w:w="109"/>
        <w:gridCol w:w="109"/>
        <w:gridCol w:w="109"/>
        <w:gridCol w:w="365"/>
        <w:gridCol w:w="813"/>
        <w:gridCol w:w="299"/>
      </w:tblGrid>
      <w:tr>
        <w:trPr/>
        <w:tc>
          <w:tcPr>
            <w:tcW w:w="55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52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 (Losses)</w:t>
            </w:r>
          </w:p>
        </w:tc>
      </w:tr>
      <w:tr>
        <w:trPr/>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Collateralized mortgage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Pass-through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 profile: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Sub-prime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Ratings profile: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Rated Aaa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Designated NAIC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CMBS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CMBS holdings are diversified by vintage year, which were as follows at:</w:t>
      </w:r>
    </w:p>
    <w:tbl>
      <w:tblPr>
        <w:tblW w:w="8129"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283"/>
        <w:gridCol w:w="803"/>
        <w:gridCol w:w="158"/>
        <w:gridCol w:w="109"/>
        <w:gridCol w:w="109"/>
        <w:gridCol w:w="109"/>
        <w:gridCol w:w="375"/>
        <w:gridCol w:w="1066"/>
        <w:gridCol w:w="209"/>
        <w:gridCol w:w="109"/>
        <w:gridCol w:w="109"/>
        <w:gridCol w:w="109"/>
        <w:gridCol w:w="283"/>
        <w:gridCol w:w="803"/>
        <w:gridCol w:w="158"/>
        <w:gridCol w:w="109"/>
        <w:gridCol w:w="109"/>
        <w:gridCol w:w="109"/>
        <w:gridCol w:w="366"/>
        <w:gridCol w:w="1040"/>
        <w:gridCol w:w="288"/>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2005 - 2011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6,417 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6,356 </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CMBS rated Aaa using rating agency ratings was $4.4 billion, or 68.8% of total CMBS, and designated NAIC 1 was $6.1 billion, or 94.3% of total CMBS, at March 31, 2025. The estimated fair value of CMBS rated Aaa using rating agency ratings was $4.3 billion, or 67.7% of total CMBS, and designated NAIC 1 was $6.0 billion, or 94.2% of total CMBS, at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ABS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ABS holdings are diversified by both collateral type and issuer. Our ABS holdings by collateral type and ratings profile were as follows at:</w:t>
      </w:r>
    </w:p>
    <w:tbl>
      <w:tblPr>
        <w:tblW w:w="10205" w:type="dxa"/>
        <w:jc w:val="left"/>
        <w:tblInd w:w="0" w:type="dxa"/>
        <w:tblLayout w:type="fixed"/>
        <w:tblCellMar>
          <w:top w:w="28" w:type="dxa"/>
          <w:left w:w="28" w:type="dxa"/>
          <w:bottom w:w="28" w:type="dxa"/>
          <w:right w:w="28" w:type="dxa"/>
        </w:tblCellMar>
      </w:tblPr>
      <w:tblGrid>
        <w:gridCol w:w="533"/>
        <w:gridCol w:w="467"/>
        <w:gridCol w:w="409"/>
        <w:gridCol w:w="267"/>
        <w:gridCol w:w="760"/>
        <w:gridCol w:w="149"/>
        <w:gridCol w:w="109"/>
        <w:gridCol w:w="109"/>
        <w:gridCol w:w="109"/>
        <w:gridCol w:w="278"/>
        <w:gridCol w:w="278"/>
        <w:gridCol w:w="268"/>
        <w:gridCol w:w="109"/>
        <w:gridCol w:w="109"/>
        <w:gridCol w:w="109"/>
        <w:gridCol w:w="467"/>
        <w:gridCol w:w="826"/>
        <w:gridCol w:w="261"/>
        <w:gridCol w:w="109"/>
        <w:gridCol w:w="109"/>
        <w:gridCol w:w="109"/>
        <w:gridCol w:w="267"/>
        <w:gridCol w:w="760"/>
        <w:gridCol w:w="149"/>
        <w:gridCol w:w="109"/>
        <w:gridCol w:w="109"/>
        <w:gridCol w:w="109"/>
        <w:gridCol w:w="278"/>
        <w:gridCol w:w="278"/>
        <w:gridCol w:w="268"/>
        <w:gridCol w:w="109"/>
        <w:gridCol w:w="109"/>
        <w:gridCol w:w="109"/>
        <w:gridCol w:w="450"/>
        <w:gridCol w:w="794"/>
        <w:gridCol w:w="363"/>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 (Losses)</w:t>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9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Collateral type: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Collateralized obligations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Automobile loans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Student loans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Consumer loans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card loans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loans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Ratings profile:</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Rated Aaa</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Designated NAIC 1</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 for 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7 of the Notes to the Interim Condensed Consolidated Financial Statements for information about the evaluation of fixed maturity securities for an allowance for credit losses or write-offs due to uncollectibility.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Securities Lending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The estimated fair value of the securities loaned is monitored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 Liquidity and Capital Resources — The Company — Primary Uses of Liquidity and Capital — Securities Lending” and Note 7 of the Notes to the Interim Condensed Consolidated Financial Statements for information regarding our securities lending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Mortgage Loans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mortgage loans are principally collateralized by commercial, agricultural and residential properties. Information regarding mortgage loans by portfolio segment is summarized as follows at: </w:t>
      </w:r>
    </w:p>
    <w:tbl>
      <w:tblPr>
        <w:tblW w:w="10314" w:type="dxa"/>
        <w:jc w:val="left"/>
        <w:tblInd w:w="0" w:type="dxa"/>
        <w:tblLayout w:type="fixed"/>
        <w:tblCellMar>
          <w:top w:w="28" w:type="dxa"/>
          <w:left w:w="28" w:type="dxa"/>
          <w:bottom w:w="28" w:type="dxa"/>
          <w:right w:w="28" w:type="dxa"/>
        </w:tblCellMar>
      </w:tblPr>
      <w:tblGrid>
        <w:gridCol w:w="353"/>
        <w:gridCol w:w="311"/>
        <w:gridCol w:w="312"/>
        <w:gridCol w:w="196"/>
        <w:gridCol w:w="646"/>
        <w:gridCol w:w="109"/>
        <w:gridCol w:w="109"/>
        <w:gridCol w:w="109"/>
        <w:gridCol w:w="109"/>
        <w:gridCol w:w="278"/>
        <w:gridCol w:w="278"/>
        <w:gridCol w:w="268"/>
        <w:gridCol w:w="109"/>
        <w:gridCol w:w="109"/>
        <w:gridCol w:w="109"/>
        <w:gridCol w:w="231"/>
        <w:gridCol w:w="496"/>
        <w:gridCol w:w="129"/>
        <w:gridCol w:w="109"/>
        <w:gridCol w:w="109"/>
        <w:gridCol w:w="109"/>
        <w:gridCol w:w="200"/>
        <w:gridCol w:w="200"/>
        <w:gridCol w:w="471"/>
        <w:gridCol w:w="109"/>
        <w:gridCol w:w="109"/>
        <w:gridCol w:w="109"/>
        <w:gridCol w:w="196"/>
        <w:gridCol w:w="646"/>
        <w:gridCol w:w="109"/>
        <w:gridCol w:w="109"/>
        <w:gridCol w:w="109"/>
        <w:gridCol w:w="109"/>
        <w:gridCol w:w="278"/>
        <w:gridCol w:w="278"/>
        <w:gridCol w:w="268"/>
        <w:gridCol w:w="109"/>
        <w:gridCol w:w="109"/>
        <w:gridCol w:w="109"/>
        <w:gridCol w:w="231"/>
        <w:gridCol w:w="496"/>
        <w:gridCol w:w="129"/>
        <w:gridCol w:w="109"/>
        <w:gridCol w:w="109"/>
        <w:gridCol w:w="109"/>
        <w:gridCol w:w="192"/>
        <w:gridCol w:w="192"/>
        <w:gridCol w:w="5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of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of Amortized Cost</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38"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Agricultural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mortgage loan portfolio is diversified by both geographic region and property type to reduce the risk of concentration. The percentage of our commercial and agricultural mortgage loan portfolios collateralized by properties located in the U.S. was 98% at both March 31, 2025 and December 31, 2024. The remainder was collateralized by properties located outside of the U.S. At March 31, 2025, the carrying value as a percentage of total commercial and agricultural mortgage loans for the top three states in the U.S. was 17% for California, 11% for Texas and 8% for New York. Additionally, we manage risk when originating commercial and agricultural mortgage loans by generally lending up to 75% of the estimated fair value of the underlying real estate collateral.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residential mortgage loan portfolio is managed in a similar manner to reduce risk of concentration. All residential mortgage loans were collateralized by properties located in the U.S. at both March 31, 2025 and December 31, 2024. At March 31, 2025, the carrying value as a percentage of total residential mortgage loans for the top three states in the U.S. was 38% for California, 10% for Florida and 6% for New York.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Commercial Mortgage Loans by Geographic Region and Property Type</w:t>
      </w:r>
      <w:r>
        <w:rPr>
          <w:rFonts w:ascii="Times New Roman;sans-serif" w:hAnsi="Times New Roman;sans-serif"/>
          <w:b w:val="false"/>
          <w:color w:val="000000"/>
          <w:sz w:val="20"/>
        </w:rPr>
        <w:t>. Commercial mortgage loans are the largest component of the mortgage loan invested asset class. The diversification across geographic regions and property types of commercial mortgage loans was as follows at:</w:t>
      </w:r>
    </w:p>
    <w:tbl>
      <w:tblPr>
        <w:tblW w:w="8943" w:type="dxa"/>
        <w:jc w:val="left"/>
        <w:tblInd w:w="0" w:type="dxa"/>
        <w:tblLayout w:type="fixed"/>
        <w:tblCellMar>
          <w:top w:w="28" w:type="dxa"/>
          <w:left w:w="28" w:type="dxa"/>
          <w:bottom w:w="28" w:type="dxa"/>
          <w:right w:w="28" w:type="dxa"/>
        </w:tblCellMar>
      </w:tblPr>
      <w:tblGrid>
        <w:gridCol w:w="1299"/>
        <w:gridCol w:w="1140"/>
        <w:gridCol w:w="1146"/>
        <w:gridCol w:w="109"/>
        <w:gridCol w:w="109"/>
        <w:gridCol w:w="109"/>
        <w:gridCol w:w="196"/>
        <w:gridCol w:w="646"/>
        <w:gridCol w:w="109"/>
        <w:gridCol w:w="109"/>
        <w:gridCol w:w="109"/>
        <w:gridCol w:w="109"/>
        <w:gridCol w:w="278"/>
        <w:gridCol w:w="278"/>
        <w:gridCol w:w="486"/>
        <w:gridCol w:w="109"/>
        <w:gridCol w:w="109"/>
        <w:gridCol w:w="109"/>
        <w:gridCol w:w="196"/>
        <w:gridCol w:w="646"/>
        <w:gridCol w:w="109"/>
        <w:gridCol w:w="109"/>
        <w:gridCol w:w="109"/>
        <w:gridCol w:w="109"/>
        <w:gridCol w:w="278"/>
        <w:gridCol w:w="278"/>
        <w:gridCol w:w="550"/>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Geographic region: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Middle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 South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Mountain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East North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England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East South 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 North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Multi-region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recorded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Carrying value,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Apartment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recorded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Carrying value, net of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Mortgage Loan Credit Quality — Monitoring Process.</w:t>
      </w:r>
      <w:r>
        <w:rPr>
          <w:color w:val="000000"/>
        </w:rPr>
        <w:t> </w:t>
      </w:r>
      <w:r>
        <w:rPr>
          <w:rFonts w:ascii="Times New Roman;sans-serif" w:hAnsi="Times New Roman;sans-serif"/>
          <w:b w:val="false"/>
          <w:color w:val="000000"/>
          <w:sz w:val="20"/>
        </w:rPr>
        <w:t xml:space="preserve">Our mortgage loan investments are monitored on an ongoing basis, including a review of loans that are current, past due, restructured and under foreclosure. Quarterly, we conduct a formal review of the portfolio with our investment managers. See Note 7 of the Notes to the Interim Condensed Consolidated Financial Statements for information on mortgage loans by credit quality indicator, past due status, nonaccrual status and modified mortgage loans.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 including reviews on a geographic and sector basis. Our residential mortgage loans are reviewed on an ongoing basis. See Note 7 of the Notes to the Interim Condensed Consolidated Financial Statements for information on our evaluation of residential mortgage loans and related measurement of allowance for credit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 coverage ratio, the higher the risk of experiencing a credit loss. For our commercial mortgage loans, our average loan-to-value ratio was 68% and 69% at March 31, 2025 and December 31, 2024, respectively, and our average debt-service coverage ratio was 2.3x at both March 31, 2025 and December 31, 2024.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47% and 48% at March 31, 2025 and December 31, 2024, respectively. The values utilized in calculating the agricultural mortgage loan loan-to-value ratio are developed in connection with the ongoing review of the agricultural loan portfolio and are routinely updated. </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Mortgage Loan Allowance for Credit Losses</w:t>
      </w:r>
      <w:r>
        <w:rPr>
          <w:rFonts w:ascii="Times New Roman;sans-serif" w:hAnsi="Times New Roman;sans-serif"/>
          <w:b w:val="false"/>
          <w:color w:val="000000"/>
          <w:sz w:val="20"/>
        </w:rPr>
        <w:t>. See Note 7 of the Notes to the Interim Condensed Consolidated Financial Statements for information about how the allowance for credit losses is established and monitored, as well as activity in and balances of the allowance for credit losses for the three months ended March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Limited Partnerships and Limited Liability Companies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our limited partnerships and LLCs were as follows at:</w:t>
      </w:r>
    </w:p>
    <w:tbl>
      <w:tblPr>
        <w:tblW w:w="6773" w:type="dxa"/>
        <w:jc w:val="left"/>
        <w:tblInd w:w="0" w:type="dxa"/>
        <w:tblLayout w:type="fixed"/>
        <w:tblCellMar>
          <w:top w:w="28" w:type="dxa"/>
          <w:left w:w="28" w:type="dxa"/>
          <w:bottom w:w="28" w:type="dxa"/>
          <w:right w:w="28" w:type="dxa"/>
        </w:tblCellMar>
      </w:tblPr>
      <w:tblGrid>
        <w:gridCol w:w="1202"/>
        <w:gridCol w:w="1053"/>
        <w:gridCol w:w="1060"/>
        <w:gridCol w:w="109"/>
        <w:gridCol w:w="109"/>
        <w:gridCol w:w="109"/>
        <w:gridCol w:w="287"/>
        <w:gridCol w:w="814"/>
        <w:gridCol w:w="159"/>
        <w:gridCol w:w="109"/>
        <w:gridCol w:w="109"/>
        <w:gridCol w:w="109"/>
        <w:gridCol w:w="334"/>
        <w:gridCol w:w="948"/>
        <w:gridCol w:w="262"/>
      </w:tblGrid>
      <w:tr>
        <w:trPr/>
        <w:tc>
          <w:tcPr>
            <w:tcW w:w="120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limited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limited partnerships and LLCs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4,827 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estimated fair value of real estate limited partnerships and LLCs was $828 million and $836 million at March 31, 2025 and December 31, 2024,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Other Invested Assets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our other invested assets by type was as follows at:</w:t>
      </w:r>
    </w:p>
    <w:tbl>
      <w:tblPr>
        <w:tblW w:w="10205" w:type="dxa"/>
        <w:jc w:val="left"/>
        <w:tblInd w:w="0" w:type="dxa"/>
        <w:tblLayout w:type="fixed"/>
        <w:tblCellMar>
          <w:top w:w="28" w:type="dxa"/>
          <w:left w:w="28" w:type="dxa"/>
          <w:bottom w:w="28" w:type="dxa"/>
          <w:right w:w="28" w:type="dxa"/>
        </w:tblCellMar>
      </w:tblPr>
      <w:tblGrid>
        <w:gridCol w:w="1547"/>
        <w:gridCol w:w="1355"/>
        <w:gridCol w:w="1365"/>
        <w:gridCol w:w="109"/>
        <w:gridCol w:w="109"/>
        <w:gridCol w:w="109"/>
        <w:gridCol w:w="282"/>
        <w:gridCol w:w="802"/>
        <w:gridCol w:w="156"/>
        <w:gridCol w:w="109"/>
        <w:gridCol w:w="109"/>
        <w:gridCol w:w="109"/>
        <w:gridCol w:w="278"/>
        <w:gridCol w:w="278"/>
        <w:gridCol w:w="484"/>
        <w:gridCol w:w="109"/>
        <w:gridCol w:w="109"/>
        <w:gridCol w:w="109"/>
        <w:gridCol w:w="282"/>
        <w:gridCol w:w="802"/>
        <w:gridCol w:w="156"/>
        <w:gridCol w:w="109"/>
        <w:gridCol w:w="109"/>
        <w:gridCol w:w="109"/>
        <w:gridCol w:w="278"/>
        <w:gridCol w:w="278"/>
        <w:gridCol w:w="554"/>
      </w:tblGrid>
      <w:tr>
        <w:trPr/>
        <w:tc>
          <w:tcPr>
            <w:tcW w:w="1547"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Freestanding derivatives with positive estimated fair values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Home Loan Bank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Leveraged leases, net of non-recourse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credit and renewable energy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Derivative Risks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risks relating to our ongoing business operations, including interest rate, foreign currency exchange rate, credit and equity market risks. We use a variety of strategies to manage these risks, including the use of derivatives. See Note 8 of the Notes to the Interim Condensed Consolidated Financial Statements for: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information about the gross notional amount, estimated fair value, and primary underlying risk exposure of our derivatives by type of hedge designation, excluding embedded derivatives held at March 31, 2025 and December 31, 2024;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effects of derivatives in cash flow, fair value, or non-qualifying hedge relationships on the statements of operations for the three months ended March 31, 2025 and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“Management’s Discussion and Analysis of Financial Condition and Results of Operations — Risk Management Strategies” included in our 2024 Annual Report for more information about our hedging strategies. In addition, see “Management’s Discussion and Analysis of Financial Condition and Results of Operations — Results of Operations — Annual Actuarial Review”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Fair Value Hierarchy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of the Notes to the Interim Condensed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Derivatives categorized as Level 3 at March 31, 2025 include: credit default swaps priced using unobservable credit spreads, or that are priced through independent broker quotations; and foreign currency swaps with certain unobservable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Credit Risk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8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2024 Annual Report.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policy is not to offset the fair value amounts recognized for derivatives executed with the same counterparty under the same master netting agreement. This policy applies to the recognition of derivatives on the balance sheet and does not affect our legal right of offset.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Credit Derivatives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gross notional amount and estimated fair value of credit default swaps were as follows at:</w:t>
      </w:r>
    </w:p>
    <w:tbl>
      <w:tblPr>
        <w:tblW w:w="8999" w:type="dxa"/>
        <w:jc w:val="left"/>
        <w:tblInd w:w="0" w:type="dxa"/>
        <w:tblLayout w:type="fixed"/>
        <w:tblCellMar>
          <w:top w:w="28" w:type="dxa"/>
          <w:left w:w="28" w:type="dxa"/>
          <w:bottom w:w="28" w:type="dxa"/>
          <w:right w:w="28" w:type="dxa"/>
        </w:tblCellMar>
      </w:tblPr>
      <w:tblGrid>
        <w:gridCol w:w="250"/>
        <w:gridCol w:w="219"/>
        <w:gridCol w:w="221"/>
        <w:gridCol w:w="109"/>
        <w:gridCol w:w="109"/>
        <w:gridCol w:w="109"/>
        <w:gridCol w:w="492"/>
        <w:gridCol w:w="1059"/>
        <w:gridCol w:w="278"/>
        <w:gridCol w:w="109"/>
        <w:gridCol w:w="109"/>
        <w:gridCol w:w="109"/>
        <w:gridCol w:w="507"/>
        <w:gridCol w:w="857"/>
        <w:gridCol w:w="285"/>
        <w:gridCol w:w="109"/>
        <w:gridCol w:w="109"/>
        <w:gridCol w:w="109"/>
        <w:gridCol w:w="492"/>
        <w:gridCol w:w="1059"/>
        <w:gridCol w:w="278"/>
        <w:gridCol w:w="109"/>
        <w:gridCol w:w="109"/>
        <w:gridCol w:w="109"/>
        <w:gridCol w:w="486"/>
        <w:gridCol w:w="823"/>
        <w:gridCol w:w="385"/>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Gross 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Gross 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Written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Embedded 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of the Notes to the Interim Condensed Consolidated Financial Statements for (i) information about embedded derivatives measured at estimated fair value on a recurring basis and their corresponding fair value hierarchy and (ii) a rollforward of the fair value measurements for net embedded derivatives measured at estimated fair value on a recurring basis using significant unobservable (Level 3) inputs.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“Management’s Discussion and Analysis of Financial Condition and Results of Operations — Summary of Critical Accounting Estimates — Derivatives” included in our 2024 Annual Report for additional information on the estimates and assumptions that affect embedded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Policyholder Liabilities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and carry as liabilities, actuarially determined amounts that are calculated to meet policy obligations or to provide for future annuity and life insurance benefit payments. Amounts for actuarial liabilities are computed and reported in the financial statements in conformity with GAAP. See “Management’s Discussion and Analysis of Financial Condition and Results of Operations — Summary of Critical Accounting Estimates” and “Management’s Discussion and Analysis of Financial Condition and Results of Operations — Policyholder Liabilities” included in our 2024 Annual Report for more details on policyholder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Future Policy Benefits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liabilities for future amounts payable under insurance policies. See Note 3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Policyholder Account Balances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Policyholder account balance liabilities are established for products with an explicit account value and generally equal to the balance accrued to the contract holder, which includes accrued interest credited, but excludes the impact of any applicable charge that may be incurred upon surrender. See Note 3 of the Notes to the Interim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Market Risk Benefits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issue certain variable annuity products with guaranteed minimum benefits (“GMxB”) that provide the policyholder a minimum return based on their initial deposit (i.e., the Benefit Base) less withdrawals. In some cases, the Benefit Base may be increased by additional deposits, bonus amounts, accruals or optional market value step-ups. Variable annuity guaranteed benefits are classified as MRBs and measured at fair value. Certain index-linked annuity products may also have GMxBs classified as MRBs. See Note 4 of the Notes to the Interim Condensed Consolidated Financial Statements and “Quantitative and Qualitative Disclosures About Market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Select information that management considers relevant to understanding our variable annuity risk management strategy has been included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Amount at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amount at risk (“NAR”) for the guaranteed minimum income benefits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 may not be annuitized until after the waiting period of the contract.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NAR for the guaranteed minimum withdrawal benefits (“GMWB”) is the amount of guaranteed benefits in excess of the account values (if any) as of the balance sheet date and assumes utilization of benefits by all contract holders as of the balance sheet date. Only a small portion of the Benefit Base is available for withdrawal on an annual basis.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NAR for the guaranteed minimum accumulation benefits (“GMAB”) is the amount of guaranteed benefits in excess of the account values (if any) as of the balance sheet date and assumes utilization of benefits by all contract holders as of the balance sheet. The NAR for the GMAB is not available until the GMAB maturity date.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NAR for the guaranteed minimum death benefits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variable annuity account value and NAR by type of GMxB were as follows at:</w:t>
      </w:r>
    </w:p>
    <w:tbl>
      <w:tblPr>
        <w:tblW w:w="10758" w:type="dxa"/>
        <w:jc w:val="left"/>
        <w:tblInd w:w="0" w:type="dxa"/>
        <w:tblLayout w:type="fixed"/>
        <w:tblCellMar>
          <w:top w:w="28" w:type="dxa"/>
          <w:left w:w="28" w:type="dxa"/>
          <w:bottom w:w="28" w:type="dxa"/>
          <w:right w:w="28" w:type="dxa"/>
        </w:tblCellMar>
      </w:tblPr>
      <w:tblGrid>
        <w:gridCol w:w="322"/>
        <w:gridCol w:w="191"/>
        <w:gridCol w:w="193"/>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52"/>
        <w:gridCol w:w="252"/>
        <w:gridCol w:w="592"/>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39"/>
        <w:gridCol w:w="239"/>
        <w:gridCol w:w="663"/>
      </w:tblGrid>
      <w:tr>
        <w:trPr/>
        <w:tc>
          <w:tcPr>
            <w:tcW w:w="3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5"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Death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Living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Account Value In-the-Money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Death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Living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Account Value In-the-Money (2)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5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GMIB</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GMIB Max with EDB (3)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GMIB Max without EDB (3)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GMWB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GMAB</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GMDB only (other than EDB) (3)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EDB only (3)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“Death Benefit NAR” and “Living Benefit NAR” are not additive at the contract level.</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(2)In-the-money is defined as any contract with a living benefit NAR in excess of zero.</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(3)Enhanced Death Benefit (“EDB”).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Reserves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GAAP, variable annuity guarantees are classified as MRBs, measured at estimated fair value, and are reported in market risk benefit assets and liabilities on the consolidated balance sheets, with changes reported in change in market risk benefits on the consolidated statements of operations, except for changes related to nonperformance risk, which are reported in other comprehensive income on the consolidated statements of comprehensive income (loss). Additionally, the index protection and accumulation features of Shield Annuities are accounted for as embedded derivatives, measured at estimated fair value, and are reported in policyholder account balances on the consolidated balance sheets, with changes reported in net derivative gains (losses) on the consolidated statements of operations. The Shield embedded derivative liabilities were valued at $9.4 billion at March 31, 2025.</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variable annuity MRBs by type of GMxB were as follows at:</w:t>
      </w:r>
    </w:p>
    <w:tbl>
      <w:tblPr>
        <w:tblW w:w="3837" w:type="dxa"/>
        <w:jc w:val="left"/>
        <w:tblInd w:w="0" w:type="dxa"/>
        <w:tblLayout w:type="fixed"/>
        <w:tblCellMar>
          <w:top w:w="28" w:type="dxa"/>
          <w:left w:w="28" w:type="dxa"/>
          <w:bottom w:w="28" w:type="dxa"/>
          <w:right w:w="28" w:type="dxa"/>
        </w:tblCellMar>
      </w:tblPr>
      <w:tblGrid>
        <w:gridCol w:w="254"/>
        <w:gridCol w:w="224"/>
        <w:gridCol w:w="228"/>
        <w:gridCol w:w="287"/>
        <w:gridCol w:w="814"/>
        <w:gridCol w:w="159"/>
        <w:gridCol w:w="109"/>
        <w:gridCol w:w="109"/>
        <w:gridCol w:w="109"/>
        <w:gridCol w:w="334"/>
        <w:gridCol w:w="948"/>
        <w:gridCol w:w="262"/>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GMIB</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GMWB</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GMDB</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8,307 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these guarantees can change significantly due to changes in interest rates, equity indices, market volatility and variations in actuarial assumptions, including policyholder behavior, mortality and risk margins related to non-capital markets inputs, as well as changes in nonperformance risk. See “Risk Factors — Risks Related to Our Business — Differences between actual experience and actuarial assumptions may adversely affect our financial results, capitalization and financial condition” and “Risk Factors — Risks Related to Our Business — Guarantees within certain of our annuity products may decrease our earnings, decrease our capitalization, increase the volatility of our results, result in higher risk management costs and expose us to increased market risk” included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see “— Industry Trends and Uncertainties — Financial and Economic Environment,” as well as “Risk Factors — Economic Environment and Capital Markets-Related Risks” and “Risk Factors — Risks Related to Our Investment Portfolio” included in our 2024 Annual Report.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Liquidity and Capital Management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upon our capitalization, expectations regarding maintaining our business mix, ratings and funding sources available to us, we believe we have sufficient liquidity to meet business requirements in current market conditions and certain stress scenarios. BHF’s Board of Directors and senior management are directly involved in the governance of the capital management process, including proposed changes to the annual capital plan and capital targets. We continuously monitor and adjust our liquidity and capital plans in light of market conditions, as well as changing needs and opportunities.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substantial short-term liquidity position, which was $4.7 billion and $5.2 billion at March 31, 2025 and December 31, 2024,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integral part of our liquidity management includes managing our level of liquid assets, which was $48.0 billion and $48.1 billion at March 31, 2025 and December 31, 2024,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funding agreements, derivatives and assets held on deposit or in trust.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Liquidity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reflects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adverse market and economic conditions, our access to liquidity may deteriorate, or the cost to access liquidity may increase. See “Risk Factors — Economic Environment and Capital Markets-Related Risks — Adverse capital and credit market conditions may significantly affect our ability to meet liquidity needs and our access to capital” in our 2024 Annual Report.</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capital position to maintain our financial strength and credit ratings. Our capital position is supported by our ability to generate cash flows within our insurance subsidiaries, our ability to effectively manage the risks of our businesses and our expected ability to borrow funds and raise additional capital to meet operating and growth needs under a variety of market and economic conditions.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our debt-to-capital ratio using an average of our key leverage ratios as calculated by A.M. Best, Fitch, Moody’s and S&amp;P, and we aim to maintain a ratio commensurate with our financial strength and credit ratings. As such, we may opportunistically look to pursue additional financing over time, which may include borrowings under credit facilities, the issuance of debt, equity or hybrid securities, the incurrence of term loans, or the refinancing or extinguishment of existing indebtedness. There can be no assurance that we will be able to complete any such financing transactions on terms and conditions favorable to us or at all.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support of our target combined risk-based capital (“RBC”) ratio of 400% to 450% in normal market conditions, we expect to continue to maintain a capital and risk management strategy that targets total assets supporting our variable annuity and Shield Annuity contracts at or above the average of the worst two percent of a set of capital markets scenarios over the life of the contracts level in normal market conditions. With our risk management focus on the core drivers of our combined RBC ratio, we believe we can better manage our RBC in stressed market scenarios.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share repurchase program under which repurchases may be made through open market purchases, including pursuant to Rule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no plans to declare and pay dividends on our common stock. Any future declaration and payment of dividends or other distributions or returns of capital will be at the discretion of BHF’s Board of Directors and will depend on and be subject to our financial condition, results of operations, cash needs, regulatory and other constraints, capital requirements (including capital requirements of our insurance subsidiaries), contractual restrictions and any other factors that BHF’s Board of Directors deems relevant in making such a determination. Therefore, there can be no assurance that we will pay any dividends or make other distributions or returns of capital on our common stock, or as to the amount of any such dividends, distributions or returns of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Sources and Uses of 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sources and uses of liquidity and capital were as follows at:</w:t>
      </w:r>
    </w:p>
    <w:tbl>
      <w:tblPr>
        <w:tblW w:w="8769" w:type="dxa"/>
        <w:jc w:val="left"/>
        <w:tblInd w:w="0" w:type="dxa"/>
        <w:tblLayout w:type="fixed"/>
        <w:tblCellMar>
          <w:top w:w="28" w:type="dxa"/>
          <w:left w:w="28" w:type="dxa"/>
          <w:bottom w:w="28" w:type="dxa"/>
          <w:right w:w="28" w:type="dxa"/>
        </w:tblCellMar>
      </w:tblPr>
      <w:tblGrid>
        <w:gridCol w:w="2493"/>
        <w:gridCol w:w="2185"/>
        <w:gridCol w:w="2207"/>
        <w:gridCol w:w="196"/>
        <w:gridCol w:w="496"/>
        <w:gridCol w:w="109"/>
        <w:gridCol w:w="109"/>
        <w:gridCol w:w="109"/>
        <w:gridCol w:w="109"/>
        <w:gridCol w:w="196"/>
        <w:gridCol w:w="406"/>
        <w:gridCol w:w="154"/>
      </w:tblGrid>
      <w:tr>
        <w:trPr/>
        <w:tc>
          <w:tcPr>
            <w:tcW w:w="2493"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Sources: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policyholder account balances,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payables for collateral under securities loaned and other transactions,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sources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Uses: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policyholder account balances,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payables for collateral under securities loaned and other transactions,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preferred stock</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acquired in connection with share repurchases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element on certain derivative instruments and other derivative related transactions,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uses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Flows from Operating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Flows from Investing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Flows from Financing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Primary Sources of 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summary description of liquidity and capital sources discussed in “— Sources and Uses of Liquidity and Capital,” the following additional information is provided regarding our primary sources of liquidity and capital:</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Funding Sources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Liquidity is provided by a variety of funding sources, including secured and unsecured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Preferred Stock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of the Notes to the Interim Condensed Consolidated Financial Statements and Note 12 of the Notes to the Consolidated Financial Statements included in our 2024 Annual Report for information on preferred stock issuances.</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Funding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Activity related to these programs is reported in Corporate &amp; Other. See Note 3 of the Notes to the Consolidated Financial Statements included in our 2024 Annual Report for additional information on funding agreements.</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Funding Agreement-Backed Repurchase Agreement Program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Brighthouse Life Insurance Company established a secured funding agreement-backed repurchase agreement program (the “FABR Program”), pursuant to which Brighthouse Life Insurance Company may enter into repurchase agreements with bank counterparties and the proceeds of the repurchase agreements are then used by a special purpose entity to purchase funding agreements from Brighthouse Life Insurance Company.</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Funding Agreement-Backed Commercial Paper Program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$5.0 billion.</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Funding Agreement-Backed Notes Program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$7.0 billion.</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Federal Home Loan Bank Funding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Brighthouse Life Insurance Company is a member of the Federal Home Loan Bank (“FHLB”) of Atlanta, where it maintains a secured funding agreement program, under which funding agreements may be issued.</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Farmer Mac Funding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Brighthouse Life Insurance Company has a secured funding agreement program with the Federal Agricultural Mortgage Corporation and its affiliate Farmer Mac Mortgage Securities Corporation (“Farmer Mac”) with a term ending on December 1, 2026, pursuant to which the parties may enter into funding agreements in an aggregate amount of up to $750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funding agreements issued for spread lending purposes is as follows:</w:t>
      </w:r>
    </w:p>
    <w:tbl>
      <w:tblPr>
        <w:tblW w:w="10205" w:type="dxa"/>
        <w:jc w:val="left"/>
        <w:tblInd w:w="0" w:type="dxa"/>
        <w:tblLayout w:type="fixed"/>
        <w:tblCellMar>
          <w:top w:w="28" w:type="dxa"/>
          <w:left w:w="28" w:type="dxa"/>
          <w:bottom w:w="28" w:type="dxa"/>
          <w:right w:w="28" w:type="dxa"/>
        </w:tblCellMar>
      </w:tblPr>
      <w:tblGrid>
        <w:gridCol w:w="821"/>
        <w:gridCol w:w="678"/>
        <w:gridCol w:w="684"/>
        <w:gridCol w:w="109"/>
        <w:gridCol w:w="109"/>
        <w:gridCol w:w="109"/>
        <w:gridCol w:w="244"/>
        <w:gridCol w:w="809"/>
        <w:gridCol w:w="136"/>
        <w:gridCol w:w="109"/>
        <w:gridCol w:w="109"/>
        <w:gridCol w:w="109"/>
        <w:gridCol w:w="282"/>
        <w:gridCol w:w="936"/>
        <w:gridCol w:w="157"/>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61"/>
      </w:tblGrid>
      <w:tr>
        <w:trPr/>
        <w:tc>
          <w:tcPr>
            <w:tcW w:w="8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Principal Amount </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w:t>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FABR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FABCP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FABN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FHLB Funding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Farmer Mac Funding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10,074 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Issuances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11 of the Notes to the Consolidated Financial Statements included in our 2024 Annual Report for information on debt issuances.</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Credit and Committed Facilities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Notes 11 and 12 of the Notes to the Consolidated Financial Statements included in our 2024 Annual Report for information regarding our credit and committed facilities.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 reason to believe that our lending counterparties would be unable to fulfill their respective contractual obligations under these facilities. As commitments under our credit and committed facilities may expire unused, these amounts do not necessarily reflect our actual future cash funding requirements.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contains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our subsidiaries, which could restrict our operations and use of funds. At March 31, 2025, we were in compliance with these financial covenants.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Primary Uses of 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summarized description of liquidity and capital uses discussed in “— Sources and Uses of Liquidity and Capital,” the following additional information is provided regarding our primary uses of liquidity and capital:</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Common Stock Repurchases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of the Notes to the Interim Condensed Consolidated Financial Statements for information relating to authorizations to repurchase BHF common stock, amounts of common stock repurchased pursuant to such authorizations and the amount remaining under such authorizations at March 31, 2025. Subsequent to March 31, 2025 and through May 6, 2025, BHF repurchased an additional 479,500 shares of its common stock through open market purchases, pursuant to a Rule 10b5-1 plan, for $25 million.</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Preferred Stock Dividends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of the Notes to the Interim Condensed Consolidated Financial Statements for information relating to dividends declared and paid on our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ind w:left="0" w:right="0" w:firstLine="360"/>
        <w:jc w:val="both"/>
        <w:rPr>
          <w:color w:val="000000"/>
          <w:u w:val="single"/>
        </w:rPr>
      </w:pPr>
      <w:r>
        <w:rPr>
          <w:color w:val="000000"/>
          <w:u w:val="single"/>
        </w:rPr>
        <w:t>“</w:t>
      </w:r>
      <w:r>
        <w:rPr>
          <w:rFonts w:ascii="Times New Roman;sans-serif" w:hAnsi="Times New Roman;sans-serif"/>
          <w:b w:val="false"/>
          <w:i/>
          <w:color w:val="000000"/>
          <w:sz w:val="20"/>
          <w:u w:val="single"/>
        </w:rPr>
        <w:t>Dividend Stopper” Provisions in BHF’s Preferred Stock and Junior Subordinated Debentures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Terms applicable to our junior subordinated debentures may restrict our ability to pay interest on those debentures in certain circumstances. Suspension of payments of interest on our junior subordinated debentures, whether required under the relevant indenture or optional, could cause “dividend stopper” provisions applicable under those and other instruments to restrict our ability to pay dividends, if any, on our common stock and repurchase our common stock in various situations, including situations where we may be experiencing financial stress, and may restrict our ability to pay dividends or interest on our preferred stock and junior subordinated debentures as well. Similarly, the terms of our outstanding preferred stock contain restrictions on our ability to repurchase our common stock or pay dividends thereon if we have not fulfilled our dividend obligations under such preferred stock or other preferred securities. In addition, the terms of the agreements governing any preferred stock, debt or other financial instruments that we may issue in the future, may limit or prohibit the payment of dividends on our common stock or preferred stock, or the payment of interest on our junior subordinated debentures.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 Repayments, Repurchases, Redemptions and Exchanges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11 of the Notes to the Consolidated Financial Statements included in our 2024 Annual Report for information on debt repayments and repurchases, as well as debt maturities and the terms of our outstanding long-term debt.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seek to retire or purchase our outstanding indebtedness through cash purchases or exchanges for other securities, purchases in the open market, privately negotiated transactions or otherwise. Any such repurchases or exchanges will be dependent upon several factors, including our liquidity requirements, contractual restrictions, general market conditions, as well as applicable regulatory, legal and accounting factors. Whether or not we repurchase any debt and the size and timing of any such repurchases will be determined at our discretion.</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Insurance Liabilities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arising from our insurance activities primarily relate to benefit payments under various annuity and life insurance products, as well as payments for policy surrenders, withdrawals and loans. See “— Primary Sources of Liquidity and Capital — Funding Sources — Funding Agreements” for additional information regarding our institutional spread margin business.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Pledged Collateral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derivatives to manage various risks relating to our ongoing business operations. We pledge collateral to, and have collateral pledged to us by, counterparties in connection with our derivatives. At March 31, 2025, we pledged $16 million of cash collateral to counterparties. At December 31, 2024, we did not pledge any cash collateral to counterparties. At March 31, 2025 and December 31, 2024, we were obligated to return cash collateral pledged to us by counterparties of $858 million and $812 million, respectively. The timing of the return of the derivatives collateral is uncertain. We also pledge collateral from time to time in connection with certain funding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non-cash collateral from counterparties for derivatives, which can be sold or re-pledged subject to certain constraints, and which is not recorded on our consolidated balance sheets. The amount of this non-cash collateral at estimated fair value was $1.9 billion and $2.3 billion at March 31, 2025 and December 31, 2024,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8 of the Notes to the Interim Condensed Consolidated Financial Statements for additional information regarding pledged collateral.</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Securities Lending</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securities lending program that aims to enhance the total return on our investment portfolio, whereby securities are loaned to third parties, primarily brokerage firms and commercial banks. We obtain collateral, usually cash, from the borrower, which must be returned to the borrower when the loaned securities are returned to us. Generally, our securities lending contracts expire within twelve months of issuance. We were liable for cash collateral under our control of $3.3 billion and $3.2 billion at March 31, 2025 and December 31, 2024, respectively.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non-cash collateral for securities lending from counterparties, which cannot be sold or re-pledged, and which is not recorded on our consolidated balance sheets. There was no non-cash collateral at both March 31, 2025 and December 31,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7 of the Notes to the Interim Condensed Consolidated Financial Statements for further discussion of our securities lending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Contingencies, Commitments and Guarantees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liabilities for litigation, regulatory and other loss contingencies when it is probable that a loss has been incurred and the amount of the loss can be reasonably estimated. See Note 13 of the Notes to the Interim Condensed Consolidated Financial Statements for additional information regarding contingencies.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commitments for the purpose of enhancing the total return on our investment portfolio consisting of commitments to fund partnership investments, bank credit facilities and private corporate bond investments, as well as commitments to lend funds under mortgage loan commitments. We anticipate these commitments could be invested any time over the next five years. See Notes 7 and 13 of the Notes to the Interim Condensed Consolidated Financial Statements for additional information regarding commitments.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our business, we have provided certain indemnities, guarantees and commitments to third parties such that we may be required to make payments now or in the future. See Note 13 of the Notes to the Interim Condensed Consolidated Financial Statements for additional information regarding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Parent Company</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or as a result of compliance with regulatory requirements.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Short-term Liquidity and Liquid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BHF and certain of its non-insurance subsidiaries had short-term liquidity of $872 million and $912 million, respectively. Short-term liquidity is comprised of cash and cash equivalents and short-term investments, excluding assets that are pledged or otherwise committed. Assets pledged or otherwise committed include assets held in trust.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BHF and certain of its non-insurance subsidiaries had liquid assets of $987 million and $1.1 billion, respectively, of which $936 million and $1.1 billion, respectively, was held by BHF. Liquid assets are comprised of cash and cash equivalents, short-term investments and publicly-traded securities, excluding assets that are pledged or otherwise committed. Assets pledged or otherwise committed include assets held in trust. On February 11, 2025, Brighthouse Life Insurance Company received a $100 million capital contribution from Brighthouse Holdings, LLC (“BH Holdings”).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Statutory Capital and Dividends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NAIC and state insurance departments have established regulations that provide minimum capitalization requirements based on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total adjusted capital (“TAC”) does not meet or exceed the amounts required to attain certain RBC levels. As of the date of the most recent annual statutory financial statements filed with insurance regulators, the TAC of each of our insurance subsidiaries subject to these requirements was in excess of the amounts required to attain each of those RBC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the insurance laws and regulations of the states where they are domiciled. Any payment of dividends by Brighthouse Life Insurance Company in 2025 would be subject to Delaware Department of Insurance approval. See Note 12 of the Notes to the Consolidated Financial Statements included in our 2024 Annual Report for additional information regarding the applicable dividend restrictions and certain of our subsidiaries’ ordinary dividend capacity, as well as the circumstances under which regulatory approval would be required.</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Primary Sources and Uses of 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sources of funds available to BHF include distributions from BH Holdings, dividends and returns of capital from its insurance subsidiaries and BRCD,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uses of liquidity of BHF include debt-service obligations (including interest expense and debt repayments), preferred stock dividends,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repurchase its common stock, pay all general operating expenses and meet its cash needs.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liquidity and capital sources discussed in “— The Company — Primary Sources of Liquidity and Capital” and “— The Company — Primary Uses of Liquidity and Capital,” the following additional information is provided regarding BHF’s primary sources and uses of liquidity and capital:</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Distributions from and Capital Contributions to BH Holdings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both the three months ended March 31, 2025 and 2024, BHF did not receive any cash distributions from BH Holdings and did not make any cash capital contributions to BH Holdings.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Short-term Intercompany Loans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BHF, as borrower, has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three months ended March 31, 2025 and 2024, BHF borrowed $185 million and $110 million, respectively, from certain of its non-insurance subsidiaries and repaid $227 million and $50 million of such borrowings during the three months ended March 31, 2025 and 2024, respectively. At March 31, 2025 and December 31, 2024, BHF had total obligations outstanding of $540 million and $582 million, respectively, under such agreements.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Intercompany Liquidity Facilities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BHF has established intercompany liquidity facilities with certain of its insurance and non-insurance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of up to 364 days, depending on the agreement. During both the three months ended March 31, 2025 and 2024, there were no borrowings or repayments by BHF under these facilities and, at both March 31, 2025 and December 31, 2024, BHF had no obligations outstanding under such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differences between actual experience and actuarial assumptions and the effectiveness of our actuarial models;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risk management costs and exposure to increased market risk due to guarantees within certain of our products;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effectiveness of our risk management strategy and the impacts of such strategy on volatility in our profitability measures and the negative effects on our statutory capital;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material differences between actual outcomes and the sensitivities calculated under certain scenarios that we may utilize in connection with our risk management strategies;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interest rates on our future ULSG policyholder obligations and net income volatility;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potential material adverse effect of changes in accounting standards, practices or policies applicable to us, including changes in the accounting for long-duration contracts;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loss of business and other negative impacts resulting from a downgrade or a potential downgrade in our financial strength or credit ratings;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availability of reinsurance and the ability of the counterparties to our reinsurance or indemnification arrangements to perform their obligations thereunder;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heightened competition, including with respect to service, product features, product mix, scale, price, actual or perceived financial strength, claims-paying ratings, credit ratings, e-business capabilities and name recognition;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market and distribute our products through distribution channels and maintain relationships with key distribution partners;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failure of third parties to provide services we need, any failure of the practices and procedures of such third parties and any inability to obtain information or assistance we need from third parties;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of our subsidiaries to pay dividends to us, and our ability to pay dividends to our shareholders and repurchase our common stock;</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risks associated with climate change;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adverse impact of public health crises, extreme mortality events or similar occurrences on our business and the economy in general;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adverse capital and credit market conditions, including with respect to our ability to meet liquidity needs and access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economic conditions in the capital markets and the U.S. and global economy, as well as geopolitical events, tariffs imposed or threatened by the U.S. or foreign governments, military actions or catastrophic events, on our profitability measures as well as our investment portfolio, including on realized and unrealized losses and impairments, net investment spread and net investment income;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financial risks that our investment portfolio is subject to, including credit risk, interest rate risk, inflation risk, market valuation risk, liquidity risk, real estate risk, derivatives risk, and other factors outside our control;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changes in regulation and in supervisory and enforcement policies or interpretations thereof on our insurance business or other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potential material negative tax impact of potential future tax legislation that could make some of our products less attractive to consumers or increase our tax liability;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effectiveness of our policies, procedures and processes in managing risk;</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loss or disclosure of confidential information, damage to our reputation and impairment of our ability to conduct business effectively as a result of any failure in cyber- or other information security systems;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whether all or any portion of the tax consequences of our separation from MetLife, Inc. (together with its subsidiaries and affiliates, “MetLife”) are not as expected, leading to material additional taxes or material adverse consequences to tax attributes that impact us;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factors described in this report and from time to time in documents that we file with the SEC.</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reasons described above, we caution you against relying on any forward-looking statements, which should also be read in conjunction with the other cautionary statements included and the risks, uncertainties and other factors identified in our 2024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Corporate Information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routinely use our Investor Relations website to provide presentations, press releases, our insurance subsidiaries’ statutory filings, and other information that may be deemed important or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make filings with the SEC. Information contained on or connected to any website referenced in this report or any of our other filings with the SEC is not incorporated by reference in this report or in any other report or document we file with the SEC, and any website references are intended to be inactive textual references only unless expressly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exposure to market risk through our insurance operations and general account investment activities. For purposes of this discussion, “market risk” is defined as changes in estimated fair value resulting from changes in interest rates, equity market prices, credit spreads and foreign currency exchange rates. We regularly analyze our market risk exposure. As a result of that analysis, we have determined that the estimated fair values of certain assets and liabilities are significantly exposed to changes in interest rates, and to a lesser extent, to changes in equity market prices and foreign currency exchange rates. We may have additional financial impacts other than changes in estimated fair value, which are beyond the scope of this discussion. A description of our market risk exposures may be found under “Quantitative and Qualitative Disclosures About Market Risk” in our 2024 Annual Report.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market risk exposures from the market risk exposures previously disclosed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March 31, 2025.</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MetLife provides certain services to the Company on a transitional basis through services agreements. The Company continues to change business processes, implement systems and establish new third-party arrangements. We consider these in aggregate to be material changes in our internal control over financial reporting.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noted above, there were no changes to the Company’s internal control over financial reporting (as defined in Rules 13a-15(f) and 15d-15(f) under the Exchange Act) that occurred during the quarter ended March 31, 2025 that have materially affected, or are reasonably likely to materially affect, these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13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discuss in this report, in our 2024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Purchases of BHF common stock made by or on behalf of BHF or its affiliates during the three months ended March 31, 2025 are set forth below:</w:t>
      </w:r>
    </w:p>
    <w:tbl>
      <w:tblPr>
        <w:tblW w:w="10205" w:type="dxa"/>
        <w:jc w:val="left"/>
        <w:tblInd w:w="0" w:type="dxa"/>
        <w:tblLayout w:type="fixed"/>
        <w:tblCellMar>
          <w:top w:w="28" w:type="dxa"/>
          <w:left w:w="28" w:type="dxa"/>
          <w:bottom w:w="28" w:type="dxa"/>
          <w:right w:w="28" w:type="dxa"/>
        </w:tblCellMar>
      </w:tblPr>
      <w:tblGrid>
        <w:gridCol w:w="525"/>
        <w:gridCol w:w="401"/>
        <w:gridCol w:w="407"/>
        <w:gridCol w:w="109"/>
        <w:gridCol w:w="109"/>
        <w:gridCol w:w="109"/>
        <w:gridCol w:w="656"/>
        <w:gridCol w:w="424"/>
        <w:gridCol w:w="425"/>
        <w:gridCol w:w="109"/>
        <w:gridCol w:w="109"/>
        <w:gridCol w:w="109"/>
        <w:gridCol w:w="269"/>
        <w:gridCol w:w="763"/>
        <w:gridCol w:w="149"/>
        <w:gridCol w:w="109"/>
        <w:gridCol w:w="109"/>
        <w:gridCol w:w="109"/>
        <w:gridCol w:w="936"/>
        <w:gridCol w:w="734"/>
        <w:gridCol w:w="737"/>
        <w:gridCol w:w="109"/>
        <w:gridCol w:w="109"/>
        <w:gridCol w:w="109"/>
        <w:gridCol w:w="625"/>
        <w:gridCol w:w="1344"/>
        <w:gridCol w:w="502"/>
      </w:tblGrid>
      <w:tr>
        <w:trPr/>
        <w:tc>
          <w:tcPr>
            <w:tcW w:w="52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Number of Shares 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w:t>
            </w:r>
          </w:p>
        </w:tc>
      </w:tr>
      <w:tr>
        <w:trPr/>
        <w:tc>
          <w:tcPr>
            <w:tcW w:w="1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374,009 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374,009 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317,600 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317,600 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370,987 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370,987 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1,062,596 </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1,062,596 </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(1)On November 16, 2023, we authorized the repurchase of up to $750 million of our common stock, which does not have an expiration date. This authorization was in addition to the $1.2 billion total repurchases authorized in 2021, which were completed in the first quarter of 2024. See “Management’s Discussion and Analysis of Financial Condition and Results of Operations — Liquidity and Capital Resources — The Company — Primary Uses of Liquidity and Capital — Common Stock Repurchases” and Note 10 of the Notes to the Interim Condensed Consolidated Financial Statements for more information on common stock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Director and Officer Rule 10b5-1 Plans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none of the Company’s directors or officers (as defined in Rule 16a-1(f) of the Exchange Act) adopted or terminated a Rule 10b5-1 trading arrangement or non-Rule 10b5-1 trading arrangement (as such terms are defined in Item 408 of Regulation S-K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00" w:after="420"/>
        <w:ind w:left="0" w:right="0" w:firstLine="180"/>
        <w:jc w:val="both"/>
        <w:rPr/>
      </w:pPr>
      <w:r>
        <w:rPr>
          <w:rFonts w:ascii="Times New Roman;sans-serif" w:hAnsi="Times New Roman;sans-serif"/>
          <w:b w:val="false"/>
          <w:i/>
          <w:color w:val="000000"/>
          <w:sz w:val="20"/>
        </w:rPr>
        <w:t>(</w:t>
      </w:r>
      <w:r>
        <w:rPr>
          <w:rFonts w:ascii="Times New Roman;sans-serif" w:hAnsi="Times New Roman;sans-serif"/>
          <w:b/>
          <w:i/>
          <w:color w:val="000000"/>
          <w:sz w:val="20"/>
        </w:rPr>
        <w:t>Note Regarding Reliance on Statements in Our Contracts:</w:t>
      </w:r>
      <w:r>
        <w:rPr>
          <w:color w:val="000000"/>
        </w:rPr>
        <w:t xml:space="preserve"> </w:t>
      </w:r>
      <w:r>
        <w:rPr>
          <w:rFonts w:ascii="Times New Roman;sans-serif" w:hAnsi="Times New Roman;sans-serif"/>
          <w:b w:val="false"/>
          <w:i/>
          <w:color w:val="000000"/>
          <w:sz w:val="20"/>
        </w:rPr>
        <w:t>In reviewing the agreements included as exhibits herein, 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in Brighthouse Financial, Inc.’s other public filings, which are available without charge through the U.S. Securities and Exchange Commission website at www.sec.gov.)</w:t>
      </w:r>
    </w:p>
    <w:tbl>
      <w:tblPr>
        <w:tblW w:w="10205" w:type="dxa"/>
        <w:jc w:val="left"/>
        <w:tblInd w:w="0" w:type="dxa"/>
        <w:tblLayout w:type="fixed"/>
        <w:tblCellMar>
          <w:top w:w="28" w:type="dxa"/>
          <w:left w:w="28" w:type="dxa"/>
          <w:bottom w:w="28" w:type="dxa"/>
          <w:right w:w="28" w:type="dxa"/>
        </w:tblCellMar>
      </w:tblPr>
      <w:tblGrid>
        <w:gridCol w:w="334"/>
        <w:gridCol w:w="294"/>
        <w:gridCol w:w="295"/>
        <w:gridCol w:w="109"/>
        <w:gridCol w:w="109"/>
        <w:gridCol w:w="109"/>
        <w:gridCol w:w="2611"/>
        <w:gridCol w:w="2611"/>
        <w:gridCol w:w="3733"/>
      </w:tblGrid>
      <w:tr>
        <w:trPr/>
        <w:tc>
          <w:tcPr>
            <w:tcW w:w="3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733" w:type="dxa"/>
            <w:tcBorders/>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bhf-03312025x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3312025x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3312025xex321.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3312025xex322.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of Brighthouse Financial, Inc.’s Quarterly Report on Form 10-Q for the quarter ended March 31, 2025, formatted in Inline XBRL (included within the Exhibit 101 attachments).</w:t>
            </w:r>
          </w:p>
        </w:tc>
      </w:tr>
    </w:tbl>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120" w:after="283"/>
        <w:jc w:val="both"/>
        <w:rPr/>
      </w:pPr>
      <w:hyperlink w:anchor="i22b5cee3a85542ce8f931fe58d2cdb9e_7">
        <w:r>
          <w:rPr>
            <w:rStyle w:val="InternetLink"/>
          </w:rPr>
          <w:t xml:space="preserve">Table of </w:t>
        </w:r>
      </w:hyperlink>
      <w:hyperlink w:anchor="i22b5cee3a85542ce8f931fe58d2cdb9e_7">
        <w:r>
          <w:rPr>
            <w:rStyle w:val="InternetLink"/>
          </w:rPr>
          <w:t>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80" w:after="283"/>
        <w:ind w:left="0" w:right="0" w:firstLine="180"/>
        <w:jc w:val="both"/>
        <w:rPr/>
      </w:pPr>
      <w:r>
        <w:rPr/>
      </w:r>
    </w:p>
    <w:tbl>
      <w:tblPr>
        <w:tblW w:w="6973" w:type="dxa"/>
        <w:jc w:val="center"/>
        <w:tblInd w:w="0" w:type="dxa"/>
        <w:tblLayout w:type="fixed"/>
        <w:tblCellMar>
          <w:top w:w="28" w:type="dxa"/>
          <w:left w:w="28" w:type="dxa"/>
          <w:bottom w:w="28" w:type="dxa"/>
          <w:right w:w="28" w:type="dxa"/>
        </w:tblCellMar>
      </w:tblPr>
      <w:tblGrid>
        <w:gridCol w:w="275"/>
        <w:gridCol w:w="241"/>
        <w:gridCol w:w="241"/>
        <w:gridCol w:w="241"/>
        <w:gridCol w:w="241"/>
        <w:gridCol w:w="241"/>
        <w:gridCol w:w="241"/>
        <w:gridCol w:w="241"/>
        <w:gridCol w:w="241"/>
        <w:gridCol w:w="1366"/>
        <w:gridCol w:w="1366"/>
        <w:gridCol w:w="2038"/>
      </w:tblGrid>
      <w:tr>
        <w:trPr/>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r>
      <w:tr>
        <w:trPr/>
        <w:tc>
          <w:tcPr>
            <w:tcW w:w="697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BRIGHTHOUSE FINANCIAL, INC.</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Edward A. Spehar</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Edward A. Spehar</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(Duly Authorized Officer and Principal Financial Officer)</w:t>
            </w:r>
          </w:p>
        </w:tc>
      </w:tr>
    </w:tbl>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Eric T. Steigerwalt, certify that: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Brighthouse Financial, Inc.;</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2025</w:t>
      </w:r>
    </w:p>
    <w:tbl>
      <w:tblPr>
        <w:tblW w:w="3224" w:type="dxa"/>
        <w:jc w:val="right"/>
        <w:tblInd w:w="0" w:type="dxa"/>
        <w:tblLayout w:type="fixed"/>
        <w:tblCellMar>
          <w:top w:w="28" w:type="dxa"/>
          <w:left w:w="28" w:type="dxa"/>
          <w:bottom w:w="28" w:type="dxa"/>
          <w:right w:w="28" w:type="dxa"/>
        </w:tblCellMar>
      </w:tblPr>
      <w:tblGrid>
        <w:gridCol w:w="1032"/>
        <w:gridCol w:w="907"/>
        <w:gridCol w:w="1285"/>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T. Steigerwalt</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Eric T. Steigerwalt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Edward A. Spehar, certify that: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Brighthouse Financial, Inc.;</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2025</w:t>
      </w:r>
    </w:p>
    <w:tbl>
      <w:tblPr>
        <w:tblW w:w="4455" w:type="dxa"/>
        <w:jc w:val="right"/>
        <w:tblInd w:w="0" w:type="dxa"/>
        <w:tblLayout w:type="fixed"/>
        <w:tblCellMar>
          <w:top w:w="28" w:type="dxa"/>
          <w:left w:w="28" w:type="dxa"/>
          <w:bottom w:w="28" w:type="dxa"/>
          <w:right w:w="28" w:type="dxa"/>
        </w:tblCellMar>
      </w:tblPr>
      <w:tblGrid>
        <w:gridCol w:w="1428"/>
        <w:gridCol w:w="1254"/>
        <w:gridCol w:w="1773"/>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A. Spehar</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Edward A. Spehar</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CERTIFICATION</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1350 OF CHAPTER 63 OF TITLE 18 OF THE UNITED STATES CODE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Eric T. Steigerwalt, certify that, to my knowledge, (i) Brighthouse Financial, Inc.’s Quarterly Report on Form 10-Q for the quarter ended March 31, 2025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2025</w:t>
      </w:r>
    </w:p>
    <w:p>
      <w:pPr>
        <w:pStyle w:val="TextBody"/>
        <w:bidi w:val="0"/>
        <w:spacing w:lineRule="auto" w:line="288" w:before="0" w:after="0"/>
        <w:jc w:val="left"/>
        <w:rPr>
          <w:color w:val="000000"/>
        </w:rPr>
      </w:pPr>
      <w:r>
        <w:rPr>
          <w:color w:val="000000"/>
        </w:rPr>
        <w:t> </w:t>
      </w:r>
    </w:p>
    <w:tbl>
      <w:tblPr>
        <w:tblW w:w="3224" w:type="dxa"/>
        <w:jc w:val="right"/>
        <w:tblInd w:w="0" w:type="dxa"/>
        <w:tblLayout w:type="fixed"/>
        <w:tblCellMar>
          <w:top w:w="28" w:type="dxa"/>
          <w:left w:w="28" w:type="dxa"/>
          <w:bottom w:w="28" w:type="dxa"/>
          <w:right w:w="28" w:type="dxa"/>
        </w:tblCellMar>
      </w:tblPr>
      <w:tblGrid>
        <w:gridCol w:w="1032"/>
        <w:gridCol w:w="907"/>
        <w:gridCol w:w="1285"/>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T. Steigerwalt</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Eric T. Steigerwalt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lineRule="auto" w:line="288" w:before="1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CERTIFICATION</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1350 OF CHAPTER 63 OF TITLE 18 OF THE UNITED STATES CODE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Edward A. Spehar, certify that, to my knowledge, (i) Brighthouse Financial, Inc.’s Quarterly Report on Form 10-Q for the quarter ended March 31, 2025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2025</w:t>
      </w:r>
    </w:p>
    <w:p>
      <w:pPr>
        <w:pStyle w:val="TextBody"/>
        <w:bidi w:val="0"/>
        <w:spacing w:lineRule="auto" w:line="288" w:before="0" w:after="0"/>
        <w:jc w:val="left"/>
        <w:rPr>
          <w:color w:val="000000"/>
        </w:rPr>
      </w:pPr>
      <w:r>
        <w:rPr>
          <w:color w:val="000000"/>
        </w:rPr>
        <w:t> </w:t>
      </w:r>
    </w:p>
    <w:tbl>
      <w:tblPr>
        <w:tblW w:w="4455" w:type="dxa"/>
        <w:jc w:val="right"/>
        <w:tblInd w:w="0" w:type="dxa"/>
        <w:tblLayout w:type="fixed"/>
        <w:tblCellMar>
          <w:top w:w="28" w:type="dxa"/>
          <w:left w:w="28" w:type="dxa"/>
          <w:bottom w:w="28" w:type="dxa"/>
          <w:right w:w="28" w:type="dxa"/>
        </w:tblCellMar>
      </w:tblPr>
      <w:tblGrid>
        <w:gridCol w:w="1428"/>
        <w:gridCol w:w="1254"/>
        <w:gridCol w:w="1773"/>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A. Spehar</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Edward A. Spehar</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lineRule="auto" w:line="288" w:before="1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42809</Words>
  <Characters>238204</Characters>
  <CharactersWithSpaces>276912</CharactersWithSpaces>
  <Paragraphs>8194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