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Brighthouse Life Insurance Company of NY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285 Madison Avenue, Suite 1400</w:t>
      </w: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April 29, 2026</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TRANSMISSION</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spacing w:after="0"/>
        <w:tabs>
          <w:tab w:leader="none" w:pos="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Brighthouse Life Insurance Company of NY</w:t>
      </w:r>
    </w:p>
    <w:p>
      <w:pPr>
        <w:spacing w:after="0" w:line="9" w:lineRule="exact"/>
        <w:rPr>
          <w:sz w:val="24"/>
          <w:szCs w:val="24"/>
          <w:color w:val="auto"/>
        </w:rPr>
      </w:pPr>
    </w:p>
    <w:p>
      <w:pPr>
        <w:ind w:left="780" w:hanging="772"/>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 No. 333-279315</w:t>
      </w:r>
    </w:p>
    <w:p>
      <w:pPr>
        <w:ind w:left="780" w:hanging="772"/>
        <w:spacing w:after="0" w:line="183"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II 6-Year Annuity)</w:t>
      </w:r>
    </w:p>
    <w:p>
      <w:pPr>
        <w:ind w:left="780" w:hanging="772"/>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497(j) Certification 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-19050</wp:posOffset>
            </wp:positionV>
            <wp:extent cx="3021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21965" cy="8890"/>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Members of the Commission:</w:t>
      </w:r>
    </w:p>
    <w:p>
      <w:pPr>
        <w:spacing w:after="0" w:line="212" w:lineRule="exact"/>
        <w:rPr>
          <w:sz w:val="24"/>
          <w:szCs w:val="24"/>
          <w:color w:val="auto"/>
        </w:rPr>
      </w:pPr>
    </w:p>
    <w:p>
      <w:pPr>
        <w:ind w:right="1739"/>
        <w:spacing w:after="0" w:line="242" w:lineRule="auto"/>
        <w:rPr>
          <w:sz w:val="20"/>
          <w:szCs w:val="20"/>
          <w:color w:val="auto"/>
        </w:rPr>
      </w:pPr>
      <w:r>
        <w:rPr>
          <w:rFonts w:ascii="Arial" w:cs="Arial" w:eastAsia="Arial" w:hAnsi="Arial"/>
          <w:sz w:val="18"/>
          <w:szCs w:val="18"/>
          <w:color w:val="auto"/>
        </w:rPr>
        <w:t>On behalf of Brighthouse Life Insurance Company of NY (the “Company”), I hereby certify, pursuant to paragraph (j) of Rule 497 under the Securities Act of 1933, that the form of the Prospectus and Statement of Additional Information (“SAI”) each dated April 27, 2026 being used for certain registered annuity contracts offered by the Company and otherwise required to be filed under paragraph (c) of Rule 497 does not differ from the Prospectus and SAI contained in Post-Effective Amendment No. 2 filed electronically with the Commission on April 20, 2026.</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please contact me at (980) 949-4167.</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/s/ Alyson Saad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Alyson Saad</w:t>
      </w:r>
    </w:p>
    <w:p>
      <w:pPr>
        <w:spacing w:after="0"/>
        <w:rPr>
          <w:sz w:val="20"/>
          <w:szCs w:val="20"/>
          <w:color w:val="auto"/>
        </w:rPr>
      </w:pPr>
      <w:r>
        <w:rPr>
          <w:rFonts w:ascii="Arial" w:cs="Arial" w:eastAsia="Arial" w:hAnsi="Arial"/>
          <w:sz w:val="18"/>
          <w:szCs w:val="18"/>
          <w:color w:val="auto"/>
        </w:rPr>
        <w:t>Managing Corporate Counsel</w:t>
      </w:r>
    </w:p>
    <w:p>
      <w:pPr>
        <w:spacing w:after="0"/>
        <w:rPr>
          <w:sz w:val="20"/>
          <w:szCs w:val="20"/>
          <w:color w:val="auto"/>
        </w:rPr>
      </w:pPr>
      <w:r>
        <w:rPr>
          <w:rFonts w:ascii="Arial" w:cs="Arial" w:eastAsia="Arial" w:hAnsi="Arial"/>
          <w:sz w:val="18"/>
          <w:szCs w:val="18"/>
          <w:color w:val="auto"/>
        </w:rPr>
        <w:t>Brighthouse Life Insurance Company of NY</w:t>
      </w:r>
    </w:p>
    <w:sectPr>
      <w:pgSz w:w="11900" w:h="16838" w:orient="portrait"/>
      <w:cols w:equalWidth="0" w:num="1">
        <w:col w:w="10139"/>
      </w:cols>
      <w:pgMar w:left="32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2026-04-29T08:37:39Z</dcterms:created>
  <dcterms:modified xsi:type="dcterms:W3CDTF">2026-04-29T08:37:39Z</dcterms:modified>
</cp:coreProperties>
</file>