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04982.xml.htm"/>
      <w:bookmarkStart w:id="1" w:name="kswkform4_17806049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CHAPLIN C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11225 N COMMUNITY HOUSE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Brighthouse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4,556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54,454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6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contingent right to receive one share of Brighthouse Financial, Inc. ("BHF")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for service as a Board member pursuant to the Brighthouse Financial, Inc. 2017 Non-Management Director Stock Compensation Plan (the "2017 Plan"). 2,837 RSUs were awarded for service as a Board member, and 1,719 RSUs were awarded for service as independent Chairman.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the date of the 2026 annual meeting of stockholders of BHF.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for service as a Board member pursuant to the 2017 Plan. 2,651 RSUs were awarded for service as a Board member, and 1,606 RSUs were awarded for service as independent Chairman.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will vest on the earlier of the first anniversary of the grant date or the date of the 2027 annual meeting of stockholders of BHF.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Alexander V. Ulianov, Attorney-in-Fact, on behalf of C. Edward Chaplin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7570" TargetMode="External"/><Relationship Id="rId5" Type="http://schemas.openxmlformats.org/officeDocument/2006/relationships/hyperlink" Target="http://www.sec.gov/cgi-bin/browse-edgar?action=getcompany&amp;CIK=0001685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737</Words>
  <Characters>3908</Characters>
  <CharactersWithSpaces>4565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