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283"/>
        <w:ind w:left="0" w:right="0" w:firstLine="36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 xml:space="preserve">UNITED STATES </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center"/>
        <w:rPr>
          <w:rFonts w:ascii="Times New Roman;serif" w:hAnsi="Times New Roman;serif"/>
          <w:b/>
          <w:color w:val="000000"/>
          <w:sz w:val="24"/>
        </w:rPr>
      </w:pPr>
      <w:r>
        <w:rPr>
          <w:rFonts w:ascii="Times New Roman;serif" w:hAnsi="Times New Roman;serif"/>
          <w:b/>
          <w:color w:val="000000"/>
          <w:sz w:val="24"/>
        </w:rPr>
        <w:t xml:space="preserve">FORM 10-Q </w:t>
      </w:r>
    </w:p>
    <w:tbl>
      <w:tblPr>
        <w:tblW w:w="9026" w:type="dxa"/>
        <w:jc w:val="center"/>
        <w:tblInd w:w="0" w:type="dxa"/>
        <w:tblLayout w:type="fixed"/>
        <w:tblCellMar>
          <w:top w:w="28" w:type="dxa"/>
          <w:left w:w="28" w:type="dxa"/>
          <w:bottom w:w="28" w:type="dxa"/>
          <w:right w:w="28" w:type="dxa"/>
        </w:tblCellMar>
      </w:tblPr>
      <w:tblGrid>
        <w:gridCol w:w="124"/>
        <w:gridCol w:w="109"/>
        <w:gridCol w:w="109"/>
        <w:gridCol w:w="2538"/>
        <w:gridCol w:w="2538"/>
        <w:gridCol w:w="36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36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QUARTERLY REPORT PURSUANT TO SECTION 13 OR 15(d) OF THE SECURITIES EXCHANGE ACT OF 1934</w:t>
            </w:r>
          </w:p>
        </w:tc>
      </w:tr>
    </w:tbl>
    <w:p>
      <w:pPr>
        <w:pStyle w:val="TextBody"/>
        <w:bidi w:val="0"/>
        <w:spacing w:lineRule="auto" w:line="288" w:before="140" w:after="283"/>
        <w:ind w:left="0" w:right="0" w:firstLine="360"/>
        <w:jc w:val="center"/>
        <w:rPr>
          <w:rFonts w:ascii="Times New Roman;serif" w:hAnsi="Times New Roman;serif"/>
          <w:b/>
          <w:color w:val="000000"/>
          <w:sz w:val="16"/>
        </w:rPr>
      </w:pPr>
      <w:r>
        <w:rPr>
          <w:rFonts w:ascii="Times New Roman;serif" w:hAnsi="Times New Roman;serif"/>
          <w:b/>
          <w:color w:val="000000"/>
          <w:sz w:val="16"/>
        </w:rPr>
        <w:t>For the quarterly period ended June 30, 2026</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or</w:t>
      </w:r>
    </w:p>
    <w:tbl>
      <w:tblPr>
        <w:tblW w:w="9011" w:type="dxa"/>
        <w:jc w:val="center"/>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TRANSITION REPORT PURSUANT TO SECTION 13 OR 15(d) OF THE SECURITIES EXCHANGE ACT OF 1934</w:t>
            </w:r>
          </w:p>
        </w:tc>
      </w:tr>
    </w:tbl>
    <w:p>
      <w:pPr>
        <w:pStyle w:val="TextBody"/>
        <w:bidi w:val="0"/>
        <w:spacing w:before="0" w:after="0"/>
        <w:jc w:val="center"/>
        <w:rPr/>
      </w:pPr>
      <w:r>
        <w:rPr/>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For the transition period from ___ to ___</w:t>
      </w:r>
    </w:p>
    <w:p>
      <w:pPr>
        <w:pStyle w:val="TextBody"/>
        <w:bidi w:val="0"/>
        <w:spacing w:lineRule="auto" w:line="288" w:before="180" w:after="283"/>
        <w:jc w:val="center"/>
        <w:rPr>
          <w:rFonts w:ascii="Times New Roman;serif" w:hAnsi="Times New Roman;serif"/>
          <w:b/>
          <w:color w:val="000000"/>
          <w:sz w:val="16"/>
        </w:rPr>
      </w:pPr>
      <w:r>
        <w:rPr>
          <w:rFonts w:ascii="Times New Roman;serif" w:hAnsi="Times New Roman;serif"/>
          <w:b/>
          <w:color w:val="000000"/>
          <w:sz w:val="16"/>
        </w:rPr>
        <w:t xml:space="preserve">Commission File Number: 033-03094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drawing>
          <wp:inline distT="0" distB="0" distL="0" distR="0">
            <wp:extent cx="245745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57450" cy="571500"/>
                    </a:xfrm>
                    <a:prstGeom prst="rect">
                      <a:avLst/>
                    </a:prstGeom>
                  </pic:spPr>
                </pic:pic>
              </a:graphicData>
            </a:graphic>
          </wp:inline>
        </w:drawing>
      </w:r>
      <w:bookmarkStart w:id="0" w:name="i-1"/>
      <w:bookmarkEnd w:id="0"/>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 xml:space="preserve">Brighthouse Life Insurance Company </w:t>
      </w:r>
    </w:p>
    <w:p>
      <w:pPr>
        <w:pStyle w:val="TextBody"/>
        <w:bidi w:val="0"/>
        <w:spacing w:lineRule="auto" w:line="288" w:before="120" w:after="283"/>
        <w:jc w:val="center"/>
        <w:rPr>
          <w:rFonts w:ascii="Times New Roman;serif" w:hAnsi="Times New Roman;serif"/>
          <w:b w:val="false"/>
          <w:i/>
          <w:color w:val="000000"/>
          <w:sz w:val="16"/>
        </w:rPr>
      </w:pPr>
      <w:r>
        <w:rPr>
          <w:rFonts w:ascii="Times New Roman;serif" w:hAnsi="Times New Roman;serif"/>
          <w:b w:val="false"/>
          <w:i/>
          <w:color w:val="000000"/>
          <w:sz w:val="16"/>
        </w:rPr>
        <w:t>(Exact name of registrant as specified in its charter)</w:t>
      </w:r>
    </w:p>
    <w:tbl>
      <w:tblPr>
        <w:tblW w:w="7836" w:type="dxa"/>
        <w:jc w:val="center"/>
        <w:tblInd w:w="0" w:type="dxa"/>
        <w:tblLayout w:type="fixed"/>
        <w:tblCellMar>
          <w:top w:w="28" w:type="dxa"/>
          <w:left w:w="28" w:type="dxa"/>
          <w:bottom w:w="28" w:type="dxa"/>
          <w:right w:w="28" w:type="dxa"/>
        </w:tblCellMar>
      </w:tblPr>
      <w:tblGrid>
        <w:gridCol w:w="606"/>
        <w:gridCol w:w="533"/>
        <w:gridCol w:w="533"/>
        <w:gridCol w:w="533"/>
        <w:gridCol w:w="533"/>
        <w:gridCol w:w="533"/>
        <w:gridCol w:w="533"/>
        <w:gridCol w:w="533"/>
        <w:gridCol w:w="547"/>
        <w:gridCol w:w="109"/>
        <w:gridCol w:w="109"/>
        <w:gridCol w:w="109"/>
        <w:gridCol w:w="765"/>
        <w:gridCol w:w="765"/>
        <w:gridCol w:w="1095"/>
      </w:tblGrid>
      <w:tr>
        <w:trPr/>
        <w:tc>
          <w:tcPr>
            <w:tcW w:w="60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4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06-0566090</w:t>
            </w:r>
          </w:p>
        </w:tc>
      </w:tr>
      <w:tr>
        <w:trPr/>
        <w:tc>
          <w:tcPr>
            <w:tcW w:w="4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(I.R.S. Employer Identification No.)</w:t>
            </w:r>
          </w:p>
        </w:tc>
      </w:tr>
      <w:tr>
        <w:trPr/>
        <w:tc>
          <w:tcPr>
            <w:tcW w:w="488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11225 North Community House Road, Charlotte, 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28277</w:t>
            </w:r>
          </w:p>
        </w:tc>
      </w:tr>
      <w:tr>
        <w:trPr/>
        <w:tc>
          <w:tcPr>
            <w:tcW w:w="4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(Zip Code)</w:t>
            </w:r>
          </w:p>
        </w:tc>
      </w:tr>
    </w:tbl>
    <w:p>
      <w:pPr>
        <w:pStyle w:val="TextBody"/>
        <w:bidi w:val="0"/>
        <w:spacing w:lineRule="auto" w:line="288" w:before="20" w:after="283"/>
        <w:jc w:val="center"/>
        <w:rPr>
          <w:rFonts w:ascii="Times New Roman;serif" w:hAnsi="Times New Roman;serif"/>
          <w:b/>
          <w:color w:val="000000"/>
          <w:sz w:val="16"/>
        </w:rPr>
      </w:pPr>
      <w:r>
        <w:rPr>
          <w:rFonts w:ascii="Times New Roman;serif" w:hAnsi="Times New Roman;serif"/>
          <w:b/>
          <w:color w:val="000000"/>
          <w:sz w:val="16"/>
        </w:rPr>
        <w:t xml:space="preserve">(980) 365-7100 </w:t>
      </w:r>
    </w:p>
    <w:p>
      <w:pPr>
        <w:pStyle w:val="TextBody"/>
        <w:bidi w:val="0"/>
        <w:spacing w:lineRule="auto" w:line="288" w:before="0" w:after="0"/>
        <w:jc w:val="center"/>
        <w:rPr>
          <w:rFonts w:ascii="Times New Roman;serif" w:hAnsi="Times New Roman;serif"/>
          <w:b w:val="false"/>
          <w:i/>
          <w:color w:val="000000"/>
          <w:sz w:val="14"/>
        </w:rPr>
      </w:pPr>
      <w:r>
        <w:rPr>
          <w:rFonts w:ascii="Times New Roman;serif" w:hAnsi="Times New Roman;serif"/>
          <w:b w:val="false"/>
          <w:i/>
          <w:color w:val="000000"/>
          <w:sz w:val="14"/>
        </w:rPr>
        <w:t>(Registrant’s telephone number, including area code)</w:t>
      </w:r>
    </w:p>
    <w:p>
      <w:pPr>
        <w:pStyle w:val="TextBody"/>
        <w:bidi w:val="0"/>
        <w:spacing w:lineRule="auto" w:line="288" w:before="180" w:after="283"/>
        <w:jc w:val="center"/>
        <w:rPr>
          <w:rFonts w:ascii="Times New Roman;serif" w:hAnsi="Times New Roman;serif"/>
          <w:b w:val="false"/>
          <w:color w:val="000000"/>
          <w:sz w:val="14"/>
        </w:rPr>
      </w:pPr>
      <w:r>
        <w:rPr>
          <w:rFonts w:ascii="Times New Roman;serif" w:hAnsi="Times New Roman;serif"/>
          <w:b w:val="false"/>
          <w:color w:val="000000"/>
          <w:sz w:val="14"/>
        </w:rPr>
        <w:t>Securities registered pursuant to Section 12(b) of the Act: None</w:t>
      </w:r>
    </w:p>
    <w:tbl>
      <w:tblPr>
        <w:tblW w:w="4934" w:type="dxa"/>
        <w:jc w:val="center"/>
        <w:tblInd w:w="0" w:type="dxa"/>
        <w:tblLayout w:type="fixed"/>
        <w:tblCellMar>
          <w:top w:w="28" w:type="dxa"/>
          <w:left w:w="28" w:type="dxa"/>
          <w:bottom w:w="28" w:type="dxa"/>
          <w:right w:w="28" w:type="dxa"/>
        </w:tblCellMar>
      </w:tblPr>
      <w:tblGrid>
        <w:gridCol w:w="413"/>
        <w:gridCol w:w="362"/>
        <w:gridCol w:w="365"/>
        <w:gridCol w:w="389"/>
        <w:gridCol w:w="389"/>
        <w:gridCol w:w="391"/>
        <w:gridCol w:w="768"/>
        <w:gridCol w:w="768"/>
        <w:gridCol w:w="1089"/>
      </w:tblGrid>
      <w:tr>
        <w:trPr/>
        <w:tc>
          <w:tcPr>
            <w:tcW w:w="41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u w:val="single"/>
              </w:rPr>
            </w:pPr>
            <w:r>
              <w:rPr>
                <w:rFonts w:ascii="Times New Roman;serif" w:hAnsi="Times New Roman;serif"/>
                <w:b w:val="false"/>
                <w:color w:val="000000"/>
                <w:sz w:val="14"/>
                <w:u w:val="single"/>
              </w:rPr>
              <w:t>Title of each class</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u w:val="single"/>
              </w:rPr>
            </w:pPr>
            <w:r>
              <w:rPr>
                <w:rFonts w:ascii="Times New Roman;serif" w:hAnsi="Times New Roman;serif"/>
                <w:b w:val="false"/>
                <w:color w:val="000000"/>
                <w:sz w:val="14"/>
                <w:u w:val="single"/>
              </w:rPr>
              <w:t>Trading symbol(s)</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u w:val="single"/>
              </w:rPr>
            </w:pPr>
            <w:r>
              <w:rPr>
                <w:rFonts w:ascii="Times New Roman;serif" w:hAnsi="Times New Roman;serif"/>
                <w:b w:val="false"/>
                <w:color w:val="000000"/>
                <w:sz w:val="14"/>
                <w:u w:val="single"/>
              </w:rPr>
              <w:t>Name of each exchange on which registered</w:t>
            </w:r>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Times New Roman;serif" w:hAnsi="Times New Roman;serif"/>
          <w:b w:val="false"/>
          <w:color w:val="000000"/>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4"/>
        </w:rPr>
        <w:t>No </w:t>
      </w:r>
      <w:r>
        <w:rPr>
          <w:color w:val="000000"/>
        </w:rPr>
        <w:t>☐</w:t>
      </w:r>
    </w:p>
    <w:p>
      <w:pPr>
        <w:pStyle w:val="TextBody"/>
        <w:bidi w:val="0"/>
        <w:spacing w:lineRule="auto" w:line="288" w:before="180" w:after="283"/>
        <w:jc w:val="left"/>
        <w:rPr/>
      </w:pPr>
      <w:r>
        <w:rPr>
          <w:rFonts w:ascii="Times New Roman;serif" w:hAnsi="Times New Roman;serif"/>
          <w:b w:val="false"/>
          <w:color w:val="000000"/>
          <w:sz w:val="14"/>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4"/>
        </w:rPr>
        <w:t>No </w:t>
      </w:r>
      <w:r>
        <w:rPr>
          <w:color w:val="000000"/>
        </w:rPr>
        <w:t>☐</w:t>
      </w:r>
    </w:p>
    <w:p>
      <w:pPr>
        <w:pStyle w:val="TextBody"/>
        <w:bidi w:val="0"/>
        <w:spacing w:lineRule="auto" w:line="288" w:before="180" w:after="283"/>
        <w:jc w:val="left"/>
        <w:rPr>
          <w:rFonts w:ascii="Times New Roman;serif" w:hAnsi="Times New Roman;serif"/>
          <w:b w:val="false"/>
          <w:color w:val="000000"/>
          <w:sz w:val="14"/>
        </w:rPr>
      </w:pPr>
      <w:r>
        <w:rPr>
          <w:rFonts w:ascii="Times New Roman;serif" w:hAnsi="Times New Roman;serif"/>
          <w:b w:val="false"/>
          <w:color w:val="000000"/>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054" w:type="dxa"/>
        <w:jc w:val="center"/>
        <w:tblInd w:w="0" w:type="dxa"/>
        <w:tblLayout w:type="fixed"/>
        <w:tblCellMar>
          <w:top w:w="28" w:type="dxa"/>
          <w:left w:w="28" w:type="dxa"/>
          <w:bottom w:w="28" w:type="dxa"/>
          <w:right w:w="28" w:type="dxa"/>
        </w:tblCellMar>
      </w:tblPr>
      <w:tblGrid>
        <w:gridCol w:w="494"/>
        <w:gridCol w:w="434"/>
        <w:gridCol w:w="436"/>
        <w:gridCol w:w="109"/>
        <w:gridCol w:w="109"/>
        <w:gridCol w:w="109"/>
        <w:gridCol w:w="109"/>
        <w:gridCol w:w="109"/>
        <w:gridCol w:w="109"/>
        <w:gridCol w:w="421"/>
        <w:gridCol w:w="421"/>
        <w:gridCol w:w="423"/>
        <w:gridCol w:w="133"/>
        <w:gridCol w:w="133"/>
        <w:gridCol w:w="133"/>
        <w:gridCol w:w="109"/>
        <w:gridCol w:w="109"/>
        <w:gridCol w:w="154"/>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Accelerated filer</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80" w:after="283"/>
        <w:jc w:val="left"/>
        <w:rPr/>
      </w:pPr>
      <w:r>
        <w:rPr>
          <w:rFonts w:ascii="Times New Roman;serif" w:hAnsi="Times New Roman;serif"/>
          <w:b w:val="false"/>
          <w:color w:val="000000"/>
          <w:sz w:val="14"/>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283"/>
        <w:jc w:val="left"/>
        <w:rPr/>
      </w:pPr>
      <w:r>
        <w:rPr>
          <w:rFonts w:ascii="Times New Roman;serif" w:hAnsi="Times New Roman;serif"/>
          <w:b w:val="false"/>
          <w:color w:val="000000"/>
          <w:sz w:val="14"/>
        </w:rPr>
        <w:t>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4"/>
        </w:rPr>
        <w:t>No </w:t>
      </w:r>
      <w:r>
        <w:rPr>
          <w:color w:val="000000"/>
        </w:rPr>
        <w:t>☑</w:t>
      </w:r>
    </w:p>
    <w:p>
      <w:pPr>
        <w:pStyle w:val="TextBody"/>
        <w:bidi w:val="0"/>
        <w:spacing w:lineRule="auto" w:line="288" w:before="18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As of August 10, 2026, 3,000 shares of the registrant’s common stock were outstanding, all of which were owned indirectly by Brighthouse Financial, Inc. </w:t>
      </w:r>
    </w:p>
    <w:p>
      <w:pPr>
        <w:pStyle w:val="TextBody"/>
        <w:bidi w:val="0"/>
        <w:spacing w:lineRule="auto" w:line="288" w:before="180" w:after="283"/>
        <w:jc w:val="center"/>
        <w:rPr>
          <w:rFonts w:ascii="Times New Roman;serif" w:hAnsi="Times New Roman;serif"/>
          <w:b/>
          <w:color w:val="000000"/>
          <w:sz w:val="14"/>
        </w:rPr>
      </w:pPr>
      <w:r>
        <w:rPr>
          <w:rFonts w:ascii="Times New Roman;serif" w:hAnsi="Times New Roman;serif"/>
          <w:b/>
          <w:color w:val="000000"/>
          <w:sz w:val="14"/>
        </w:rPr>
        <w:t>REDUCED DISCLOSURE FORMAT</w:t>
      </w:r>
    </w:p>
    <w:p>
      <w:pPr>
        <w:pStyle w:val="TextBody"/>
        <w:bidi w:val="0"/>
        <w:spacing w:lineRule="auto" w:line="288" w:before="180" w:after="283"/>
        <w:jc w:val="both"/>
        <w:rPr>
          <w:rFonts w:ascii="Times New Roman;serif" w:hAnsi="Times New Roman;serif"/>
          <w:b/>
          <w:color w:val="000000"/>
          <w:sz w:val="14"/>
        </w:rPr>
      </w:pPr>
      <w:r>
        <w:rPr>
          <w:rFonts w:ascii="Times New Roman;serif" w:hAnsi="Times New Roman;serif"/>
          <w:b/>
          <w:color w:val="000000"/>
          <w:sz w:val="14"/>
        </w:rPr>
        <w:t>The registrant meets the conditions set forth in General Instruction H(1)(a) and (b) of Form 10-Q and is, therefore, filing this Form 10-Q with the reduced disclosure format.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89560"/>
                <wp:effectExtent l="0" t="0" r="0" b="0"/>
                <wp:wrapNone/>
                <wp:docPr id="2" name="Frame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ind w:left="0" w:right="0" w:firstLine="3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txbxContent>
                </v:textbox>
                <w10:wrap type="none"/>
              </v:rect>
            </w:pict>
          </mc:Fallback>
        </mc:AlternateContent>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76"/>
        <w:gridCol w:w="328"/>
        <w:gridCol w:w="328"/>
        <w:gridCol w:w="3179"/>
        <w:gridCol w:w="2727"/>
        <w:gridCol w:w="2692"/>
        <w:gridCol w:w="167"/>
        <w:gridCol w:w="167"/>
        <w:gridCol w:w="241"/>
      </w:tblGrid>
      <w:tr>
        <w:trPr/>
        <w:tc>
          <w:tcPr>
            <w:tcW w:w="37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179" w:type="dxa"/>
            <w:tcBorders/>
            <w:vAlign w:val="center"/>
          </w:tcPr>
          <w:p>
            <w:pPr>
              <w:pStyle w:val="TableContents"/>
              <w:bidi w:val="0"/>
              <w:spacing w:before="0" w:after="283"/>
              <w:jc w:val="left"/>
              <w:rPr>
                <w:sz w:val="4"/>
                <w:szCs w:val="4"/>
              </w:rPr>
            </w:pPr>
            <w:r>
              <w:rPr>
                <w:sz w:val="4"/>
                <w:szCs w:val="4"/>
              </w:rPr>
            </w:r>
          </w:p>
        </w:tc>
        <w:tc>
          <w:tcPr>
            <w:tcW w:w="2727"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96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Page</w:t>
            </w:r>
          </w:p>
        </w:tc>
      </w:tr>
      <w:tr>
        <w:trPr/>
        <w:tc>
          <w:tcPr>
            <w:tcW w:w="963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e4eacba7ae443fb84d35a26facf6cf5_10">
              <w:r>
                <w:rPr>
                  <w:rStyle w:val="InternetLink"/>
                  <w:rFonts w:ascii="Times New Roman;serif" w:hAnsi="Times New Roman;serif"/>
                  <w:b/>
                  <w:color w:val="0000FF"/>
                  <w:sz w:val="20"/>
                  <w:u w:val="single"/>
                </w:rPr>
                <w:t>Part I — Financial Information</w:t>
              </w:r>
            </w:hyperlink>
          </w:p>
        </w:tc>
        <w:tc>
          <w:tcPr>
            <w:tcW w:w="57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Consolidated Financial Statements (at June 30, 2026 (Unaudited) and December 31, 2025 and for the Three Months and Six Months Ended June 30, 2026 and 2025 (Unaudited)):</w:t>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4e4eacba7ae443fb84d35a26facf6cf5_16">
              <w:r>
                <w:rPr>
                  <w:rStyle w:val="InternetLink"/>
                  <w:rFonts w:ascii="Times New Roman;serif" w:hAnsi="Times New Roman;serif"/>
                  <w:b w:val="false"/>
                  <w:color w:val="0000FF"/>
                  <w:sz w:val="20"/>
                  <w:u w:val="single"/>
                </w:rPr>
                <w:t>Interim Condensed Consolidated Balance Sheets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e4eacba7ae443fb84d35a26facf6cf5_16">
              <w:r>
                <w:rPr>
                  <w:rStyle w:val="InternetLink"/>
                  <w:rFonts w:ascii="Times New Roman;serif" w:hAnsi="Times New Roman;serif"/>
                  <w:b w:val="false"/>
                  <w:color w:val="0000FF"/>
                  <w:sz w:val="20"/>
                  <w:u w:val="single"/>
                </w:rPr>
                <w:t>2</w:t>
              </w:r>
            </w:hyperlink>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4e4eacba7ae443fb84d35a26facf6cf5_19">
              <w:r>
                <w:rPr>
                  <w:rStyle w:val="InternetLink"/>
                  <w:rFonts w:ascii="Times New Roman;serif" w:hAnsi="Times New Roman;serif"/>
                  <w:b w:val="false"/>
                  <w:color w:val="0000FF"/>
                  <w:sz w:val="20"/>
                  <w:u w:val="single"/>
                </w:rPr>
                <w:t>Interim Condensed Consolidated Statements of Operations and Comprehensive Income (Loss)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e4eacba7ae443fb84d35a26facf6cf5_19">
              <w:r>
                <w:rPr>
                  <w:rStyle w:val="InternetLink"/>
                  <w:rFonts w:ascii="Times New Roman;serif" w:hAnsi="Times New Roman;serif"/>
                  <w:b w:val="false"/>
                  <w:color w:val="0000FF"/>
                  <w:sz w:val="20"/>
                  <w:u w:val="single"/>
                </w:rPr>
                <w:t>3</w:t>
              </w:r>
            </w:hyperlink>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4e4eacba7ae443fb84d35a26facf6cf5_22">
              <w:r>
                <w:rPr>
                  <w:rStyle w:val="InternetLink"/>
                  <w:rFonts w:ascii="Times New Roman;serif" w:hAnsi="Times New Roman;serif"/>
                  <w:b w:val="false"/>
                  <w:color w:val="0000FF"/>
                  <w:sz w:val="20"/>
                  <w:u w:val="single"/>
                </w:rPr>
                <w:t>Interim Condensed Consolidated Statements of Equity</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e4eacba7ae443fb84d35a26facf6cf5_22">
              <w:r>
                <w:rPr>
                  <w:rStyle w:val="InternetLink"/>
                  <w:rFonts w:ascii="Times New Roman;serif" w:hAnsi="Times New Roman;serif"/>
                  <w:b w:val="false"/>
                  <w:color w:val="0000FF"/>
                  <w:sz w:val="20"/>
                  <w:u w:val="single"/>
                </w:rPr>
                <w:t>4</w:t>
              </w:r>
            </w:hyperlink>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4e4eacba7ae443fb84d35a26facf6cf5_25">
              <w:r>
                <w:rPr>
                  <w:rStyle w:val="InternetLink"/>
                  <w:rFonts w:ascii="Times New Roman;serif" w:hAnsi="Times New Roman;serif"/>
                  <w:b w:val="false"/>
                  <w:color w:val="0000FF"/>
                  <w:sz w:val="20"/>
                  <w:u w:val="single"/>
                </w:rPr>
                <w:t>Interim Condensed Consolidated Statements of Cash Flows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e4eacba7ae443fb84d35a26facf6cf5_25">
              <w:r>
                <w:rPr>
                  <w:rStyle w:val="InternetLink"/>
                  <w:rFonts w:ascii="Times New Roman;serif" w:hAnsi="Times New Roman;serif"/>
                  <w:b w:val="false"/>
                  <w:color w:val="0000FF"/>
                  <w:sz w:val="20"/>
                  <w:u w:val="single"/>
                </w:rPr>
                <w:t>5</w:t>
              </w:r>
            </w:hyperlink>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4e4eacba7ae443fb84d35a26facf6cf5_28">
              <w:r>
                <w:rPr>
                  <w:rStyle w:val="InternetLink"/>
                  <w:rFonts w:ascii="Times New Roman;serif" w:hAnsi="Times New Roman;serif"/>
                  <w:b w:val="false"/>
                  <w:color w:val="0000FF"/>
                  <w:sz w:val="20"/>
                  <w:u w:val="single"/>
                </w:rPr>
                <w:t>Notes to the Interim Condensed Consolidated Financial Statements (Unaudited):</w:t>
              </w:r>
            </w:hyperlink>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4e4eacba7ae443fb84d35a26facf6cf5_28">
              <w:r>
                <w:rPr>
                  <w:rStyle w:val="InternetLink"/>
                  <w:rFonts w:ascii="Times New Roman;serif" w:hAnsi="Times New Roman;serif"/>
                  <w:b w:val="false"/>
                  <w:color w:val="0000FF"/>
                  <w:sz w:val="20"/>
                  <w:u w:val="single"/>
                </w:rPr>
                <w:t>Note 1 — Business, Basis of Presentation and Summary of Significant Accounting Policies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e4eacba7ae443fb84d35a26facf6cf5_28">
              <w:r>
                <w:rPr>
                  <w:rStyle w:val="InternetLink"/>
                  <w:rFonts w:ascii="Times New Roman;serif" w:hAnsi="Times New Roman;serif"/>
                  <w:b w:val="false"/>
                  <w:color w:val="0000FF"/>
                  <w:sz w:val="20"/>
                  <w:u w:val="single"/>
                </w:rPr>
                <w:t>6</w:t>
              </w:r>
            </w:hyperlink>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4e4eacba7ae443fb84d35a26facf6cf5_37">
              <w:r>
                <w:rPr>
                  <w:rStyle w:val="InternetLink"/>
                  <w:rFonts w:ascii="Times New Roman;serif" w:hAnsi="Times New Roman;serif"/>
                  <w:b w:val="false"/>
                  <w:color w:val="0000FF"/>
                  <w:sz w:val="20"/>
                  <w:u w:val="single"/>
                </w:rPr>
                <w:t>Note 2 — Segment Information</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e4eacba7ae443fb84d35a26facf6cf5_37">
              <w:r>
                <w:rPr>
                  <w:rStyle w:val="InternetLink"/>
                  <w:rFonts w:ascii="Times New Roman;serif" w:hAnsi="Times New Roman;serif"/>
                  <w:b w:val="false"/>
                  <w:color w:val="0000FF"/>
                  <w:sz w:val="20"/>
                  <w:u w:val="single"/>
                </w:rPr>
                <w:t>7</w:t>
              </w:r>
            </w:hyperlink>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4e4eacba7ae443fb84d35a26facf6cf5_64">
              <w:r>
                <w:rPr>
                  <w:rStyle w:val="InternetLink"/>
                  <w:rFonts w:ascii="Times New Roman;serif" w:hAnsi="Times New Roman;serif"/>
                  <w:b w:val="false"/>
                  <w:color w:val="0000FF"/>
                  <w:sz w:val="20"/>
                  <w:u w:val="single"/>
                </w:rPr>
                <w:t>Note 3 — Insurance Liabilities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e4eacba7ae443fb84d35a26facf6cf5_64">
              <w:r>
                <w:rPr>
                  <w:rStyle w:val="InternetLink"/>
                  <w:rFonts w:ascii="Times New Roman;serif" w:hAnsi="Times New Roman;serif"/>
                  <w:b w:val="false"/>
                  <w:color w:val="0000FF"/>
                  <w:sz w:val="20"/>
                  <w:u w:val="single"/>
                </w:rPr>
                <w:t>14</w:t>
              </w:r>
            </w:hyperlink>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4e4eacba7ae443fb84d35a26facf6cf5_88">
              <w:r>
                <w:rPr>
                  <w:rStyle w:val="InternetLink"/>
                  <w:rFonts w:ascii="Times New Roman;serif" w:hAnsi="Times New Roman;serif"/>
                  <w:b w:val="false"/>
                  <w:color w:val="0000FF"/>
                  <w:sz w:val="20"/>
                  <w:u w:val="single"/>
                </w:rPr>
                <w:t>Note 4 — Market Risk Benefits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e4eacba7ae443fb84d35a26facf6cf5_88">
              <w:r>
                <w:rPr>
                  <w:rStyle w:val="InternetLink"/>
                  <w:rFonts w:ascii="Times New Roman;serif" w:hAnsi="Times New Roman;serif"/>
                  <w:b w:val="false"/>
                  <w:color w:val="0000FF"/>
                  <w:sz w:val="20"/>
                  <w:u w:val="single"/>
                </w:rPr>
                <w:t>18</w:t>
              </w:r>
            </w:hyperlink>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4e4eacba7ae443fb84d35a26facf6cf5_97">
              <w:r>
                <w:rPr>
                  <w:rStyle w:val="InternetLink"/>
                  <w:rFonts w:ascii="Times New Roman;serif" w:hAnsi="Times New Roman;serif"/>
                  <w:b w:val="false"/>
                  <w:color w:val="0000FF"/>
                  <w:sz w:val="20"/>
                  <w:u w:val="single"/>
                </w:rPr>
                <w:t>Note 5 — Separate Accounts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e4eacba7ae443fb84d35a26facf6cf5_97">
              <w:r>
                <w:rPr>
                  <w:rStyle w:val="InternetLink"/>
                  <w:rFonts w:ascii="Times New Roman;serif" w:hAnsi="Times New Roman;serif"/>
                  <w:b w:val="false"/>
                  <w:color w:val="0000FF"/>
                  <w:sz w:val="20"/>
                  <w:u w:val="single"/>
                </w:rPr>
                <w:t>18</w:t>
              </w:r>
            </w:hyperlink>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4e4eacba7ae443fb84d35a26facf6cf5_106">
              <w:r>
                <w:rPr>
                  <w:rStyle w:val="InternetLink"/>
                  <w:rFonts w:ascii="Times New Roman;serif" w:hAnsi="Times New Roman;serif"/>
                  <w:b w:val="false"/>
                  <w:color w:val="0000FF"/>
                  <w:sz w:val="20"/>
                  <w:u w:val="single"/>
                </w:rPr>
                <w:t>Note 6 — Deferred Policy Acquisition Costs, Value of Business Acquired and Other Intangibles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e4eacba7ae443fb84d35a26facf6cf5_106">
              <w:r>
                <w:rPr>
                  <w:rStyle w:val="InternetLink"/>
                  <w:rFonts w:ascii="Times New Roman;serif" w:hAnsi="Times New Roman;serif"/>
                  <w:b w:val="false"/>
                  <w:color w:val="0000FF"/>
                  <w:sz w:val="20"/>
                  <w:u w:val="single"/>
                </w:rPr>
                <w:t>20</w:t>
              </w:r>
            </w:hyperlink>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4e4eacba7ae443fb84d35a26facf6cf5_118">
              <w:r>
                <w:rPr>
                  <w:rStyle w:val="InternetLink"/>
                  <w:rFonts w:ascii="Times New Roman;serif" w:hAnsi="Times New Roman;serif"/>
                  <w:b w:val="false"/>
                  <w:color w:val="0000FF"/>
                  <w:sz w:val="20"/>
                  <w:u w:val="single"/>
                </w:rPr>
                <w:t>Note 7 — Investments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e4eacba7ae443fb84d35a26facf6cf5_118">
              <w:r>
                <w:rPr>
                  <w:rStyle w:val="InternetLink"/>
                  <w:rFonts w:ascii="Times New Roman;serif" w:hAnsi="Times New Roman;serif"/>
                  <w:b w:val="false"/>
                  <w:color w:val="0000FF"/>
                  <w:sz w:val="20"/>
                  <w:u w:val="single"/>
                </w:rPr>
                <w:t>21</w:t>
              </w:r>
            </w:hyperlink>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4e4eacba7ae443fb84d35a26facf6cf5_199">
              <w:r>
                <w:rPr>
                  <w:rStyle w:val="InternetLink"/>
                  <w:rFonts w:ascii="Times New Roman;serif" w:hAnsi="Times New Roman;serif"/>
                  <w:b w:val="false"/>
                  <w:color w:val="0000FF"/>
                  <w:sz w:val="20"/>
                  <w:u w:val="single"/>
                </w:rPr>
                <w:t>Note 8 — Derivatives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e4eacba7ae443fb84d35a26facf6cf5_199">
              <w:r>
                <w:rPr>
                  <w:rStyle w:val="InternetLink"/>
                  <w:rFonts w:ascii="Times New Roman;serif" w:hAnsi="Times New Roman;serif"/>
                  <w:b w:val="false"/>
                  <w:color w:val="0000FF"/>
                  <w:sz w:val="20"/>
                  <w:u w:val="single"/>
                </w:rPr>
                <w:t>33</w:t>
              </w:r>
            </w:hyperlink>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4e4eacba7ae443fb84d35a26facf6cf5_229">
              <w:r>
                <w:rPr>
                  <w:rStyle w:val="InternetLink"/>
                  <w:rFonts w:ascii="Times New Roman;serif" w:hAnsi="Times New Roman;serif"/>
                  <w:b w:val="false"/>
                  <w:color w:val="0000FF"/>
                  <w:sz w:val="20"/>
                  <w:u w:val="single"/>
                </w:rPr>
                <w:t>Note 9 — Fair Value</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e4eacba7ae443fb84d35a26facf6cf5_229">
              <w:r>
                <w:rPr>
                  <w:rStyle w:val="InternetLink"/>
                  <w:rFonts w:ascii="Times New Roman;serif" w:hAnsi="Times New Roman;serif"/>
                  <w:b w:val="false"/>
                  <w:color w:val="0000FF"/>
                  <w:sz w:val="20"/>
                  <w:u w:val="single"/>
                </w:rPr>
                <w:t>39</w:t>
              </w:r>
            </w:hyperlink>
          </w:p>
        </w:tc>
      </w:tr>
      <w:tr>
        <w:trPr/>
        <w:tc>
          <w:tcPr>
            <w:tcW w:w="1032" w:type="dxa"/>
            <w:gridSpan w:val="3"/>
            <w:tcBorders/>
            <w:vAlign w:val="center"/>
          </w:tcPr>
          <w:p>
            <w:pPr>
              <w:pStyle w:val="TableContents"/>
              <w:bidi w:val="0"/>
              <w:spacing w:before="0" w:after="283"/>
              <w:jc w:val="left"/>
              <w:rPr>
                <w:sz w:val="4"/>
                <w:szCs w:val="4"/>
              </w:rPr>
            </w:pPr>
            <w:r>
              <w:rPr>
                <w:sz w:val="4"/>
                <w:szCs w:val="4"/>
              </w:rPr>
            </w:r>
          </w:p>
        </w:tc>
        <w:tc>
          <w:tcPr>
            <w:tcW w:w="8598"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4e4eacba7ae443fb84d35a26facf6cf5_265">
              <w:r>
                <w:rPr>
                  <w:rStyle w:val="InternetLink"/>
                  <w:rFonts w:ascii="Times New Roman;serif" w:hAnsi="Times New Roman;serif"/>
                  <w:b w:val="false"/>
                  <w:color w:val="0000FF"/>
                  <w:sz w:val="20"/>
                  <w:u w:val="single"/>
                </w:rPr>
                <w:t>Note 10 — Equity</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e4eacba7ae443fb84d35a26facf6cf5_265">
              <w:r>
                <w:rPr>
                  <w:rStyle w:val="InternetLink"/>
                  <w:rFonts w:ascii="Times New Roman;serif" w:hAnsi="Times New Roman;serif"/>
                  <w:b w:val="false"/>
                  <w:color w:val="0000FF"/>
                  <w:sz w:val="20"/>
                  <w:u w:val="single"/>
                </w:rPr>
                <w:t>49</w:t>
              </w:r>
            </w:hyperlink>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4e4eacba7ae443fb84d35a26facf6cf5_283">
              <w:r>
                <w:rPr>
                  <w:rStyle w:val="InternetLink"/>
                  <w:rFonts w:ascii="Times New Roman;serif" w:hAnsi="Times New Roman;serif"/>
                  <w:b w:val="false"/>
                  <w:color w:val="0000FF"/>
                  <w:sz w:val="20"/>
                  <w:u w:val="single"/>
                </w:rPr>
                <w:t>Note 11 — Other Revenues and Other Expenses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e4eacba7ae443fb84d35a26facf6cf5_283">
              <w:r>
                <w:rPr>
                  <w:rStyle w:val="InternetLink"/>
                  <w:rFonts w:ascii="Times New Roman;serif" w:hAnsi="Times New Roman;serif"/>
                  <w:b w:val="false"/>
                  <w:color w:val="0000FF"/>
                  <w:sz w:val="20"/>
                  <w:u w:val="single"/>
                </w:rPr>
                <w:t>52</w:t>
              </w:r>
            </w:hyperlink>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4e4eacba7ae443fb84d35a26facf6cf5_292">
              <w:r>
                <w:rPr>
                  <w:rStyle w:val="InternetLink"/>
                  <w:rFonts w:ascii="Times New Roman;serif" w:hAnsi="Times New Roman;serif"/>
                  <w:b w:val="false"/>
                  <w:color w:val="0000FF"/>
                  <w:sz w:val="20"/>
                  <w:u w:val="single"/>
                </w:rPr>
                <w:t>Note 12 — Contingencies, Commitments and Guarantees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e4eacba7ae443fb84d35a26facf6cf5_292">
              <w:r>
                <w:rPr>
                  <w:rStyle w:val="InternetLink"/>
                  <w:rFonts w:ascii="Times New Roman;serif" w:hAnsi="Times New Roman;serif"/>
                  <w:b w:val="false"/>
                  <w:color w:val="0000FF"/>
                  <w:sz w:val="20"/>
                  <w:u w:val="single"/>
                </w:rPr>
                <w:t>53</w:t>
              </w:r>
            </w:hyperlink>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4e4eacba7ae443fb84d35a26facf6cf5_304">
              <w:r>
                <w:rPr>
                  <w:rStyle w:val="InternetLink"/>
                  <w:rFonts w:ascii="Times New Roman;serif" w:hAnsi="Times New Roman;serif"/>
                  <w:b w:val="false"/>
                  <w:color w:val="0000FF"/>
                  <w:sz w:val="20"/>
                  <w:u w:val="single"/>
                </w:rPr>
                <w:t>Note 13 — Related Party Transactions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e4eacba7ae443fb84d35a26facf6cf5_304">
              <w:r>
                <w:rPr>
                  <w:rStyle w:val="InternetLink"/>
                  <w:rFonts w:ascii="Times New Roman;serif" w:hAnsi="Times New Roman;serif"/>
                  <w:b w:val="false"/>
                  <w:color w:val="0000FF"/>
                  <w:sz w:val="20"/>
                  <w:u w:val="single"/>
                </w:rPr>
                <w:t>56</w:t>
              </w:r>
            </w:hyperlink>
          </w:p>
        </w:tc>
      </w:tr>
      <w:tr>
        <w:trPr/>
        <w:tc>
          <w:tcPr>
            <w:tcW w:w="1032" w:type="dxa"/>
            <w:gridSpan w:val="3"/>
            <w:tcBorders/>
            <w:vAlign w:val="center"/>
          </w:tcPr>
          <w:p>
            <w:pPr>
              <w:pStyle w:val="TableContents"/>
              <w:bidi w:val="0"/>
              <w:spacing w:before="0" w:after="283"/>
              <w:jc w:val="left"/>
              <w:rPr>
                <w:sz w:val="4"/>
                <w:szCs w:val="4"/>
              </w:rPr>
            </w:pPr>
            <w:r>
              <w:rPr>
                <w:sz w:val="4"/>
                <w:szCs w:val="4"/>
              </w:rPr>
            </w:r>
          </w:p>
        </w:tc>
        <w:tc>
          <w:tcPr>
            <w:tcW w:w="8598"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e4eacba7ae443fb84d35a26facf6cf5_325">
              <w:r>
                <w:rPr>
                  <w:rStyle w:val="InternetLink"/>
                  <w:rFonts w:ascii="Times New Roman;serif" w:hAnsi="Times New Roman;serif"/>
                  <w:b/>
                  <w:color w:val="0000FF"/>
                  <w:sz w:val="20"/>
                  <w:u w:val="single"/>
                </w:rPr>
                <w:t>Management’s Discussion and Analysis of Financial Condition and Results of Operations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e4eacba7ae443fb84d35a26facf6cf5_325">
              <w:r>
                <w:rPr>
                  <w:rStyle w:val="InternetLink"/>
                  <w:rFonts w:ascii="Times New Roman;serif" w:hAnsi="Times New Roman;serif"/>
                  <w:b w:val="false"/>
                  <w:color w:val="0000FF"/>
                  <w:sz w:val="20"/>
                  <w:u w:val="single"/>
                </w:rPr>
                <w:t>58</w:t>
              </w:r>
            </w:hyperlink>
          </w:p>
        </w:tc>
      </w:tr>
      <w:tr>
        <w:trPr/>
        <w:tc>
          <w:tcPr>
            <w:tcW w:w="1032" w:type="dxa"/>
            <w:gridSpan w:val="3"/>
            <w:tcBorders/>
            <w:vAlign w:val="center"/>
          </w:tcPr>
          <w:p>
            <w:pPr>
              <w:pStyle w:val="TableContents"/>
              <w:bidi w:val="0"/>
              <w:spacing w:before="0" w:after="283"/>
              <w:jc w:val="left"/>
              <w:rPr>
                <w:sz w:val="4"/>
                <w:szCs w:val="4"/>
              </w:rPr>
            </w:pPr>
            <w:r>
              <w:rPr>
                <w:sz w:val="4"/>
                <w:szCs w:val="4"/>
              </w:rPr>
            </w:r>
          </w:p>
        </w:tc>
        <w:tc>
          <w:tcPr>
            <w:tcW w:w="8598"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e4eacba7ae443fb84d35a26facf6cf5_409">
              <w:r>
                <w:rPr>
                  <w:rStyle w:val="InternetLink"/>
                  <w:rFonts w:ascii="Times New Roman;serif" w:hAnsi="Times New Roman;serif"/>
                  <w:b/>
                  <w:color w:val="0000FF"/>
                  <w:sz w:val="20"/>
                  <w:u w:val="single"/>
                </w:rPr>
                <w:t>Controls and Procedures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e4eacba7ae443fb84d35a26facf6cf5_409">
              <w:r>
                <w:rPr>
                  <w:rStyle w:val="InternetLink"/>
                  <w:rFonts w:ascii="Times New Roman;serif" w:hAnsi="Times New Roman;serif"/>
                  <w:b w:val="false"/>
                  <w:color w:val="0000FF"/>
                  <w:sz w:val="20"/>
                  <w:u w:val="single"/>
                </w:rPr>
                <w:t>70</w:t>
              </w:r>
            </w:hyperlink>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e4eacba7ae443fb84d35a26facf6cf5_412">
              <w:r>
                <w:rPr>
                  <w:rStyle w:val="InternetLink"/>
                  <w:rFonts w:ascii="Times New Roman;serif" w:hAnsi="Times New Roman;serif"/>
                  <w:b/>
                  <w:color w:val="0000FF"/>
                  <w:sz w:val="20"/>
                  <w:u w:val="single"/>
                </w:rPr>
                <w:t>Part II — Other Information</w:t>
              </w:r>
            </w:hyperlink>
          </w:p>
        </w:tc>
        <w:tc>
          <w:tcPr>
            <w:tcW w:w="57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e4eacba7ae443fb84d35a26facf6cf5_415">
              <w:r>
                <w:rPr>
                  <w:rStyle w:val="InternetLink"/>
                  <w:rFonts w:ascii="Times New Roman;serif" w:hAnsi="Times New Roman;serif"/>
                  <w:b/>
                  <w:color w:val="0000FF"/>
                  <w:sz w:val="20"/>
                  <w:u w:val="single"/>
                </w:rPr>
                <w:t>Legal Proceedings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4e4eacba7ae443fb84d35a26facf6cf5_415">
              <w:r>
                <w:rPr>
                  <w:rStyle w:val="InternetLink"/>
                  <w:rFonts w:ascii="Times New Roman;serif" w:hAnsi="Times New Roman;serif"/>
                  <w:b w:val="false"/>
                  <w:color w:val="0000FF"/>
                  <w:sz w:val="20"/>
                  <w:u w:val="single"/>
                </w:rPr>
                <w:t>70</w:t>
              </w:r>
            </w:hyperlink>
          </w:p>
        </w:tc>
      </w:tr>
      <w:tr>
        <w:trPr/>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1A.</w:t>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e4eacba7ae443fb84d35a26facf6cf5_418">
              <w:r>
                <w:rPr>
                  <w:rStyle w:val="InternetLink"/>
                  <w:rFonts w:ascii="Times New Roman;serif" w:hAnsi="Times New Roman;serif"/>
                  <w:b/>
                  <w:color w:val="0000FF"/>
                  <w:sz w:val="20"/>
                  <w:u w:val="single"/>
                </w:rPr>
                <w:t>Risk Factors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e4eacba7ae443fb84d35a26facf6cf5_418">
              <w:r>
                <w:rPr>
                  <w:rStyle w:val="InternetLink"/>
                  <w:rFonts w:ascii="Times New Roman;serif" w:hAnsi="Times New Roman;serif"/>
                  <w:b w:val="false"/>
                  <w:color w:val="0000FF"/>
                  <w:sz w:val="20"/>
                  <w:u w:val="single"/>
                </w:rPr>
                <w:t>70</w:t>
              </w:r>
            </w:hyperlink>
          </w:p>
        </w:tc>
      </w:tr>
      <w:tr>
        <w:trPr/>
        <w:tc>
          <w:tcPr>
            <w:tcW w:w="1032" w:type="dxa"/>
            <w:gridSpan w:val="3"/>
            <w:tcBorders/>
            <w:vAlign w:val="center"/>
          </w:tcPr>
          <w:p>
            <w:pPr>
              <w:pStyle w:val="TableContents"/>
              <w:bidi w:val="0"/>
              <w:spacing w:before="0" w:after="283"/>
              <w:jc w:val="left"/>
              <w:rPr>
                <w:sz w:val="4"/>
                <w:szCs w:val="4"/>
              </w:rPr>
            </w:pPr>
            <w:r>
              <w:rPr>
                <w:sz w:val="4"/>
                <w:szCs w:val="4"/>
              </w:rPr>
            </w:r>
          </w:p>
        </w:tc>
        <w:tc>
          <w:tcPr>
            <w:tcW w:w="8598"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r>
      <w:tr>
        <w:trPr/>
        <w:tc>
          <w:tcPr>
            <w:tcW w:w="103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Item 5.</w:t>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e4eacba7ae443fb84d35a26facf6cf5_427">
              <w:r>
                <w:rPr>
                  <w:rStyle w:val="InternetLink"/>
                  <w:rFonts w:ascii="Times New Roman;serif" w:hAnsi="Times New Roman;serif"/>
                  <w:b/>
                  <w:color w:val="0000FF"/>
                  <w:sz w:val="20"/>
                  <w:u w:val="single"/>
                </w:rPr>
                <w:t>Other Information</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4e4eacba7ae443fb84d35a26facf6cf5_427">
              <w:r>
                <w:rPr>
                  <w:rStyle w:val="InternetLink"/>
                  <w:rFonts w:ascii="Times New Roman;serif" w:hAnsi="Times New Roman;serif"/>
                  <w:b w:val="false"/>
                  <w:color w:val="0000FF"/>
                  <w:sz w:val="20"/>
                  <w:u w:val="single"/>
                </w:rPr>
                <w:t>70</w:t>
              </w:r>
            </w:hyperlink>
          </w:p>
        </w:tc>
      </w:tr>
      <w:tr>
        <w:trPr/>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6.</w:t>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e4eacba7ae443fb84d35a26facf6cf5_436">
              <w:r>
                <w:rPr>
                  <w:rStyle w:val="InternetLink"/>
                  <w:rFonts w:ascii="Times New Roman;serif" w:hAnsi="Times New Roman;serif"/>
                  <w:b/>
                  <w:color w:val="0000FF"/>
                  <w:sz w:val="20"/>
                  <w:u w:val="single"/>
                </w:rPr>
                <w:t>Exhibits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e4eacba7ae443fb84d35a26facf6cf5_436">
              <w:r>
                <w:rPr>
                  <w:rStyle w:val="InternetLink"/>
                  <w:rFonts w:ascii="Times New Roman;serif" w:hAnsi="Times New Roman;serif"/>
                  <w:b w:val="false"/>
                  <w:color w:val="0000FF"/>
                  <w:sz w:val="20"/>
                  <w:u w:val="single"/>
                </w:rPr>
                <w:t>71</w:t>
              </w:r>
            </w:hyperlink>
          </w:p>
        </w:tc>
      </w:tr>
      <w:tr>
        <w:trPr/>
        <w:tc>
          <w:tcPr>
            <w:tcW w:w="96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e4eacba7ae443fb84d35a26facf6cf5_439">
              <w:r>
                <w:rPr>
                  <w:rStyle w:val="InternetLink"/>
                  <w:rFonts w:ascii="Times New Roman;serif" w:hAnsi="Times New Roman;serif"/>
                  <w:b/>
                  <w:color w:val="0000FF"/>
                  <w:sz w:val="20"/>
                  <w:u w:val="single"/>
                </w:rPr>
                <w:t>Signature</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e4eacba7ae443fb84d35a26facf6cf5_439">
              <w:r>
                <w:rPr>
                  <w:rStyle w:val="InternetLink"/>
                  <w:rFonts w:ascii="Times New Roman;serif" w:hAnsi="Times New Roman;serif"/>
                  <w:b w:val="false"/>
                  <w:color w:val="0000FF"/>
                  <w:sz w:val="20"/>
                  <w:u w:val="single"/>
                </w:rPr>
                <w:t>72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89560"/>
                <wp:effectExtent l="0" t="0" r="0" b="0"/>
                <wp:wrapNone/>
                <wp:docPr id="3" name="Frame2"/>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ind w:left="0" w:right="0" w:firstLine="3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txbxContent>
                </v:textbox>
                <w10:wrap type="none"/>
              </v:rect>
            </w:pict>
          </mc:Fallback>
        </mc:AlternateContent>
      </w:r>
    </w:p>
    <w:p>
      <w:pPr>
        <w:pStyle w:val="TextBody"/>
        <w:bidi w:val="0"/>
        <w:spacing w:lineRule="auto" w:line="288" w:before="0" w:after="0"/>
        <w:jc w:val="both"/>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Interim Condensed Consolidated Balance Sheets</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June 30, 2026 (Unaudited) and December 31, 2025</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(In millions, except share and per share data)</w:t>
      </w:r>
    </w:p>
    <w:tbl>
      <w:tblPr>
        <w:tblW w:w="10205" w:type="dxa"/>
        <w:jc w:val="center"/>
        <w:tblInd w:w="0" w:type="dxa"/>
        <w:tblLayout w:type="fixed"/>
        <w:tblCellMar>
          <w:top w:w="28" w:type="dxa"/>
          <w:left w:w="28" w:type="dxa"/>
          <w:bottom w:w="28" w:type="dxa"/>
          <w:right w:w="28" w:type="dxa"/>
        </w:tblCellMar>
      </w:tblPr>
      <w:tblGrid>
        <w:gridCol w:w="2766"/>
        <w:gridCol w:w="2426"/>
        <w:gridCol w:w="2458"/>
        <w:gridCol w:w="196"/>
        <w:gridCol w:w="736"/>
        <w:gridCol w:w="109"/>
        <w:gridCol w:w="109"/>
        <w:gridCol w:w="109"/>
        <w:gridCol w:w="109"/>
        <w:gridCol w:w="213"/>
        <w:gridCol w:w="804"/>
        <w:gridCol w:w="170"/>
      </w:tblGrid>
      <w:tr>
        <w:trPr/>
        <w:tc>
          <w:tcPr>
            <w:tcW w:w="2766" w:type="dxa"/>
            <w:tcBorders/>
            <w:vAlign w:val="center"/>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December 31, 2025</w:t>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Fixed maturity securities available-for-sale, at estimated fair value (amortized cost: $85,466 and $85,907, respectively; allowance for credit losses of $63 and $62, respectively)</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80,960 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Trading securities, at estimated fair value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 at estimated fair value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Mortgage loans (net of allowance for credit losses of $220 and $200,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22,726 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Policy loans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Limited partnerships and limited liability companies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Short-term investments, principally at estimated fair value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Other invested assets, principally at estimated fair value (net of allowance for credit losses of $0 and $0,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7,932 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Total investments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118,558 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investment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Premiums, reinsurance and other receivables (net of allowance for credit losses of $3 and $3,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21,238 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policy acquisition costs and value of business acquired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income tax recoverable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asset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 risk benefit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Separate account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78,825 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231,986 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and Equity</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Future policy benefits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31,682 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Policyholder account balances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87,174 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 risk benefit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8,079 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policy-related balances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for collateral under securities loaned and other transactions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r>
      <w:tr>
        <w:trPr/>
        <w:tc>
          <w:tcPr>
            <w:tcW w:w="76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Separate account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78,825 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229,418 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223,888 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Contingencies, Commitments and Guarantees (Note 12)</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Equity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Brighthouse Life Insurance Company’s stockholder’s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par value $25,000 per share; 4,000 shares authorized; 3,000 shares issued and outstanding</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w:t>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17,607 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 (deficit)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(3,602)</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 xml:space="preserve">Total Brighthouse Life Insurance Company’s stockholder’s equity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8,083 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Total equity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8,098 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Total liabilities and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237,308 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231,986 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360"/>
        <w:jc w:val="center"/>
        <w:rPr>
          <w:rFonts w:ascii="Times New Roman;serif" w:hAnsi="Times New Roman;serif"/>
          <w:b/>
          <w:color w:val="000000"/>
          <w:sz w:val="20"/>
        </w:rPr>
      </w:pPr>
      <w:r>
        <w:rPr>
          <w:rFonts w:ascii="Times New Roman;serif" w:hAnsi="Times New Roman;serif"/>
          <w:b/>
          <w:color w:val="000000"/>
          <w:sz w:val="20"/>
        </w:rPr>
        <w:t>See accompanying notes to the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60985"/>
                <wp:effectExtent l="0" t="0" r="0" b="0"/>
                <wp:wrapNone/>
                <wp:docPr id="4" name="Frame3"/>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both"/>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Interim Condensed Consolidated Statements of Operations and Comprehensive Income (Loss)</w:t>
      </w:r>
    </w:p>
    <w:p>
      <w:pPr>
        <w:pStyle w:val="TextBody"/>
        <w:bidi w:val="0"/>
        <w:spacing w:lineRule="auto" w:line="288" w:before="0" w:after="0"/>
        <w:ind w:left="0" w:right="0" w:firstLine="360"/>
        <w:jc w:val="center"/>
        <w:rPr/>
      </w:pPr>
      <w:r>
        <w:rPr>
          <w:rFonts w:ascii="Times New Roman;serif" w:hAnsi="Times New Roman;serif"/>
          <w:b/>
          <w:color w:val="000000"/>
          <w:sz w:val="20"/>
        </w:rPr>
        <w:t xml:space="preserve">For the </w:t>
      </w:r>
      <w:r>
        <w:rPr>
          <w:rFonts w:ascii="Times New Roman;serif" w:hAnsi="Times New Roman;serif"/>
          <w:b/>
          <w:color w:val="000000"/>
          <w:sz w:val="18"/>
        </w:rPr>
        <w:t>Three Months</w:t>
      </w:r>
      <w:r>
        <w:rPr>
          <w:color w:val="000000"/>
        </w:rPr>
        <w:t xml:space="preserve"> </w:t>
      </w:r>
      <w:r>
        <w:rPr>
          <w:rFonts w:ascii="Times New Roman;serif" w:hAnsi="Times New Roman;serif"/>
          <w:b/>
          <w:color w:val="000000"/>
          <w:sz w:val="20"/>
        </w:rPr>
        <w:t>and Six Months Ended June 30, 2026 and 2025 (Unaudited)</w:t>
      </w:r>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 xml:space="preserve">(In millions) </w:t>
      </w:r>
    </w:p>
    <w:tbl>
      <w:tblPr>
        <w:tblW w:w="10205" w:type="dxa"/>
        <w:jc w:val="center"/>
        <w:tblInd w:w="0" w:type="dxa"/>
        <w:tblLayout w:type="fixed"/>
        <w:tblCellMar>
          <w:top w:w="28" w:type="dxa"/>
          <w:left w:w="28" w:type="dxa"/>
          <w:bottom w:w="28" w:type="dxa"/>
          <w:right w:w="28" w:type="dxa"/>
        </w:tblCellMar>
      </w:tblPr>
      <w:tblGrid>
        <w:gridCol w:w="2107"/>
        <w:gridCol w:w="1723"/>
        <w:gridCol w:w="1653"/>
        <w:gridCol w:w="198"/>
        <w:gridCol w:w="426"/>
        <w:gridCol w:w="109"/>
        <w:gridCol w:w="109"/>
        <w:gridCol w:w="109"/>
        <w:gridCol w:w="109"/>
        <w:gridCol w:w="198"/>
        <w:gridCol w:w="426"/>
        <w:gridCol w:w="109"/>
        <w:gridCol w:w="109"/>
        <w:gridCol w:w="109"/>
        <w:gridCol w:w="109"/>
        <w:gridCol w:w="204"/>
        <w:gridCol w:w="492"/>
        <w:gridCol w:w="113"/>
        <w:gridCol w:w="113"/>
        <w:gridCol w:w="113"/>
        <w:gridCol w:w="113"/>
        <w:gridCol w:w="204"/>
        <w:gridCol w:w="492"/>
        <w:gridCol w:w="113"/>
        <w:gridCol w:w="109"/>
        <w:gridCol w:w="109"/>
        <w:gridCol w:w="109"/>
        <w:gridCol w:w="318"/>
      </w:tblGrid>
      <w:tr>
        <w:trPr/>
        <w:tc>
          <w:tcPr>
            <w:tcW w:w="2107"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gridSpan w:val="2"/>
            <w:tcBorders/>
          </w:tcPr>
          <w:p>
            <w:pPr>
              <w:pStyle w:val="TableContents"/>
              <w:bidi w:val="0"/>
              <w:spacing w:before="0" w:after="283"/>
              <w:jc w:val="left"/>
              <w:rPr>
                <w:sz w:val="4"/>
                <w:szCs w:val="4"/>
              </w:rPr>
            </w:pPr>
            <w:r>
              <w:rPr>
                <w:sz w:val="4"/>
                <w:szCs w:val="4"/>
              </w:rPr>
            </w:r>
          </w:p>
        </w:tc>
      </w:tr>
      <w:tr>
        <w:trPr/>
        <w:tc>
          <w:tcPr>
            <w:tcW w:w="5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4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Revenues</w:t>
            </w:r>
          </w:p>
        </w:tc>
        <w:tc>
          <w:tcPr>
            <w:tcW w:w="7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Premiums</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4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Universal life and investment-type product policy fees</w:t>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4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investment income</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4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revenues</w:t>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4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investment gains (losses)</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4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derivative gains (losses)</w:t>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4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6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4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Expenses</w:t>
            </w:r>
          </w:p>
        </w:tc>
        <w:tc>
          <w:tcPr>
            <w:tcW w:w="7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4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Policyholder benefits and claims (including liability remeasurement gains (losses) of $0, $0, $0 and $0, respectively)</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4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Interest credited to policyholder account balances</w:t>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4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Amortization of deferred policy acquisition costs and value of business acquired</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market risk benefits</w:t>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4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4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4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Income (loss) before provision for income tax</w:t>
            </w:r>
          </w:p>
        </w:tc>
        <w:tc>
          <w:tcPr>
            <w:tcW w:w="6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4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Provision for income tax expense (benefit)</w:t>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4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6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4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Less: Net income (loss) attributable to noncontrolling interests</w:t>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5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Brighthouse Life Insurance Company</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4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Comprehensive income (loss)</w:t>
            </w:r>
          </w:p>
        </w:tc>
        <w:tc>
          <w:tcPr>
            <w:tcW w:w="19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788 </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Comprehensive income (loss) attributable to noncontrolling interests</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4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Comprehensive income (loss) attributable to Brighthouse Life Insurance Company</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360"/>
        <w:jc w:val="center"/>
        <w:rPr>
          <w:rFonts w:ascii="Times New Roman;serif" w:hAnsi="Times New Roman;serif"/>
          <w:b/>
          <w:color w:val="000000"/>
          <w:sz w:val="20"/>
        </w:rPr>
      </w:pPr>
      <w:r>
        <w:rPr>
          <w:rFonts w:ascii="Times New Roman;serif" w:hAnsi="Times New Roman;serif"/>
          <w:b/>
          <w:color w:val="000000"/>
          <w:sz w:val="20"/>
        </w:rPr>
        <w:t>See accompanying notes to the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60985"/>
                <wp:effectExtent l="0" t="0" r="0" b="0"/>
                <wp:wrapNone/>
                <wp:docPr id="5" name="Frame4"/>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both"/>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Interim Condensed Consolidated Statements of Equity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For the Three Months and Six Months Ended June 30, 2026 and 2025 (Unaudited)</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734"/>
        <w:gridCol w:w="378"/>
        <w:gridCol w:w="379"/>
        <w:gridCol w:w="196"/>
        <w:gridCol w:w="331"/>
        <w:gridCol w:w="109"/>
        <w:gridCol w:w="109"/>
        <w:gridCol w:w="109"/>
        <w:gridCol w:w="109"/>
        <w:gridCol w:w="196"/>
        <w:gridCol w:w="646"/>
        <w:gridCol w:w="109"/>
        <w:gridCol w:w="109"/>
        <w:gridCol w:w="109"/>
        <w:gridCol w:w="109"/>
        <w:gridCol w:w="196"/>
        <w:gridCol w:w="578"/>
        <w:gridCol w:w="109"/>
        <w:gridCol w:w="109"/>
        <w:gridCol w:w="109"/>
        <w:gridCol w:w="109"/>
        <w:gridCol w:w="228"/>
        <w:gridCol w:w="665"/>
        <w:gridCol w:w="128"/>
        <w:gridCol w:w="109"/>
        <w:gridCol w:w="109"/>
        <w:gridCol w:w="109"/>
        <w:gridCol w:w="287"/>
        <w:gridCol w:w="817"/>
        <w:gridCol w:w="161"/>
        <w:gridCol w:w="109"/>
        <w:gridCol w:w="109"/>
        <w:gridCol w:w="109"/>
        <w:gridCol w:w="334"/>
        <w:gridCol w:w="565"/>
        <w:gridCol w:w="187"/>
        <w:gridCol w:w="109"/>
        <w:gridCol w:w="109"/>
        <w:gridCol w:w="109"/>
        <w:gridCol w:w="196"/>
        <w:gridCol w:w="556"/>
        <w:gridCol w:w="158"/>
      </w:tblGrid>
      <w:tr>
        <w:trPr/>
        <w:tc>
          <w:tcPr>
            <w:tcW w:w="73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Retained</w:t>
              <w:br/>
              <w:t xml:space="preserve">Earnings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Accumulated </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Brighthouse Life Insurance Company’s Stockholder’s Equity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w:t>
              <w:br/>
              <w:t>Equity</w:t>
            </w:r>
          </w:p>
        </w:tc>
      </w:tr>
      <w:tr>
        <w:trPr/>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(3,602)</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8,098 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1491"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 net of income tax</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March 31, 2026</w:t>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(4,014)</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noncontrolling interests</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970 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 net of income tax</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2026</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(3,988)</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7,875 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7,890 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40" w:after="283"/>
        <w:jc w:val="center"/>
        <w:rPr/>
      </w:pPr>
      <w:r>
        <w:rPr/>
      </w:r>
    </w:p>
    <w:tbl>
      <w:tblPr>
        <w:tblW w:w="10205" w:type="dxa"/>
        <w:jc w:val="center"/>
        <w:tblInd w:w="0" w:type="dxa"/>
        <w:tblLayout w:type="fixed"/>
        <w:tblCellMar>
          <w:top w:w="28" w:type="dxa"/>
          <w:left w:w="28" w:type="dxa"/>
          <w:bottom w:w="28" w:type="dxa"/>
          <w:right w:w="28" w:type="dxa"/>
        </w:tblCellMar>
      </w:tblPr>
      <w:tblGrid>
        <w:gridCol w:w="734"/>
        <w:gridCol w:w="378"/>
        <w:gridCol w:w="379"/>
        <w:gridCol w:w="196"/>
        <w:gridCol w:w="331"/>
        <w:gridCol w:w="109"/>
        <w:gridCol w:w="109"/>
        <w:gridCol w:w="109"/>
        <w:gridCol w:w="109"/>
        <w:gridCol w:w="196"/>
        <w:gridCol w:w="646"/>
        <w:gridCol w:w="109"/>
        <w:gridCol w:w="109"/>
        <w:gridCol w:w="109"/>
        <w:gridCol w:w="109"/>
        <w:gridCol w:w="196"/>
        <w:gridCol w:w="578"/>
        <w:gridCol w:w="109"/>
        <w:gridCol w:w="109"/>
        <w:gridCol w:w="109"/>
        <w:gridCol w:w="109"/>
        <w:gridCol w:w="228"/>
        <w:gridCol w:w="665"/>
        <w:gridCol w:w="128"/>
        <w:gridCol w:w="109"/>
        <w:gridCol w:w="109"/>
        <w:gridCol w:w="109"/>
        <w:gridCol w:w="287"/>
        <w:gridCol w:w="817"/>
        <w:gridCol w:w="161"/>
        <w:gridCol w:w="109"/>
        <w:gridCol w:w="109"/>
        <w:gridCol w:w="109"/>
        <w:gridCol w:w="334"/>
        <w:gridCol w:w="565"/>
        <w:gridCol w:w="187"/>
        <w:gridCol w:w="109"/>
        <w:gridCol w:w="109"/>
        <w:gridCol w:w="109"/>
        <w:gridCol w:w="196"/>
        <w:gridCol w:w="556"/>
        <w:gridCol w:w="158"/>
      </w:tblGrid>
      <w:tr>
        <w:trPr/>
        <w:tc>
          <w:tcPr>
            <w:tcW w:w="73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Retained</w:t>
              <w:br/>
              <w:t xml:space="preserve">Earnings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Accumulated </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Brighthouse Life Insurance Company’s Stockholder’s Equity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w:t>
              <w:br/>
              <w:t>Equity</w:t>
            </w:r>
          </w:p>
        </w:tc>
      </w:tr>
      <w:tr>
        <w:trPr/>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(5,163)</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contribution</w:t>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 net of income tax</w:t>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March 31, 2025</w:t>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(4,569)</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noncontrolling interests</w:t>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 net of income tax</w:t>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(4,156)</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7,020 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7,035 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See accompanying notes to the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60985"/>
                <wp:effectExtent l="0" t="0" r="0" b="0"/>
                <wp:wrapNone/>
                <wp:docPr id="6" name="Frame5"/>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both"/>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Interim Condensed Consolidated Statements of Cash Flows</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For the Six Months Ended June 30, 2026 and 2025 (Unaudited)</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(In millions)</w:t>
      </w:r>
    </w:p>
    <w:tbl>
      <w:tblPr>
        <w:tblW w:w="8903" w:type="dxa"/>
        <w:jc w:val="center"/>
        <w:tblInd w:w="0" w:type="dxa"/>
        <w:tblLayout w:type="fixed"/>
        <w:tblCellMar>
          <w:top w:w="28" w:type="dxa"/>
          <w:left w:w="28" w:type="dxa"/>
          <w:bottom w:w="28" w:type="dxa"/>
          <w:right w:w="28" w:type="dxa"/>
        </w:tblCellMar>
      </w:tblPr>
      <w:tblGrid>
        <w:gridCol w:w="2462"/>
        <w:gridCol w:w="2169"/>
        <w:gridCol w:w="2178"/>
        <w:gridCol w:w="196"/>
        <w:gridCol w:w="556"/>
        <w:gridCol w:w="109"/>
        <w:gridCol w:w="109"/>
        <w:gridCol w:w="109"/>
        <w:gridCol w:w="109"/>
        <w:gridCol w:w="196"/>
        <w:gridCol w:w="556"/>
        <w:gridCol w:w="154"/>
      </w:tblGrid>
      <w:tr>
        <w:trPr/>
        <w:tc>
          <w:tcPr>
            <w:tcW w:w="2462"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6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provided by (used in)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maturities and repayments of:</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maturity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 loans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Limited partnerships and limited liability companies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maturity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 loans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Limited partnerships and limited liability companies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received in connection with freestanding derivatives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in connection with freestanding derivatives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policy loans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short-term investments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other invested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investing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Policyholder account balances: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Deposits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Withdrawals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payables for collateral under securities loaned and other transactions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Long-term debt repaid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Capital contribution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Financing element on certain derivative instruments and other derivative related transactions,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cash, cash equivalents and restricted cash</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beginning of period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cash equivalents and restricted cash,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disclosures of cash flow information</w:t>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paid (received) for:</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360"/>
        <w:jc w:val="center"/>
        <w:rPr>
          <w:rFonts w:ascii="Times New Roman;serif" w:hAnsi="Times New Roman;serif"/>
          <w:b/>
          <w:color w:val="000000"/>
          <w:sz w:val="20"/>
        </w:rPr>
      </w:pPr>
      <w:r>
        <w:rPr>
          <w:rFonts w:ascii="Times New Roman;serif" w:hAnsi="Times New Roman;serif"/>
          <w:b/>
          <w:color w:val="000000"/>
          <w:sz w:val="20"/>
        </w:rPr>
        <w:t>See accompanying notes to the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60985"/>
                <wp:effectExtent l="0" t="0" r="0" b="0"/>
                <wp:wrapNone/>
                <wp:docPr id="7" name="Frame6"/>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20" w:after="283"/>
        <w:jc w:val="left"/>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 Business, Basis of Presentation and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Business</w:t>
      </w:r>
    </w:p>
    <w:p>
      <w:pPr>
        <w:pStyle w:val="TextBody"/>
        <w:bidi w:val="0"/>
        <w:spacing w:lineRule="auto" w:line="288" w:before="120" w:after="283"/>
        <w:ind w:left="0" w:right="0" w:firstLine="360"/>
        <w:jc w:val="both"/>
        <w:rPr>
          <w:color w:val="000000"/>
        </w:rPr>
      </w:pPr>
      <w:r>
        <w:rPr>
          <w:color w:val="000000"/>
        </w:rPr>
        <w:t>“</w:t>
      </w:r>
      <w:r>
        <w:rPr>
          <w:rFonts w:ascii="Times New Roman;serif" w:hAnsi="Times New Roman;serif"/>
          <w:b w:val="false"/>
          <w:color w:val="000000"/>
          <w:sz w:val="20"/>
        </w:rPr>
        <w:t>BLIC” and the “Company” refer to Brighthouse Life Insurance Company, a Delaware corporation originally incorporated in Connecticut in 1863, and its subsidiaries. Brighthouse Life Insurance Company is a wholly-owned subsidiary of Brighthouse Holdings, LLC and an indirect wholly-owned subsidiary of Brighthouse Financial, Inc. (“BHF” and, together with its subsidiaries, “Brighthouse Financial”). BLIC offers a range of annuity and life insurance products to individuals. The Company is organized into the following reportable segments: Annuities; Life; Run-off; and Corporate &amp; Other.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November 6, 2025, BHF entered into an Agreement and Plan of Merger (the “Merger Agreement”) with Aquarian Holdings VI L.P., a Delaware limited partnership (“Aquarian Parent”), Aquarian Beacon Merger Sub Inc., a Delaware corporation and an indirect wholly-owned subsidiary of Aquarian Parent (“Merger Sub”), and Aquarian Holdings LLC, a Delaware limited liability company, solely for the purpose of certain provisions, pursuant to which, at the closing of the transactions contemplated by the Merger Agreement, Merger Sub will merge with and into BHF, with BHF surviving as a wholly-owned subsidiary of Aquarian Parent (the “Merger”). Brighthouse Life Insurance Company will remain an indirect wholly-owned subsidiary of BHF after the effective time of the Merger.</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accounting principles generally accepted in the United States of America (“GAAP”) requires management to adopt accounting policies and make estimates and assumptions that affect amounts reported on the interim condensed consolidated financial statements. In applying these policies and estimates, management makes subjective and complex judgments that frequently require assumptions about matters that are inherently uncertain. Many of these policies, estimates and related judgments are common in the insurance and financial services industries; others are specific to the Company’s business and operations. Actual results could differ from these estimates.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Consolidation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interim condensed consolidated financial statements include the accounts of Brighthouse Life Insurance Company and its subsidiaries, as well as partnerships and limited liability companies (“LLC”) that the Company controls. Intercompany accounts and transactions have been eliminated.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uses the equity method of accounting for investments in limited partnerships and LLCs when it has more than a minor ownership interest or more than a minor influence over the investee’s operations. The Company generally recognizes its share of the investee’s earnings on a three-month lag in instances where the investee’s financial information is not sufficiently timely or when the investee’s reporting period differs from the Company’s reporting period. When the Company has virtually no influence over the investee’s operations, the investment is carried at fair value.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Since the Company is a member of a controlled group of affiliated companies, its results may not be indicative of those of a standalone entity.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interim condensed consolidated financial statements are unaudited and reflect all adjustments (including normal recurring adjustments) necessary to present fairly the financial position, results of operations and cash flows for the interim periods presented in conformity with GAAP. Interim results are not necessarily indicative of full year performance. The December 31, 2025 consolidated balance sheet data was derived from audited consolidated financial statements included in Brighthouse Life Insurance Company’s Annual Report on Form 10-K for the year ended December 31, 2025 (the “2025 Annual Report”), which include all disclosures required by GAAP. Therefore, these interim condensed consolidated financial statements should be read in conjunction with the consolidated financial statements of the Company included in the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Adoption of New Accounting Pronouncements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Changes to GAAP are established by the Financial Accounting Standards Board (“FASB”) in the form of accounting standards updates (“ASU”) to the FASB Accounting Standards Codification. The Company considers the applicability and impact of all ASUs. There were no significant ASUs adopted during the period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60985"/>
                <wp:effectExtent l="0" t="0" r="0" b="0"/>
                <wp:wrapNone/>
                <wp:docPr id="8" name="Frame7"/>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20" w:after="283"/>
        <w:jc w:val="left"/>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 Business, Basis of Presentation and Summary of Significant Accounting Policies (continued)</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Future Adoption of New Accounting Pronouncements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In November 2025, the FASB issued new guidance on financial instrument credit losses (ASU 2025-08, </w:t>
      </w:r>
      <w:r>
        <w:rPr>
          <w:rFonts w:ascii="Times New Roman;serif" w:hAnsi="Times New Roman;serif"/>
          <w:b w:val="false"/>
          <w:i/>
          <w:color w:val="000000"/>
          <w:sz w:val="20"/>
        </w:rPr>
        <w:t>Financial Instruments – Credit Losses (Topic 326): Purchased Loans</w:t>
      </w:r>
      <w:r>
        <w:rPr>
          <w:rFonts w:ascii="Times New Roman;serif" w:hAnsi="Times New Roman;serif"/>
          <w:b w:val="false"/>
          <w:color w:val="000000"/>
          <w:sz w:val="20"/>
        </w:rPr>
        <w:t>). Under current GAAP, an allowance for credit losses for assets purchased with credit deterioration is established by grossing up the amortized cost basis of the asset, while the allowance for all other loans is recognized separately as an expense. The ASU expands the population of purchased financial instruments subject to the gross-up approach for determining the allowance for credit losses to include all purchased loans that meet certain criteria. The ASU is effective for annual and interim periods starting with fiscal year 2027. This ASU is required to be adopted prospectively for all loans acquired on or after the effective date. The Company is currently evaluating the impact of this guidance on its financial statements.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In November 2024, the FASB issued new guidance on income statement expense disclosures (ASU 2024-03, </w:t>
      </w:r>
      <w:r>
        <w:rPr>
          <w:rFonts w:ascii="Times New Roman;serif" w:hAnsi="Times New Roman;serif"/>
          <w:b w:val="false"/>
          <w:i/>
          <w:color w:val="000000"/>
          <w:sz w:val="20"/>
        </w:rPr>
        <w:t>Income Statement—Reporting Comprehensive Income—Expense Disaggregation Disclosures (Subtopic 220-40)</w:t>
      </w:r>
      <w:r>
        <w:rPr>
          <w:rFonts w:ascii="Times New Roman;serif" w:hAnsi="Times New Roman;serif"/>
          <w:b w:val="false"/>
          <w:color w:val="000000"/>
          <w:sz w:val="20"/>
        </w:rPr>
        <w:t>: Disaggregation of Income Statement Expenses). This ASU requires public companies to disclose additional disaggregated information about expenses in the notes to financial statements at each interim and annual reporting period. This ASU is effective for fiscal years starting January 1, 2027, and for interim periods starting January 1, 2028. This ASU is required to be adopted prospectively with the option of retrospective application. The Company is currently evaluating the impact of this guidance on its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2. Segment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organized into and provides its products and services through the following reportable segments: Annuities; Life; Run-off; and Corporate &amp; Other. The Company’s chief operating decision maker (“CODM”) views and manages the business through these segments.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Annuities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Annuities segment consists of a variety of variable, fixed, index-linked and income annuities designed to address contract holders’ needs for protected wealth accumulation on a tax-deferred basis, wealth transfer and income security.</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Life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Life segment consists of insurance products, including term, universal, whole and variable life products designed to address policyholders’ needs for financial security and protected wealth transfer, which may be on a tax-advantaged basis.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Run-off</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Run-off segment consists primarily of products that are no longer actively sold and are separately managed, including universal life with secondary guarantees (“ULSG”), structured settlements, pension risk transfer contracts, certain company-owned life insurance policies and certain funding agreements.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Corporate &amp; Other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Corporate &amp; Other segment consists of activities related to funding agreements associated with the Company’s institutional spread margin business, excess capital not allocated to the other segments and interest expense related to the Company’s outstanding debt, as well as expenses associated with certain legal proceedings and income tax audit issues. The Corporate &amp; Other segment also includes long-term care business reinsured through 100% quota share reinsurance agreements.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Financial Measure and Segment Accounting Policies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CODM is its Chief Executive Officer (“CEO”). The CEO uses adjusted earnings to evaluate segment performance and facilitate comparisons to industry results. The Company believes the presentation of adjusted earnings, as the Company measures it for management purposes, enhances the understanding of its performance by the investor community by highlighting the results of operations and the underlying profitability drivers of the business.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earnings, which may be positive or negative, focuses on the Company’s primary businesses by excluding the impact of market volatility, which could distort trends.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60985"/>
                <wp:effectExtent l="0" t="0" r="0" b="0"/>
                <wp:wrapNone/>
                <wp:docPr id="9" name="Frame8"/>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20" w:after="283"/>
        <w:jc w:val="left"/>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2. Segment Information (continued)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items are excluded from total revenues in calculating adjusted earnings: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Net investment gains (losses);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Investment gains (losses) on trading securities measured at estimated fair value through net investment income;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Net derivative gains (losses), excluding earned income and amortization of premium on derivatives that are hedges of investments or that are used to replicate certain investments, but do not qualify for hedge accounting treatment (“Investment Hedge Adjustments”).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items are excluded from total expenses in calculating adjusted earnings: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 in market risk benefits (“MRB”);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 in fair value of the crediting rate on experience-rated contracts and market value adjustments on institutional group annuities that are economically offset by gains (losses) on the related trading securities (“Market Value Adjustments”).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 related to adjusted earnings is calculated using the statutory tax rate of 21%, net of impacts related to the dividends received deduction, tax credits and current period non-recurring items.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segment accounting policies are the same as those used to prepare the Company’s interim condensed consolidated financial statements, except for the adjustments to calculate adjusted earnings described above. In addition, segment accounting policies include the methods of capital allocation described below.</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Segment investment and capitalization targets are based on statutory oriented risk principles and metrics. Segment invested assets backing liabilities are based on net statutory liabilities plus excess capital, with excess capital determined based on statutory risk-based capital metrics. Assets in excess of those allocated to the Annuities, Life and Run-off segments, if any, are held in the Corporate &amp; Other segment. Segment net investment income reflects the performance of each segment’s respective invested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60985"/>
                <wp:effectExtent l="0" t="0" r="0" b="0"/>
                <wp:wrapNone/>
                <wp:docPr id="10" name="Frame9"/>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20" w:after="283"/>
        <w:jc w:val="left"/>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2. Segment Information (continued)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tables below provide information about the Company’s segments, including significant segment expenses, and reconciliations to Net income (loss) attributable to Brighthouse Life Insurance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630"/>
        <w:gridCol w:w="1258"/>
        <w:gridCol w:w="1272"/>
        <w:gridCol w:w="109"/>
        <w:gridCol w:w="109"/>
        <w:gridCol w:w="109"/>
        <w:gridCol w:w="210"/>
        <w:gridCol w:w="452"/>
        <w:gridCol w:w="119"/>
        <w:gridCol w:w="109"/>
        <w:gridCol w:w="109"/>
        <w:gridCol w:w="109"/>
        <w:gridCol w:w="196"/>
        <w:gridCol w:w="421"/>
        <w:gridCol w:w="109"/>
        <w:gridCol w:w="109"/>
        <w:gridCol w:w="109"/>
        <w:gridCol w:w="109"/>
        <w:gridCol w:w="196"/>
        <w:gridCol w:w="421"/>
        <w:gridCol w:w="109"/>
        <w:gridCol w:w="109"/>
        <w:gridCol w:w="109"/>
        <w:gridCol w:w="109"/>
        <w:gridCol w:w="342"/>
        <w:gridCol w:w="736"/>
        <w:gridCol w:w="190"/>
        <w:gridCol w:w="109"/>
        <w:gridCol w:w="109"/>
        <w:gridCol w:w="109"/>
        <w:gridCol w:w="196"/>
        <w:gridCol w:w="556"/>
        <w:gridCol w:w="157"/>
      </w:tblGrid>
      <w:tr>
        <w:trPr/>
        <w:tc>
          <w:tcPr>
            <w:tcW w:w="1630"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8" w:type="dxa"/>
            <w:gridSpan w:val="27"/>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4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Run-off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8" w:type="dxa"/>
            <w:gridSpan w:val="27"/>
            <w:tcBorders/>
            <w:tcMar>
              <w:top w:w="0" w:type="dxa"/>
              <w:left w:w="0" w:type="dxa"/>
              <w:bottom w:w="0" w:type="dxa"/>
              <w:right w:w="0" w:type="dxa"/>
            </w:tcMar>
            <w:vAlign w:val="center"/>
          </w:tcPr>
          <w:p>
            <w:pPr>
              <w:pStyle w:val="TableContents"/>
              <w:bidi w:val="0"/>
              <w:spacing w:lineRule="auto" w:line="288" w:before="240" w:after="283"/>
              <w:ind w:left="0" w:right="0" w:hanging="180"/>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752 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1,448 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Less: Revenues excluded from adjusted earnings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(523)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Less: Segment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Policyholder benefits and claims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credited to policyholder account balances, excluding market value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DAC and VOBA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Less: Provision for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Less: 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Adjustments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Investment gains (losses) on trading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derivative gains (losses), excluding investment hedge adjustments of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(479)</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Change in market risk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1,372 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Market value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Provision for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Brighthouse Life Insurance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969 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Interest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52"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797 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4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60985"/>
                <wp:effectExtent l="0" t="0" r="0" b="0"/>
                <wp:wrapNone/>
                <wp:docPr id="11" name="Frame10"/>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20" w:after="283"/>
        <w:jc w:val="left"/>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2. Segment Information (continued)</w:t>
      </w:r>
    </w:p>
    <w:tbl>
      <w:tblPr>
        <w:tblW w:w="10205" w:type="dxa"/>
        <w:jc w:val="left"/>
        <w:tblInd w:w="0" w:type="dxa"/>
        <w:tblLayout w:type="fixed"/>
        <w:tblCellMar>
          <w:top w:w="28" w:type="dxa"/>
          <w:left w:w="28" w:type="dxa"/>
          <w:bottom w:w="28" w:type="dxa"/>
          <w:right w:w="28" w:type="dxa"/>
        </w:tblCellMar>
      </w:tblPr>
      <w:tblGrid>
        <w:gridCol w:w="1664"/>
        <w:gridCol w:w="1297"/>
        <w:gridCol w:w="1311"/>
        <w:gridCol w:w="109"/>
        <w:gridCol w:w="109"/>
        <w:gridCol w:w="109"/>
        <w:gridCol w:w="210"/>
        <w:gridCol w:w="452"/>
        <w:gridCol w:w="119"/>
        <w:gridCol w:w="109"/>
        <w:gridCol w:w="109"/>
        <w:gridCol w:w="109"/>
        <w:gridCol w:w="196"/>
        <w:gridCol w:w="421"/>
        <w:gridCol w:w="109"/>
        <w:gridCol w:w="109"/>
        <w:gridCol w:w="109"/>
        <w:gridCol w:w="109"/>
        <w:gridCol w:w="196"/>
        <w:gridCol w:w="421"/>
        <w:gridCol w:w="109"/>
        <w:gridCol w:w="109"/>
        <w:gridCol w:w="109"/>
        <w:gridCol w:w="109"/>
        <w:gridCol w:w="346"/>
        <w:gridCol w:w="744"/>
        <w:gridCol w:w="193"/>
        <w:gridCol w:w="109"/>
        <w:gridCol w:w="109"/>
        <w:gridCol w:w="109"/>
        <w:gridCol w:w="198"/>
        <w:gridCol w:w="426"/>
        <w:gridCol w:w="158"/>
      </w:tblGrid>
      <w:tr>
        <w:trPr/>
        <w:tc>
          <w:tcPr>
            <w:tcW w:w="1664"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6" w:type="dxa"/>
            <w:gridSpan w:val="27"/>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4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Run-off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6" w:type="dxa"/>
            <w:gridSpan w:val="27"/>
            <w:tcBorders/>
            <w:tcMar>
              <w:top w:w="0" w:type="dxa"/>
              <w:left w:w="0" w:type="dxa"/>
              <w:bottom w:w="0" w:type="dxa"/>
              <w:right w:w="0" w:type="dxa"/>
            </w:tcMar>
            <w:vAlign w:val="center"/>
          </w:tcPr>
          <w:p>
            <w:pPr>
              <w:pStyle w:val="TableContents"/>
              <w:bidi w:val="0"/>
              <w:spacing w:lineRule="auto" w:line="288" w:before="240" w:after="283"/>
              <w:ind w:left="0" w:right="0" w:hanging="180"/>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272"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697 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72"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Less: Revenues excluded from adjusted earnings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(1,131)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72"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Less: Segment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Policyholder benefits and claims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credited to policyholder account balances, excluding market value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353 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DAC and VOBA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72"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Less: Provision for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72"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Less: 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72"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Adjustments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72"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2"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Investment gains (losses) on trading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2"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derivative gains (losses), excluding investment hedge adjustments of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(1,242)</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72"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Change in market risk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1,103 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72"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Market value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72"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Provision for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Brighthouse Life Insurance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72"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Interest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52"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756 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4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60985"/>
                <wp:effectExtent l="0" t="0" r="0" b="0"/>
                <wp:wrapNone/>
                <wp:docPr id="12" name="Frame11"/>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20" w:after="283"/>
        <w:jc w:val="left"/>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2. Segment Information (continued)</w:t>
      </w:r>
    </w:p>
    <w:tbl>
      <w:tblPr>
        <w:tblW w:w="10205" w:type="dxa"/>
        <w:jc w:val="left"/>
        <w:tblInd w:w="0" w:type="dxa"/>
        <w:tblLayout w:type="fixed"/>
        <w:tblCellMar>
          <w:top w:w="28" w:type="dxa"/>
          <w:left w:w="28" w:type="dxa"/>
          <w:bottom w:w="28" w:type="dxa"/>
          <w:right w:w="28" w:type="dxa"/>
        </w:tblCellMar>
      </w:tblPr>
      <w:tblGrid>
        <w:gridCol w:w="1595"/>
        <w:gridCol w:w="1218"/>
        <w:gridCol w:w="1231"/>
        <w:gridCol w:w="109"/>
        <w:gridCol w:w="109"/>
        <w:gridCol w:w="109"/>
        <w:gridCol w:w="196"/>
        <w:gridCol w:w="556"/>
        <w:gridCol w:w="109"/>
        <w:gridCol w:w="109"/>
        <w:gridCol w:w="109"/>
        <w:gridCol w:w="109"/>
        <w:gridCol w:w="196"/>
        <w:gridCol w:w="421"/>
        <w:gridCol w:w="109"/>
        <w:gridCol w:w="109"/>
        <w:gridCol w:w="109"/>
        <w:gridCol w:w="109"/>
        <w:gridCol w:w="196"/>
        <w:gridCol w:w="470"/>
        <w:gridCol w:w="109"/>
        <w:gridCol w:w="109"/>
        <w:gridCol w:w="109"/>
        <w:gridCol w:w="109"/>
        <w:gridCol w:w="338"/>
        <w:gridCol w:w="727"/>
        <w:gridCol w:w="188"/>
        <w:gridCol w:w="109"/>
        <w:gridCol w:w="109"/>
        <w:gridCol w:w="109"/>
        <w:gridCol w:w="196"/>
        <w:gridCol w:w="556"/>
        <w:gridCol w:w="159"/>
      </w:tblGrid>
      <w:tr>
        <w:trPr/>
        <w:tc>
          <w:tcPr>
            <w:tcW w:w="1595"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27"/>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4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Run-off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27"/>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2,814 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 Revenues excluded from adjusted earnings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Less: Segment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Policyholder benefits and claims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credited to policyholder account balances, excluding market value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DAC and VOBA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Less: Provision for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Less: 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514 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Adjustments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Investment gains (losses) on trading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derivative gains (losses), excluding investment hedge adjustments of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(987)</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Change in market risk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624 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Market value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Provision for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Brighthouse Life Insurance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Interest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60985"/>
                <wp:effectExtent l="0" t="0" r="0" b="0"/>
                <wp:wrapNone/>
                <wp:docPr id="13" name="Frame12"/>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20" w:after="283"/>
        <w:jc w:val="left"/>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2. Segment Information (continued)</w:t>
      </w:r>
    </w:p>
    <w:tbl>
      <w:tblPr>
        <w:tblW w:w="10205" w:type="dxa"/>
        <w:jc w:val="left"/>
        <w:tblInd w:w="0" w:type="dxa"/>
        <w:tblLayout w:type="fixed"/>
        <w:tblCellMar>
          <w:top w:w="28" w:type="dxa"/>
          <w:left w:w="28" w:type="dxa"/>
          <w:bottom w:w="28" w:type="dxa"/>
          <w:right w:w="28" w:type="dxa"/>
        </w:tblCellMar>
      </w:tblPr>
      <w:tblGrid>
        <w:gridCol w:w="1545"/>
        <w:gridCol w:w="1246"/>
        <w:gridCol w:w="1253"/>
        <w:gridCol w:w="109"/>
        <w:gridCol w:w="109"/>
        <w:gridCol w:w="109"/>
        <w:gridCol w:w="196"/>
        <w:gridCol w:w="556"/>
        <w:gridCol w:w="109"/>
        <w:gridCol w:w="109"/>
        <w:gridCol w:w="109"/>
        <w:gridCol w:w="109"/>
        <w:gridCol w:w="196"/>
        <w:gridCol w:w="421"/>
        <w:gridCol w:w="109"/>
        <w:gridCol w:w="109"/>
        <w:gridCol w:w="109"/>
        <w:gridCol w:w="109"/>
        <w:gridCol w:w="196"/>
        <w:gridCol w:w="470"/>
        <w:gridCol w:w="109"/>
        <w:gridCol w:w="109"/>
        <w:gridCol w:w="109"/>
        <w:gridCol w:w="109"/>
        <w:gridCol w:w="338"/>
        <w:gridCol w:w="727"/>
        <w:gridCol w:w="188"/>
        <w:gridCol w:w="109"/>
        <w:gridCol w:w="109"/>
        <w:gridCol w:w="109"/>
        <w:gridCol w:w="196"/>
        <w:gridCol w:w="556"/>
        <w:gridCol w:w="159"/>
      </w:tblGrid>
      <w:tr>
        <w:trPr/>
        <w:tc>
          <w:tcPr>
            <w:tcW w:w="1545"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27"/>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4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Run-off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27"/>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2,929 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Revenues excluded from adjusted earnings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Segment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Policyholder benefits and claims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credited to policyholder account balances, excluding market value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DAC and VOBA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Provision for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Less: 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Adjustments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Investment gains (losses) on trading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derivative gains (losses), excluding investment hedge adjustments of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(924)</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Change in market risk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Market value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Provision for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Brighthouse Life Insurance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Interest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(1)For each reportable segment, certain revenues are excluded from adjusted earnings (loss), including net investment gains (losses), investment gains (losses) on trading securities and net derivative gains (losses), excluding Investment Hedge Adjustments.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(2)Other expenses include corporate expense allocations directly attributable to each of the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assets by segment were as follows at:</w:t>
      </w:r>
    </w:p>
    <w:tbl>
      <w:tblPr>
        <w:tblW w:w="4779" w:type="dxa"/>
        <w:jc w:val="left"/>
        <w:tblInd w:w="0" w:type="dxa"/>
        <w:tblLayout w:type="fixed"/>
        <w:tblCellMar>
          <w:top w:w="28" w:type="dxa"/>
          <w:left w:w="28" w:type="dxa"/>
          <w:bottom w:w="28" w:type="dxa"/>
          <w:right w:w="28" w:type="dxa"/>
        </w:tblCellMar>
      </w:tblPr>
      <w:tblGrid>
        <w:gridCol w:w="527"/>
        <w:gridCol w:w="461"/>
        <w:gridCol w:w="467"/>
        <w:gridCol w:w="109"/>
        <w:gridCol w:w="109"/>
        <w:gridCol w:w="109"/>
        <w:gridCol w:w="212"/>
        <w:gridCol w:w="796"/>
        <w:gridCol w:w="117"/>
        <w:gridCol w:w="109"/>
        <w:gridCol w:w="109"/>
        <w:gridCol w:w="109"/>
        <w:gridCol w:w="279"/>
        <w:gridCol w:w="1047"/>
        <w:gridCol w:w="219"/>
      </w:tblGrid>
      <w:tr>
        <w:trPr/>
        <w:tc>
          <w:tcPr>
            <w:tcW w:w="52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Annuities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168,569 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164,175 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Life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22,159 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21,802 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Run-off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24,480 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25,470 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Corporate &amp;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22,100 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20,539 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237,308 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231,986 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60985"/>
                <wp:effectExtent l="0" t="0" r="0" b="0"/>
                <wp:wrapNone/>
                <wp:docPr id="14" name="Frame13"/>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20" w:after="283"/>
        <w:jc w:val="left"/>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2. Segment Information (continued)</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premiums, universal life and investment-type product policy fees and other revenues by major product group were as follows:</w:t>
      </w:r>
    </w:p>
    <w:tbl>
      <w:tblPr>
        <w:tblW w:w="6312" w:type="dxa"/>
        <w:jc w:val="left"/>
        <w:tblInd w:w="0" w:type="dxa"/>
        <w:tblLayout w:type="fixed"/>
        <w:tblCellMar>
          <w:top w:w="28" w:type="dxa"/>
          <w:left w:w="28" w:type="dxa"/>
          <w:bottom w:w="28" w:type="dxa"/>
          <w:right w:w="28" w:type="dxa"/>
        </w:tblCellMar>
      </w:tblPr>
      <w:tblGrid>
        <w:gridCol w:w="645"/>
        <w:gridCol w:w="567"/>
        <w:gridCol w:w="573"/>
        <w:gridCol w:w="109"/>
        <w:gridCol w:w="109"/>
        <w:gridCol w:w="109"/>
        <w:gridCol w:w="196"/>
        <w:gridCol w:w="421"/>
        <w:gridCol w:w="109"/>
        <w:gridCol w:w="109"/>
        <w:gridCol w:w="109"/>
        <w:gridCol w:w="109"/>
        <w:gridCol w:w="196"/>
        <w:gridCol w:w="421"/>
        <w:gridCol w:w="109"/>
        <w:gridCol w:w="109"/>
        <w:gridCol w:w="109"/>
        <w:gridCol w:w="109"/>
        <w:gridCol w:w="196"/>
        <w:gridCol w:w="556"/>
        <w:gridCol w:w="109"/>
        <w:gridCol w:w="109"/>
        <w:gridCol w:w="109"/>
        <w:gridCol w:w="109"/>
        <w:gridCol w:w="196"/>
        <w:gridCol w:w="556"/>
        <w:gridCol w:w="154"/>
      </w:tblGrid>
      <w:tr>
        <w:trPr/>
        <w:tc>
          <w:tcPr>
            <w:tcW w:w="64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Annuity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Life insurance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Other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Substantially all of the Company’s premiums, universal life and investment-type product policy fees and other revenues originated in the U.S.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Revenues derived from any individual customer did not exceed 10% of premiums, universal life and investment-type product policy fees and other revenues for the three months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60985"/>
                <wp:effectExtent l="0" t="0" r="0" b="0"/>
                <wp:wrapNone/>
                <wp:docPr id="15" name="Frame14"/>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20" w:after="283"/>
        <w:jc w:val="left"/>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before="120" w:after="283"/>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3. Insurance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Liability for Future Policy Benefits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regarding liability for future policy benefits (“LFPB”) for non-participating traditional and limited-payment contracts was as follows:</w:t>
      </w:r>
    </w:p>
    <w:tbl>
      <w:tblPr>
        <w:tblW w:w="10205" w:type="dxa"/>
        <w:jc w:val="center"/>
        <w:tblInd w:w="0" w:type="dxa"/>
        <w:tblLayout w:type="fixed"/>
        <w:tblCellMar>
          <w:top w:w="28" w:type="dxa"/>
          <w:left w:w="28" w:type="dxa"/>
          <w:bottom w:w="28" w:type="dxa"/>
          <w:right w:w="28" w:type="dxa"/>
        </w:tblCellMar>
      </w:tblPr>
      <w:tblGrid>
        <w:gridCol w:w="898"/>
        <w:gridCol w:w="326"/>
        <w:gridCol w:w="328"/>
        <w:gridCol w:w="109"/>
        <w:gridCol w:w="109"/>
        <w:gridCol w:w="109"/>
        <w:gridCol w:w="209"/>
        <w:gridCol w:w="595"/>
        <w:gridCol w:w="258"/>
        <w:gridCol w:w="109"/>
        <w:gridCol w:w="109"/>
        <w:gridCol w:w="109"/>
        <w:gridCol w:w="199"/>
        <w:gridCol w:w="566"/>
        <w:gridCol w:w="245"/>
        <w:gridCol w:w="109"/>
        <w:gridCol w:w="109"/>
        <w:gridCol w:w="109"/>
        <w:gridCol w:w="225"/>
        <w:gridCol w:w="744"/>
        <w:gridCol w:w="277"/>
        <w:gridCol w:w="109"/>
        <w:gridCol w:w="109"/>
        <w:gridCol w:w="109"/>
        <w:gridCol w:w="209"/>
        <w:gridCol w:w="595"/>
        <w:gridCol w:w="258"/>
        <w:gridCol w:w="109"/>
        <w:gridCol w:w="109"/>
        <w:gridCol w:w="109"/>
        <w:gridCol w:w="199"/>
        <w:gridCol w:w="566"/>
        <w:gridCol w:w="245"/>
        <w:gridCol w:w="109"/>
        <w:gridCol w:w="109"/>
        <w:gridCol w:w="109"/>
        <w:gridCol w:w="224"/>
        <w:gridCol w:w="740"/>
        <w:gridCol w:w="337"/>
      </w:tblGrid>
      <w:tr>
        <w:trPr/>
        <w:tc>
          <w:tcPr>
            <w:tcW w:w="89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Term and Whole Life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Income 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Structured Settlement and Pension Risk Transfer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Term and Whole Life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Income 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Structured Settlement and Pension Risk Transfer Annuities</w:t>
            </w:r>
          </w:p>
        </w:tc>
      </w:tr>
      <w:tr>
        <w:trPr/>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6"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Present value of expected net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2,462 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2,758 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Beginning balance at original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2,705 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model refinements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r>
        <w:trPr/>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actual variances from expected experience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beginning of period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2,653 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3,105 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accrual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premiums collected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Ending balance at original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2,540 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2,983 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changes in discount rate assumptions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2,275 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2,681 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Present value of expected future policy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4,984 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6,009 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3,728 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6,118 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Beginning balance at original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5,446 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4,231 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6,635 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5,908 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4,121 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6,876 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model refinements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r>
        <w:trPr/>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actual variances from expected experience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beginning of period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5,363 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4,217 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6,638 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5,900 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4,094 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6,852 </w:t>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accrual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Benefit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Ending balance at original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5,262 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4,296 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6,506 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5,747 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4,153 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6,731 </w:t>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changes in discount rate assumptions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4,742 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3,951 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5,798 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5,192 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3,829 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6,053 </w:t>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liability for future policy benefits,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2,467 </w:t>
            </w:r>
          </w:p>
        </w:tc>
        <w:tc>
          <w:tcPr>
            <w:tcW w:w="2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3,951 </w:t>
            </w:r>
          </w:p>
        </w:tc>
        <w:tc>
          <w:tcPr>
            <w:tcW w:w="24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5,798 </w:t>
            </w:r>
          </w:p>
        </w:tc>
        <w:tc>
          <w:tcPr>
            <w:tcW w:w="27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2,511 </w:t>
            </w:r>
          </w:p>
        </w:tc>
        <w:tc>
          <w:tcPr>
            <w:tcW w:w="2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3,829 </w:t>
            </w:r>
          </w:p>
        </w:tc>
        <w:tc>
          <w:tcPr>
            <w:tcW w:w="24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6,053 </w:t>
            </w:r>
          </w:p>
        </w:tc>
        <w:tc>
          <w:tcPr>
            <w:tcW w:w="33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Reinsurance recoverable,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33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liability for future policy benefits, after reinsurance recoverable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2,452 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3,919 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5,745 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2,494 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3,797 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5,994 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Weighted-average duration of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11.5 years</w:t>
            </w:r>
          </w:p>
        </w:tc>
      </w:tr>
      <w:tr>
        <w:trPr/>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Weighted-average interest accretion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3.89 </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4.15 </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3.91 </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4.09 </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4.46 </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5.29 </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5.39 </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5.15 </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5.25 </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5.54 </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premiums or assessments recognized during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Expected future gross premiums, undiscounted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5,479 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Expected future gross premiums, discounted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3,544 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4,075 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Expected future benefit payments, undiscounted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12,554 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7,773 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13,031 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Expected future benefit payments, discounted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5,262 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6,506 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5,747 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6,731 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60985"/>
                <wp:effectExtent l="0" t="0" r="0" b="0"/>
                <wp:wrapNone/>
                <wp:docPr id="16" name="Frame15"/>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20" w:after="283"/>
        <w:jc w:val="left"/>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3. Insurance Liabilities (continued)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regarding the additional insurance liabilities for universal life-type contracts with secondary guarantees was as follows:</w:t>
      </w:r>
    </w:p>
    <w:tbl>
      <w:tblPr>
        <w:tblW w:w="7575" w:type="dxa"/>
        <w:jc w:val="center"/>
        <w:tblInd w:w="0" w:type="dxa"/>
        <w:tblLayout w:type="fixed"/>
        <w:tblCellMar>
          <w:top w:w="28" w:type="dxa"/>
          <w:left w:w="28" w:type="dxa"/>
          <w:bottom w:w="28" w:type="dxa"/>
          <w:right w:w="28" w:type="dxa"/>
        </w:tblCellMar>
      </w:tblPr>
      <w:tblGrid>
        <w:gridCol w:w="1727"/>
        <w:gridCol w:w="1515"/>
        <w:gridCol w:w="1528"/>
        <w:gridCol w:w="109"/>
        <w:gridCol w:w="109"/>
        <w:gridCol w:w="109"/>
        <w:gridCol w:w="196"/>
        <w:gridCol w:w="646"/>
        <w:gridCol w:w="256"/>
        <w:gridCol w:w="109"/>
        <w:gridCol w:w="109"/>
        <w:gridCol w:w="109"/>
        <w:gridCol w:w="196"/>
        <w:gridCol w:w="556"/>
        <w:gridCol w:w="301"/>
      </w:tblGrid>
      <w:tr>
        <w:trPr/>
        <w:tc>
          <w:tcPr>
            <w:tcW w:w="1727"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 before the effect of unrealized gains and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actual variances from expected experience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beginning of period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9,360 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accrual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assessments collected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 before the effect of unrealized gains and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9,588 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unrealized gains and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9,336 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Reinsurance recoverable,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additional liability, after reinsurance recoverable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7,769 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duration of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6.6 years</w:t>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interest accretion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Gross assessments recognized during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reconciliation of the net LFPBs for non-participating traditional and limited-payment contracts and the additional insurance liabilities for universal life-type contracts with secondary guarantees reported in the preceding rollforward tables to LFPBs on the consolidated balance sheets was as follows at:</w:t>
      </w:r>
    </w:p>
    <w:tbl>
      <w:tblPr>
        <w:tblW w:w="7340" w:type="dxa"/>
        <w:jc w:val="center"/>
        <w:tblInd w:w="0" w:type="dxa"/>
        <w:tblLayout w:type="fixed"/>
        <w:tblCellMar>
          <w:top w:w="28" w:type="dxa"/>
          <w:left w:w="28" w:type="dxa"/>
          <w:bottom w:w="28" w:type="dxa"/>
          <w:right w:w="28" w:type="dxa"/>
        </w:tblCellMar>
      </w:tblPr>
      <w:tblGrid>
        <w:gridCol w:w="1715"/>
        <w:gridCol w:w="1507"/>
        <w:gridCol w:w="1517"/>
        <w:gridCol w:w="109"/>
        <w:gridCol w:w="109"/>
        <w:gridCol w:w="109"/>
        <w:gridCol w:w="196"/>
        <w:gridCol w:w="646"/>
        <w:gridCol w:w="109"/>
        <w:gridCol w:w="109"/>
        <w:gridCol w:w="109"/>
        <w:gridCol w:w="109"/>
        <w:gridCol w:w="196"/>
        <w:gridCol w:w="646"/>
        <w:gridCol w:w="154"/>
      </w:tblGrid>
      <w:tr>
        <w:trPr/>
        <w:tc>
          <w:tcPr>
            <w:tcW w:w="1715"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reported in the preceding rollforward tables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care insurance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ULSG liabilities, including liability for profits followed by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Participating whole life insurance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profit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liability for future policy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liabilities related to fully reinsured individual long-term care insurance. See Note 2.</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(2)Participating whole life insurance uses an interest assumption based on the non-forfeiture interest rate, ranging from 3.5% to 4.0%, and mortality rates guaranteed in calculating the cash surrender values described in such contracts, and also includes a liability for terminal dividends. Participating whole life insurance represented 3% of the Company’s life insurance in-force at both June 30, 2026 and 2025, and 37% and 39% of gross traditional life insurance premiums for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60985"/>
                <wp:effectExtent l="0" t="0" r="0" b="0"/>
                <wp:wrapNone/>
                <wp:docPr id="17" name="Frame16"/>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20" w:after="283"/>
        <w:jc w:val="left"/>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3. Insurance Liabilities (continued)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Policyholder Account Balances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regarding policyholder account balances was as follows:</w:t>
      </w:r>
    </w:p>
    <w:tbl>
      <w:tblPr>
        <w:tblW w:w="10205" w:type="dxa"/>
        <w:jc w:val="left"/>
        <w:tblInd w:w="0" w:type="dxa"/>
        <w:tblLayout w:type="fixed"/>
        <w:tblCellMar>
          <w:top w:w="28" w:type="dxa"/>
          <w:left w:w="28" w:type="dxa"/>
          <w:bottom w:w="28" w:type="dxa"/>
          <w:right w:w="28" w:type="dxa"/>
        </w:tblCellMar>
      </w:tblPr>
      <w:tblGrid>
        <w:gridCol w:w="972"/>
        <w:gridCol w:w="301"/>
        <w:gridCol w:w="304"/>
        <w:gridCol w:w="109"/>
        <w:gridCol w:w="109"/>
        <w:gridCol w:w="109"/>
        <w:gridCol w:w="210"/>
        <w:gridCol w:w="598"/>
        <w:gridCol w:w="259"/>
        <w:gridCol w:w="109"/>
        <w:gridCol w:w="109"/>
        <w:gridCol w:w="109"/>
        <w:gridCol w:w="206"/>
        <w:gridCol w:w="586"/>
        <w:gridCol w:w="254"/>
        <w:gridCol w:w="109"/>
        <w:gridCol w:w="109"/>
        <w:gridCol w:w="109"/>
        <w:gridCol w:w="204"/>
        <w:gridCol w:w="675"/>
        <w:gridCol w:w="251"/>
        <w:gridCol w:w="109"/>
        <w:gridCol w:w="109"/>
        <w:gridCol w:w="109"/>
        <w:gridCol w:w="201"/>
        <w:gridCol w:w="664"/>
        <w:gridCol w:w="248"/>
        <w:gridCol w:w="109"/>
        <w:gridCol w:w="109"/>
        <w:gridCol w:w="109"/>
        <w:gridCol w:w="196"/>
        <w:gridCol w:w="556"/>
        <w:gridCol w:w="241"/>
        <w:gridCol w:w="109"/>
        <w:gridCol w:w="109"/>
        <w:gridCol w:w="109"/>
        <w:gridCol w:w="246"/>
        <w:gridCol w:w="700"/>
        <w:gridCol w:w="371"/>
      </w:tblGrid>
      <w:tr>
        <w:trPr/>
        <w:tc>
          <w:tcPr>
            <w:tcW w:w="97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Universal Life 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Variable Annuities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Index-linked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Fixed Rate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ULSG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Company-Owned Life Insurance (1)</w:t>
            </w:r>
          </w:p>
        </w:tc>
      </w:tr>
      <w:tr>
        <w:trPr/>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1"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(Dollars in millions)</w:t>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2,074 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3,265 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52,594 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13,252 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Premiums and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Surrenders and withdrawals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(4,606)</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Benefit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3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transfers from (to) separate account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credited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Policy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related to embedded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2,109 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3,101 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54,791 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12,769 </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649 </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Weighted-average crediting rate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25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2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0.95 </w:t>
            </w:r>
          </w:p>
        </w:tc>
        <w:tc>
          <w:tcPr>
            <w:tcW w:w="2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2.05 </w:t>
            </w:r>
          </w:p>
        </w:tc>
        <w:tc>
          <w:tcPr>
            <w:tcW w:w="24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2.32 </w:t>
            </w:r>
          </w:p>
        </w:tc>
        <w:tc>
          <w:tcPr>
            <w:tcW w:w="3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Six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2,028 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3,667 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48,605 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14,665 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1,166 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Premiums and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Surrenders and withdrawals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(3,547)</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(666)</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Benefit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transfers from (to) separate account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credited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Policy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related to embedded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3,476 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50,237 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14,619 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Weighted-average crediting rate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2.06 </w:t>
            </w:r>
          </w:p>
        </w:tc>
        <w:tc>
          <w:tcPr>
            <w:tcW w:w="2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1.34 </w:t>
            </w:r>
          </w:p>
        </w:tc>
        <w:tc>
          <w:tcPr>
            <w:tcW w:w="25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0.96 </w:t>
            </w:r>
          </w:p>
        </w:tc>
        <w:tc>
          <w:tcPr>
            <w:tcW w:w="2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1.93 </w:t>
            </w:r>
          </w:p>
        </w:tc>
        <w:tc>
          <w:tcPr>
            <w:tcW w:w="24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1.45 </w:t>
            </w:r>
          </w:p>
        </w:tc>
        <w:tc>
          <w:tcPr>
            <w:tcW w:w="3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liabilities related to separate account products where the contract holder elected a general account investment option.</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(2)Excludes the effects of embedded derivatives related to index-linked crediting rates.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reconciliation of policyholder account balances reported in the preceding rollforward table to the liability for policyholder account balances on the consolidated balance sheets was as follows at:</w:t>
      </w:r>
    </w:p>
    <w:tbl>
      <w:tblPr>
        <w:tblW w:w="7881" w:type="dxa"/>
        <w:jc w:val="center"/>
        <w:tblInd w:w="0" w:type="dxa"/>
        <w:tblLayout w:type="fixed"/>
        <w:tblCellMar>
          <w:top w:w="28" w:type="dxa"/>
          <w:left w:w="28" w:type="dxa"/>
          <w:bottom w:w="28" w:type="dxa"/>
          <w:right w:w="28" w:type="dxa"/>
        </w:tblCellMar>
      </w:tblPr>
      <w:tblGrid>
        <w:gridCol w:w="1913"/>
        <w:gridCol w:w="1681"/>
        <w:gridCol w:w="1686"/>
        <w:gridCol w:w="109"/>
        <w:gridCol w:w="109"/>
        <w:gridCol w:w="109"/>
        <w:gridCol w:w="196"/>
        <w:gridCol w:w="646"/>
        <w:gridCol w:w="109"/>
        <w:gridCol w:w="109"/>
        <w:gridCol w:w="109"/>
        <w:gridCol w:w="109"/>
        <w:gridCol w:w="196"/>
        <w:gridCol w:w="646"/>
        <w:gridCol w:w="154"/>
      </w:tblGrid>
      <w:tr>
        <w:trPr/>
        <w:tc>
          <w:tcPr>
            <w:tcW w:w="1913"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Policyholder account balances reported in the preceding rollforward table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Funding agreements classified as investment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Institutional group annuities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investment 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policyholder account balances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60985"/>
                <wp:effectExtent l="0" t="0" r="0" b="0"/>
                <wp:wrapNone/>
                <wp:docPr id="18" name="Frame17"/>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20" w:after="283"/>
        <w:jc w:val="left"/>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3. Insurance Liabilities (continued)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balance of account values by range of guaranteed minimum crediting rates and the related range of difference, in basis points, between rates being credited to policyholders and the respective guaranteed minimums was as follows at:</w:t>
      </w:r>
    </w:p>
    <w:tbl>
      <w:tblPr>
        <w:tblW w:w="10205" w:type="dxa"/>
        <w:jc w:val="left"/>
        <w:tblInd w:w="0" w:type="dxa"/>
        <w:tblLayout w:type="fixed"/>
        <w:tblCellMar>
          <w:top w:w="28" w:type="dxa"/>
          <w:left w:w="28" w:type="dxa"/>
          <w:bottom w:w="28" w:type="dxa"/>
          <w:right w:w="28" w:type="dxa"/>
        </w:tblCellMar>
      </w:tblPr>
      <w:tblGrid>
        <w:gridCol w:w="711"/>
        <w:gridCol w:w="624"/>
        <w:gridCol w:w="628"/>
        <w:gridCol w:w="109"/>
        <w:gridCol w:w="109"/>
        <w:gridCol w:w="109"/>
        <w:gridCol w:w="304"/>
        <w:gridCol w:w="865"/>
        <w:gridCol w:w="169"/>
        <w:gridCol w:w="109"/>
        <w:gridCol w:w="109"/>
        <w:gridCol w:w="109"/>
        <w:gridCol w:w="296"/>
        <w:gridCol w:w="841"/>
        <w:gridCol w:w="164"/>
        <w:gridCol w:w="109"/>
        <w:gridCol w:w="109"/>
        <w:gridCol w:w="109"/>
        <w:gridCol w:w="312"/>
        <w:gridCol w:w="885"/>
        <w:gridCol w:w="173"/>
        <w:gridCol w:w="109"/>
        <w:gridCol w:w="109"/>
        <w:gridCol w:w="109"/>
        <w:gridCol w:w="362"/>
        <w:gridCol w:w="1029"/>
        <w:gridCol w:w="201"/>
        <w:gridCol w:w="109"/>
        <w:gridCol w:w="109"/>
        <w:gridCol w:w="109"/>
        <w:gridCol w:w="196"/>
        <w:gridCol w:w="646"/>
        <w:gridCol w:w="164"/>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Range of Guaranteed Minimum Crediting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At Guaranteed Minimum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1 to 50 Basis Points Above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51 to 150 Basis Points Above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Greater than 150 Basis Points Above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5"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Annuities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Less than 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7,911 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8,576 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2.00% to 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Greater than 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6,972 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8,227 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16,438 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Life insurance (2)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Less than 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2.00% to 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Greater than 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ULSG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Less than 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2.00% to 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Greater than 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1,399 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1,239 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1,454 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4,307 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Annuities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Less than 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2.00% to 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7,497 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Greater than 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7,279 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8,460 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17,069 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Life insurance (2)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Less than 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2.00% to 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Greater than 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ULSG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Less than 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2.00% to 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Greater than 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1,449 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1,279 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1,496 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4,446 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policyholder account balances for fixed rate annuities and the fixed account portion of variable annuities.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(2)Includes policyholder account balances for retained asset accounts, universal life policies and the fixed account portion of universal variable life insurance policies.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(3)Amounts are gross of policy loans.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5 for information regarding net amount at risk and cash surrender values.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60985"/>
                <wp:effectExtent l="0" t="0" r="0" b="0"/>
                <wp:wrapNone/>
                <wp:docPr id="19" name="Frame18"/>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20" w:after="283"/>
        <w:jc w:val="left"/>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4. Market Risk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regarding MRB assets and liabilities associated with variable annuities was as follows:</w:t>
      </w:r>
    </w:p>
    <w:tbl>
      <w:tblPr>
        <w:tblW w:w="8061" w:type="dxa"/>
        <w:jc w:val="center"/>
        <w:tblInd w:w="0" w:type="dxa"/>
        <w:tblLayout w:type="fixed"/>
        <w:tblCellMar>
          <w:top w:w="28" w:type="dxa"/>
          <w:left w:w="28" w:type="dxa"/>
          <w:bottom w:w="28" w:type="dxa"/>
          <w:right w:w="28" w:type="dxa"/>
        </w:tblCellMar>
      </w:tblPr>
      <w:tblGrid>
        <w:gridCol w:w="2042"/>
        <w:gridCol w:w="1791"/>
        <w:gridCol w:w="1807"/>
        <w:gridCol w:w="109"/>
        <w:gridCol w:w="109"/>
        <w:gridCol w:w="109"/>
        <w:gridCol w:w="196"/>
        <w:gridCol w:w="556"/>
        <w:gridCol w:w="109"/>
        <w:gridCol w:w="109"/>
        <w:gridCol w:w="109"/>
        <w:gridCol w:w="109"/>
        <w:gridCol w:w="196"/>
        <w:gridCol w:w="556"/>
        <w:gridCol w:w="154"/>
      </w:tblGrid>
      <w:tr>
        <w:trPr/>
        <w:tc>
          <w:tcPr>
            <w:tcW w:w="2042"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 before effect of changes in nonperformance risk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actual different from expected experience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changes in interest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changes in fund returns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Effect of changes in equity index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changes in risk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Aging of the block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 before effect of changes in nonperformance risk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changes in nonperformance risk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Reinsurance recoverable,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 net of reinsurance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attained age of contract holder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 years</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(1)Amounts represent the sum of MRB assets and MRB liabilities presented on the consolidated balance sheets at June 30, 2026 and 2025, with the exception of $43 million and $22 million, respectively, of index-linked annuity MRBs not included in this table.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5. Separate Accounts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Separate Accounts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regarding separate account liabilities was as follows:</w:t>
      </w:r>
    </w:p>
    <w:tbl>
      <w:tblPr>
        <w:tblW w:w="10205" w:type="dxa"/>
        <w:jc w:val="center"/>
        <w:tblInd w:w="0" w:type="dxa"/>
        <w:tblLayout w:type="fixed"/>
        <w:tblCellMar>
          <w:top w:w="28" w:type="dxa"/>
          <w:left w:w="28" w:type="dxa"/>
          <w:bottom w:w="28" w:type="dxa"/>
          <w:right w:w="28" w:type="dxa"/>
        </w:tblCellMar>
      </w:tblPr>
      <w:tblGrid>
        <w:gridCol w:w="602"/>
        <w:gridCol w:w="306"/>
        <w:gridCol w:w="309"/>
        <w:gridCol w:w="109"/>
        <w:gridCol w:w="109"/>
        <w:gridCol w:w="109"/>
        <w:gridCol w:w="207"/>
        <w:gridCol w:w="685"/>
        <w:gridCol w:w="115"/>
        <w:gridCol w:w="109"/>
        <w:gridCol w:w="109"/>
        <w:gridCol w:w="109"/>
        <w:gridCol w:w="222"/>
        <w:gridCol w:w="630"/>
        <w:gridCol w:w="123"/>
        <w:gridCol w:w="109"/>
        <w:gridCol w:w="109"/>
        <w:gridCol w:w="109"/>
        <w:gridCol w:w="342"/>
        <w:gridCol w:w="970"/>
        <w:gridCol w:w="191"/>
        <w:gridCol w:w="109"/>
        <w:gridCol w:w="109"/>
        <w:gridCol w:w="109"/>
        <w:gridCol w:w="207"/>
        <w:gridCol w:w="685"/>
        <w:gridCol w:w="115"/>
        <w:gridCol w:w="109"/>
        <w:gridCol w:w="109"/>
        <w:gridCol w:w="109"/>
        <w:gridCol w:w="222"/>
        <w:gridCol w:w="630"/>
        <w:gridCol w:w="123"/>
        <w:gridCol w:w="109"/>
        <w:gridCol w:w="109"/>
        <w:gridCol w:w="109"/>
        <w:gridCol w:w="334"/>
        <w:gridCol w:w="950"/>
        <w:gridCol w:w="275"/>
      </w:tblGrid>
      <w:tr>
        <w:trPr/>
        <w:tc>
          <w:tcPr>
            <w:tcW w:w="60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Variable 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Universal Life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Company-Owned Life 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Variable 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Universal Life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Company-Owned Life Insurance</w:t>
            </w:r>
          </w:p>
        </w:tc>
      </w:tr>
      <w:tr>
        <w:trPr/>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73,416 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74,483 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Premiums and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Surrenders and withdrawals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performance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Policy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transfers from (to) general account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73,233 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2,823 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2,510 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74,173 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2,587 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2,391 </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60985"/>
                <wp:effectExtent l="0" t="0" r="0" b="0"/>
                <wp:wrapNone/>
                <wp:docPr id="20" name="Frame19"/>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20" w:after="283"/>
        <w:jc w:val="left"/>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5. Separate Accounts (continued)</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reconciliation of separate account liabilities reported in the preceding rollforward table to the separate account liabilities balance on the consolidated balance sheets was as follows at:</w:t>
      </w:r>
    </w:p>
    <w:tbl>
      <w:tblPr>
        <w:tblW w:w="7828" w:type="dxa"/>
        <w:jc w:val="center"/>
        <w:tblInd w:w="0" w:type="dxa"/>
        <w:tblLayout w:type="fixed"/>
        <w:tblCellMar>
          <w:top w:w="28" w:type="dxa"/>
          <w:left w:w="28" w:type="dxa"/>
          <w:bottom w:w="28" w:type="dxa"/>
          <w:right w:w="28" w:type="dxa"/>
        </w:tblCellMar>
      </w:tblPr>
      <w:tblGrid>
        <w:gridCol w:w="1813"/>
        <w:gridCol w:w="1593"/>
        <w:gridCol w:w="1603"/>
        <w:gridCol w:w="109"/>
        <w:gridCol w:w="109"/>
        <w:gridCol w:w="109"/>
        <w:gridCol w:w="196"/>
        <w:gridCol w:w="646"/>
        <w:gridCol w:w="109"/>
        <w:gridCol w:w="109"/>
        <w:gridCol w:w="109"/>
        <w:gridCol w:w="109"/>
        <w:gridCol w:w="196"/>
        <w:gridCol w:w="646"/>
        <w:gridCol w:w="109"/>
        <w:gridCol w:w="109"/>
        <w:gridCol w:w="154"/>
      </w:tblGrid>
      <w:tr>
        <w:trPr/>
        <w:tc>
          <w:tcPr>
            <w:tcW w:w="1813"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Separate account liabilities reported in the preceding rollforward table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income annuities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risk transfer annuities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separate account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aggregate estimated fair value of assets, by major investment asset category, supporting separate accounts was as follows at:</w:t>
      </w:r>
    </w:p>
    <w:tbl>
      <w:tblPr>
        <w:tblW w:w="6593" w:type="dxa"/>
        <w:jc w:val="center"/>
        <w:tblInd w:w="0" w:type="dxa"/>
        <w:tblLayout w:type="fixed"/>
        <w:tblCellMar>
          <w:top w:w="28" w:type="dxa"/>
          <w:left w:w="28" w:type="dxa"/>
          <w:bottom w:w="28" w:type="dxa"/>
          <w:right w:w="28" w:type="dxa"/>
        </w:tblCellMar>
      </w:tblPr>
      <w:tblGrid>
        <w:gridCol w:w="1181"/>
        <w:gridCol w:w="1039"/>
        <w:gridCol w:w="1049"/>
        <w:gridCol w:w="109"/>
        <w:gridCol w:w="109"/>
        <w:gridCol w:w="109"/>
        <w:gridCol w:w="232"/>
        <w:gridCol w:w="764"/>
        <w:gridCol w:w="129"/>
        <w:gridCol w:w="109"/>
        <w:gridCol w:w="109"/>
        <w:gridCol w:w="109"/>
        <w:gridCol w:w="304"/>
        <w:gridCol w:w="1002"/>
        <w:gridCol w:w="239"/>
      </w:tblGrid>
      <w:tr>
        <w:trPr/>
        <w:tc>
          <w:tcPr>
            <w:tcW w:w="118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78,655 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78,611 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Fixed maturity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aggregate estimated fair value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78,862 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78,825 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Net Amount at Risk and Cash Surrender Values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regarding the net amount at risk and cash surrender value for insurance products was as follows at:</w:t>
      </w:r>
    </w:p>
    <w:tbl>
      <w:tblPr>
        <w:tblW w:w="10205" w:type="dxa"/>
        <w:jc w:val="center"/>
        <w:tblInd w:w="0" w:type="dxa"/>
        <w:tblLayout w:type="fixed"/>
        <w:tblCellMar>
          <w:top w:w="28" w:type="dxa"/>
          <w:left w:w="28" w:type="dxa"/>
          <w:bottom w:w="28" w:type="dxa"/>
          <w:right w:w="28" w:type="dxa"/>
        </w:tblCellMar>
      </w:tblPr>
      <w:tblGrid>
        <w:gridCol w:w="816"/>
        <w:gridCol w:w="506"/>
        <w:gridCol w:w="427"/>
        <w:gridCol w:w="109"/>
        <w:gridCol w:w="109"/>
        <w:gridCol w:w="109"/>
        <w:gridCol w:w="223"/>
        <w:gridCol w:w="736"/>
        <w:gridCol w:w="124"/>
        <w:gridCol w:w="109"/>
        <w:gridCol w:w="109"/>
        <w:gridCol w:w="109"/>
        <w:gridCol w:w="207"/>
        <w:gridCol w:w="685"/>
        <w:gridCol w:w="115"/>
        <w:gridCol w:w="109"/>
        <w:gridCol w:w="109"/>
        <w:gridCol w:w="109"/>
        <w:gridCol w:w="218"/>
        <w:gridCol w:w="719"/>
        <w:gridCol w:w="121"/>
        <w:gridCol w:w="109"/>
        <w:gridCol w:w="109"/>
        <w:gridCol w:w="109"/>
        <w:gridCol w:w="212"/>
        <w:gridCol w:w="700"/>
        <w:gridCol w:w="118"/>
        <w:gridCol w:w="109"/>
        <w:gridCol w:w="109"/>
        <w:gridCol w:w="109"/>
        <w:gridCol w:w="196"/>
        <w:gridCol w:w="646"/>
        <w:gridCol w:w="109"/>
        <w:gridCol w:w="109"/>
        <w:gridCol w:w="109"/>
        <w:gridCol w:w="109"/>
        <w:gridCol w:w="260"/>
        <w:gridCol w:w="741"/>
        <w:gridCol w:w="364"/>
      </w:tblGrid>
      <w:tr>
        <w:trPr/>
        <w:tc>
          <w:tcPr>
            <w:tcW w:w="81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1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Universal Life 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Variable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Index-linked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Fixed Rate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ULSG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Company-Owned Life Insurance</w:t>
            </w:r>
          </w:p>
        </w:tc>
      </w:tr>
      <w:tr>
        <w:trPr/>
        <w:tc>
          <w:tcPr>
            <w:tcW w:w="1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 millions)</w:t>
            </w:r>
          </w:p>
        </w:tc>
      </w:tr>
      <w:tr>
        <w:trPr/>
        <w:tc>
          <w:tcPr>
            <w:tcW w:w="1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Account balances reported in the preceding rollforward tables: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Policyholder account balances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54,791 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Separate account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73,233 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2,510 </w:t>
            </w:r>
          </w:p>
        </w:tc>
        <w:tc>
          <w:tcPr>
            <w:tcW w:w="364" w:type="dxa"/>
            <w:tcBorders/>
            <w:shd w:fill="FFFFFF"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1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account balances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76,334 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54,791 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3,159 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amount at risk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19,303 </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11,512 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60,979 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2,586 </w:t>
            </w:r>
          </w:p>
        </w:tc>
        <w:tc>
          <w:tcPr>
            <w:tcW w:w="36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surrender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76,012 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55,964 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2,956 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Account balances reported in the preceding rollforward tables: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Policyholder account balances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50,237 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Separate account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74,173 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2,391 </w:t>
            </w:r>
          </w:p>
        </w:tc>
        <w:tc>
          <w:tcPr>
            <w:tcW w:w="364" w:type="dxa"/>
            <w:tcBorders/>
            <w:shd w:fill="CCEEFF"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1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account balances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77,649 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50,237 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3,036 </w:t>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amount at risk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20,454 </w:t>
            </w:r>
          </w:p>
        </w:tc>
        <w:tc>
          <w:tcPr>
            <w:tcW w:w="12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12,234 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62,652 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2,634 </w:t>
            </w:r>
          </w:p>
        </w:tc>
        <w:tc>
          <w:tcPr>
            <w:tcW w:w="36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surrender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77,283 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49,450 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2,836 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Products may contain both separate account and general account fund options; accordingly, net amount at risk and cash surrender value reported in the table above relate to the total account balance for each respective product grouping.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60985"/>
                <wp:effectExtent l="0" t="0" r="0" b="0"/>
                <wp:wrapNone/>
                <wp:docPr id="21" name="Frame20"/>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20" w:after="283"/>
        <w:jc w:val="left"/>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6. Deferred Policy Acquisition Costs, Value of Business Acquired and Other Intangibles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Deferred Policy Acquisition Costs and Value of Business Acquired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regarding deferred policy acquisition costs (“DAC”) and value of business acquired (“VOBA”) was as follows:</w:t>
      </w:r>
    </w:p>
    <w:tbl>
      <w:tblPr>
        <w:tblW w:w="10205" w:type="dxa"/>
        <w:jc w:val="left"/>
        <w:tblInd w:w="0" w:type="dxa"/>
        <w:tblLayout w:type="fixed"/>
        <w:tblCellMar>
          <w:top w:w="28" w:type="dxa"/>
          <w:left w:w="28" w:type="dxa"/>
          <w:bottom w:w="28" w:type="dxa"/>
          <w:right w:w="28" w:type="dxa"/>
        </w:tblCellMar>
      </w:tblPr>
      <w:tblGrid>
        <w:gridCol w:w="790"/>
        <w:gridCol w:w="534"/>
        <w:gridCol w:w="539"/>
        <w:gridCol w:w="109"/>
        <w:gridCol w:w="109"/>
        <w:gridCol w:w="109"/>
        <w:gridCol w:w="263"/>
        <w:gridCol w:w="747"/>
        <w:gridCol w:w="146"/>
        <w:gridCol w:w="109"/>
        <w:gridCol w:w="109"/>
        <w:gridCol w:w="109"/>
        <w:gridCol w:w="322"/>
        <w:gridCol w:w="693"/>
        <w:gridCol w:w="182"/>
        <w:gridCol w:w="109"/>
        <w:gridCol w:w="109"/>
        <w:gridCol w:w="109"/>
        <w:gridCol w:w="310"/>
        <w:gridCol w:w="880"/>
        <w:gridCol w:w="173"/>
        <w:gridCol w:w="109"/>
        <w:gridCol w:w="109"/>
        <w:gridCol w:w="109"/>
        <w:gridCol w:w="430"/>
        <w:gridCol w:w="928"/>
        <w:gridCol w:w="242"/>
        <w:gridCol w:w="109"/>
        <w:gridCol w:w="109"/>
        <w:gridCol w:w="109"/>
        <w:gridCol w:w="350"/>
        <w:gridCol w:w="756"/>
        <w:gridCol w:w="285"/>
      </w:tblGrid>
      <w:tr>
        <w:trPr/>
        <w:tc>
          <w:tcPr>
            <w:tcW w:w="79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Variable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Fixed Rate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Index-linked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Term and Whole Life 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Universal Life Insurance</w:t>
            </w:r>
          </w:p>
        </w:tc>
      </w:tr>
      <w:tr>
        <w:trPr/>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5" w:type="dxa"/>
            <w:gridSpan w:val="27"/>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Six Months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DAC: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1,881 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1,581 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(155)</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1,803 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1,629 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VOBA: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Total DAC and VOBA: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2,041 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1,629 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Six Months Ended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DAC: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2,040 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1,462 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1,958 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1,522 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VOBA: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Total DAC and VOBA: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2,223 </w:t>
            </w:r>
          </w:p>
        </w:tc>
        <w:tc>
          <w:tcPr>
            <w:tcW w:w="1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8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8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1,522 </w:t>
            </w:r>
          </w:p>
        </w:tc>
        <w:tc>
          <w:tcPr>
            <w:tcW w:w="17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24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28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Deferred Sales Inducements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regarding deferred sales inducements, included in other assets, was as follows:</w:t>
      </w:r>
    </w:p>
    <w:tbl>
      <w:tblPr>
        <w:tblW w:w="9659" w:type="dxa"/>
        <w:jc w:val="center"/>
        <w:tblInd w:w="0" w:type="dxa"/>
        <w:tblLayout w:type="fixed"/>
        <w:tblCellMar>
          <w:top w:w="28" w:type="dxa"/>
          <w:left w:w="28" w:type="dxa"/>
          <w:bottom w:w="28" w:type="dxa"/>
          <w:right w:w="28" w:type="dxa"/>
        </w:tblCellMar>
      </w:tblPr>
      <w:tblGrid>
        <w:gridCol w:w="782"/>
        <w:gridCol w:w="686"/>
        <w:gridCol w:w="692"/>
        <w:gridCol w:w="109"/>
        <w:gridCol w:w="109"/>
        <w:gridCol w:w="109"/>
        <w:gridCol w:w="391"/>
        <w:gridCol w:w="842"/>
        <w:gridCol w:w="221"/>
        <w:gridCol w:w="109"/>
        <w:gridCol w:w="109"/>
        <w:gridCol w:w="109"/>
        <w:gridCol w:w="581"/>
        <w:gridCol w:w="713"/>
        <w:gridCol w:w="325"/>
        <w:gridCol w:w="109"/>
        <w:gridCol w:w="109"/>
        <w:gridCol w:w="109"/>
        <w:gridCol w:w="391"/>
        <w:gridCol w:w="842"/>
        <w:gridCol w:w="221"/>
        <w:gridCol w:w="109"/>
        <w:gridCol w:w="109"/>
        <w:gridCol w:w="109"/>
        <w:gridCol w:w="550"/>
        <w:gridCol w:w="677"/>
        <w:gridCol w:w="437"/>
      </w:tblGrid>
      <w:tr>
        <w:trPr/>
        <w:tc>
          <w:tcPr>
            <w:tcW w:w="7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Variable 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Fixed Rate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Variable 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Fixed Rate Annuities</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60985"/>
                <wp:effectExtent l="0" t="0" r="0" b="0"/>
                <wp:wrapNone/>
                <wp:docPr id="22" name="Frame21"/>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20" w:after="283"/>
        <w:jc w:val="left"/>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6. Deferred Policy Acquisition Costs, Value of Business Acquired and Other Intangibles (continued)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Unearned Revenue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regarding unearned revenue, included in other policy-related balances, was as follows:</w:t>
      </w:r>
    </w:p>
    <w:tbl>
      <w:tblPr>
        <w:tblW w:w="10205" w:type="dxa"/>
        <w:jc w:val="center"/>
        <w:tblInd w:w="0" w:type="dxa"/>
        <w:tblLayout w:type="fixed"/>
        <w:tblCellMar>
          <w:top w:w="28" w:type="dxa"/>
          <w:left w:w="28" w:type="dxa"/>
          <w:bottom w:w="28" w:type="dxa"/>
          <w:right w:w="28" w:type="dxa"/>
        </w:tblCellMar>
      </w:tblPr>
      <w:tblGrid>
        <w:gridCol w:w="708"/>
        <w:gridCol w:w="478"/>
        <w:gridCol w:w="482"/>
        <w:gridCol w:w="109"/>
        <w:gridCol w:w="109"/>
        <w:gridCol w:w="109"/>
        <w:gridCol w:w="373"/>
        <w:gridCol w:w="806"/>
        <w:gridCol w:w="210"/>
        <w:gridCol w:w="109"/>
        <w:gridCol w:w="109"/>
        <w:gridCol w:w="109"/>
        <w:gridCol w:w="196"/>
        <w:gridCol w:w="421"/>
        <w:gridCol w:w="109"/>
        <w:gridCol w:w="109"/>
        <w:gridCol w:w="109"/>
        <w:gridCol w:w="109"/>
        <w:gridCol w:w="352"/>
        <w:gridCol w:w="596"/>
        <w:gridCol w:w="198"/>
        <w:gridCol w:w="109"/>
        <w:gridCol w:w="109"/>
        <w:gridCol w:w="109"/>
        <w:gridCol w:w="373"/>
        <w:gridCol w:w="806"/>
        <w:gridCol w:w="210"/>
        <w:gridCol w:w="109"/>
        <w:gridCol w:w="109"/>
        <w:gridCol w:w="109"/>
        <w:gridCol w:w="196"/>
        <w:gridCol w:w="421"/>
        <w:gridCol w:w="109"/>
        <w:gridCol w:w="109"/>
        <w:gridCol w:w="109"/>
        <w:gridCol w:w="109"/>
        <w:gridCol w:w="342"/>
        <w:gridCol w:w="579"/>
        <w:gridCol w:w="278"/>
      </w:tblGrid>
      <w:tr>
        <w:trPr/>
        <w:tc>
          <w:tcPr>
            <w:tcW w:w="70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Universal Life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ULSG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Variable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Universal Life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ULSG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Variable Annuities</w:t>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0"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7.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Notes 1 and 10 of the Notes to the Consolidated Financial Statements included in the 2025 Annual Report for a description of the Company’s accounting policies for investments and the fair value hierarchy for investments and the related valuation methodologies.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Fixed Maturity Securities Available-For-Sale</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Fixed Maturity Securities by Sector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Fixed maturity securities by sector were as follows at:</w:t>
      </w:r>
    </w:p>
    <w:tbl>
      <w:tblPr>
        <w:tblW w:w="12654" w:type="dxa"/>
        <w:jc w:val="left"/>
        <w:tblInd w:w="0" w:type="dxa"/>
        <w:tblLayout w:type="fixed"/>
        <w:tblCellMar>
          <w:top w:w="28" w:type="dxa"/>
          <w:left w:w="28" w:type="dxa"/>
          <w:bottom w:w="28" w:type="dxa"/>
          <w:right w:w="28" w:type="dxa"/>
        </w:tblCellMar>
      </w:tblPr>
      <w:tblGrid>
        <w:gridCol w:w="495"/>
        <w:gridCol w:w="433"/>
        <w:gridCol w:w="318"/>
        <w:gridCol w:w="196"/>
        <w:gridCol w:w="646"/>
        <w:gridCol w:w="109"/>
        <w:gridCol w:w="109"/>
        <w:gridCol w:w="109"/>
        <w:gridCol w:w="109"/>
        <w:gridCol w:w="222"/>
        <w:gridCol w:w="375"/>
        <w:gridCol w:w="124"/>
        <w:gridCol w:w="109"/>
        <w:gridCol w:w="109"/>
        <w:gridCol w:w="109"/>
        <w:gridCol w:w="196"/>
        <w:gridCol w:w="421"/>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09"/>
        <w:gridCol w:w="109"/>
        <w:gridCol w:w="109"/>
        <w:gridCol w:w="109"/>
        <w:gridCol w:w="222"/>
        <w:gridCol w:w="375"/>
        <w:gridCol w:w="124"/>
        <w:gridCol w:w="109"/>
        <w:gridCol w:w="109"/>
        <w:gridCol w:w="109"/>
        <w:gridCol w:w="196"/>
        <w:gridCol w:w="421"/>
        <w:gridCol w:w="109"/>
        <w:gridCol w:w="109"/>
        <w:gridCol w:w="109"/>
        <w:gridCol w:w="109"/>
        <w:gridCol w:w="196"/>
        <w:gridCol w:w="556"/>
        <w:gridCol w:w="109"/>
        <w:gridCol w:w="109"/>
        <w:gridCol w:w="109"/>
        <w:gridCol w:w="109"/>
        <w:gridCol w:w="196"/>
        <w:gridCol w:w="646"/>
        <w:gridCol w:w="154"/>
      </w:tblGrid>
      <w:tr>
        <w:trPr/>
        <w:tc>
          <w:tcPr>
            <w:tcW w:w="49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8" w:type="dxa"/>
            <w:gridSpan w:val="27"/>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3" w:type="dxa"/>
            <w:gridSpan w:val="27"/>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December 31, 2025</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Amortized Cost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Allowance for Credit Losses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Gross Unrealized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Estimated Fair Value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Amortized Cost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Gross Unrealized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Estimated Fair Value</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2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2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8" w:type="dxa"/>
            <w:gridSpan w:val="57"/>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(In millions)</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U.S. corporate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40,767 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5"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37,727 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41,030 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5"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38,409 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Foreign corporate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11,989 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12,311 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11,434 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Residential mortgage-backed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9,425 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8,476 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U.S. government and agency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6,445 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Asset-backed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6,031 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Commercial mortgage-backed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State and political subdivision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3,423 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Foreign government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942 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fixed maturity securities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85,466 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6,245 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79,728 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85,907 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951 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5,836 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80,960 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held non-income producing fixed maturity securities with an estimated fair value of $9 million and $14 million at June 30, 2026 and December 31,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60985"/>
                <wp:effectExtent l="0" t="0" r="0" b="0"/>
                <wp:wrapNone/>
                <wp:docPr id="23" name="Frame22"/>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20" w:after="283"/>
        <w:jc w:val="left"/>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7. Investments (continued)</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Maturities of Fixed Maturity Securities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amortized cost and estimated fair value of fixed maturity securities, by contractual maturity date, were as follows at June 30, 2026:</w:t>
      </w:r>
    </w:p>
    <w:tbl>
      <w:tblPr>
        <w:tblW w:w="10205" w:type="dxa"/>
        <w:jc w:val="left"/>
        <w:tblInd w:w="0" w:type="dxa"/>
        <w:tblLayout w:type="fixed"/>
        <w:tblCellMar>
          <w:top w:w="28" w:type="dxa"/>
          <w:left w:w="28" w:type="dxa"/>
          <w:bottom w:w="28" w:type="dxa"/>
          <w:right w:w="28" w:type="dxa"/>
        </w:tblCellMar>
      </w:tblPr>
      <w:tblGrid>
        <w:gridCol w:w="368"/>
        <w:gridCol w:w="323"/>
        <w:gridCol w:w="325"/>
        <w:gridCol w:w="248"/>
        <w:gridCol w:w="705"/>
        <w:gridCol w:w="138"/>
        <w:gridCol w:w="109"/>
        <w:gridCol w:w="109"/>
        <w:gridCol w:w="109"/>
        <w:gridCol w:w="295"/>
        <w:gridCol w:w="974"/>
        <w:gridCol w:w="164"/>
        <w:gridCol w:w="109"/>
        <w:gridCol w:w="109"/>
        <w:gridCol w:w="109"/>
        <w:gridCol w:w="297"/>
        <w:gridCol w:w="979"/>
        <w:gridCol w:w="165"/>
        <w:gridCol w:w="109"/>
        <w:gridCol w:w="109"/>
        <w:gridCol w:w="109"/>
        <w:gridCol w:w="226"/>
        <w:gridCol w:w="747"/>
        <w:gridCol w:w="126"/>
        <w:gridCol w:w="109"/>
        <w:gridCol w:w="109"/>
        <w:gridCol w:w="109"/>
        <w:gridCol w:w="239"/>
        <w:gridCol w:w="789"/>
        <w:gridCol w:w="133"/>
        <w:gridCol w:w="109"/>
        <w:gridCol w:w="109"/>
        <w:gridCol w:w="109"/>
        <w:gridCol w:w="260"/>
        <w:gridCol w:w="857"/>
        <w:gridCol w:w="212"/>
      </w:tblGrid>
      <w:tr>
        <w:trPr/>
        <w:tc>
          <w:tcPr>
            <w:tcW w:w="36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Due in One Year or 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Due After One Year Through Five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Due After Five Years Through Ten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Due After Ten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Structured Securities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Total Fixed Maturity Securities</w:t>
            </w:r>
          </w:p>
        </w:tc>
      </w:tr>
      <w:tr>
        <w:trPr/>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9" w:type="dxa"/>
            <w:gridSpan w:val="3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01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Amortized cost</w:t>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5,199 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20,615 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12,670 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25,784 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21,198 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85,466 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Estimated fair value</w:t>
            </w:r>
          </w:p>
        </w:tc>
        <w:tc>
          <w:tcPr>
            <w:tcW w:w="248"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5,181 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20,039 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12,255 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21,889 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20,364 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79,728 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(1)Structured securities include residential mortgage-backed securities (“RMBS”), commercial mortgage-backed securities (“CMBS”) and asset-backed securities (“ABS”) (collectively, “Structured Securities”).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Actual maturities may differ from contractual maturities due to the exercise of call or prepayment options. Fixed maturity securities not due at a single maturity date have been presented in the year of final contractual maturity. Structured Securities are shown separately, as they are not due at a single maturity.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Continuous Gross Unrealized Losses for Fixed Maturity Securities by Sector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estimated fair value and gross unrealized losses of fixed maturity securities in an unrealized loss position, by sector and by length of time that the securities have been in a continuous unrealized loss position, were as follows at:</w:t>
      </w:r>
    </w:p>
    <w:tbl>
      <w:tblPr>
        <w:tblW w:w="10553" w:type="dxa"/>
        <w:jc w:val="left"/>
        <w:tblInd w:w="0" w:type="dxa"/>
        <w:tblLayout w:type="fixed"/>
        <w:tblCellMar>
          <w:top w:w="28" w:type="dxa"/>
          <w:left w:w="28" w:type="dxa"/>
          <w:bottom w:w="28" w:type="dxa"/>
          <w:right w:w="28" w:type="dxa"/>
        </w:tblCellMar>
      </w:tblPr>
      <w:tblGrid>
        <w:gridCol w:w="463"/>
        <w:gridCol w:w="248"/>
        <w:gridCol w:w="250"/>
        <w:gridCol w:w="196"/>
        <w:gridCol w:w="646"/>
        <w:gridCol w:w="109"/>
        <w:gridCol w:w="109"/>
        <w:gridCol w:w="109"/>
        <w:gridCol w:w="109"/>
        <w:gridCol w:w="239"/>
        <w:gridCol w:w="513"/>
        <w:gridCol w:w="134"/>
        <w:gridCol w:w="109"/>
        <w:gridCol w:w="109"/>
        <w:gridCol w:w="109"/>
        <w:gridCol w:w="196"/>
        <w:gridCol w:w="646"/>
        <w:gridCol w:w="109"/>
        <w:gridCol w:w="109"/>
        <w:gridCol w:w="109"/>
        <w:gridCol w:w="109"/>
        <w:gridCol w:w="201"/>
        <w:gridCol w:w="572"/>
        <w:gridCol w:w="113"/>
        <w:gridCol w:w="109"/>
        <w:gridCol w:w="109"/>
        <w:gridCol w:w="109"/>
        <w:gridCol w:w="196"/>
        <w:gridCol w:w="556"/>
        <w:gridCol w:w="109"/>
        <w:gridCol w:w="109"/>
        <w:gridCol w:w="109"/>
        <w:gridCol w:w="109"/>
        <w:gridCol w:w="239"/>
        <w:gridCol w:w="513"/>
        <w:gridCol w:w="134"/>
        <w:gridCol w:w="109"/>
        <w:gridCol w:w="109"/>
        <w:gridCol w:w="109"/>
        <w:gridCol w:w="196"/>
        <w:gridCol w:w="646"/>
        <w:gridCol w:w="109"/>
        <w:gridCol w:w="109"/>
        <w:gridCol w:w="109"/>
        <w:gridCol w:w="109"/>
        <w:gridCol w:w="201"/>
        <w:gridCol w:w="571"/>
        <w:gridCol w:w="159"/>
      </w:tblGrid>
      <w:tr>
        <w:trPr/>
        <w:tc>
          <w:tcPr>
            <w:tcW w:w="46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12 Months or Greater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12 Months or Greater</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2" w:type="dxa"/>
            <w:gridSpan w:val="45"/>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(Dollars in millions)</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U.S. corporate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9,554 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13"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424 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17,918 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2,841 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13"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394 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18,777 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2,637 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Foreign corporate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922 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RMBS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546 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523 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U.S. government and agency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618 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591 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ABS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CMBS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219 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State and political subdivision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263 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Foreign government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Total fixed maturity securities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20,444 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728 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35,356 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5,517 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648 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37,860 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5,188 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Total number of securities in an unrealized loss position</w:t>
            </w:r>
          </w:p>
        </w:tc>
        <w:tc>
          <w:tcPr>
            <w:tcW w:w="84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2,930 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4,745 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1,313 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5,035 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i/>
          <w:color w:val="000000"/>
          <w:sz w:val="20"/>
          <w:u w:val="single"/>
        </w:rPr>
      </w:pPr>
      <w:r>
        <w:rPr>
          <w:rFonts w:ascii="Times New Roman;serif" w:hAnsi="Times New Roman;serif"/>
          <w:b/>
          <w:i/>
          <w:color w:val="000000"/>
          <w:sz w:val="20"/>
          <w:u w:val="single"/>
        </w:rPr>
        <w:t>Allowance for Credit Losses for Fixed Maturity Securities</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Evaluation and Measurement Methodologies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fixed maturity securities in an unrealized loss position, management first assesses whether the Company intends to sell, or whether it is more likely than not it will be required to sell the security before recovery of its amortized cost basis. If either of the criteria regarding intent or requirement to sell is met, the security’s amortized cost basis is written down to estimated fair value through net investment gains (losses). For fixed maturity securities that do not meet the aforementioned criteria, management evaluates whether the decline in estimated fair value has resulted from credit losses or other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60985"/>
                <wp:effectExtent l="0" t="0" r="0" b="0"/>
                <wp:wrapNone/>
                <wp:docPr id="24" name="Frame23"/>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20" w:after="283"/>
        <w:jc w:val="left"/>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7. Investments (continued)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Inherent in management’s evaluation of the security are assumptions and estimates about the operations of the issuer and its future earnings potential. Considerations used in the allowance for credit loss evaluation process include, but are not limited to: (i) the extent to which estimated fair value is less than amortized cost; (ii) any changes to the rating of the security by a rating agency; (iii) adverse conditions specifically related to the security, industry or geographic area; and (iv) payment structure of the fixed maturity security and the likelihood of the issuer being able to make payments in the future or the issuer’s failure to make scheduled interest and principal payments.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is deemed to exist and an allowance for credit losses is recorded, limited by the amount that the estimated fair value is less than the amortized cost basis, with a corresponding charge to net investment gains (losses). Any unrealized losses that have not been recorded through an allowance for credit losses are recognized in other comprehensive income (“OCI”).</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Once a security specific allowance for credit losses is established, the present value of cash flows expected to be collected from the security continues to be reassessed. Any changes in the security specific allowance for credit losses are recorded as a provision for (or reversal of) credit loss expense in net investment gains (losses).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Fixed maturity securities are also evaluated to determine whether any amounts have become uncollectible. When all, or a portion, of a security is deemed uncollectible, the uncollectible portion is written-off with an adjustment to amortized cost and a corresponding reduction to the allowance for credit losses.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Accrued interest receivables are presented separate from the amortized cost basis of fixed maturity securities. An allowance for credit losses is not estimated on an accrued interest receivable, rather receivable balances 90-days past due are deemed uncollectible and are written off with a corresponding reduction to net investment income. The accrued interest receivable on fixed maturity securities totaled $660 million and $663 million at June 30, 2026 and December 31, 2025, respectively, and is included in accrued investment income.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Fixed maturity securities are also evaluated to determine if they qualify as purchased financial assets with credit deterioration (“PCD”). To determine if the credit deterioration experienced since origination is more than insignificant, both (i) the extent of the credit deterioration and (ii) any rating agency downgrades are evaluated. For securities categorized as PCD assets, the present value of cash flows expected to be collected from the security are compared to the par value of the security. If the present value of cash flows expected to be collected is less than the par value, credit losses are embedded in the purchase price of the PCD asset. In this situation, both an allowance for credit losses and amortized cost gross-up is recorded, limited by the amount that the estimated fair value is less than the grossed-up amortized cost basis. Any difference between the purchase price and the present value of cash flows is amortized or accreted into net investment income over the life of the PCD asset. Any subsequent PCD asset allowance for credit losses is evaluated in a manner similar to the process described above for fixed maturity securities.</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Current Period Evaluation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Based on the Company’s current evaluation of its fixed maturity securities in an unrealized loss position and the current intent or requirement to sell, the Company recorded an allowance for credit losses of $63 million, relating to 18 securities, at June 30, 2026. Management concluded that for all other fixed maturity securities in an unrealized loss position, the unrealized loss was not due to issuer-specific credit-related factors and as a result was recognized in OCI. Where unrealized losses have not been recognized into income, it is primarily because the securities’ bond issuer(s) are of high credit quality, management does not intend to sell and it is likely that management will not be required to sell the securities prior to their anticipated recovery, and the decline in estimated fair value is largely due to changes in interest rates and non-issuer specific credit spreads. These issuers continued to make timely principal and interest payments and the estimated fair value is expected to recover as the securities approach maturity.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60985"/>
                <wp:effectExtent l="0" t="0" r="0" b="0"/>
                <wp:wrapNone/>
                <wp:docPr id="25" name="Frame24"/>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20" w:after="283"/>
        <w:jc w:val="left"/>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7. Investments (continued)</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Rollforward of the Allowance for Credit Losses for Fixed Maturity Securities by Sector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changes in the allowance for credit losses for fixed maturity securities by sector were as follows:</w:t>
      </w:r>
    </w:p>
    <w:tbl>
      <w:tblPr>
        <w:tblW w:w="10205" w:type="dxa"/>
        <w:jc w:val="left"/>
        <w:tblInd w:w="0" w:type="dxa"/>
        <w:tblLayout w:type="fixed"/>
        <w:tblCellMar>
          <w:top w:w="28" w:type="dxa"/>
          <w:left w:w="28" w:type="dxa"/>
          <w:bottom w:w="28" w:type="dxa"/>
          <w:right w:w="28" w:type="dxa"/>
        </w:tblCellMar>
      </w:tblPr>
      <w:tblGrid>
        <w:gridCol w:w="1290"/>
        <w:gridCol w:w="1044"/>
        <w:gridCol w:w="1053"/>
        <w:gridCol w:w="109"/>
        <w:gridCol w:w="109"/>
        <w:gridCol w:w="109"/>
        <w:gridCol w:w="320"/>
        <w:gridCol w:w="540"/>
        <w:gridCol w:w="178"/>
        <w:gridCol w:w="109"/>
        <w:gridCol w:w="109"/>
        <w:gridCol w:w="109"/>
        <w:gridCol w:w="109"/>
        <w:gridCol w:w="360"/>
        <w:gridCol w:w="609"/>
        <w:gridCol w:w="201"/>
        <w:gridCol w:w="109"/>
        <w:gridCol w:w="109"/>
        <w:gridCol w:w="109"/>
        <w:gridCol w:w="204"/>
        <w:gridCol w:w="252"/>
        <w:gridCol w:w="115"/>
        <w:gridCol w:w="109"/>
        <w:gridCol w:w="109"/>
        <w:gridCol w:w="109"/>
        <w:gridCol w:w="109"/>
        <w:gridCol w:w="204"/>
        <w:gridCol w:w="252"/>
        <w:gridCol w:w="115"/>
        <w:gridCol w:w="109"/>
        <w:gridCol w:w="109"/>
        <w:gridCol w:w="109"/>
        <w:gridCol w:w="109"/>
        <w:gridCol w:w="196"/>
        <w:gridCol w:w="406"/>
        <w:gridCol w:w="109"/>
        <w:gridCol w:w="109"/>
        <w:gridCol w:w="196"/>
        <w:gridCol w:w="331"/>
        <w:gridCol w:w="159"/>
      </w:tblGrid>
      <w:tr>
        <w:trPr/>
        <w:tc>
          <w:tcPr>
            <w:tcW w:w="129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U.S. Corporate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Foreign 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RMBS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CMBS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ABS</w:t>
            </w:r>
          </w:p>
        </w:tc>
        <w:tc>
          <w:tcPr>
            <w:tcW w:w="109" w:type="dxa"/>
            <w:tcBorders/>
            <w:vAlign w:val="center"/>
          </w:tcPr>
          <w:p>
            <w:pPr>
              <w:pStyle w:val="TableContents"/>
              <w:bidi w:val="0"/>
              <w:spacing w:before="0" w:after="283"/>
              <w:jc w:val="left"/>
              <w:rPr>
                <w:sz w:val="4"/>
                <w:szCs w:val="4"/>
              </w:rPr>
            </w:pPr>
            <w:r>
              <w:rPr>
                <w:sz w:val="4"/>
                <w:szCs w:val="4"/>
              </w:rPr>
            </w:r>
          </w:p>
        </w:tc>
        <w:tc>
          <w:tcPr>
            <w:tcW w:w="6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8" w:type="dxa"/>
            <w:gridSpan w:val="24"/>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1833" w:type="dxa"/>
            <w:gridSpan w:val="10"/>
            <w:tcBorders/>
          </w:tcPr>
          <w:p>
            <w:pPr>
              <w:pStyle w:val="TableContents"/>
              <w:bidi w:val="0"/>
              <w:spacing w:before="0" w:after="283"/>
              <w:jc w:val="left"/>
              <w:rPr>
                <w:sz w:val="4"/>
                <w:szCs w:val="4"/>
              </w:rPr>
            </w:pPr>
            <w:r>
              <w:rPr>
                <w:sz w:val="4"/>
                <w:szCs w:val="4"/>
              </w:rPr>
            </w:r>
          </w:p>
        </w:tc>
      </w:tr>
      <w:tr>
        <w:trPr/>
        <w:tc>
          <w:tcPr>
            <w:tcW w:w="3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Six Months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on securities where credit losses were not previously recorded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r>
      <w:tr>
        <w:trPr/>
        <w:tc>
          <w:tcPr>
            <w:tcW w:w="3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Reductions for securities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allowance on securities with an allowance recorded in a previous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Write-offs charged against allowance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7"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Six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7"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87"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Allowance on securities where credit losses were not previously recorded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r>
      <w:tr>
        <w:trPr/>
        <w:tc>
          <w:tcPr>
            <w:tcW w:w="3387"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Reductions for securities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allowance on securities with an allowance recorded in a previous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7"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Write-offs charged against allowance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7"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Company did not record any write-offs for the six months ended June 30, 2026. The Company recorded total write-offs of $33 million for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Mortgage Loans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Mortgage Loans by Portfolio Segment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Mortgage loans are summarized as follows at:</w:t>
      </w:r>
    </w:p>
    <w:tbl>
      <w:tblPr>
        <w:tblW w:w="6632" w:type="dxa"/>
        <w:jc w:val="left"/>
        <w:tblInd w:w="0" w:type="dxa"/>
        <w:tblLayout w:type="fixed"/>
        <w:tblCellMar>
          <w:top w:w="28" w:type="dxa"/>
          <w:left w:w="28" w:type="dxa"/>
          <w:bottom w:w="28" w:type="dxa"/>
          <w:right w:w="28" w:type="dxa"/>
        </w:tblCellMar>
      </w:tblPr>
      <w:tblGrid>
        <w:gridCol w:w="743"/>
        <w:gridCol w:w="655"/>
        <w:gridCol w:w="656"/>
        <w:gridCol w:w="196"/>
        <w:gridCol w:w="646"/>
        <w:gridCol w:w="109"/>
        <w:gridCol w:w="109"/>
        <w:gridCol w:w="109"/>
        <w:gridCol w:w="109"/>
        <w:gridCol w:w="278"/>
        <w:gridCol w:w="278"/>
        <w:gridCol w:w="268"/>
        <w:gridCol w:w="109"/>
        <w:gridCol w:w="109"/>
        <w:gridCol w:w="109"/>
        <w:gridCol w:w="196"/>
        <w:gridCol w:w="646"/>
        <w:gridCol w:w="109"/>
        <w:gridCol w:w="109"/>
        <w:gridCol w:w="109"/>
        <w:gridCol w:w="109"/>
        <w:gridCol w:w="278"/>
        <w:gridCol w:w="278"/>
        <w:gridCol w:w="315"/>
      </w:tblGrid>
      <w:tr>
        <w:trPr/>
        <w:tc>
          <w:tcPr>
            <w:tcW w:w="74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9"/>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Carrying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Carrying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21"/>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Commercial</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52.8 </w:t>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54.2 </w:t>
            </w:r>
          </w:p>
        </w:tc>
        <w:tc>
          <w:tcPr>
            <w:tcW w:w="315"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Agricultural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Residential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 mortgage loans (1)</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22,802 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101.0 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22,926 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100.9 </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Allowance for credit losses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 mortgage loans,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22,582 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22,726 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(1)Purchases of mortgage loans from third parties were $426 million and $721 million for the three months and six months ended June 30, 2026, respectively, and $379 million and $557 million for the three months and six months ended June 30, 2025, respectively, and were primarily comprised of residential mortgage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60985"/>
                <wp:effectExtent l="0" t="0" r="0" b="0"/>
                <wp:wrapNone/>
                <wp:docPr id="26" name="Frame25"/>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20" w:after="283"/>
        <w:jc w:val="left"/>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7. Investments (continued)</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Allowance for Credit Losses for Mortgage Loans</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Evaluation and Measurement Methodologies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allowance for credit losses is a valuation account that is deducted from the mortgage loan’s amortized cost basis to present the net amount expected to be collected on the mortgage loan. The loan balance, or a portion of the loan balance, is written-off against the allowance when management believes this amount is uncollectible. </w:t>
      </w:r>
    </w:p>
    <w:p>
      <w:pPr>
        <w:pStyle w:val="TextBody"/>
        <w:bidi w:val="0"/>
        <w:spacing w:lineRule="auto" w:line="288" w:before="120" w:after="283"/>
        <w:ind w:left="0" w:right="0" w:firstLine="360"/>
        <w:jc w:val="both"/>
        <w:rPr/>
      </w:pPr>
      <w:r>
        <w:rPr>
          <w:rFonts w:ascii="Times New Roman;serif" w:hAnsi="Times New Roman;serif"/>
          <w:b w:val="false"/>
          <w:color w:val="000000"/>
          <w:sz w:val="20"/>
        </w:rPr>
        <w:t>Accrued interest receivables are presented separate from the amortized cost basis of mortgage loans. An allowance for credit losses is generally not estimated on an accrued interest receivable, rather when a loan is placed in nonaccrual status the associated accrued interest receivable balance is written off with a corresponding reduction to net investment income. The accrued interest receivable on mortgage loans is included in accrued investment income and totaled $128 million</w:t>
      </w:r>
      <w:r>
        <w:rPr>
          <w:color w:val="000000"/>
        </w:rPr>
        <w:t xml:space="preserve"> </w:t>
      </w:r>
      <w:r>
        <w:rPr>
          <w:rFonts w:ascii="Times New Roman;serif" w:hAnsi="Times New Roman;serif"/>
          <w:b w:val="false"/>
          <w:color w:val="000000"/>
          <w:sz w:val="20"/>
        </w:rPr>
        <w:t>and $132 million at June 30, 2026 and December 31, 2025, respectively.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allowance for credit losses is estimated using relevant available information, from internal and external sources, relating to past events, current conditions, and a reasonable and supportable forecast. Historical credit loss experience provides the basis for estimating expected credit losses. Adjustments to historical loss information are made for differences in current loan-specific risk characteristics and environmental conditions. A reasonable and supportable forecast period of two years is used with an input reversion period of one year.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Mortgage loans are evaluated in each of the three portfolio segments to determine the allowance for credit losses. The loan-level loss rates are determined using individual loan terms and characteristics, risk pools/internal ratings, national economic forecasts, prepayment speeds, and estimated default and loss severity. The resulting loss rates are applied to the mortgage loan’s amortized cost to generate an allowance for credit losses. In certain situations, the allowance for credit losses is measured as the difference between the loan’s amortized cost and liquidation value of the collateral. These situations include collateral dependent loans, modifications, foreclosure probable loans, and loans with dissimilar risk characteristics.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Mortgage loans are also evaluated to determine if they qualify as PCD assets. To determine if the credit deterioration experienced since origination is more than insignificant, the extent of credit deterioration is evaluated. All re-performing/modified loan (“RPL”) pools purchased after December 31, 2019 are determined to have been acquired with evidence of more than insignificant credit deterioration since origination and are classified as PCD assets. RPLs are pools of residential mortgage loans acquired at a discount or premium which have both credit and non-credit components.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PCD mortgage loans, the allowance for credit losses is determined using a similar methodology described above, except the loss-rate is determined at the pool level instead of the individual loan level. The initial allowance for credit losses, determined on a collective basis, is then allocated to the individual loans. The initial amortized cost of the loan is grossed-up to reflect the sum of the loan’s purchase price and allowance for credit losses. The difference between the grossed-up amortized cost basis and the par value of the loan is a non-credit discount or premium, which is accreted or amortized into net investment income over the remaining life of the loan. Any subsequent PCD mortgage loan allowance for credit losses is evaluated in a manner similar to the process described above for each of the three portfolio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60985"/>
                <wp:effectExtent l="0" t="0" r="0" b="0"/>
                <wp:wrapNone/>
                <wp:docPr id="27" name="Frame26"/>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20" w:after="283"/>
        <w:jc w:val="left"/>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7. Investments (continued)</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Rollforward of the Allowance for Credit Losses for Mortgage Loans by Portfolio Segment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changes in the allowance for credit losses by portfolio segment were as follows:</w:t>
      </w:r>
    </w:p>
    <w:tbl>
      <w:tblPr>
        <w:tblW w:w="7304" w:type="dxa"/>
        <w:jc w:val="left"/>
        <w:tblInd w:w="0" w:type="dxa"/>
        <w:tblLayout w:type="fixed"/>
        <w:tblCellMar>
          <w:top w:w="28" w:type="dxa"/>
          <w:left w:w="28" w:type="dxa"/>
          <w:bottom w:w="28" w:type="dxa"/>
          <w:right w:w="28" w:type="dxa"/>
        </w:tblCellMar>
      </w:tblPr>
      <w:tblGrid>
        <w:gridCol w:w="961"/>
        <w:gridCol w:w="843"/>
        <w:gridCol w:w="850"/>
        <w:gridCol w:w="267"/>
        <w:gridCol w:w="574"/>
        <w:gridCol w:w="150"/>
        <w:gridCol w:w="109"/>
        <w:gridCol w:w="109"/>
        <w:gridCol w:w="109"/>
        <w:gridCol w:w="310"/>
        <w:gridCol w:w="523"/>
        <w:gridCol w:w="173"/>
        <w:gridCol w:w="109"/>
        <w:gridCol w:w="109"/>
        <w:gridCol w:w="109"/>
        <w:gridCol w:w="277"/>
        <w:gridCol w:w="468"/>
        <w:gridCol w:w="156"/>
        <w:gridCol w:w="109"/>
        <w:gridCol w:w="109"/>
        <w:gridCol w:w="109"/>
        <w:gridCol w:w="196"/>
        <w:gridCol w:w="421"/>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Commercial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Agricultural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Residential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21"/>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Six Months Ended June 30, 2026</w:t>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Current period provision</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Charge-offs, net of recoveries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Six Months Ended June 30, 2025</w:t>
            </w:r>
          </w:p>
        </w:tc>
        <w:tc>
          <w:tcPr>
            <w:tcW w:w="9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267"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3"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8"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Current period provision</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Charge-offs, net of recoveries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Credit Quality of Mortgage Loans by Portfolio Segment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amortized cost of mortgage loans by year of origination and credit quality indicator was as follows at:</w:t>
      </w:r>
    </w:p>
    <w:tbl>
      <w:tblPr>
        <w:tblW w:w="10205" w:type="dxa"/>
        <w:jc w:val="left"/>
        <w:tblInd w:w="0" w:type="dxa"/>
        <w:tblLayout w:type="fixed"/>
        <w:tblCellMar>
          <w:top w:w="28" w:type="dxa"/>
          <w:left w:w="28" w:type="dxa"/>
          <w:bottom w:w="28" w:type="dxa"/>
          <w:right w:w="28" w:type="dxa"/>
        </w:tblCellMar>
      </w:tblPr>
      <w:tblGrid>
        <w:gridCol w:w="809"/>
        <w:gridCol w:w="672"/>
        <w:gridCol w:w="643"/>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421"/>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56"/>
      </w:tblGrid>
      <w:tr>
        <w:trPr/>
        <w:tc>
          <w:tcPr>
            <w:tcW w:w="80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1" w:type="dxa"/>
            <w:gridSpan w:val="39"/>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12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Commercial mortgage loans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Loan-to-value ratios: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Less than 65%</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5,910 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65% to 75%</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2,855 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76% to 80%</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Greater than 80%</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2,419 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 commercial mortgage loans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7,929 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11,927 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Agricultural mortgage loans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Loan-to-value ratios: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Less than 65%</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4,385 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65% to 75%</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76% to 80%</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Greater than 80%</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 agricultural mortgage loans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4,664 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Residential mortgage loans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Performing</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6,099 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Nonperforming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 residential mortgage loans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6,211 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3,659 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13,756 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22,802 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60985"/>
                <wp:effectExtent l="0" t="0" r="0" b="0"/>
                <wp:wrapNone/>
                <wp:docPr id="28" name="Frame27"/>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20" w:after="283"/>
        <w:jc w:val="left"/>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7. Investments (continued)</w:t>
      </w:r>
    </w:p>
    <w:tbl>
      <w:tblPr>
        <w:tblW w:w="10205" w:type="dxa"/>
        <w:jc w:val="center"/>
        <w:tblInd w:w="0" w:type="dxa"/>
        <w:tblLayout w:type="fixed"/>
        <w:tblCellMar>
          <w:top w:w="28" w:type="dxa"/>
          <w:left w:w="28" w:type="dxa"/>
          <w:bottom w:w="28" w:type="dxa"/>
          <w:right w:w="28" w:type="dxa"/>
        </w:tblCellMar>
      </w:tblPr>
      <w:tblGrid>
        <w:gridCol w:w="847"/>
        <w:gridCol w:w="683"/>
        <w:gridCol w:w="685"/>
        <w:gridCol w:w="196"/>
        <w:gridCol w:w="556"/>
        <w:gridCol w:w="109"/>
        <w:gridCol w:w="109"/>
        <w:gridCol w:w="109"/>
        <w:gridCol w:w="109"/>
        <w:gridCol w:w="196"/>
        <w:gridCol w:w="556"/>
        <w:gridCol w:w="109"/>
        <w:gridCol w:w="109"/>
        <w:gridCol w:w="109"/>
        <w:gridCol w:w="109"/>
        <w:gridCol w:w="196"/>
        <w:gridCol w:w="421"/>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646"/>
        <w:gridCol w:w="155"/>
      </w:tblGrid>
      <w:tr>
        <w:trPr/>
        <w:tc>
          <w:tcPr>
            <w:tcW w:w="84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0" w:type="dxa"/>
            <w:gridSpan w:val="39"/>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Commercial mortgage loans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Loan-to-value ratios: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Less than 65%</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65% to 75%</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76% to 80%</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Greater than 80%</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 commercial mortgage loans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Agricultural mortgage loans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Loan-to-value ratios: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Less than 65%</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65% to 75%</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76% to 80%</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Greater than 80%</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 agricultural mortgage loans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Residential mortgage loans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Performing</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Nonperforming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 residential mortgage loans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22,926 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loan-to-value ratio is a measure commonly used to assess the quality of commercial and agricultural mortgage loans. The loan-to-value ratio compares the amount of the loan to the estimated fair value of the underlying property collateralizing the loan and is commonly expressed as a percentage. A loan-to-value ratio less than 100% indicates an excess of collateral value over the loan amount. Loan-to-value ratios greater than 100% indicate that the loan amount exceeds the collateral value. Performing status is a measure commonly used to assess the quality of residential mortgage loans. A loan is considered performing when the borrower makes consistent and timely payments.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amortized cost of commercial mortgage loans by debt-service coverage ratio was as follows at:</w:t>
      </w:r>
    </w:p>
    <w:tbl>
      <w:tblPr>
        <w:tblW w:w="7338" w:type="dxa"/>
        <w:jc w:val="left"/>
        <w:tblInd w:w="0" w:type="dxa"/>
        <w:tblLayout w:type="fixed"/>
        <w:tblCellMar>
          <w:top w:w="28" w:type="dxa"/>
          <w:left w:w="28" w:type="dxa"/>
          <w:bottom w:w="28" w:type="dxa"/>
          <w:right w:w="28" w:type="dxa"/>
        </w:tblCellMar>
      </w:tblPr>
      <w:tblGrid>
        <w:gridCol w:w="788"/>
        <w:gridCol w:w="692"/>
        <w:gridCol w:w="694"/>
        <w:gridCol w:w="256"/>
        <w:gridCol w:w="846"/>
        <w:gridCol w:w="142"/>
        <w:gridCol w:w="109"/>
        <w:gridCol w:w="109"/>
        <w:gridCol w:w="109"/>
        <w:gridCol w:w="278"/>
        <w:gridCol w:w="278"/>
        <w:gridCol w:w="268"/>
        <w:gridCol w:w="109"/>
        <w:gridCol w:w="109"/>
        <w:gridCol w:w="109"/>
        <w:gridCol w:w="256"/>
        <w:gridCol w:w="846"/>
        <w:gridCol w:w="142"/>
        <w:gridCol w:w="109"/>
        <w:gridCol w:w="109"/>
        <w:gridCol w:w="109"/>
        <w:gridCol w:w="278"/>
        <w:gridCol w:w="278"/>
        <w:gridCol w:w="315"/>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4" w:type="dxa"/>
            <w:gridSpan w:val="21"/>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Debt-service coverage ratios:</w:t>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Greater than 1.20x</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10,468 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87.8 </w:t>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11,154 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90.5 </w:t>
            </w:r>
          </w:p>
        </w:tc>
        <w:tc>
          <w:tcPr>
            <w:tcW w:w="315"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1.00x - 1.20x</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839 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738 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Less than 1.00x</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620 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427 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11,927 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12,319 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debt-service coverage ratio compares a property’s net operating income to its debt-service payments. Debt-service coverage ratios less than 1.00 times indicate that property operations do not generate enough income to cover the loan’s current debt payments. A debt-service coverage ratio greater than 1.00 times indicates an excess of net operating income over the debt-service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60985"/>
                <wp:effectExtent l="0" t="0" r="0" b="0"/>
                <wp:wrapNone/>
                <wp:docPr id="29" name="Frame28"/>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20" w:after="283"/>
        <w:jc w:val="left"/>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7. Investments (continued)</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Past Due Mortgage Loans by Portfolio Segment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a high-quality, well-performing mortgage loan portfolio, with 99% of all mortgage loans classified as performing at both June 30, 2026 and December 31, 2025. Delinquency is defined consistent with industry practice, when mortgage loans are past due as follows: commercial and residential mortgage loans — 60 days; and agricultural mortgage loans — 90 days.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aging of the amortized cost of past due mortgage loans by portfolio segment was as follows at:</w:t>
      </w:r>
    </w:p>
    <w:tbl>
      <w:tblPr>
        <w:tblW w:w="10693" w:type="dxa"/>
        <w:jc w:val="left"/>
        <w:tblInd w:w="0" w:type="dxa"/>
        <w:tblLayout w:type="fixed"/>
        <w:tblCellMar>
          <w:top w:w="28" w:type="dxa"/>
          <w:left w:w="28" w:type="dxa"/>
          <w:bottom w:w="28" w:type="dxa"/>
          <w:right w:w="28" w:type="dxa"/>
        </w:tblCellMar>
      </w:tblPr>
      <w:tblGrid>
        <w:gridCol w:w="239"/>
        <w:gridCol w:w="210"/>
        <w:gridCol w:w="212"/>
        <w:gridCol w:w="204"/>
        <w:gridCol w:w="673"/>
        <w:gridCol w:w="114"/>
        <w:gridCol w:w="109"/>
        <w:gridCol w:w="109"/>
        <w:gridCol w:w="109"/>
        <w:gridCol w:w="229"/>
        <w:gridCol w:w="649"/>
        <w:gridCol w:w="128"/>
        <w:gridCol w:w="109"/>
        <w:gridCol w:w="109"/>
        <w:gridCol w:w="109"/>
        <w:gridCol w:w="205"/>
        <w:gridCol w:w="581"/>
        <w:gridCol w:w="115"/>
        <w:gridCol w:w="109"/>
        <w:gridCol w:w="109"/>
        <w:gridCol w:w="109"/>
        <w:gridCol w:w="196"/>
        <w:gridCol w:w="646"/>
        <w:gridCol w:w="109"/>
        <w:gridCol w:w="109"/>
        <w:gridCol w:w="109"/>
        <w:gridCol w:w="109"/>
        <w:gridCol w:w="204"/>
        <w:gridCol w:w="673"/>
        <w:gridCol w:w="114"/>
        <w:gridCol w:w="109"/>
        <w:gridCol w:w="109"/>
        <w:gridCol w:w="109"/>
        <w:gridCol w:w="229"/>
        <w:gridCol w:w="649"/>
        <w:gridCol w:w="128"/>
        <w:gridCol w:w="109"/>
        <w:gridCol w:w="109"/>
        <w:gridCol w:w="109"/>
        <w:gridCol w:w="205"/>
        <w:gridCol w:w="581"/>
        <w:gridCol w:w="115"/>
        <w:gridCol w:w="109"/>
        <w:gridCol w:w="109"/>
        <w:gridCol w:w="109"/>
        <w:gridCol w:w="196"/>
        <w:gridCol w:w="646"/>
        <w:gridCol w:w="154"/>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21"/>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21"/>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Agricultural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Agricultural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2" w:type="dxa"/>
            <w:gridSpan w:val="45"/>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Current</w:t>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11,801 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4,657 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6,001 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22,459 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12,212 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4,623 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5,865 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22,700 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30-59 days past due</w:t>
            </w:r>
          </w:p>
        </w:tc>
        <w:tc>
          <w:tcPr>
            <w:tcW w:w="877"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60-89 days past due</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90-179 days past due</w:t>
            </w:r>
          </w:p>
        </w:tc>
        <w:tc>
          <w:tcPr>
            <w:tcW w:w="877" w:type="dxa"/>
            <w:gridSpan w:val="2"/>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180+ days past due</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11,927 </w:t>
            </w:r>
          </w:p>
        </w:tc>
        <w:tc>
          <w:tcPr>
            <w:tcW w:w="1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4,664 </w:t>
            </w:r>
          </w:p>
        </w:tc>
        <w:tc>
          <w:tcPr>
            <w:tcW w:w="1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6,211 </w:t>
            </w:r>
          </w:p>
        </w:tc>
        <w:tc>
          <w:tcPr>
            <w:tcW w:w="1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22,802 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12,319 </w:t>
            </w:r>
          </w:p>
        </w:tc>
        <w:tc>
          <w:tcPr>
            <w:tcW w:w="1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4,631 </w:t>
            </w:r>
          </w:p>
        </w:tc>
        <w:tc>
          <w:tcPr>
            <w:tcW w:w="1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5,976 </w:t>
            </w:r>
          </w:p>
        </w:tc>
        <w:tc>
          <w:tcPr>
            <w:tcW w:w="1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22,926 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u w:val="single"/>
        </w:rPr>
      </w:pPr>
      <w:r>
        <w:rPr>
          <w:rFonts w:ascii="Times New Roman;serif" w:hAnsi="Times New Roman;serif"/>
          <w:b/>
          <w:i/>
          <w:color w:val="000000"/>
          <w:sz w:val="20"/>
          <w:u w:val="single"/>
        </w:rPr>
        <w:t>Mortgage Loans in Nonaccrual Status by Portfolio Segment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Mortgage loans are placed in a nonaccrual status if there are concerns regarding collectability of future payments or the loan is past due, unless the past due loan is well collateralized.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amortized cost of mortgage loans in a nonaccrual status by portfolio segment was as follows at:</w:t>
      </w:r>
    </w:p>
    <w:tbl>
      <w:tblPr>
        <w:tblW w:w="6597" w:type="dxa"/>
        <w:jc w:val="left"/>
        <w:tblInd w:w="0" w:type="dxa"/>
        <w:tblLayout w:type="fixed"/>
        <w:tblCellMar>
          <w:top w:w="28" w:type="dxa"/>
          <w:left w:w="28" w:type="dxa"/>
          <w:bottom w:w="28" w:type="dxa"/>
          <w:right w:w="28" w:type="dxa"/>
        </w:tblCellMar>
      </w:tblPr>
      <w:tblGrid>
        <w:gridCol w:w="612"/>
        <w:gridCol w:w="539"/>
        <w:gridCol w:w="543"/>
        <w:gridCol w:w="267"/>
        <w:gridCol w:w="574"/>
        <w:gridCol w:w="150"/>
        <w:gridCol w:w="109"/>
        <w:gridCol w:w="109"/>
        <w:gridCol w:w="109"/>
        <w:gridCol w:w="361"/>
        <w:gridCol w:w="444"/>
        <w:gridCol w:w="201"/>
        <w:gridCol w:w="109"/>
        <w:gridCol w:w="109"/>
        <w:gridCol w:w="109"/>
        <w:gridCol w:w="311"/>
        <w:gridCol w:w="669"/>
        <w:gridCol w:w="174"/>
        <w:gridCol w:w="109"/>
        <w:gridCol w:w="109"/>
        <w:gridCol w:w="109"/>
        <w:gridCol w:w="196"/>
        <w:gridCol w:w="421"/>
        <w:gridCol w:w="154"/>
      </w:tblGrid>
      <w:tr>
        <w:trPr/>
        <w:tc>
          <w:tcPr>
            <w:tcW w:w="61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Commercial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Agricultural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Residential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3" w:type="dxa"/>
            <w:gridSpan w:val="21"/>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267"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267"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The Company had $50 million and $54 million of mortgage loans in nonaccrual status for which there was no related allowance for credit losses at June 30, 2026 and December 31, 2025, respectively.</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Current period investment income on mortgage loans in nonaccrual status was $3 million for both the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u w:val="single"/>
        </w:rPr>
      </w:pPr>
      <w:r>
        <w:rPr>
          <w:rFonts w:ascii="Times New Roman;serif" w:hAnsi="Times New Roman;serif"/>
          <w:b/>
          <w:i/>
          <w:color w:val="000000"/>
          <w:sz w:val="20"/>
          <w:u w:val="single"/>
        </w:rPr>
        <w:t>Modified Mortgage Loans by Portfolio Segment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certain circumstances, modifications are granted to mortgage loans. Generally, the types of concessions may include interest rate reduction, term extension, principal forgiveness, or a combination of all three. The Company did not have a significant amount of mortgage loans modified during both the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Other Invested Assets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Over 85% of other invested assets is comprised of freestanding derivatives with positive estimated fair values. See Note 8 for information about freestanding derivatives with positive estimated fair values. Other invested assets also includes the Company’s investment in company-owned life insurance, Federal Home Loan Bank (“FHLB”) stock, leveraged leases and tax credit and renewable energy partnerships.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Net Unrealized Investment Gains (Losses)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Unrealized investment gains (losses) on fixed maturity securities, and the effect on future policy benefits that would result from the realization of the unrealized gains (losses), are included in net unrealized investment gains (losses) in accumulated other comprehensive income (loss) (“AOCI”).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60985"/>
                <wp:effectExtent l="0" t="0" r="0" b="0"/>
                <wp:wrapNone/>
                <wp:docPr id="30" name="Frame29"/>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20" w:after="283"/>
        <w:jc w:val="left"/>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7. Investments (continued)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net unrealized investment gains (losses), included in AOCI, were as follows at:</w:t>
      </w:r>
    </w:p>
    <w:tbl>
      <w:tblPr>
        <w:tblW w:w="5965" w:type="dxa"/>
        <w:jc w:val="left"/>
        <w:tblInd w:w="0" w:type="dxa"/>
        <w:tblLayout w:type="fixed"/>
        <w:tblCellMar>
          <w:top w:w="28" w:type="dxa"/>
          <w:left w:w="28" w:type="dxa"/>
          <w:bottom w:w="28" w:type="dxa"/>
          <w:right w:w="28" w:type="dxa"/>
        </w:tblCellMar>
      </w:tblPr>
      <w:tblGrid>
        <w:gridCol w:w="1077"/>
        <w:gridCol w:w="942"/>
        <w:gridCol w:w="950"/>
        <w:gridCol w:w="235"/>
        <w:gridCol w:w="759"/>
        <w:gridCol w:w="131"/>
        <w:gridCol w:w="109"/>
        <w:gridCol w:w="109"/>
        <w:gridCol w:w="109"/>
        <w:gridCol w:w="308"/>
        <w:gridCol w:w="994"/>
        <w:gridCol w:w="242"/>
      </w:tblGrid>
      <w:tr>
        <w:trPr/>
        <w:tc>
          <w:tcPr>
            <w:tcW w:w="1077"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Fixed maturity securities</w:t>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(5,675)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(4,885)</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Derivatives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Subtotal</w:t>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(5,424)</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(4,674)</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Amounts allocated from:</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Future policy benefits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539 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571 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benefit (expense)</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1,026 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862 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Net unrealized investment gains (losses)</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(3,859)</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(3,241)</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changes in net unrealized investment gains (losses) were as follows:</w:t>
      </w:r>
    </w:p>
    <w:tbl>
      <w:tblPr>
        <w:tblW w:w="6493" w:type="dxa"/>
        <w:jc w:val="center"/>
        <w:tblInd w:w="0" w:type="dxa"/>
        <w:tblLayout w:type="fixed"/>
        <w:tblCellMar>
          <w:top w:w="28" w:type="dxa"/>
          <w:left w:w="28" w:type="dxa"/>
          <w:bottom w:w="28" w:type="dxa"/>
          <w:right w:w="28" w:type="dxa"/>
        </w:tblCellMar>
      </w:tblPr>
      <w:tblGrid>
        <w:gridCol w:w="1437"/>
        <w:gridCol w:w="1266"/>
        <w:gridCol w:w="1271"/>
        <w:gridCol w:w="503"/>
        <w:gridCol w:w="1621"/>
        <w:gridCol w:w="395"/>
      </w:tblGrid>
      <w:tr>
        <w:trPr/>
        <w:tc>
          <w:tcPr>
            <w:tcW w:w="1437"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2025</w:t>
            </w:r>
          </w:p>
        </w:tc>
        <w:tc>
          <w:tcPr>
            <w:tcW w:w="503"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2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(3,241)</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Unrealized investment gains (losses) during the period</w:t>
            </w:r>
          </w:p>
        </w:tc>
        <w:tc>
          <w:tcPr>
            <w:tcW w:w="212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(750)</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Unrealized investment gains (losses) relating to:</w:t>
            </w:r>
          </w:p>
        </w:tc>
        <w:tc>
          <w:tcPr>
            <w:tcW w:w="2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Future policy benefits</w:t>
            </w:r>
          </w:p>
        </w:tc>
        <w:tc>
          <w:tcPr>
            <w:tcW w:w="212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benefit (expense)</w:t>
            </w:r>
          </w:p>
        </w:tc>
        <w:tc>
          <w:tcPr>
            <w:tcW w:w="212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 2026</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(3,859)</w:t>
            </w:r>
          </w:p>
        </w:tc>
        <w:tc>
          <w:tcPr>
            <w:tcW w:w="3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Change in net unrealized investment gains (losses)</w:t>
            </w:r>
          </w:p>
        </w:tc>
        <w:tc>
          <w:tcPr>
            <w:tcW w:w="50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(618)</w:t>
            </w:r>
          </w:p>
        </w:tc>
        <w:tc>
          <w:tcPr>
            <w:tcW w:w="39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Concentrations of Credit Risk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investments in any counterparty that were greater than 10% of the Company’s equity, other than the U.S. government and its agencies, at both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Securities Lending</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Elements of the securities lending program are presented below at:</w:t>
      </w:r>
    </w:p>
    <w:tbl>
      <w:tblPr>
        <w:tblW w:w="6461" w:type="dxa"/>
        <w:jc w:val="left"/>
        <w:tblInd w:w="0" w:type="dxa"/>
        <w:tblLayout w:type="fixed"/>
        <w:tblCellMar>
          <w:top w:w="28" w:type="dxa"/>
          <w:left w:w="28" w:type="dxa"/>
          <w:bottom w:w="28" w:type="dxa"/>
          <w:right w:w="28" w:type="dxa"/>
        </w:tblCellMar>
      </w:tblPr>
      <w:tblGrid>
        <w:gridCol w:w="1257"/>
        <w:gridCol w:w="1102"/>
        <w:gridCol w:w="1106"/>
        <w:gridCol w:w="256"/>
        <w:gridCol w:w="727"/>
        <w:gridCol w:w="142"/>
        <w:gridCol w:w="109"/>
        <w:gridCol w:w="109"/>
        <w:gridCol w:w="109"/>
        <w:gridCol w:w="334"/>
        <w:gridCol w:w="948"/>
        <w:gridCol w:w="262"/>
      </w:tblGrid>
      <w:tr>
        <w:trPr/>
        <w:tc>
          <w:tcPr>
            <w:tcW w:w="125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Securities on loan: (1)</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Amortized cost</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3,648 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3,550 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Estimated fair value</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3,213 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3,141 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Cash collateral received from counterparties (2)</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3,323 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3,225 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Reinvestment portfolio — estimated fair value</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3,449 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3,352 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(1)Included in fixed maturity securities.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(2)Included in payables for collateral under securities loaned and other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60985"/>
                <wp:effectExtent l="0" t="0" r="0" b="0"/>
                <wp:wrapNone/>
                <wp:docPr id="31" name="Frame30"/>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20" w:after="283"/>
        <w:jc w:val="left"/>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7. Investments (continued)</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cash collateral liability by loaned security type and remaining tenor of the agreements were as follows at:</w:t>
      </w:r>
    </w:p>
    <w:tbl>
      <w:tblPr>
        <w:tblW w:w="10650" w:type="dxa"/>
        <w:jc w:val="left"/>
        <w:tblInd w:w="0" w:type="dxa"/>
        <w:tblLayout w:type="fixed"/>
        <w:tblCellMar>
          <w:top w:w="28" w:type="dxa"/>
          <w:left w:w="28" w:type="dxa"/>
          <w:bottom w:w="28" w:type="dxa"/>
          <w:right w:w="28" w:type="dxa"/>
        </w:tblCellMar>
      </w:tblPr>
      <w:tblGrid>
        <w:gridCol w:w="348"/>
        <w:gridCol w:w="306"/>
        <w:gridCol w:w="307"/>
        <w:gridCol w:w="196"/>
        <w:gridCol w:w="421"/>
        <w:gridCol w:w="109"/>
        <w:gridCol w:w="109"/>
        <w:gridCol w:w="109"/>
        <w:gridCol w:w="109"/>
        <w:gridCol w:w="196"/>
        <w:gridCol w:w="556"/>
        <w:gridCol w:w="109"/>
        <w:gridCol w:w="109"/>
        <w:gridCol w:w="109"/>
        <w:gridCol w:w="109"/>
        <w:gridCol w:w="196"/>
        <w:gridCol w:w="556"/>
        <w:gridCol w:w="109"/>
        <w:gridCol w:w="109"/>
        <w:gridCol w:w="109"/>
        <w:gridCol w:w="109"/>
        <w:gridCol w:w="109"/>
        <w:gridCol w:w="109"/>
        <w:gridCol w:w="196"/>
        <w:gridCol w:w="556"/>
        <w:gridCol w:w="109"/>
        <w:gridCol w:w="109"/>
        <w:gridCol w:w="109"/>
        <w:gridCol w:w="109"/>
        <w:gridCol w:w="109"/>
        <w:gridCol w:w="109"/>
        <w:gridCol w:w="196"/>
        <w:gridCol w:w="421"/>
        <w:gridCol w:w="109"/>
        <w:gridCol w:w="109"/>
        <w:gridCol w:w="109"/>
        <w:gridCol w:w="109"/>
        <w:gridCol w:w="196"/>
        <w:gridCol w:w="421"/>
        <w:gridCol w:w="109"/>
        <w:gridCol w:w="109"/>
        <w:gridCol w:w="109"/>
        <w:gridCol w:w="109"/>
        <w:gridCol w:w="196"/>
        <w:gridCol w:w="556"/>
        <w:gridCol w:w="109"/>
        <w:gridCol w:w="109"/>
        <w:gridCol w:w="109"/>
        <w:gridCol w:w="109"/>
        <w:gridCol w:w="109"/>
        <w:gridCol w:w="109"/>
        <w:gridCol w:w="196"/>
        <w:gridCol w:w="556"/>
        <w:gridCol w:w="109"/>
        <w:gridCol w:w="109"/>
        <w:gridCol w:w="154"/>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19"/>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5" w:type="dxa"/>
            <w:gridSpan w:val="17"/>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2857" w:type="dxa"/>
            <w:gridSpan w:val="16"/>
            <w:tcBorders/>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Open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1 Month 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1 to 6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Open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1 Month 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1 to 6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2" w:type="dxa"/>
            <w:gridSpan w:val="37"/>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2857" w:type="dxa"/>
            <w:gridSpan w:val="16"/>
            <w:tcBorders/>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U.S. government and agency</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U.S. corporate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corporate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government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1,746 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3,323 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1,777 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3,225 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related loaned security could be returned to the Company on the next business day which would require the Company to immediately return the cash collateral.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Company is required to return significant amounts of cash collateral on short notice and is forced to sell securities to meet the return obligation, it may have difficulty selling such collateral that is invested in securities in a timely manner, be forced to sell securities in a volatile or illiquid market for less than what otherwise would have been realized in normal market conditions, or both. The estimated fair value of the securities on loan related to the cash collateral on open at June 30, 2026 was $545 million, primarily comprised of U.S. government and agency securities which, if put back to the Company, could be immediately sold to satisfy the cash requirement.</w:t>
      </w:r>
    </w:p>
    <w:p>
      <w:pPr>
        <w:pStyle w:val="TextBody"/>
        <w:bidi w:val="0"/>
        <w:spacing w:lineRule="auto" w:line="288" w:before="120" w:after="283"/>
        <w:ind w:left="0" w:right="0" w:firstLine="360"/>
        <w:jc w:val="both"/>
        <w:rPr/>
      </w:pPr>
      <w:r>
        <w:rPr>
          <w:rFonts w:ascii="Times New Roman;serif" w:hAnsi="Times New Roman;serif"/>
          <w:b w:val="false"/>
          <w:color w:val="000000"/>
          <w:sz w:val="20"/>
        </w:rPr>
        <w:t>The reinvestment portfolio acquired with the cash collateral consisted principally of fixed maturity securities (including agency RMBS, ABS, U.S. government and agency securities, U.S. and foreign corporate securities</w:t>
      </w:r>
      <w:r>
        <w:rPr>
          <w:rFonts w:ascii="sans-serif" w:hAnsi="sans-serif"/>
          <w:b w:val="false"/>
          <w:color w:val="000000"/>
          <w:sz w:val="22"/>
        </w:rPr>
        <w:t xml:space="preserve">, </w:t>
      </w:r>
      <w:r>
        <w:rPr>
          <w:rFonts w:ascii="Times New Roman;serif" w:hAnsi="Times New Roman;serif"/>
          <w:b w:val="false"/>
          <w:color w:val="000000"/>
          <w:sz w:val="20"/>
        </w:rPr>
        <w:t>CMBS and non-agency RMBS) with 51% invested in agency RMBS, U.S. government and agency securities and cash and cash equivalents at June 30, 2026. If the securities on loan or the reinvestment portfolio become less liquid, the Company has the liquidity resources of most of its general account available to meet any potential cash demands when securities on loan are put back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Invested Assets on Deposit, Held in Trust and Pledged as Collateral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Invested assets on deposit, held in trust and pledged as collateral at estimated fair value were as follows at:</w:t>
      </w:r>
    </w:p>
    <w:tbl>
      <w:tblPr>
        <w:tblW w:w="8052" w:type="dxa"/>
        <w:jc w:val="left"/>
        <w:tblInd w:w="0" w:type="dxa"/>
        <w:tblLayout w:type="fixed"/>
        <w:tblCellMar>
          <w:top w:w="28" w:type="dxa"/>
          <w:left w:w="28" w:type="dxa"/>
          <w:bottom w:w="28" w:type="dxa"/>
          <w:right w:w="28" w:type="dxa"/>
        </w:tblCellMar>
      </w:tblPr>
      <w:tblGrid>
        <w:gridCol w:w="1828"/>
        <w:gridCol w:w="1611"/>
        <w:gridCol w:w="1616"/>
        <w:gridCol w:w="232"/>
        <w:gridCol w:w="764"/>
        <w:gridCol w:w="129"/>
        <w:gridCol w:w="109"/>
        <w:gridCol w:w="109"/>
        <w:gridCol w:w="109"/>
        <w:gridCol w:w="304"/>
        <w:gridCol w:w="1002"/>
        <w:gridCol w:w="239"/>
      </w:tblGrid>
      <w:tr>
        <w:trPr/>
        <w:tc>
          <w:tcPr>
            <w:tcW w:w="1828"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Invested assets on deposit (regulatory deposits) (1)</w:t>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6,122 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6,570 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Invested assets held in trust (reinsurance agreements) (2)</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7,137 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7,268 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Invested assets pledged as collateral (3)</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13,105 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10,794 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 invested assets on deposit, held in trust and pledged as collateral</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26,364 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24,632 </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Company has assets, primarily fixed maturity securities, on deposit with governmental authorities relating to certain policyholder liabilities, of which $142 million and $126 million of the assets on deposit represents restricted cash and cash equivalents at June 30, 2026 and December 31, 2025, respectively.</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Company has assets, primarily fixed maturity securities, held in trust relating to certain reinsurance transactions, of which $239 million and $328 million of the assets held in trust balance represents restricted cash and cash equivalents at June 30, 2026 and December 31, 2025, respectively.</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(3)The Company has pledged invested assets in connection with various agreements and transactions, including funding agreements (see Note 3 of the Notes to the Consolidated Financial Statements included in the 2025 Annual Report) and derivative transactions (see Note 8).</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 Securities Lending” for information regarding securities on loan. In addition, the Company’s investment in FHLB common stock, which is considered restricted until redeemed by the issuer, was $232 million and $218 million at redemption value at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60985"/>
                <wp:effectExtent l="0" t="0" r="0" b="0"/>
                <wp:wrapNone/>
                <wp:docPr id="32" name="Frame31"/>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20" w:after="283"/>
        <w:jc w:val="left"/>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7. Investments (continued)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Variable Interest Entities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variable interest entity (“VIE”) is a legal entity that does not have sufficient equity at risk to finance its activities or is structured such that equity investors lack the ability to make significant decisions relating to the entity’s operations through voting rights or do not substantively participate in the gains and losses of the entity.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enters into various arrangements with VIEs in the normal course of business and has invested in legal entities that are VIEs. VIEs are consolidated when it is determined that the Company is the primary beneficiary. A primary beneficiary is the variable interest holder in a VIE with both (i) the power to direct the activities of the VIE that most significantly impact the economic performance of the VIE and (ii) the obligation to absorb losses or the right to receive benefits that could potentially be significant to the VIE. In addition, the evaluation of whether a legal entity is a VIE and if the Company is a primary beneficiary includes a review of the capital structure of the VIE, the related contractual relationships and terms, the nature of the operations and purpose of the VIE, the nature of the VIE interests issued and the Company’s involvement with the entity.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material VIEs for which the Company has concluded that it is the primary beneficiary at either June 30, 2026 or December 31,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carrying amount and maximum exposure to loss related to the VIEs for which the Company has concluded that it holds a variable interest, but is not the primary beneficiary, were as follows at:</w:t>
      </w:r>
    </w:p>
    <w:tbl>
      <w:tblPr>
        <w:tblW w:w="10205" w:type="dxa"/>
        <w:jc w:val="left"/>
        <w:tblInd w:w="0" w:type="dxa"/>
        <w:tblLayout w:type="fixed"/>
        <w:tblCellMar>
          <w:top w:w="28" w:type="dxa"/>
          <w:left w:w="28" w:type="dxa"/>
          <w:bottom w:w="28" w:type="dxa"/>
          <w:right w:w="28" w:type="dxa"/>
        </w:tblCellMar>
      </w:tblPr>
      <w:tblGrid>
        <w:gridCol w:w="828"/>
        <w:gridCol w:w="717"/>
        <w:gridCol w:w="723"/>
        <w:gridCol w:w="286"/>
        <w:gridCol w:w="944"/>
        <w:gridCol w:w="158"/>
        <w:gridCol w:w="109"/>
        <w:gridCol w:w="109"/>
        <w:gridCol w:w="109"/>
        <w:gridCol w:w="425"/>
        <w:gridCol w:w="1403"/>
        <w:gridCol w:w="236"/>
        <w:gridCol w:w="109"/>
        <w:gridCol w:w="109"/>
        <w:gridCol w:w="109"/>
        <w:gridCol w:w="286"/>
        <w:gridCol w:w="944"/>
        <w:gridCol w:w="158"/>
        <w:gridCol w:w="109"/>
        <w:gridCol w:w="109"/>
        <w:gridCol w:w="109"/>
        <w:gridCol w:w="415"/>
        <w:gridCol w:w="1369"/>
        <w:gridCol w:w="332"/>
      </w:tblGrid>
      <w:tr>
        <w:trPr/>
        <w:tc>
          <w:tcPr>
            <w:tcW w:w="828"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2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9"/>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9"/>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Maximum Exposure to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Maximum Exposure to Loss</w:t>
            </w:r>
          </w:p>
        </w:tc>
      </w:tr>
      <w:tr>
        <w:trPr/>
        <w:tc>
          <w:tcPr>
            <w:tcW w:w="2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7" w:type="dxa"/>
            <w:gridSpan w:val="21"/>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268"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Fixed maturity securities</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12,311 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403"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12,965 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13,020 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69"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13,614 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8"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Limited partnerships and LLCs</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4,161 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5,082 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4,275 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5,231 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8"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16,472 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18,047 </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17,295 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18,845 </w:t>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investments in unconsolidated VIEs are described below.</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Fixed Maturity Securities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invests in U.S. corporate bonds, foreign corporate bonds and Structured Securities issued by VIEs. The Company is not obligated to provide any financial or other support to these VIEs, other than the original investment. The Company’s involvement with these entities is limited to that of a passive investor. The Company has no unilateral right to appoint or remove the servicer, special servicer, or investment manager, which are generally viewed as having the power to direct the activities that most significantly impact the economic performance of the VIE, nor does the Company function in any of these roles. The Company does not have the obligation to absorb losses or the right to receive benefits from the entity that could potentially be significant to the entity; as a result, the Company has determined it is not the primary beneficiary, or consolidator, of the VIE. The Company’s maximum exposure to loss on these fixed maturity securities is limited to the amortized cost of these investments. See “— Fixed Maturity Securities Available-For-Sale” for information on these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Limited Partnerships and LLCs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holds investments in certain limited partnerships and LLCs which are VIEs. These ventures include limited partnerships, LLCs, private equity funds, and, to a lesser extent, tax credit and renewable energy partnerships. The Company is not considered the primary beneficiary, or consolidator, when its involvement takes the form of a limited partner interest and is restricted to a role of a passive investor, as a limited partner’s interest does not provide the Company with any substantive kick-out or participating rights, nor does it provide the Company with the power to direct the activities of the fund. The Company’s maximum exposure to loss on these investments is limited to: (i) the amount invested in debt or equity of the VIE and (ii) commitments to the VIE, as described in Note 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60985"/>
                <wp:effectExtent l="0" t="0" r="0" b="0"/>
                <wp:wrapNone/>
                <wp:docPr id="33" name="Frame32"/>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120" w:after="283"/>
        <w:jc w:val="left"/>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7. Investments (continued)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Net Investment Income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net investment income were as follows:</w:t>
      </w:r>
    </w:p>
    <w:tbl>
      <w:tblPr>
        <w:tblW w:w="8160" w:type="dxa"/>
        <w:jc w:val="left"/>
        <w:tblInd w:w="0" w:type="dxa"/>
        <w:tblLayout w:type="fixed"/>
        <w:tblCellMar>
          <w:top w:w="28" w:type="dxa"/>
          <w:left w:w="28" w:type="dxa"/>
          <w:bottom w:w="28" w:type="dxa"/>
          <w:right w:w="28" w:type="dxa"/>
        </w:tblCellMar>
      </w:tblPr>
      <w:tblGrid>
        <w:gridCol w:w="1335"/>
        <w:gridCol w:w="1176"/>
        <w:gridCol w:w="117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1335"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21"/>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Investment income:</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Fixed maturity securities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Trading securities (1)</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Equity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Mortgage loans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Policy loans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Limited partnerships and LLCs (2)</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short-term investments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 investment income</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2,627 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2,689 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Less: Investment expenses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Net investment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2,452 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2,527 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(1)Investment gains (losses) related to trading securities still held were $2 million and ($8) million for the three months and six months ended June 30, 2026, respectively, and ($6) million and less than $1 million for the three months and six months ended June 30, 2025, respectively.</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(2)Includes net investment income pertaining to other limited partnership interests of $5 million and $69 million for the three months and six months ended June 30, 2026, respectively, and $63 million and $119 million for the three months and six months ended June 30, 2025, respectively.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Net Investment Gains (Losses)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Components of Net Investment Gains (Losses)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net investment gains (losses) were as follows:</w:t>
      </w:r>
    </w:p>
    <w:tbl>
      <w:tblPr>
        <w:tblW w:w="6569" w:type="dxa"/>
        <w:jc w:val="left"/>
        <w:tblInd w:w="0" w:type="dxa"/>
        <w:tblLayout w:type="fixed"/>
        <w:tblCellMar>
          <w:top w:w="28" w:type="dxa"/>
          <w:left w:w="28" w:type="dxa"/>
          <w:bottom w:w="28" w:type="dxa"/>
          <w:right w:w="28" w:type="dxa"/>
        </w:tblCellMar>
      </w:tblPr>
      <w:tblGrid>
        <w:gridCol w:w="946"/>
        <w:gridCol w:w="828"/>
        <w:gridCol w:w="835"/>
        <w:gridCol w:w="196"/>
        <w:gridCol w:w="406"/>
        <w:gridCol w:w="109"/>
        <w:gridCol w:w="109"/>
        <w:gridCol w:w="109"/>
        <w:gridCol w:w="109"/>
        <w:gridCol w:w="196"/>
        <w:gridCol w:w="406"/>
        <w:gridCol w:w="109"/>
        <w:gridCol w:w="109"/>
        <w:gridCol w:w="109"/>
        <w:gridCol w:w="109"/>
        <w:gridCol w:w="196"/>
        <w:gridCol w:w="406"/>
        <w:gridCol w:w="109"/>
        <w:gridCol w:w="109"/>
        <w:gridCol w:w="109"/>
        <w:gridCol w:w="109"/>
        <w:gridCol w:w="196"/>
        <w:gridCol w:w="496"/>
        <w:gridCol w:w="154"/>
      </w:tblGrid>
      <w:tr>
        <w:trPr/>
        <w:tc>
          <w:tcPr>
            <w:tcW w:w="94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21"/>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Fixed maturity securities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Equity securities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Mortgage loans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Limited partnerships and LLCs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net investment gains (losses)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Gains (losses) from foreign currency transactions included within net investment gains (losses) were not significant for the three months and six months ended June 30,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60985"/>
                <wp:effectExtent l="0" t="0" r="0" b="0"/>
                <wp:wrapNone/>
                <wp:docPr id="34" name="Frame33"/>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120" w:after="283"/>
        <w:jc w:val="left"/>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7. Investments (continued)</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Sales or Disposals of Fixed Maturity Securities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Investment gains and losses on sales of securities are determined on a specific identification basis. Proceeds from sales or disposals of fixed maturity securities and the components of fixed maturity securities net investment gains (losses) were as follows:</w:t>
      </w:r>
    </w:p>
    <w:tbl>
      <w:tblPr>
        <w:tblW w:w="6134" w:type="dxa"/>
        <w:jc w:val="left"/>
        <w:tblInd w:w="0" w:type="dxa"/>
        <w:tblLayout w:type="fixed"/>
        <w:tblCellMar>
          <w:top w:w="28" w:type="dxa"/>
          <w:left w:w="28" w:type="dxa"/>
          <w:bottom w:w="28" w:type="dxa"/>
          <w:right w:w="28" w:type="dxa"/>
        </w:tblCellMar>
      </w:tblPr>
      <w:tblGrid>
        <w:gridCol w:w="797"/>
        <w:gridCol w:w="701"/>
        <w:gridCol w:w="706"/>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54"/>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21"/>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Proceeds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Gross investment gains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Gross investment losses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Net investment gains (losses)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8. Derivatives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Accounting for Derivatives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Notes 1 and 10 of the Notes to the Consolidated Financial Statements included in the 2025 Annual Report for a description of the Company’s accounting policies for derivatives and the fair value hierarchy for derivatives and the related valuation methodologies.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Types of Derivative Instruments and Derivative Strategies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maintains an overall risk management strategy that incorporates the use of derivative instruments to minimize its exposure to various market risks. Derivatives are financial instruments with values derived from interest rates, foreign currency exchange rates, credit spreads and/or other financial indices. Derivatives may be exchange-traded or contracted in the over-the-counter (“OTC”) market. Certain of the Company’s OTC derivatives are cleared and settled through central clearing counterparties (“OTC-cleared”), while others are bilateral contracts between two counterparties (“OTC-bilateral”). Commonly used derivative instruments include, but are not necessarily limited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Interest rate derivatives: swaps, floors, caps, futures, options and forwards;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Foreign currency exchange rate derivatives: forwards and swaps;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Equity market derivatives: futures, options and total return swaps;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Credit derivatives: index reference credit default swaps.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detailed information on these contracts and the related strategies, see Note 9 of the Notes to the Consolidated Financial Statements included in the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60985"/>
                <wp:effectExtent l="0" t="0" r="0" b="0"/>
                <wp:wrapNone/>
                <wp:docPr id="35" name="Frame34"/>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120" w:after="283"/>
        <w:jc w:val="left"/>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8. Derivatives (continued)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Primary Risks Managed by Derivatives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primary underlying risk exposure, gross notional amount and estimated fair value of derivatives, excluding embedded derivatives, held were as follows at:</w:t>
      </w:r>
    </w:p>
    <w:tbl>
      <w:tblPr>
        <w:tblW w:w="10775" w:type="dxa"/>
        <w:jc w:val="left"/>
        <w:tblInd w:w="0" w:type="dxa"/>
        <w:tblLayout w:type="fixed"/>
        <w:tblCellMar>
          <w:top w:w="28" w:type="dxa"/>
          <w:left w:w="28" w:type="dxa"/>
          <w:bottom w:w="28" w:type="dxa"/>
          <w:right w:w="28" w:type="dxa"/>
        </w:tblCellMar>
      </w:tblPr>
      <w:tblGrid>
        <w:gridCol w:w="457"/>
        <w:gridCol w:w="191"/>
        <w:gridCol w:w="193"/>
        <w:gridCol w:w="840"/>
        <w:gridCol w:w="735"/>
        <w:gridCol w:w="736"/>
        <w:gridCol w:w="109"/>
        <w:gridCol w:w="109"/>
        <w:gridCol w:w="109"/>
        <w:gridCol w:w="196"/>
        <w:gridCol w:w="736"/>
        <w:gridCol w:w="109"/>
        <w:gridCol w:w="109"/>
        <w:gridCol w:w="109"/>
        <w:gridCol w:w="109"/>
        <w:gridCol w:w="196"/>
        <w:gridCol w:w="646"/>
        <w:gridCol w:w="109"/>
        <w:gridCol w:w="109"/>
        <w:gridCol w:w="109"/>
        <w:gridCol w:w="109"/>
        <w:gridCol w:w="196"/>
        <w:gridCol w:w="556"/>
        <w:gridCol w:w="109"/>
        <w:gridCol w:w="109"/>
        <w:gridCol w:w="109"/>
        <w:gridCol w:w="109"/>
        <w:gridCol w:w="196"/>
        <w:gridCol w:w="736"/>
        <w:gridCol w:w="109"/>
        <w:gridCol w:w="109"/>
        <w:gridCol w:w="109"/>
        <w:gridCol w:w="109"/>
        <w:gridCol w:w="196"/>
        <w:gridCol w:w="556"/>
        <w:gridCol w:w="109"/>
        <w:gridCol w:w="109"/>
        <w:gridCol w:w="109"/>
        <w:gridCol w:w="109"/>
        <w:gridCol w:w="196"/>
        <w:gridCol w:w="556"/>
        <w:gridCol w:w="154"/>
      </w:tblGrid>
      <w:tr>
        <w:trPr/>
        <w:tc>
          <w:tcPr>
            <w:tcW w:w="45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December 31, 2025</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vMerge w:val="restart"/>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Primary Underlying Risk Exposure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Gross Notional Amount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Gross Notional Amount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Estimated Fair Value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Liabilities</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6" w:type="dxa"/>
            <w:gridSpan w:val="3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(In millions)</w:t>
            </w:r>
          </w:p>
        </w:tc>
      </w:tr>
      <w:tr>
        <w:trPr/>
        <w:tc>
          <w:tcPr>
            <w:tcW w:w="3152" w:type="dxa"/>
            <w:gridSpan w:val="6"/>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6"/>
              </w:rPr>
            </w:pPr>
            <w:r>
              <w:rPr>
                <w:rFonts w:ascii="Times New Roman;serif" w:hAnsi="Times New Roman;serif"/>
                <w:b/>
                <w:color w:val="000000"/>
                <w:sz w:val="16"/>
              </w:rPr>
              <w:t>Derivatives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Cash flow hedges:</w:t>
            </w:r>
          </w:p>
        </w:tc>
        <w:tc>
          <w:tcPr>
            <w:tcW w:w="2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swaps</w:t>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swaps</w:t>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exchange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Total qualifying hedges</w:t>
            </w:r>
          </w:p>
        </w:tc>
        <w:tc>
          <w:tcPr>
            <w:tcW w:w="2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Not Designated or Not Qualifying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swaps</w:t>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22,527 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18,366 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 floors</w:t>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 caps</w:t>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 options</w:t>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46,700 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26,800 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 forwards</w:t>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21,719 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23,598 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1,317 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swaps</w:t>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exchange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forwards</w:t>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exchange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Credit default swaps — written</w:t>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Equity futures</w:t>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Equity 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Equity index options</w:t>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Equity market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101,124 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69,495 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1,362 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Equity total return swaps</w:t>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Equity 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148,039 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145,209 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1,698 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15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non-designated or non-qualifying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354,456 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12,452 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8,551 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300,340 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6,505 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5,146 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2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358,733 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12,743 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8,619 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304,571 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6,771 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5,234 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60985"/>
                <wp:effectExtent l="0" t="0" r="0" b="0"/>
                <wp:wrapNone/>
                <wp:docPr id="36" name="Frame35"/>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120" w:after="283"/>
        <w:jc w:val="left"/>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8. Derivatives (continued)</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amount and location of gains (losses), including earned income, recognized for derivatives and gains (losses) pertaining to hedged items reported in net derivative gains (losses) were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982"/>
        <w:gridCol w:w="505"/>
        <w:gridCol w:w="510"/>
        <w:gridCol w:w="336"/>
        <w:gridCol w:w="1080"/>
        <w:gridCol w:w="187"/>
        <w:gridCol w:w="109"/>
        <w:gridCol w:w="109"/>
        <w:gridCol w:w="109"/>
        <w:gridCol w:w="438"/>
        <w:gridCol w:w="907"/>
        <w:gridCol w:w="244"/>
        <w:gridCol w:w="109"/>
        <w:gridCol w:w="109"/>
        <w:gridCol w:w="109"/>
        <w:gridCol w:w="296"/>
        <w:gridCol w:w="614"/>
        <w:gridCol w:w="166"/>
        <w:gridCol w:w="109"/>
        <w:gridCol w:w="109"/>
        <w:gridCol w:w="109"/>
        <w:gridCol w:w="362"/>
        <w:gridCol w:w="752"/>
        <w:gridCol w:w="202"/>
        <w:gridCol w:w="109"/>
        <w:gridCol w:w="109"/>
        <w:gridCol w:w="109"/>
        <w:gridCol w:w="313"/>
        <w:gridCol w:w="746"/>
        <w:gridCol w:w="257"/>
      </w:tblGrid>
      <w:tr>
        <w:trPr/>
        <w:tc>
          <w:tcPr>
            <w:tcW w:w="98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1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Net Derivative Gains (Losses) Recognized for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Net Derivative Gains (Losses) Recognized for Hedged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Net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Policyholder Benefits and Claims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Amount of Gains (Losses) Deferred in AOCI</w:t>
            </w:r>
          </w:p>
        </w:tc>
      </w:tr>
      <w:tr>
        <w:trPr/>
        <w:tc>
          <w:tcPr>
            <w:tcW w:w="1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8" w:type="dxa"/>
            <w:gridSpan w:val="27"/>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997"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1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6"/>
              </w:rPr>
            </w:pPr>
            <w:r>
              <w:rPr>
                <w:rFonts w:ascii="Times New Roman;serif" w:hAnsi="Times New Roman;serif"/>
                <w:b/>
                <w:color w:val="000000"/>
                <w:sz w:val="16"/>
              </w:rPr>
              <w:t xml:space="preserve">Derivatives Designated as Hedging Instruments: </w:t>
            </w:r>
          </w:p>
        </w:tc>
        <w:tc>
          <w:tcPr>
            <w:tcW w:w="1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Cash flow hedges:</w:t>
            </w:r>
          </w:p>
        </w:tc>
        <w:tc>
          <w:tcPr>
            <w:tcW w:w="1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w:t>
            </w:r>
          </w:p>
        </w:tc>
        <w:tc>
          <w:tcPr>
            <w:tcW w:w="336"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80"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07" w:type="dxa"/>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exchange rate</w:t>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(59)</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Total cash flow hedges</w:t>
            </w:r>
          </w:p>
        </w:tc>
        <w:tc>
          <w:tcPr>
            <w:tcW w:w="14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2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6"/>
              </w:rPr>
            </w:pPr>
            <w:r>
              <w:rPr>
                <w:rFonts w:ascii="Times New Roman;serif" w:hAnsi="Times New Roman;serif"/>
                <w:b/>
                <w:color w:val="000000"/>
                <w:sz w:val="16"/>
              </w:rPr>
              <w:t>Derivatives Not Designated or Not Qualifying as Hedging Instruments:</w:t>
            </w:r>
          </w:p>
        </w:tc>
        <w:tc>
          <w:tcPr>
            <w:tcW w:w="16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w:t>
            </w:r>
          </w:p>
        </w:tc>
        <w:tc>
          <w:tcPr>
            <w:tcW w:w="1416" w:type="dxa"/>
            <w:gridSpan w:val="2"/>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(115)</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exchange rate</w:t>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Credit</w:t>
            </w:r>
          </w:p>
        </w:tc>
        <w:tc>
          <w:tcPr>
            <w:tcW w:w="1416" w:type="dxa"/>
            <w:gridSpan w:val="2"/>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Equity market</w:t>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2,965 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Embedded</w:t>
            </w:r>
          </w:p>
        </w:tc>
        <w:tc>
          <w:tcPr>
            <w:tcW w:w="1416" w:type="dxa"/>
            <w:gridSpan w:val="2"/>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(3,330)</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Total non-qualifying hedges</w:t>
            </w:r>
          </w:p>
        </w:tc>
        <w:tc>
          <w:tcPr>
            <w:tcW w:w="14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(479)</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36" w:type="dxa"/>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80" w:type="dxa"/>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(476)</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07" w:type="dxa"/>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2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2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16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6"/>
              </w:rPr>
            </w:pPr>
            <w:r>
              <w:rPr>
                <w:rFonts w:ascii="Times New Roman;serif" w:hAnsi="Times New Roman;serif"/>
                <w:b/>
                <w:color w:val="000000"/>
                <w:sz w:val="16"/>
              </w:rPr>
              <w:t xml:space="preserve">Derivatives Designated as Hedging Instruments: </w:t>
            </w:r>
          </w:p>
        </w:tc>
        <w:tc>
          <w:tcPr>
            <w:tcW w:w="1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199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199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1997"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Cash flow hedges:</w:t>
            </w:r>
          </w:p>
        </w:tc>
        <w:tc>
          <w:tcPr>
            <w:tcW w:w="1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w:t>
            </w:r>
          </w:p>
        </w:tc>
        <w:tc>
          <w:tcPr>
            <w:tcW w:w="336"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80" w:type="dxa"/>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07" w:type="dxa"/>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exchange rate</w:t>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(248)</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Total cash flow hedges</w:t>
            </w:r>
          </w:p>
        </w:tc>
        <w:tc>
          <w:tcPr>
            <w:tcW w:w="14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(253)</w:t>
            </w:r>
          </w:p>
        </w:tc>
        <w:tc>
          <w:tcPr>
            <w:tcW w:w="2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6"/>
              </w:rPr>
            </w:pPr>
            <w:r>
              <w:rPr>
                <w:rFonts w:ascii="Times New Roman;serif" w:hAnsi="Times New Roman;serif"/>
                <w:b/>
                <w:color w:val="000000"/>
                <w:sz w:val="16"/>
              </w:rPr>
              <w:t>Derivatives Not Designated or Not Qualifying as Hedging Instruments:</w:t>
            </w:r>
          </w:p>
        </w:tc>
        <w:tc>
          <w:tcPr>
            <w:tcW w:w="16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w:t>
            </w:r>
          </w:p>
        </w:tc>
        <w:tc>
          <w:tcPr>
            <w:tcW w:w="1416" w:type="dxa"/>
            <w:gridSpan w:val="2"/>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(386)</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exchange rate</w:t>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Credit</w:t>
            </w:r>
          </w:p>
        </w:tc>
        <w:tc>
          <w:tcPr>
            <w:tcW w:w="1416" w:type="dxa"/>
            <w:gridSpan w:val="2"/>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Equity market</w:t>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1,352 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Embedded</w:t>
            </w:r>
          </w:p>
        </w:tc>
        <w:tc>
          <w:tcPr>
            <w:tcW w:w="1416" w:type="dxa"/>
            <w:gridSpan w:val="2"/>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(2,160)</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Total non-qualifying hedges</w:t>
            </w:r>
          </w:p>
        </w:tc>
        <w:tc>
          <w:tcPr>
            <w:tcW w:w="14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(1,248)</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(1,248)</w:t>
            </w:r>
          </w:p>
        </w:tc>
        <w:tc>
          <w:tcPr>
            <w:tcW w:w="1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2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(253)</w:t>
            </w:r>
          </w:p>
        </w:tc>
        <w:tc>
          <w:tcPr>
            <w:tcW w:w="2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60985"/>
                <wp:effectExtent l="0" t="0" r="0" b="0"/>
                <wp:wrapNone/>
                <wp:docPr id="37" name="Frame36"/>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120" w:after="283"/>
        <w:jc w:val="left"/>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8. Derivatives (continued)</w:t>
      </w:r>
    </w:p>
    <w:tbl>
      <w:tblPr>
        <w:tblW w:w="10205" w:type="dxa"/>
        <w:jc w:val="left"/>
        <w:tblInd w:w="0" w:type="dxa"/>
        <w:tblLayout w:type="fixed"/>
        <w:tblCellMar>
          <w:top w:w="28" w:type="dxa"/>
          <w:left w:w="28" w:type="dxa"/>
          <w:bottom w:w="28" w:type="dxa"/>
          <w:right w:w="28" w:type="dxa"/>
        </w:tblCellMar>
      </w:tblPr>
      <w:tblGrid>
        <w:gridCol w:w="982"/>
        <w:gridCol w:w="506"/>
        <w:gridCol w:w="510"/>
        <w:gridCol w:w="423"/>
        <w:gridCol w:w="943"/>
        <w:gridCol w:w="237"/>
        <w:gridCol w:w="109"/>
        <w:gridCol w:w="109"/>
        <w:gridCol w:w="109"/>
        <w:gridCol w:w="438"/>
        <w:gridCol w:w="907"/>
        <w:gridCol w:w="244"/>
        <w:gridCol w:w="109"/>
        <w:gridCol w:w="109"/>
        <w:gridCol w:w="109"/>
        <w:gridCol w:w="331"/>
        <w:gridCol w:w="559"/>
        <w:gridCol w:w="186"/>
        <w:gridCol w:w="109"/>
        <w:gridCol w:w="109"/>
        <w:gridCol w:w="109"/>
        <w:gridCol w:w="362"/>
        <w:gridCol w:w="752"/>
        <w:gridCol w:w="202"/>
        <w:gridCol w:w="109"/>
        <w:gridCol w:w="109"/>
        <w:gridCol w:w="109"/>
        <w:gridCol w:w="313"/>
        <w:gridCol w:w="746"/>
        <w:gridCol w:w="256"/>
      </w:tblGrid>
      <w:tr>
        <w:trPr/>
        <w:tc>
          <w:tcPr>
            <w:tcW w:w="982"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Net Derivative Gains (Losses) Recognized for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Net Derivative Gains (Losses) Recognized for Hedged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Net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Policyholder Benefits and Claims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Amount of Gains (Losses) Deferred in AOCI</w:t>
            </w:r>
          </w:p>
        </w:tc>
      </w:tr>
      <w:tr>
        <w:trPr/>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7" w:type="dxa"/>
            <w:gridSpan w:val="27"/>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998"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6"/>
              </w:rPr>
            </w:pPr>
            <w:r>
              <w:rPr>
                <w:rFonts w:ascii="Times New Roman;serif" w:hAnsi="Times New Roman;serif"/>
                <w:b/>
                <w:color w:val="000000"/>
                <w:sz w:val="16"/>
              </w:rPr>
              <w:t>Six Months Ended June 30, 2026</w:t>
            </w:r>
          </w:p>
        </w:tc>
        <w:tc>
          <w:tcPr>
            <w:tcW w:w="1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998" w:type="dxa"/>
            <w:gridSpan w:val="3"/>
            <w:tcBorders/>
            <w:tcMar>
              <w:top w:w="0" w:type="dxa"/>
              <w:left w:w="0" w:type="dxa"/>
              <w:bottom w:w="0" w:type="dxa"/>
              <w:right w:w="0" w:type="dxa"/>
            </w:tcMar>
            <w:vAlign w:val="center"/>
          </w:tcPr>
          <w:p>
            <w:pPr>
              <w:pStyle w:val="TableContents"/>
              <w:bidi w:val="0"/>
              <w:spacing w:lineRule="auto" w:line="288" w:before="240" w:after="283"/>
              <w:ind w:left="0" w:right="0" w:hanging="90"/>
              <w:jc w:val="left"/>
              <w:rPr>
                <w:rFonts w:ascii="Times New Roman;serif" w:hAnsi="Times New Roman;serif"/>
                <w:b/>
                <w:color w:val="000000"/>
                <w:sz w:val="16"/>
              </w:rPr>
            </w:pPr>
            <w:r>
              <w:rPr>
                <w:rFonts w:ascii="Times New Roman;serif" w:hAnsi="Times New Roman;serif"/>
                <w:b/>
                <w:color w:val="000000"/>
                <w:sz w:val="16"/>
              </w:rPr>
              <w:t xml:space="preserve">Derivatives Designated as Hedging Instruments: </w:t>
            </w:r>
          </w:p>
        </w:tc>
        <w:tc>
          <w:tcPr>
            <w:tcW w:w="1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Cash flow hedges:</w:t>
            </w:r>
          </w:p>
        </w:tc>
        <w:tc>
          <w:tcPr>
            <w:tcW w:w="1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w:t>
            </w:r>
          </w:p>
        </w:tc>
        <w:tc>
          <w:tcPr>
            <w:tcW w:w="423"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43"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07" w:type="dxa"/>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9"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exchange rate</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Total cash flow hedges</w:t>
            </w:r>
          </w:p>
        </w:tc>
        <w:tc>
          <w:tcPr>
            <w:tcW w:w="13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998"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90"/>
              <w:jc w:val="left"/>
              <w:rPr>
                <w:rFonts w:ascii="Times New Roman;serif" w:hAnsi="Times New Roman;serif"/>
                <w:b/>
                <w:color w:val="000000"/>
                <w:sz w:val="16"/>
              </w:rPr>
            </w:pPr>
            <w:r>
              <w:rPr>
                <w:rFonts w:ascii="Times New Roman;serif" w:hAnsi="Times New Roman;serif"/>
                <w:b/>
                <w:color w:val="000000"/>
                <w:sz w:val="16"/>
              </w:rPr>
              <w:t>Derivatives Not Designated or Not Qualifying as Hedging Instruments:</w:t>
            </w:r>
          </w:p>
        </w:tc>
        <w:tc>
          <w:tcPr>
            <w:tcW w:w="16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w:t>
            </w:r>
          </w:p>
        </w:tc>
        <w:tc>
          <w:tcPr>
            <w:tcW w:w="1366" w:type="dxa"/>
            <w:gridSpan w:val="2"/>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(305)</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exchange rate</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Credit</w:t>
            </w:r>
          </w:p>
        </w:tc>
        <w:tc>
          <w:tcPr>
            <w:tcW w:w="1366" w:type="dxa"/>
            <w:gridSpan w:val="2"/>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Equity market</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1,814 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Embedded</w:t>
            </w:r>
          </w:p>
        </w:tc>
        <w:tc>
          <w:tcPr>
            <w:tcW w:w="1366" w:type="dxa"/>
            <w:gridSpan w:val="2"/>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(2,518)</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Total non-qualifying hedges</w:t>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(984)</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423" w:type="dxa"/>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43" w:type="dxa"/>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(983)</w:t>
            </w:r>
          </w:p>
        </w:tc>
        <w:tc>
          <w:tcPr>
            <w:tcW w:w="2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07" w:type="dxa"/>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9" w:type="dxa"/>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6"/>
              </w:rPr>
            </w:pPr>
            <w:r>
              <w:rPr>
                <w:rFonts w:ascii="Times New Roman;serif" w:hAnsi="Times New Roman;serif"/>
                <w:b/>
                <w:color w:val="000000"/>
                <w:sz w:val="16"/>
              </w:rPr>
              <w:t>Six Months Ended June 30, 2025</w:t>
            </w:r>
          </w:p>
        </w:tc>
        <w:tc>
          <w:tcPr>
            <w:tcW w:w="16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998" w:type="dxa"/>
            <w:gridSpan w:val="3"/>
            <w:tcBorders/>
            <w:tcMar>
              <w:top w:w="0" w:type="dxa"/>
              <w:left w:w="0" w:type="dxa"/>
              <w:bottom w:w="0" w:type="dxa"/>
              <w:right w:w="0" w:type="dxa"/>
            </w:tcMar>
            <w:vAlign w:val="center"/>
          </w:tcPr>
          <w:p>
            <w:pPr>
              <w:pStyle w:val="TableContents"/>
              <w:bidi w:val="0"/>
              <w:spacing w:lineRule="auto" w:line="288" w:before="240" w:after="283"/>
              <w:ind w:left="0" w:right="0" w:hanging="90"/>
              <w:jc w:val="left"/>
              <w:rPr>
                <w:rFonts w:ascii="Times New Roman;serif" w:hAnsi="Times New Roman;serif"/>
                <w:b/>
                <w:color w:val="000000"/>
                <w:sz w:val="16"/>
              </w:rPr>
            </w:pPr>
            <w:r>
              <w:rPr>
                <w:rFonts w:ascii="Times New Roman;serif" w:hAnsi="Times New Roman;serif"/>
                <w:b/>
                <w:color w:val="000000"/>
                <w:sz w:val="16"/>
              </w:rPr>
              <w:t xml:space="preserve">Derivatives Designated as Hedging Instruments: </w:t>
            </w:r>
          </w:p>
        </w:tc>
        <w:tc>
          <w:tcPr>
            <w:tcW w:w="1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r>
      <w:tr>
        <w:trPr/>
        <w:tc>
          <w:tcPr>
            <w:tcW w:w="1998"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r>
      <w:tr>
        <w:trPr/>
        <w:tc>
          <w:tcPr>
            <w:tcW w:w="1998"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r>
      <w:tr>
        <w:trPr/>
        <w:tc>
          <w:tcPr>
            <w:tcW w:w="1998"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Cash flow hedges:</w:t>
            </w:r>
          </w:p>
        </w:tc>
        <w:tc>
          <w:tcPr>
            <w:tcW w:w="1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w:t>
            </w:r>
          </w:p>
        </w:tc>
        <w:tc>
          <w:tcPr>
            <w:tcW w:w="423"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43"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07" w:type="dxa"/>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9"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exchange rate</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(257)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Total cash flow hedges</w:t>
            </w:r>
          </w:p>
        </w:tc>
        <w:tc>
          <w:tcPr>
            <w:tcW w:w="13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(269)</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998"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90"/>
              <w:jc w:val="left"/>
              <w:rPr>
                <w:rFonts w:ascii="Times New Roman;serif" w:hAnsi="Times New Roman;serif"/>
                <w:b/>
                <w:color w:val="000000"/>
                <w:sz w:val="16"/>
              </w:rPr>
            </w:pPr>
            <w:r>
              <w:rPr>
                <w:rFonts w:ascii="Times New Roman;serif" w:hAnsi="Times New Roman;serif"/>
                <w:b/>
                <w:color w:val="000000"/>
                <w:sz w:val="16"/>
              </w:rPr>
              <w:t>Derivatives Not Designated or Not Qualifying as Hedging Instruments:</w:t>
            </w:r>
          </w:p>
        </w:tc>
        <w:tc>
          <w:tcPr>
            <w:tcW w:w="16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w:t>
            </w:r>
          </w:p>
        </w:tc>
        <w:tc>
          <w:tcPr>
            <w:tcW w:w="1366" w:type="dxa"/>
            <w:gridSpan w:val="2"/>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exchange rate</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Credit</w:t>
            </w:r>
          </w:p>
        </w:tc>
        <w:tc>
          <w:tcPr>
            <w:tcW w:w="1366" w:type="dxa"/>
            <w:gridSpan w:val="2"/>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Equity market</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Embedded</w:t>
            </w:r>
          </w:p>
        </w:tc>
        <w:tc>
          <w:tcPr>
            <w:tcW w:w="1366" w:type="dxa"/>
            <w:gridSpan w:val="2"/>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(983)</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Total non-qualifying hedges</w:t>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(938)</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4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(932)</w:t>
            </w:r>
          </w:p>
        </w:tc>
        <w:tc>
          <w:tcPr>
            <w:tcW w:w="2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(269)</w:t>
            </w:r>
          </w:p>
        </w:tc>
        <w:tc>
          <w:tcPr>
            <w:tcW w:w="2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June 30, 2026 and December 31, 2025, the Company held no qualified derivatives hedging exposure to future cash flows for forecasted asset purchases.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June 30, 2026 and December 31, 2025, the balance in AOCI associated with cash flow hedges was $259 million and $219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60985"/>
                <wp:effectExtent l="0" t="0" r="0" b="0"/>
                <wp:wrapNone/>
                <wp:docPr id="38" name="Frame37"/>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120" w:after="283"/>
        <w:jc w:val="left"/>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8. Derivatives (continued)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Credit Derivatives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synthetically created credit investment transactions, the Company writes credit default swaps for which it receives a premium to insure credit risk. If a credit event occurs, as defined by the contract, the contract may be cash settled or it may be settled gross by the Company paying the counterparty the specified swap notional amount in exchange for the delivery of par quantities of the referenced credit obligation.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estimated fair value, maximum amount of future payments and weighted average years to maturity of written credit default swaps were as follows at:</w:t>
      </w:r>
    </w:p>
    <w:tbl>
      <w:tblPr>
        <w:tblW w:w="10205" w:type="dxa"/>
        <w:jc w:val="left"/>
        <w:tblInd w:w="0" w:type="dxa"/>
        <w:tblLayout w:type="fixed"/>
        <w:tblCellMar>
          <w:top w:w="28" w:type="dxa"/>
          <w:left w:w="28" w:type="dxa"/>
          <w:bottom w:w="28" w:type="dxa"/>
          <w:right w:w="28" w:type="dxa"/>
        </w:tblCellMar>
      </w:tblPr>
      <w:tblGrid>
        <w:gridCol w:w="426"/>
        <w:gridCol w:w="375"/>
        <w:gridCol w:w="376"/>
        <w:gridCol w:w="109"/>
        <w:gridCol w:w="109"/>
        <w:gridCol w:w="109"/>
        <w:gridCol w:w="296"/>
        <w:gridCol w:w="500"/>
        <w:gridCol w:w="166"/>
        <w:gridCol w:w="109"/>
        <w:gridCol w:w="109"/>
        <w:gridCol w:w="109"/>
        <w:gridCol w:w="397"/>
        <w:gridCol w:w="853"/>
        <w:gridCol w:w="222"/>
        <w:gridCol w:w="109"/>
        <w:gridCol w:w="109"/>
        <w:gridCol w:w="109"/>
        <w:gridCol w:w="357"/>
        <w:gridCol w:w="357"/>
        <w:gridCol w:w="358"/>
        <w:gridCol w:w="109"/>
        <w:gridCol w:w="109"/>
        <w:gridCol w:w="109"/>
        <w:gridCol w:w="296"/>
        <w:gridCol w:w="500"/>
        <w:gridCol w:w="166"/>
        <w:gridCol w:w="109"/>
        <w:gridCol w:w="109"/>
        <w:gridCol w:w="109"/>
        <w:gridCol w:w="397"/>
        <w:gridCol w:w="853"/>
        <w:gridCol w:w="222"/>
        <w:gridCol w:w="109"/>
        <w:gridCol w:w="109"/>
        <w:gridCol w:w="109"/>
        <w:gridCol w:w="326"/>
        <w:gridCol w:w="326"/>
        <w:gridCol w:w="474"/>
      </w:tblGrid>
      <w:tr>
        <w:trPr/>
        <w:tc>
          <w:tcPr>
            <w:tcW w:w="42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0" w:type="dxa"/>
            <w:gridSpan w:val="15"/>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15"/>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177"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6"/>
              </w:rPr>
            </w:pPr>
            <w:r>
              <w:rPr>
                <w:rFonts w:ascii="Times New Roman;serif" w:hAnsi="Times New Roman;serif"/>
                <w:b/>
                <w:color w:val="000000"/>
                <w:sz w:val="16"/>
              </w:rPr>
              <w:t>Rating Agency Designation of Referenced Credit Obligations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Estimated Fair Value of Credit Default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Maximum Amount of Future Payments under Credit Default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Weighted Average Years to Maturity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Estimated Fair Value of Credit Default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Maximum Amount of Future Payments under Credit Default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Weighted Average Years to Maturity (2)</w:t>
            </w:r>
          </w:p>
        </w:tc>
      </w:tr>
      <w:tr>
        <w:trPr/>
        <w:tc>
          <w:tcPr>
            <w:tcW w:w="11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1" w:type="dxa"/>
            <w:gridSpan w:val="3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1177"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Aaa/Aa/A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00"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00"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r>
      <w:tr>
        <w:trPr/>
        <w:tc>
          <w:tcPr>
            <w:tcW w:w="1177"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Baa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680 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r>
      <w:tr>
        <w:trPr/>
        <w:tc>
          <w:tcPr>
            <w:tcW w:w="1177"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r>
      <w:tr>
        <w:trPr/>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7"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797 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468 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Company has written credit protection on index references. The rating agency designations are based on availability and the midpoint of the applicable ratings among Moody’s, S&amp;P and Fitch. If no rating is available from a rating agency, then an internally developed rating is used.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weighted average years to maturity of the credit default swaps is calculated based on weighted average gross notional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Counterparty Credit Risk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may be exposed to credit-related losses in the event of counterparty nonperformance on derivative instruments. Generally, the credit exposure is the fair value at the reporting date less any collateral received from the counterparty.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manages its credit risk by: (i) entering into derivative transactions with creditworthy counterparties governed by master netting agreements; (ii) trading through regulated exchanges and central clearing counterparties; (iii) obtaining collateral, such as cash and securities, when appropriate; and (iv) setting limits on single party credit exposures which are subject to periodic management review. </w:t>
      </w:r>
    </w:p>
    <w:p>
      <w:pPr>
        <w:pStyle w:val="TextBody"/>
        <w:bidi w:val="0"/>
        <w:spacing w:lineRule="auto" w:line="288" w:before="120" w:after="283"/>
        <w:ind w:left="0" w:right="0" w:firstLine="360"/>
        <w:jc w:val="both"/>
        <w:rPr/>
      </w:pPr>
      <w:r>
        <w:rPr>
          <w:rFonts w:ascii="Times New Roman;serif" w:hAnsi="Times New Roman;serif"/>
          <w:b w:val="false"/>
          <w:color w:val="000000"/>
          <w:sz w:val="20"/>
        </w:rPr>
        <w:t>See Note 9</w:t>
      </w:r>
      <w:r>
        <w:rPr>
          <w:color w:val="000000"/>
        </w:rPr>
        <w:t xml:space="preserve"> </w:t>
      </w:r>
      <w:r>
        <w:rPr>
          <w:rFonts w:ascii="Times New Roman;serif" w:hAnsi="Times New Roman;serif"/>
          <w:b w:val="false"/>
          <w:color w:val="000000"/>
          <w:sz w:val="20"/>
        </w:rPr>
        <w:t>for a description of the impact of credit risk on the valuation of derivatives.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60985"/>
                <wp:effectExtent l="0" t="0" r="0" b="0"/>
                <wp:wrapNone/>
                <wp:docPr id="39" name="Frame38"/>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120" w:after="283"/>
        <w:jc w:val="left"/>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8. Derivatives (continued)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estimated fair values of net derivative assets and net derivative liabilities after the application of master netting agreements and collateral were as follows at:</w:t>
      </w:r>
    </w:p>
    <w:tbl>
      <w:tblPr>
        <w:tblW w:w="10205" w:type="dxa"/>
        <w:jc w:val="left"/>
        <w:tblInd w:w="0" w:type="dxa"/>
        <w:tblLayout w:type="fixed"/>
        <w:tblCellMar>
          <w:top w:w="28" w:type="dxa"/>
          <w:left w:w="28" w:type="dxa"/>
          <w:bottom w:w="28" w:type="dxa"/>
          <w:right w:w="28" w:type="dxa"/>
        </w:tblCellMar>
      </w:tblPr>
      <w:tblGrid>
        <w:gridCol w:w="476"/>
        <w:gridCol w:w="323"/>
        <w:gridCol w:w="232"/>
        <w:gridCol w:w="109"/>
        <w:gridCol w:w="109"/>
        <w:gridCol w:w="109"/>
        <w:gridCol w:w="243"/>
        <w:gridCol w:w="801"/>
        <w:gridCol w:w="135"/>
        <w:gridCol w:w="109"/>
        <w:gridCol w:w="109"/>
        <w:gridCol w:w="109"/>
        <w:gridCol w:w="308"/>
        <w:gridCol w:w="731"/>
        <w:gridCol w:w="134"/>
        <w:gridCol w:w="134"/>
        <w:gridCol w:w="134"/>
        <w:gridCol w:w="134"/>
        <w:gridCol w:w="261"/>
        <w:gridCol w:w="794"/>
        <w:gridCol w:w="145"/>
        <w:gridCol w:w="109"/>
        <w:gridCol w:w="109"/>
        <w:gridCol w:w="109"/>
        <w:gridCol w:w="202"/>
        <w:gridCol w:w="573"/>
        <w:gridCol w:w="112"/>
        <w:gridCol w:w="109"/>
        <w:gridCol w:w="109"/>
        <w:gridCol w:w="109"/>
        <w:gridCol w:w="293"/>
        <w:gridCol w:w="899"/>
        <w:gridCol w:w="163"/>
        <w:gridCol w:w="109"/>
        <w:gridCol w:w="109"/>
        <w:gridCol w:w="109"/>
        <w:gridCol w:w="344"/>
        <w:gridCol w:w="714"/>
        <w:gridCol w:w="285"/>
      </w:tblGrid>
      <w:tr>
        <w:trPr/>
        <w:tc>
          <w:tcPr>
            <w:tcW w:w="47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9"/>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Gross Amounts Not Offset on the Consolidated Balance Sheets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Gross Amount Recognized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Financial Instruments (1)</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Collateral Received/Pledged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Net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Securities Collateral Received/Pledged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Net Amount After Securities Collateral</w:t>
            </w:r>
          </w:p>
        </w:tc>
      </w:tr>
      <w:tr>
        <w:trPr/>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031"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1"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12,391 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(7,627)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(3,439)</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1,325 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(1,248)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1"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Derivative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8,337 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(7,627)</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(700)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1"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1"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6,568 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(3,861)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(1,374)</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1,333 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(1,330)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1"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Derivative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5,099 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(3,861)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1,238 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(1,238)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(1)Represents amounts subject to an enforceable master netting agreement or similar agreement.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amount of cash collateral offset in the table above is limited to the net estimated fair value of derivatives after application of netting agreement.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(3)Securities collateral received from counterparties is not reported on the consolidated balance sheets and may not be sold or re-pledged unless the counterparty is in default. Amounts do not include excess of collateral pledged or received.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does not offset recognized derivative assets and liabilities subject to master netting agreements on the consolidated balance sheets except for derivative instruments executed with the same counterparty but under different credit support annexes. As of June 30, 2026, $2.4 billion of recognized derivative assets were offset by $2.4 billion of recognized derivative liabilities on the consolidated balance sheets.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collateral arrangements generally require the counterparty in a net liability position, after considering the effect of netting agreements, to pledge collateral when the amount owed by that counterparty reaches a minimum transfer amount. Certain of these arrangements also include credit-contingent provisions which permit the party with positive fair value to terminate the derivative at the current fair value or demand immediate full collateralization from the party in a net liability position, in the event that the financial strength or credit rating of the party in a net liability position falls below a certain level.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aggregate estimated fair values of derivatives in a net liability position containing such credit-contingent provisions and the aggregate estimated fair value of assets posted as collateral for such instruments were as follows at:</w:t>
      </w:r>
    </w:p>
    <w:tbl>
      <w:tblPr>
        <w:tblW w:w="7838" w:type="dxa"/>
        <w:jc w:val="left"/>
        <w:tblInd w:w="0" w:type="dxa"/>
        <w:tblLayout w:type="fixed"/>
        <w:tblCellMar>
          <w:top w:w="28" w:type="dxa"/>
          <w:left w:w="28" w:type="dxa"/>
          <w:bottom w:w="28" w:type="dxa"/>
          <w:right w:w="28" w:type="dxa"/>
        </w:tblCellMar>
      </w:tblPr>
      <w:tblGrid>
        <w:gridCol w:w="1636"/>
        <w:gridCol w:w="1437"/>
        <w:gridCol w:w="1442"/>
        <w:gridCol w:w="109"/>
        <w:gridCol w:w="109"/>
        <w:gridCol w:w="109"/>
        <w:gridCol w:w="256"/>
        <w:gridCol w:w="727"/>
        <w:gridCol w:w="142"/>
        <w:gridCol w:w="109"/>
        <w:gridCol w:w="109"/>
        <w:gridCol w:w="109"/>
        <w:gridCol w:w="334"/>
        <w:gridCol w:w="948"/>
        <w:gridCol w:w="262"/>
      </w:tblGrid>
      <w:tr>
        <w:trPr/>
        <w:tc>
          <w:tcPr>
            <w:tcW w:w="1636"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Estimated fair value of derivatives in a net liability position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1,238 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Estimated fair value of collateral provided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Fixed maturity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3,514 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3,685 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(1)After taking into consideration the existence of netting agreements.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(2)Substantially all of the Company’s collateral arrangements provide for daily posting of collateral for the full value of the derivative contract. As a result, if the credit-contingent provisions of derivative contracts in a net liability position were triggered, minimal additional assets would be required to be posted as collateral or needed to settle the instruments immediately. Additionally, the Company is required to pledge initial margin for certain new OTC-bilateral derivative transactions to third-party custodians.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60985"/>
                <wp:effectExtent l="0" t="0" r="0" b="0"/>
                <wp:wrapNone/>
                <wp:docPr id="40" name="Frame39"/>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120" w:after="283"/>
        <w:jc w:val="left"/>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9.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Considerable judgment is often required in interpreting market data to develop estimates of fair value, and the use of different assumptions or valuation methodologies may have a material effect on the estimated fair value amounts.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Recurring Fair Value Measurements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assets and liabilities measured at estimated fair value on a recurring basis and their corresponding placement in the fair value hierarchy are presented in the tables below. Investments that do not have a readily determinable fair value and are measured at net asset value (or equivalent) as a practical expedient to estimated fair value are excluded from the fair value hierarchy.</w:t>
      </w:r>
    </w:p>
    <w:tbl>
      <w:tblPr>
        <w:tblW w:w="9699" w:type="dxa"/>
        <w:jc w:val="left"/>
        <w:tblInd w:w="0" w:type="dxa"/>
        <w:tblLayout w:type="fixed"/>
        <w:tblCellMar>
          <w:top w:w="28" w:type="dxa"/>
          <w:left w:w="28" w:type="dxa"/>
          <w:bottom w:w="28" w:type="dxa"/>
          <w:right w:w="28" w:type="dxa"/>
        </w:tblCellMar>
      </w:tblPr>
      <w:tblGrid>
        <w:gridCol w:w="1348"/>
        <w:gridCol w:w="1189"/>
        <w:gridCol w:w="1198"/>
        <w:gridCol w:w="196"/>
        <w:gridCol w:w="556"/>
        <w:gridCol w:w="109"/>
        <w:gridCol w:w="109"/>
        <w:gridCol w:w="109"/>
        <w:gridCol w:w="109"/>
        <w:gridCol w:w="196"/>
        <w:gridCol w:w="736"/>
        <w:gridCol w:w="109"/>
        <w:gridCol w:w="109"/>
        <w:gridCol w:w="109"/>
        <w:gridCol w:w="109"/>
        <w:gridCol w:w="196"/>
        <w:gridCol w:w="646"/>
        <w:gridCol w:w="109"/>
        <w:gridCol w:w="109"/>
        <w:gridCol w:w="109"/>
        <w:gridCol w:w="109"/>
        <w:gridCol w:w="384"/>
        <w:gridCol w:w="1444"/>
        <w:gridCol w:w="302"/>
      </w:tblGrid>
      <w:tr>
        <w:trPr/>
        <w:tc>
          <w:tcPr>
            <w:tcW w:w="134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4" w:type="dxa"/>
            <w:gridSpan w:val="21"/>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Fair Value Hierarchy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Total Estimated Fair Value</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4" w:type="dxa"/>
            <w:gridSpan w:val="21"/>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6"/>
              </w:rPr>
            </w:pPr>
            <w:r>
              <w:rPr>
                <w:rFonts w:ascii="Times New Roman;serif" w:hAnsi="Times New Roman;serif"/>
                <w:b/>
                <w:color w:val="000000"/>
                <w:sz w:val="16"/>
              </w:rPr>
              <w:t>Assets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Fixed maturity securities: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U.S. corporate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37,127 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44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37,727 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Foreign corporate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10,989 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RMBS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8,869 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U.S. government and agency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6,609 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ABS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5,766 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CMBS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5,729 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State and political subdivision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3,201 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Foreign government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838 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Total fixed maturity securities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76,108 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79,728 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Trading securities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596 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Short-term investments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412 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Derivative assets: (1)</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exchange rate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369 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Credit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Equity market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12,145 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12,148 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Total derivative assets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12,733 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12,743 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Embedded derivatives on index-linked annuities (2)</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Market risk benefit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1,024 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Separate account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78,842 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78,862 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2,889 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168,268 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2,301 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173,458 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Market risk benefit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444"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7,453 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Derivative liabilities: (1)</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1,865 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exchange rate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Equity market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6,683 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Total derivative liabilities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8,619 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Embedded derivatives on index-linked annuities (2)</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13,015 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13,015 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8,616 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20,468 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29,087 </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60985"/>
                <wp:effectExtent l="0" t="0" r="0" b="0"/>
                <wp:wrapNone/>
                <wp:docPr id="41" name="Frame40"/>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180" w:after="283"/>
        <w:jc w:val="left"/>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9. Fair Value (continued)</w:t>
      </w:r>
    </w:p>
    <w:tbl>
      <w:tblPr>
        <w:tblW w:w="9699" w:type="dxa"/>
        <w:jc w:val="left"/>
        <w:tblInd w:w="0" w:type="dxa"/>
        <w:tblLayout w:type="fixed"/>
        <w:tblCellMar>
          <w:top w:w="28" w:type="dxa"/>
          <w:left w:w="28" w:type="dxa"/>
          <w:bottom w:w="28" w:type="dxa"/>
          <w:right w:w="28" w:type="dxa"/>
        </w:tblCellMar>
      </w:tblPr>
      <w:tblGrid>
        <w:gridCol w:w="1348"/>
        <w:gridCol w:w="1189"/>
        <w:gridCol w:w="1198"/>
        <w:gridCol w:w="196"/>
        <w:gridCol w:w="556"/>
        <w:gridCol w:w="109"/>
        <w:gridCol w:w="109"/>
        <w:gridCol w:w="109"/>
        <w:gridCol w:w="109"/>
        <w:gridCol w:w="196"/>
        <w:gridCol w:w="736"/>
        <w:gridCol w:w="109"/>
        <w:gridCol w:w="109"/>
        <w:gridCol w:w="109"/>
        <w:gridCol w:w="109"/>
        <w:gridCol w:w="196"/>
        <w:gridCol w:w="646"/>
        <w:gridCol w:w="109"/>
        <w:gridCol w:w="109"/>
        <w:gridCol w:w="109"/>
        <w:gridCol w:w="109"/>
        <w:gridCol w:w="384"/>
        <w:gridCol w:w="1444"/>
        <w:gridCol w:w="302"/>
      </w:tblGrid>
      <w:tr>
        <w:trPr/>
        <w:tc>
          <w:tcPr>
            <w:tcW w:w="134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4" w:type="dxa"/>
            <w:gridSpan w:val="21"/>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Fair Value Hierarchy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Total Estimated Fair Value</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4" w:type="dxa"/>
            <w:gridSpan w:val="21"/>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6"/>
              </w:rPr>
            </w:pPr>
            <w:r>
              <w:rPr>
                <w:rFonts w:ascii="Times New Roman;serif" w:hAnsi="Times New Roman;serif"/>
                <w:b/>
                <w:color w:val="000000"/>
                <w:sz w:val="16"/>
              </w:rPr>
              <w:t>Assets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Fixed maturity securities: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U.S. corporate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37,769 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44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38,409 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Foreign corporate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11,276 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11,434 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RMBS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8,476 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U.S. government and agency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6,445 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ABS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6,031 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CMBS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5,800 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State and political subdivision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3,423 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Foreign government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942 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Total fixed maturity securities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77,620 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80,960 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Trading securities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506 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Short-term investments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668 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Derivative assets: (1)</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297 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exchange rate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342 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Credit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Equity market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6,121 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Total derivative assets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6,759 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6,771 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Embedded derivatives on index-linked annuities (2)</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Market risk benefit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1,060 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Separate account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78,815 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78,825 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2,923 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163,721 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2,248 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168,892 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Market risk benefit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444"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8,079 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Derivative liabilities: (1)</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2,082 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exchange rate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Equity market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3,064 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Total derivative liabilities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5,234 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Embedded derivatives on index-linked annuities (2)</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12,406 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12,406 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5,230 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20,485 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25,719 </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(1)Derivative assets are reported in other invested assets and derivative liabilities are reported in other liabilities. The amounts are presented gross in the tables above to reflect the presentation on the consolidated balance sheets.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(2)Embedded derivative assets on index-linked annuities relate to reinsurance and are reported in premiums and other receivables. Embedded derivative liabilities on index-linked annuities are reported in policyholder account balances.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Valuation Controls and Procedures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monitors and provides oversight of valuation controls and policies for securities, mortgage loans and derivatives, which are primarily executed by its valuation service providers. The valuation methodologies used to determine fair values prioritize the use of observable market prices and market-based parameters and determines that judgmental valuation adjustments, when applied, are based upon established policies and are applied consistently over time. The valuation methodologies for securities, mortgage loans and derivatives are reviewed on an ongoing basis and revised when necessary. In addition, the Chief Accounting Officer periodically reports to the Audit Committee of BHF’s Board of Directors regarding compliance with fair value accounting standards.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60985"/>
                <wp:effectExtent l="0" t="0" r="0" b="0"/>
                <wp:wrapNone/>
                <wp:docPr id="42" name="Frame41"/>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180" w:after="283"/>
        <w:jc w:val="left"/>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9. Fair Value (continued)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financial assets and financial liabilities is based on quoted market prices, where available. Prices received are assessed to determine if they represent a reasonable estimate of fair value. Several controls are performed, including certain monthly controls, which include, but are not limited to, analysis of portfolio returns to corresponding benchmark returns, comparing a sample of executed prices of securities sold to the fair value estimates, reviewing the bid/ask spreads to assess activity, comparing prices from multiple independent pricing services and ongoing due diligence to confirm that independent pricing services use market-based parameters. The process includes a determination of the observability of inputs used in estimated fair values received from independent pricing services or brokers by assessing whether these inputs can be corroborated by observable market data. Independent non-binding broker quotes, also referred to herein as “consensus pricing,” are used for a non-significant portion of the portfolio. Prices received from independent brokers are assessed to determine if they represent a reasonable estimate of fair value by considering such pricing relative to the current market dynamics and current pricing for similar financial instruments.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formal process is also applied to challenge any prices received from independent pricing services that are not considered representative of estimated fair value. If prices received from independent pricing services are not considered reflective of market activity or representative of estimated fair value, independent non-binding broker quotations are obtained. If obtaining an independent non-binding broker quotation is unsuccessful, the last available price will be used.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 controls are performed, such as balance sheet analytics to assess reasonableness of period-to-period pricing changes, including any price adjustments. Price adjustments are applied if prices or quotes received from independent pricing services or brokers are not considered reflective of market activity or representative of estimated fair value. The Company did not have significant price adjustments during the six months ended June 30, 2026.</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Determination of Fair Value</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Fixed Maturity Securities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values for actively traded marketable bonds designated as available-for-sale or trading securities, primarily U.S. government and agency securities, are determined using the quoted market prices and are classified as Level 1 assets. For securities classified as Level 2 assets, fair values are determined using either a market or income approach and are valued based on a variety of observable inputs as described below.</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U.S. corporate and foreign corporate securities:</w:t>
      </w:r>
      <w:r>
        <w:rPr>
          <w:color w:val="000000"/>
        </w:rPr>
        <w:t xml:space="preserve"> </w:t>
      </w:r>
      <w:r>
        <w:rPr>
          <w:rFonts w:ascii="Times New Roman;serif" w:hAnsi="Times New Roman;serif"/>
          <w:b w:val="false"/>
          <w:color w:val="000000"/>
          <w:sz w:val="20"/>
        </w:rPr>
        <w:t>Fair value is determined using third-party commercial pricing services, with the primary inputs being quoted prices in markets that are not active, benchmark yields, spreads off benchmark yields, new issuances, issuer rating, trades of identical or comparable securities, or duration. Privately-placed securities are valued using the additional key inputs: market yield curve, call provisions, observable prices and spreads for similar public or private securities that incorporate the credit quality and industry sector of the issuer, and delta spread adjustments to reflect specific credit-related issues.</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U.S. government and agency, state and political subdivision and foreign government securities:</w:t>
      </w:r>
      <w:r>
        <w:rPr>
          <w:color w:val="000000"/>
        </w:rPr>
        <w:t xml:space="preserve"> </w:t>
      </w:r>
      <w:r>
        <w:rPr>
          <w:rFonts w:ascii="Times New Roman;serif" w:hAnsi="Times New Roman;serif"/>
          <w:b w:val="false"/>
          <w:color w:val="000000"/>
          <w:sz w:val="20"/>
        </w:rPr>
        <w:t>Fair value is determined using third-party commercial pricing services, with the primary inputs being quoted prices in markets that are not active, benchmark U.S. Treasury yield or other yields, spread off the U.S. Treasury yield curve for the identical security, issuer ratings and issuer spreads, broker-dealer quotes, and comparable securities that are actively traded.</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Structured Securities:</w:t>
      </w:r>
      <w:r>
        <w:rPr>
          <w:color w:val="000000"/>
        </w:rPr>
        <w:t xml:space="preserve"> </w:t>
      </w:r>
      <w:r>
        <w:rPr>
          <w:rFonts w:ascii="Times New Roman;serif" w:hAnsi="Times New Roman;serif"/>
          <w:b w:val="false"/>
          <w:color w:val="000000"/>
          <w:sz w:val="20"/>
        </w:rPr>
        <w:t xml:space="preserve">Fair value is determined using third-party commercial pricing services, with the primary inputs being quoted prices in markets that are not active, spreads for actively traded securities, spreads off benchmark yields, expected prepayment speeds and volumes, current and forecasted loss severity, ratings, geographic region, weighted average coupon and weighted average maturity, average delinquency rates and debt-service coverage ratios. Other issuance-specific information is also used, including, but not limited to, collateral type, structure of the security, vintage of the loans, payment terms of the underlying asset, payment priority within tranche, and deal performance. </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Equity Securities and Short-term Investments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for actively traded equity securities and short-term investments are determined using quoted market prices and are classified as Level 1 assets. For financial instruments classified as Level 2 assets, fair values are determined using a market approach and are valued based on a variety of observable inputs as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60985"/>
                <wp:effectExtent l="0" t="0" r="0" b="0"/>
                <wp:wrapNone/>
                <wp:docPr id="43" name="Frame42"/>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180" w:after="283"/>
        <w:jc w:val="left"/>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9. Fair Value (continued)</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Equity securities and short-term investments:</w:t>
      </w:r>
      <w:r>
        <w:rPr>
          <w:color w:val="000000"/>
        </w:rPr>
        <w:t xml:space="preserve"> </w:t>
      </w:r>
      <w:r>
        <w:rPr>
          <w:rFonts w:ascii="Times New Roman;serif" w:hAnsi="Times New Roman;serif"/>
          <w:b w:val="false"/>
          <w:color w:val="000000"/>
          <w:sz w:val="20"/>
        </w:rPr>
        <w:t>Fair value is determined using third-party commercial pricing services, with the primary input being quoted prices in markets that are not active.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Derivatives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values for exchange-traded derivatives are determined using the quoted market prices and are classified as Level 1 assets or liabilities. For OTC-bilateral derivatives and OTC-cleared derivatives classified as Level 2 assets or liabilities, fair values are determined using the income approach. Valuations of non-option-based derivatives utilize present value techniques, whereas valuations of option-based derivatives utilize option pricing models which are based on market standard valuation methodologies and a variety of observable inputs.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significant inputs to the pricing models for most OTC-bilateral and OTC-cleared derivatives are inputs that are observable in the market or can be derived principally from, or corroborated by, observable market data. Certain OTC-bilateral and OTC-cleared derivatives may rely on inputs that are significant to the estimated fair value that are not observable in the market or cannot be derived principally from, or corroborated by, observable market data. These unobservable inputs may involve significant management judgment or estimation. Even though unobservable, these inputs are based on assumptions deemed appropriate given the circumstances and management believes they are consistent with what other market participants would use when pricing such instruments.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Most inputs for OTC-bilateral and OTC-cleared derivatives are mid-market inputs but, in certain cases, liquidity adjustments are made when they are deemed more representative of exit value. Market liquidity, as well as the use of different methodologies, assumptions and inputs, may have a material effect on the estimated fair values of the Company’s derivatives and could materially affect net income.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credit risk of both the counterparty and the Company are considered in determining the estimated fair value for all OTC-bilateral and OTC-cleared derivatives, and any potential credit adjustment is based on the net exposure by counterparty after taking into account the effects of netting agreements and collateral arrangements. The Company values its OTC-bilateral and OTC-cleared derivatives using standard swap curves which may include a spread to the risk-free rate, depending upon specific collateral arrangements. This credit spread is appropriate for those parties that execute trades at pricing levels consistent with similar collateral arrangements. As the Company and its significant derivative counterparties generally execute trades at such pricing levels and hold sufficient collateral, additional credit risk adjustments are not currently required in the valuation process. The Company’s ability to consistently execute at such pricing levels is in part due to the netting agreements and collateral arrangements that are in place with all of its significant derivative counterparties. An evaluation of the requirement to make additional credit risk adjustments is performed by the Company each reporting period.</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Market Risk Benefits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MRBs principally include guaranteed minimum benefits on variable annuity contracts including benefits reinsured related to these guarantees.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estimated fair value of variable annuity guarantees accounted for as MRBs is determined based on the present value of projected future benefits less the present value of projected future fees attributable to the guarantees. At policy inception, the Company determines an attributed fee ratio by solving for a percentage of projected future rider fees to be collected from the policyholder equal to the present value of projected future guaranteed benefits. To the extent the rider fees are insufficient, the Company may also include fees related to mortality and expense charges in the attributed fee ratio, provided the total fees included in the calculation do not exceed total contract fees and assessments collected from the contract holder. Any additional fees not included in the attributed fee ratio are considered revenue and reported in universal life and investment-type product policy fees. The attributed fee ratio is not updated in subsequent periods.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updates the estimated fair value of variable annuity guarantees in subsequent periods by projecting future benefits using capital markets inputs and actuarial assumptions including expectations of policyholder behavior. A risk neutral valuation methodology is used to project the cash flows from the guarantees under multiple capital markets scenarios. The reported estimated fair value is then determined by taking the present value of these cash flows using a discount rate that incorporates a spread over the risk-free rate to reflect the Company’s nonperformance risk and adding a risk margin.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60985"/>
                <wp:effectExtent l="0" t="0" r="0" b="0"/>
                <wp:wrapNone/>
                <wp:docPr id="44" name="Frame43"/>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180" w:after="283"/>
        <w:jc w:val="left"/>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9. Fair Value (continued)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valuation of MRBs includes an adjustment for the risk that the Company fails to satisfy its obligations, which is referred to as nonperformance risk. The nonperformance risk adjustment is captured as an additional spread applied to the risk-free rate in determining the rate to discount the cash flows of the liability. The spread over the risk-free rate is based on the Company’s creditworthiness taking into consideration publicly available information relating to spreads in the secondary market for Brighthouse Financial’s debt. These observable spreads are then adjusted, as necessary, to reflect the financial strength ratings of the issuing insurance subsidiaries as compared to the credit rating of Brighthouse Financial.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Risk margins are established to capture the non-capital markets risks of the instrument which represent the additional compensation a market participant would require to assume the risks related to the uncertainties in certain actuarial assumptions. The establishment of risk margins requires the use of significant actuarial judgment, including assumptions of the amount needed to cover the guarantees.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Actuarial assumptions are reviewed at least annually, and if they change significantly, the estimated fair value is adjusted through net income. Capital market inputs used in the measurement of variable annuity guarantees are updated quarterly through net income, except for the change attributable to the Company’s nonperformance risk, which is reported in OCI.</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Embedded Derivatives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Embedded derivatives include crediting rates associated with index-linked annuity contracts. Embedded derivatives are recorded at estimated fair value with changes in estimated fair value reported in net income.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crediting rates associated with these features are embedded derivatives which are measured at estimated fair value separately from the host fixed annuity contract. These embedded derivatives are classified within policyholder account balances on the consolidated balance sheets.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estimated fair value of crediting rates associated with index-linked annuities is determined using a combination of an option pricing model and an option-budget approach. The valuation of these embedded derivatives also includes the establishment of a risk margin, as well as changes in nonperformance risk.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Actuarial assumptions including policyholder behavior and expectations for renewals at the end of the term period are reviewed at least annually, and if they change significantly, the estimated fair value is adjusted through net income. Capital market inputs used in the measurement of crediting rate embedded derivatives are updated quarterly through net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Transfers Into or Out of Level 3:</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Assets and liabilities are transferred into Level 3 when a significant input cannot be corroborated with market observable data. This occurs when market activity decreases significantly and underlying inputs cannot be observed, current prices are not available, and/or when there are significant variances in quoted prices, thereby affecting transparency. Assets and liabilities are transferred out of Level 3 when circumstances change such that a significant input can be corroborated with market observable data. This may be due to a significant increase in market activity, a specific event, or one or more significant input(s) becoming observable.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60985"/>
                <wp:effectExtent l="0" t="0" r="0" b="0"/>
                <wp:wrapNone/>
                <wp:docPr id="45" name="Frame44"/>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180" w:after="283"/>
        <w:jc w:val="left"/>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9. Fair Value (continued)</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Assets and Liabilities Measured at Fair Value Using Significant Unobservable Inputs (Level 3)</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quantitative information about the significant unobservable inputs used in the fair value measurement, and the sensitivity of the estimated fair value to changes in those inputs, for the more significant asset and liability classes measured at fair value on a recurring basis using significant unobservable inputs (Level 3) were as follows at:</w:t>
      </w:r>
    </w:p>
    <w:tbl>
      <w:tblPr>
        <w:tblW w:w="10205" w:type="dxa"/>
        <w:jc w:val="left"/>
        <w:tblInd w:w="0" w:type="dxa"/>
        <w:tblLayout w:type="fixed"/>
        <w:tblCellMar>
          <w:top w:w="28" w:type="dxa"/>
          <w:left w:w="28" w:type="dxa"/>
          <w:bottom w:w="28" w:type="dxa"/>
          <w:right w:w="28" w:type="dxa"/>
        </w:tblCellMar>
      </w:tblPr>
      <w:tblGrid>
        <w:gridCol w:w="540"/>
        <w:gridCol w:w="394"/>
        <w:gridCol w:w="395"/>
        <w:gridCol w:w="154"/>
        <w:gridCol w:w="154"/>
        <w:gridCol w:w="154"/>
        <w:gridCol w:w="319"/>
        <w:gridCol w:w="319"/>
        <w:gridCol w:w="324"/>
        <w:gridCol w:w="109"/>
        <w:gridCol w:w="109"/>
        <w:gridCol w:w="109"/>
        <w:gridCol w:w="251"/>
        <w:gridCol w:w="251"/>
        <w:gridCol w:w="251"/>
        <w:gridCol w:w="594"/>
        <w:gridCol w:w="315"/>
        <w:gridCol w:w="312"/>
        <w:gridCol w:w="109"/>
        <w:gridCol w:w="109"/>
        <w:gridCol w:w="109"/>
        <w:gridCol w:w="159"/>
        <w:gridCol w:w="159"/>
        <w:gridCol w:w="140"/>
        <w:gridCol w:w="109"/>
        <w:gridCol w:w="109"/>
        <w:gridCol w:w="109"/>
        <w:gridCol w:w="152"/>
        <w:gridCol w:w="152"/>
        <w:gridCol w:w="154"/>
        <w:gridCol w:w="109"/>
        <w:gridCol w:w="109"/>
        <w:gridCol w:w="109"/>
        <w:gridCol w:w="160"/>
        <w:gridCol w:w="160"/>
        <w:gridCol w:w="138"/>
        <w:gridCol w:w="115"/>
        <w:gridCol w:w="115"/>
        <w:gridCol w:w="115"/>
        <w:gridCol w:w="152"/>
        <w:gridCol w:w="152"/>
        <w:gridCol w:w="154"/>
        <w:gridCol w:w="109"/>
        <w:gridCol w:w="109"/>
        <w:gridCol w:w="109"/>
        <w:gridCol w:w="483"/>
        <w:gridCol w:w="483"/>
        <w:gridCol w:w="700"/>
      </w:tblGrid>
      <w:tr>
        <w:trPr/>
        <w:tc>
          <w:tcPr>
            <w:tcW w:w="54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r>
      <w:tr>
        <w:trPr/>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vMerge w:val="restart"/>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Impact of Increase in Input on Estimated Fair Value</w:t>
            </w:r>
          </w:p>
        </w:tc>
      </w:tr>
      <w:tr>
        <w:trPr/>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Valuation Techniques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Significant Unobservable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054" w:type="dxa"/>
            <w:gridSpan w:val="18"/>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4"/>
              </w:rPr>
            </w:pPr>
            <w:r>
              <w:rPr>
                <w:rFonts w:ascii="Times New Roman;serif" w:hAnsi="Times New Roman;serif"/>
                <w:b/>
                <w:color w:val="000000"/>
                <w:sz w:val="14"/>
              </w:rPr>
              <w:t>Market Risk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Variable annuity guaranteed minimum benefits</w:t>
            </w:r>
          </w:p>
        </w:tc>
        <w:tc>
          <w:tcPr>
            <w:tcW w:w="462"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color w:val="000000"/>
              </w:rPr>
            </w:pPr>
            <w:r>
              <w:rPr>
                <w:color w:val="000000"/>
              </w:rPr>
              <w:t>•</w:t>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Discounted cash flows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color w:val="000000"/>
              </w:rPr>
            </w:pPr>
            <w:r>
              <w:rPr>
                <w:color w:val="000000"/>
              </w:rPr>
              <w:t>•</w:t>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4"/>
              </w:rPr>
            </w:pPr>
            <w:r>
              <w:rPr>
                <w:rFonts w:ascii="Times New Roman;serif" w:hAnsi="Times New Roman;serif"/>
                <w:b w:val="false"/>
                <w:color w:val="000000"/>
                <w:sz w:val="14"/>
              </w:rPr>
              <w:t>Mortality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0.04%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0.04%</w:t>
            </w:r>
          </w:p>
        </w:tc>
        <w:tc>
          <w:tcPr>
            <w:tcW w:w="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val="false"/>
                <w:color w:val="000000"/>
                <w:sz w:val="14"/>
              </w:rPr>
            </w:pPr>
            <w:r>
              <w:rPr>
                <w:rFonts w:ascii="Times New Roman;serif" w:hAnsi="Times New Roman;serif"/>
                <w:b w:val="false"/>
                <w:color w:val="000000"/>
                <w:sz w:val="14"/>
              </w:rPr>
              <w:t>Decrease (1)</w:t>
            </w:r>
          </w:p>
        </w:tc>
      </w:tr>
      <w:tr>
        <w:trPr/>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color w:val="000000"/>
              </w:rPr>
            </w:pPr>
            <w:r>
              <w:rPr>
                <w:color w:val="000000"/>
              </w:rPr>
              <w:t>•</w:t>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4"/>
              </w:rPr>
            </w:pPr>
            <w:r>
              <w:rPr>
                <w:rFonts w:ascii="Times New Roman;serif" w:hAnsi="Times New Roman;serif"/>
                <w:b w:val="false"/>
                <w:color w:val="000000"/>
                <w:sz w:val="14"/>
              </w:rPr>
              <w:t>Lapse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15.90%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1.00%</w:t>
            </w:r>
          </w:p>
        </w:tc>
        <w:tc>
          <w:tcPr>
            <w:tcW w:w="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15.90%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val="false"/>
                <w:color w:val="000000"/>
                <w:sz w:val="14"/>
              </w:rPr>
            </w:pPr>
            <w:r>
              <w:rPr>
                <w:rFonts w:ascii="Times New Roman;serif" w:hAnsi="Times New Roman;serif"/>
                <w:b w:val="false"/>
                <w:color w:val="000000"/>
                <w:sz w:val="14"/>
              </w:rPr>
              <w:t>Decrease (2)</w:t>
            </w:r>
          </w:p>
        </w:tc>
      </w:tr>
      <w:tr>
        <w:trPr/>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color w:val="000000"/>
              </w:rPr>
            </w:pPr>
            <w:r>
              <w:rPr>
                <w:color w:val="000000"/>
              </w:rPr>
              <w:t>•</w:t>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4"/>
              </w:rPr>
            </w:pPr>
            <w:r>
              <w:rPr>
                <w:rFonts w:ascii="Times New Roman;serif" w:hAnsi="Times New Roman;serif"/>
                <w:b w:val="false"/>
                <w:color w:val="000000"/>
                <w:sz w:val="14"/>
              </w:rPr>
              <w:t>Utilization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0.80%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0.00%</w:t>
            </w:r>
          </w:p>
        </w:tc>
        <w:tc>
          <w:tcPr>
            <w:tcW w:w="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val="false"/>
                <w:color w:val="000000"/>
                <w:sz w:val="14"/>
              </w:rPr>
            </w:pPr>
            <w:r>
              <w:rPr>
                <w:rFonts w:ascii="Times New Roman;serif" w:hAnsi="Times New Roman;serif"/>
                <w:b w:val="false"/>
                <w:color w:val="000000"/>
                <w:sz w:val="14"/>
              </w:rPr>
              <w:t>Increase (3)</w:t>
            </w:r>
          </w:p>
        </w:tc>
      </w:tr>
      <w:tr>
        <w:trPr/>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color w:val="000000"/>
              </w:rPr>
            </w:pPr>
            <w:r>
              <w:rPr>
                <w:color w:val="000000"/>
              </w:rPr>
              <w:t>•</w:t>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4"/>
              </w:rPr>
            </w:pPr>
            <w:r>
              <w:rPr>
                <w:rFonts w:ascii="Times New Roman;serif" w:hAnsi="Times New Roman;serif"/>
                <w:b w:val="false"/>
                <w:color w:val="000000"/>
                <w:sz w:val="14"/>
              </w:rPr>
              <w:t>Withdrawal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0.00%</w:t>
            </w:r>
          </w:p>
        </w:tc>
        <w:tc>
          <w:tcPr>
            <w:tcW w:w="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val="false"/>
                <w:color w:val="000000"/>
                <w:sz w:val="14"/>
              </w:rPr>
            </w:pPr>
            <w:r>
              <w:rPr>
                <w:rFonts w:ascii="Times New Roman;serif" w:hAnsi="Times New Roman;serif"/>
                <w:b w:val="false"/>
                <w:color w:val="000000"/>
                <w:sz w:val="14"/>
              </w:rPr>
              <w:t>(4)</w:t>
            </w:r>
          </w:p>
        </w:tc>
      </w:tr>
      <w:tr>
        <w:trPr/>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color w:val="000000"/>
              </w:rPr>
            </w:pPr>
            <w:r>
              <w:rPr>
                <w:color w:val="000000"/>
              </w:rPr>
              <w:t>•</w:t>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Long-term equity volatilities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10.68%</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37.84%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11.56%</w:t>
            </w:r>
          </w:p>
        </w:tc>
        <w:tc>
          <w:tcPr>
            <w:tcW w:w="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33.62%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val="false"/>
                <w:color w:val="000000"/>
                <w:sz w:val="14"/>
              </w:rPr>
            </w:pPr>
            <w:r>
              <w:rPr>
                <w:rFonts w:ascii="Times New Roman;serif" w:hAnsi="Times New Roman;serif"/>
                <w:b w:val="false"/>
                <w:color w:val="000000"/>
                <w:sz w:val="14"/>
              </w:rPr>
              <w:t>Increase (5)</w:t>
            </w:r>
          </w:p>
        </w:tc>
      </w:tr>
      <w:tr>
        <w:trPr/>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color w:val="000000"/>
              </w:rPr>
            </w:pPr>
            <w:r>
              <w:rPr>
                <w:color w:val="000000"/>
              </w:rPr>
              <w:t>•</w:t>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Nonperformance risk spread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0.42%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0.45%</w:t>
            </w:r>
          </w:p>
        </w:tc>
        <w:tc>
          <w:tcPr>
            <w:tcW w:w="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val="false"/>
                <w:color w:val="000000"/>
                <w:sz w:val="14"/>
              </w:rPr>
            </w:pPr>
            <w:r>
              <w:rPr>
                <w:rFonts w:ascii="Times New Roman;serif" w:hAnsi="Times New Roman;serif"/>
                <w:b w:val="false"/>
                <w:color w:val="000000"/>
                <w:sz w:val="14"/>
              </w:rPr>
              <w:t>Decrease (6)</w:t>
            </w:r>
          </w:p>
        </w:tc>
      </w:tr>
      <w:tr>
        <w:trPr/>
        <w:tc>
          <w:tcPr>
            <w:tcW w:w="5054" w:type="dxa"/>
            <w:gridSpan w:val="18"/>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4"/>
              </w:rPr>
            </w:pPr>
            <w:r>
              <w:rPr>
                <w:rFonts w:ascii="Times New Roman;serif" w:hAnsi="Times New Roman;serif"/>
                <w:b/>
                <w:color w:val="000000"/>
                <w:sz w:val="14"/>
              </w:rPr>
              <w:t>Embedded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Registered index-linked annuity crediting rates</w:t>
            </w:r>
          </w:p>
        </w:tc>
        <w:tc>
          <w:tcPr>
            <w:tcW w:w="462"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color w:val="000000"/>
              </w:rPr>
            </w:pPr>
            <w:r>
              <w:rPr>
                <w:color w:val="000000"/>
              </w:rPr>
              <w:t>•</w:t>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Option pricing techniques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Mortality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0.03%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0.03%</w:t>
            </w:r>
          </w:p>
        </w:tc>
        <w:tc>
          <w:tcPr>
            <w:tcW w:w="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val="false"/>
                <w:color w:val="000000"/>
                <w:sz w:val="14"/>
              </w:rPr>
            </w:pPr>
            <w:r>
              <w:rPr>
                <w:rFonts w:ascii="Times New Roman;serif" w:hAnsi="Times New Roman;serif"/>
                <w:b w:val="false"/>
                <w:color w:val="000000"/>
                <w:sz w:val="14"/>
              </w:rPr>
              <w:t>Decrease (1)</w:t>
            </w:r>
          </w:p>
        </w:tc>
      </w:tr>
      <w:tr>
        <w:trPr/>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Lapse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0.40%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0.40%</w:t>
            </w:r>
          </w:p>
        </w:tc>
        <w:tc>
          <w:tcPr>
            <w:tcW w:w="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val="false"/>
                <w:color w:val="000000"/>
                <w:sz w:val="14"/>
              </w:rPr>
            </w:pPr>
            <w:r>
              <w:rPr>
                <w:rFonts w:ascii="Times New Roman;serif" w:hAnsi="Times New Roman;serif"/>
                <w:b w:val="false"/>
                <w:color w:val="000000"/>
                <w:sz w:val="14"/>
              </w:rPr>
              <w:t>Decrease (2)</w:t>
            </w:r>
          </w:p>
        </w:tc>
      </w:tr>
      <w:tr>
        <w:trPr/>
        <w:tc>
          <w:tcPr>
            <w:tcW w:w="1329"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6" w:type="dxa"/>
            <w:gridSpan w:val="3"/>
            <w:tcBorders/>
            <w:vAlign w:val="center"/>
          </w:tcPr>
          <w:p>
            <w:pPr>
              <w:pStyle w:val="TableContents"/>
              <w:bidi w:val="0"/>
              <w:spacing w:before="0" w:after="283"/>
              <w:jc w:val="left"/>
              <w:rPr>
                <w:sz w:val="4"/>
                <w:szCs w:val="4"/>
              </w:rPr>
            </w:pPr>
            <w:r>
              <w:rPr>
                <w:sz w:val="4"/>
                <w:szCs w:val="4"/>
              </w:rPr>
            </w:r>
          </w:p>
        </w:tc>
      </w:tr>
      <w:tr>
        <w:trPr/>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Withdrawal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0.50%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14.90%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0.50%</w:t>
            </w:r>
          </w:p>
        </w:tc>
        <w:tc>
          <w:tcPr>
            <w:tcW w:w="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14.90%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val="false"/>
                <w:color w:val="000000"/>
                <w:sz w:val="14"/>
              </w:rPr>
            </w:pPr>
            <w:r>
              <w:rPr>
                <w:rFonts w:ascii="Times New Roman;serif" w:hAnsi="Times New Roman;serif"/>
                <w:b w:val="false"/>
                <w:color w:val="000000"/>
                <w:sz w:val="14"/>
              </w:rPr>
              <w:t>(4)</w:t>
            </w:r>
          </w:p>
        </w:tc>
      </w:tr>
      <w:tr>
        <w:trPr/>
        <w:tc>
          <w:tcPr>
            <w:tcW w:w="1329"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6" w:type="dxa"/>
            <w:gridSpan w:val="3"/>
            <w:tcBorders/>
            <w:vAlign w:val="center"/>
          </w:tcPr>
          <w:p>
            <w:pPr>
              <w:pStyle w:val="TableContents"/>
              <w:bidi w:val="0"/>
              <w:spacing w:before="0" w:after="283"/>
              <w:jc w:val="left"/>
              <w:rPr>
                <w:sz w:val="4"/>
                <w:szCs w:val="4"/>
              </w:rPr>
            </w:pPr>
            <w:r>
              <w:rPr>
                <w:sz w:val="4"/>
                <w:szCs w:val="4"/>
              </w:rPr>
            </w:r>
          </w:p>
        </w:tc>
      </w:tr>
      <w:tr>
        <w:trPr/>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color w:val="000000"/>
              </w:rPr>
            </w:pPr>
            <w:r>
              <w:rPr>
                <w:color w:val="000000"/>
              </w:rPr>
              <w:t>•</w:t>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Nonperformance risk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0.27%</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0.37%</w:t>
            </w:r>
          </w:p>
        </w:tc>
        <w:tc>
          <w:tcPr>
            <w:tcW w:w="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val="false"/>
                <w:color w:val="000000"/>
                <w:sz w:val="14"/>
              </w:rPr>
            </w:pPr>
            <w:r>
              <w:rPr>
                <w:rFonts w:ascii="Times New Roman;serif" w:hAnsi="Times New Roman;serif"/>
                <w:b w:val="false"/>
                <w:color w:val="000000"/>
                <w:sz w:val="14"/>
              </w:rPr>
              <w:t>Decrease (6)</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(1)Mortality rates vary by age and by demographic characteristics such as gender. The range shown reflects the mortality rate for policyholders between 35 and 90 years old. Mortality rate assumptions are set based on company experience and include an assumption for mortality improvement.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(2)The lapse rate range reflects base lapse rates for major product categories for duration 1-20. Base lapse rates are adjusted at the contract level based on a comparison of the actuarially calculated guaranteed values and the current policyholder account value, as well as other factors, such as the applicability of any surrender charges. For variable annuity guarantees, a dynamic lapse function reduces the base lapse rate when the guaranteed amount is greater than the account value as in-the-money contracts are less likely to lapse. Lapse rates are also generally assumed to be lower in periods when a surrender charge applies.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(3)The utilization rate assumption for variable annuity guarantees estimates the percentage of contract holders with a guaranteed minimum income benefit (“GMIB”) or lifetime withdrawal benefit who will elect to utilize the benefit upon becoming eligible in a given year. The range shown represents the floor and cap of the GMIB dynamic election rates across varying levels of in-the-money. For lifetime withdrawal guarantee riders, the assumption is that everyone will begin withdrawals once account value reaches zero which is equivalent to a 100% utilization rate. Utilization rates may vary by the type of guarantee, the amount by which the guaranteed amount is greater than the account value, the contract’s withdrawal history and by the age of the policyholder.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withdrawal rate represents the percentage of account balance that any given policyholder will elect to withdraw from the contract each year. The withdrawal rate assumption varies by age and duration of the contract, and also by other factors such as benefit type. For any given contract, withdrawal rates vary throughout the period over which cash flows are projected for purposes of valuing the embedded derivative. For variable annuity guaranteed minimum withdrawal benefits, any increase (decrease) in withdrawal rates results in an increase (decrease) in the estimated fair value of the guarantees. For variable annuity guaranteed minimum accumulation benefits and GMIBs, any increase (decrease) in withdrawal rates results in a decrease (increase) in the estimated fair value.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(5)Long-term equity volatilities represent equity volatility beyond the period for which observable equity volatilities are available. For any given contract, long-term equity volatility rates vary throughout the period over which cash flows are projected for purposes of valuing MRBs.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60985"/>
                <wp:effectExtent l="0" t="0" r="0" b="0"/>
                <wp:wrapNone/>
                <wp:docPr id="46" name="Frame45"/>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180" w:after="283"/>
        <w:jc w:val="left"/>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9. Fair Value (continued)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(6)Nonperformance risk spread varies by duration. For any given contract, multiple nonperformance risk spreads will apply, depending on the duration of the cash flow being discounted for purposes of valuing the MRB or embedded derivative.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does not develop unobservable inputs used in measuring fair value for all other assets and liabilities classified within Level 3; therefore, these are not included in the table above. The other Level 3 assets and liabilities primarily included fixed maturity securities and derivatives. For fixed maturity securities valued based on non-binding broker quotes, an increase (decrease) in credit spreads would result in a (lower) higher fair value. For derivatives valued based on third-party pricing models, an increase (decrease) in credit spreads would generally result in a (lower) higher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60985"/>
                <wp:effectExtent l="0" t="0" r="0" b="0"/>
                <wp:wrapNone/>
                <wp:docPr id="47" name="Frame46"/>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180" w:after="283"/>
        <w:jc w:val="left"/>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9. Fair Value (continued)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changes in assets and (liabilities) measured at estimated fair value on a recurring basis using significant unobservable inputs (excluding MRBs disclosed in Note 4) were summarized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71" w:type="dxa"/>
        <w:jc w:val="left"/>
        <w:tblInd w:w="0" w:type="dxa"/>
        <w:tblLayout w:type="fixed"/>
        <w:tblCellMar>
          <w:top w:w="28" w:type="dxa"/>
          <w:left w:w="28" w:type="dxa"/>
          <w:bottom w:w="28" w:type="dxa"/>
          <w:right w:w="28" w:type="dxa"/>
        </w:tblCellMar>
      </w:tblPr>
      <w:tblGrid>
        <w:gridCol w:w="432"/>
        <w:gridCol w:w="181"/>
        <w:gridCol w:w="183"/>
        <w:gridCol w:w="109"/>
        <w:gridCol w:w="109"/>
        <w:gridCol w:w="109"/>
        <w:gridCol w:w="242"/>
        <w:gridCol w:w="482"/>
        <w:gridCol w:w="147"/>
        <w:gridCol w:w="109"/>
        <w:gridCol w:w="109"/>
        <w:gridCol w:w="109"/>
        <w:gridCol w:w="191"/>
        <w:gridCol w:w="429"/>
        <w:gridCol w:w="116"/>
        <w:gridCol w:w="109"/>
        <w:gridCol w:w="109"/>
        <w:gridCol w:w="109"/>
        <w:gridCol w:w="109"/>
        <w:gridCol w:w="109"/>
        <w:gridCol w:w="218"/>
        <w:gridCol w:w="490"/>
        <w:gridCol w:w="133"/>
        <w:gridCol w:w="109"/>
        <w:gridCol w:w="109"/>
        <w:gridCol w:w="109"/>
        <w:gridCol w:w="181"/>
        <w:gridCol w:w="406"/>
        <w:gridCol w:w="109"/>
        <w:gridCol w:w="109"/>
        <w:gridCol w:w="109"/>
        <w:gridCol w:w="109"/>
        <w:gridCol w:w="181"/>
        <w:gridCol w:w="406"/>
        <w:gridCol w:w="109"/>
        <w:gridCol w:w="109"/>
        <w:gridCol w:w="109"/>
        <w:gridCol w:w="109"/>
        <w:gridCol w:w="214"/>
        <w:gridCol w:w="481"/>
        <w:gridCol w:w="131"/>
        <w:gridCol w:w="109"/>
        <w:gridCol w:w="109"/>
        <w:gridCol w:w="109"/>
        <w:gridCol w:w="207"/>
        <w:gridCol w:w="464"/>
        <w:gridCol w:w="125"/>
        <w:gridCol w:w="109"/>
        <w:gridCol w:w="109"/>
        <w:gridCol w:w="109"/>
        <w:gridCol w:w="195"/>
        <w:gridCol w:w="602"/>
        <w:gridCol w:w="119"/>
        <w:gridCol w:w="109"/>
        <w:gridCol w:w="154"/>
      </w:tblGrid>
      <w:tr>
        <w:trPr/>
        <w:tc>
          <w:tcPr>
            <w:tcW w:w="43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2" w:type="dxa"/>
            <w:gridSpan w:val="4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 Value Measurements Using Significant Unobservable Inputs (Level 3)</w:t>
            </w:r>
          </w:p>
        </w:tc>
        <w:tc>
          <w:tcPr>
            <w:tcW w:w="1506" w:type="dxa"/>
            <w:gridSpan w:val="8"/>
            <w:tcBorders/>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1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Fixed Maturity Securities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Corporate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Structured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Foreign</w:t>
              <w:br/>
              <w:t>Government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Trading</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Equity</w:t>
              <w:br/>
              <w:t>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Short-term</w:t>
              <w:br/>
              <w:t>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Net</w:t>
              <w:br/>
              <w:t>Derivatives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Embedded Derivatives on Index-Linked Annuities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2" w:type="dxa"/>
            <w:gridSpan w:val="41"/>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4"/>
              </w:rPr>
            </w:pPr>
            <w:r>
              <w:rPr>
                <w:rFonts w:ascii="Times New Roman;serif" w:hAnsi="Times New Roman;serif"/>
                <w:b/>
                <w:color w:val="000000"/>
                <w:sz w:val="14"/>
              </w:rPr>
              <w:t>(In millions)</w:t>
            </w:r>
          </w:p>
        </w:tc>
        <w:tc>
          <w:tcPr>
            <w:tcW w:w="1506" w:type="dxa"/>
            <w:gridSpan w:val="8"/>
            <w:tcBorders/>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Three Months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(10,597)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Total realized/unrealized gains (losses) included in net income (loss) (3)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(3,330)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Total realized/unrealized gains (losses) included in AOCI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Purchases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Sales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Issuances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Settlements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Transfers into Level 3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Transfers out of Level 3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(160)</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(12,943)</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Three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(9,925)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Total realized/unrealized gains (losses) included in net income (loss) (3)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(2,161)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Total realized/unrealized gains (losses) included in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Purchases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Sales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Issuances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Settlements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Transfers into Level 3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Transfers out of Level 3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763 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(11,566)</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Changes in unrealized gains (losses) included in net income (loss) for the instruments still held at June 30, 2026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4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(4,176)</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Changes in unrealized gains (losses) included in OCI for the instruments still held as of June 30, 2026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w:t>
            </w:r>
          </w:p>
        </w:tc>
        <w:tc>
          <w:tcPr>
            <w:tcW w:w="14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Changes in unrealized gains (losses) included in net income (loss) for the instruments still held at June 30, 2025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w:t>
            </w:r>
          </w:p>
        </w:tc>
        <w:tc>
          <w:tcPr>
            <w:tcW w:w="14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(2,430)</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Changes in unrealized gains (losses) included in OCI for the instruments still held as of June 30, 2025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4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1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3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2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60985"/>
                <wp:effectExtent l="0" t="0" r="0" b="0"/>
                <wp:wrapNone/>
                <wp:docPr id="48" name="Frame47"/>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180" w:after="283"/>
        <w:jc w:val="left"/>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9. Fair Value (continued)</w:t>
      </w:r>
    </w:p>
    <w:tbl>
      <w:tblPr>
        <w:tblW w:w="10271" w:type="dxa"/>
        <w:jc w:val="left"/>
        <w:tblInd w:w="0" w:type="dxa"/>
        <w:tblLayout w:type="fixed"/>
        <w:tblCellMar>
          <w:top w:w="28" w:type="dxa"/>
          <w:left w:w="28" w:type="dxa"/>
          <w:bottom w:w="28" w:type="dxa"/>
          <w:right w:w="28" w:type="dxa"/>
        </w:tblCellMar>
      </w:tblPr>
      <w:tblGrid>
        <w:gridCol w:w="432"/>
        <w:gridCol w:w="181"/>
        <w:gridCol w:w="183"/>
        <w:gridCol w:w="109"/>
        <w:gridCol w:w="109"/>
        <w:gridCol w:w="109"/>
        <w:gridCol w:w="208"/>
        <w:gridCol w:w="536"/>
        <w:gridCol w:w="127"/>
        <w:gridCol w:w="109"/>
        <w:gridCol w:w="109"/>
        <w:gridCol w:w="109"/>
        <w:gridCol w:w="191"/>
        <w:gridCol w:w="429"/>
        <w:gridCol w:w="116"/>
        <w:gridCol w:w="109"/>
        <w:gridCol w:w="109"/>
        <w:gridCol w:w="109"/>
        <w:gridCol w:w="109"/>
        <w:gridCol w:w="109"/>
        <w:gridCol w:w="218"/>
        <w:gridCol w:w="490"/>
        <w:gridCol w:w="133"/>
        <w:gridCol w:w="109"/>
        <w:gridCol w:w="109"/>
        <w:gridCol w:w="109"/>
        <w:gridCol w:w="181"/>
        <w:gridCol w:w="406"/>
        <w:gridCol w:w="109"/>
        <w:gridCol w:w="109"/>
        <w:gridCol w:w="109"/>
        <w:gridCol w:w="109"/>
        <w:gridCol w:w="181"/>
        <w:gridCol w:w="406"/>
        <w:gridCol w:w="109"/>
        <w:gridCol w:w="109"/>
        <w:gridCol w:w="109"/>
        <w:gridCol w:w="109"/>
        <w:gridCol w:w="214"/>
        <w:gridCol w:w="481"/>
        <w:gridCol w:w="131"/>
        <w:gridCol w:w="109"/>
        <w:gridCol w:w="109"/>
        <w:gridCol w:w="109"/>
        <w:gridCol w:w="207"/>
        <w:gridCol w:w="464"/>
        <w:gridCol w:w="125"/>
        <w:gridCol w:w="109"/>
        <w:gridCol w:w="109"/>
        <w:gridCol w:w="109"/>
        <w:gridCol w:w="195"/>
        <w:gridCol w:w="602"/>
        <w:gridCol w:w="119"/>
        <w:gridCol w:w="109"/>
        <w:gridCol w:w="154"/>
      </w:tblGrid>
      <w:tr>
        <w:trPr/>
        <w:tc>
          <w:tcPr>
            <w:tcW w:w="43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2" w:type="dxa"/>
            <w:gridSpan w:val="41"/>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Fair Value Measurements Using Significant Unobservable Inputs (Level 3)</w:t>
            </w:r>
          </w:p>
        </w:tc>
        <w:tc>
          <w:tcPr>
            <w:tcW w:w="1506" w:type="dxa"/>
            <w:gridSpan w:val="8"/>
            <w:tcBorders/>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1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Fixed Maturity Securities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Corporate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Structured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Foreign Government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Trading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Short-term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Net</w:t>
              <w:br/>
              <w:t>Derivatives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Embedded Derivatives on Index-Linked Annuities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2" w:type="dxa"/>
            <w:gridSpan w:val="41"/>
            <w:tcBorders/>
            <w:tcMar>
              <w:top w:w="0" w:type="dxa"/>
              <w:left w:w="0" w:type="dxa"/>
              <w:bottom w:w="0" w:type="dxa"/>
              <w:right w:w="0" w:type="dxa"/>
            </w:tcMar>
            <w:vAlign w:val="center"/>
          </w:tcPr>
          <w:p>
            <w:pPr>
              <w:pStyle w:val="TableContents"/>
              <w:bidi w:val="0"/>
              <w:spacing w:lineRule="auto" w:line="288" w:before="240" w:after="283"/>
              <w:ind w:left="0" w:right="0" w:hanging="180"/>
              <w:jc w:val="center"/>
              <w:rPr>
                <w:rFonts w:ascii="Times New Roman;serif" w:hAnsi="Times New Roman;serif"/>
                <w:b/>
                <w:color w:val="000000"/>
                <w:sz w:val="14"/>
              </w:rPr>
            </w:pPr>
            <w:r>
              <w:rPr>
                <w:rFonts w:ascii="Times New Roman;serif" w:hAnsi="Times New Roman;serif"/>
                <w:b/>
                <w:color w:val="000000"/>
                <w:sz w:val="14"/>
              </w:rPr>
              <w:t>(In millions)</w:t>
            </w:r>
          </w:p>
        </w:tc>
        <w:tc>
          <w:tcPr>
            <w:tcW w:w="1506" w:type="dxa"/>
            <w:gridSpan w:val="8"/>
            <w:tcBorders/>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Six Months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3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798 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29"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269 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24 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64"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(12,327)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Total realized/unrealized gains (losses) included in net income (loss) (3)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(2,518)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Total realized/unrealized gains (losses) included in AOCI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(21)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4"/>
              </w:rPr>
            </w:pPr>
            <w:r>
              <w:rPr>
                <w:rFonts w:ascii="Times New Roman;serif" w:hAnsi="Times New Roman;serif"/>
                <w:b w:val="false"/>
                <w:color w:val="000000"/>
                <w:sz w:val="14"/>
              </w:rPr>
              <w:t>Purchases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209 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106 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4"/>
              </w:rPr>
            </w:pPr>
            <w:r>
              <w:rPr>
                <w:rFonts w:ascii="Times New Roman;serif" w:hAnsi="Times New Roman;serif"/>
                <w:b w:val="false"/>
                <w:color w:val="000000"/>
                <w:sz w:val="14"/>
              </w:rPr>
              <w:t>Sales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(203)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(62)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4"/>
              </w:rPr>
            </w:pPr>
            <w:r>
              <w:rPr>
                <w:rFonts w:ascii="Times New Roman;serif" w:hAnsi="Times New Roman;serif"/>
                <w:b w:val="false"/>
                <w:color w:val="000000"/>
                <w:sz w:val="14"/>
              </w:rPr>
              <w:t>Issuances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4"/>
              </w:rPr>
            </w:pPr>
            <w:r>
              <w:rPr>
                <w:rFonts w:ascii="Times New Roman;serif" w:hAnsi="Times New Roman;serif"/>
                <w:b w:val="false"/>
                <w:color w:val="000000"/>
                <w:sz w:val="14"/>
              </w:rPr>
              <w:t>Settlements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1,902 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4"/>
              </w:rPr>
            </w:pPr>
            <w:r>
              <w:rPr>
                <w:rFonts w:ascii="Times New Roman;serif" w:hAnsi="Times New Roman;serif"/>
                <w:b w:val="false"/>
                <w:color w:val="000000"/>
                <w:sz w:val="14"/>
              </w:rPr>
              <w:t>Transfers into Level 3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227 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4"/>
              </w:rPr>
            </w:pPr>
            <w:r>
              <w:rPr>
                <w:rFonts w:ascii="Times New Roman;serif" w:hAnsi="Times New Roman;serif"/>
                <w:b w:val="false"/>
                <w:color w:val="000000"/>
                <w:sz w:val="14"/>
              </w:rPr>
              <w:t>Transfers out of Level 3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(103)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(39)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4"/>
              </w:rPr>
            </w:pPr>
            <w:r>
              <w:rPr>
                <w:rFonts w:ascii="Times New Roman;serif" w:hAnsi="Times New Roman;serif"/>
                <w:b w:val="false"/>
                <w:color w:val="000000"/>
                <w:sz w:val="14"/>
              </w:rPr>
              <w:t>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896 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272 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24 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(12,943)</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Six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3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1,092 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29"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365 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21 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6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(11,493)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Total realized/unrealized gains (losses) included in net income (loss) (3)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(984)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Total realized/unrealized gains (losses) included in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4"/>
              </w:rPr>
            </w:pPr>
            <w:r>
              <w:rPr>
                <w:rFonts w:ascii="Times New Roman;serif" w:hAnsi="Times New Roman;serif"/>
                <w:b w:val="false"/>
                <w:color w:val="000000"/>
                <w:sz w:val="14"/>
              </w:rPr>
              <w:t>Purchases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106 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148 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4"/>
              </w:rPr>
            </w:pPr>
            <w:r>
              <w:rPr>
                <w:rFonts w:ascii="Times New Roman;serif" w:hAnsi="Times New Roman;serif"/>
                <w:b w:val="false"/>
                <w:color w:val="000000"/>
                <w:sz w:val="14"/>
              </w:rPr>
              <w:t>Sales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(60)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(42)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4"/>
              </w:rPr>
            </w:pPr>
            <w:r>
              <w:rPr>
                <w:rFonts w:ascii="Times New Roman;serif" w:hAnsi="Times New Roman;serif"/>
                <w:b w:val="false"/>
                <w:color w:val="000000"/>
                <w:sz w:val="14"/>
              </w:rPr>
              <w:t>Issuances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4"/>
              </w:rPr>
            </w:pPr>
            <w:r>
              <w:rPr>
                <w:rFonts w:ascii="Times New Roman;serif" w:hAnsi="Times New Roman;serif"/>
                <w:b w:val="false"/>
                <w:color w:val="000000"/>
                <w:sz w:val="14"/>
              </w:rPr>
              <w:t>Settlements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911 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4"/>
              </w:rPr>
            </w:pPr>
            <w:r>
              <w:rPr>
                <w:rFonts w:ascii="Times New Roman;serif" w:hAnsi="Times New Roman;serif"/>
                <w:b w:val="false"/>
                <w:color w:val="000000"/>
                <w:sz w:val="14"/>
              </w:rPr>
              <w:t>Transfers into Level 3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4"/>
              </w:rPr>
            </w:pPr>
            <w:r>
              <w:rPr>
                <w:rFonts w:ascii="Times New Roman;serif" w:hAnsi="Times New Roman;serif"/>
                <w:b w:val="false"/>
                <w:color w:val="000000"/>
                <w:sz w:val="14"/>
              </w:rPr>
              <w:t>Transfers out of Level 3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(393)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(60)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4"/>
              </w:rPr>
            </w:pPr>
            <w:r>
              <w:rPr>
                <w:rFonts w:ascii="Times New Roman;serif" w:hAnsi="Times New Roman;serif"/>
                <w:b w:val="false"/>
                <w:color w:val="000000"/>
                <w:sz w:val="14"/>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763 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406 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24 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(11,566)</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Changes in unrealized gains (losses) included in net income (loss) for the instruments still held at June 30, 2026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(7)</w:t>
            </w:r>
          </w:p>
        </w:tc>
        <w:tc>
          <w:tcPr>
            <w:tcW w:w="12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(10)</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9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(3,364)</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Changes in unrealized gains (losses) included in OCI for the instruments still held as of June 30, 2026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(17)</w:t>
            </w:r>
          </w:p>
        </w:tc>
        <w:tc>
          <w:tcPr>
            <w:tcW w:w="12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2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Changes in unrealized gains (losses) included in net income (loss) for the instruments still held at June 30, 2025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(7)</w:t>
            </w:r>
          </w:p>
        </w:tc>
        <w:tc>
          <w:tcPr>
            <w:tcW w:w="12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9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(1,480)</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Changes in unrealized gains (losses) included in OCI for the instruments still held as of June 30, 2025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12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2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(5)</w:t>
            </w:r>
          </w:p>
        </w:tc>
        <w:tc>
          <w:tcPr>
            <w:tcW w:w="1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9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3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color w:val="000000"/>
              </w:rPr>
            </w:pPr>
            <w:r>
              <w:rPr>
                <w:color w:val="000000"/>
              </w:rPr>
              <w:t>— </w:t>
            </w:r>
          </w:p>
        </w:tc>
        <w:tc>
          <w:tcPr>
            <w:tcW w:w="1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6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color w:val="000000"/>
              </w:rPr>
            </w:pPr>
            <w:r>
              <w:rPr>
                <w:color w:val="000000"/>
              </w:rPr>
              <w:t>— </w:t>
            </w:r>
          </w:p>
        </w:tc>
        <w:tc>
          <w:tcPr>
            <w:tcW w:w="12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color w:val="000000"/>
              </w:rPr>
            </w:pPr>
            <w:r>
              <w:rPr>
                <w:color w:val="000000"/>
              </w:rPr>
              <w:t>— </w:t>
            </w:r>
          </w:p>
        </w:tc>
        <w:tc>
          <w:tcPr>
            <w:tcW w:w="11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(1)Comprised of U.S. and foreign corporate securities.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(2)Freestanding derivative assets and liabilities are reported net for purposes of the rollforward.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(3)Amortization of premium/accretion of discount is included in net investment income. Changes in the allowance for credit losses and direct write-offs are charged to net income (loss) on securities are included in net investment gains (losses). Lapses associated with net embedded derivatives are included in net derivative gains (losses). Substantially all realized/unrealized gains (losses) included in net income (loss) for net derivatives and net embedded derivatives are reported in net derivative gains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60985"/>
                <wp:effectExtent l="0" t="0" r="0" b="0"/>
                <wp:wrapNone/>
                <wp:docPr id="49" name="Frame48"/>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180" w:after="283"/>
        <w:jc w:val="left"/>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9. Fair Value (continued)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(4)Interest and dividend accruals, as well as cash interest coupons and dividends received, are excluded from the rollforward.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(5)Items purchased/issued and then sold/settled in the same period are excluded from the rollforward. Fees attributed to embedded derivatives are included in settlements.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(6)Gains and losses, in net income (loss) and OCI, are calculated assuming transfers into and/or out of Level 3 occurred at the beginning of the period. Items transferred into and out of Level 3 in the same period are excluded from the rollforward.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(7)Changes in unrealized gains (losses) included in net income (loss) for fixed maturities are reported in either net investment income or net investment gains (losses). Substantially all changes in unrealized gains (losses) included in net income (loss) for net derivatives and net embedded derivatives are reported in net derivative gains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Fair Value of Financial Instruments Carried at Other Than Fair Value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fair value information for financial instruments that are carried on the balance sheet at amounts other than fair value. These tables exclude the following financial instruments: cash and cash equivalents, accrued investment income and payables for collateral under securities loaned and other transactions. The estimated fair value of the excluded financial instruments, which are primarily classified in Level 2, approximates carrying value as they are short-term in nature such that the Company believes there is minimal risk of material changes in interest rates or credit quality. All remaining balance sheet amounts excluded from the tables below are not considered financial instruments subject to this disclosure.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carrying values and estimated fair values for such financial instruments, and their corresponding placement in the fair value hierarchy, are summarized as follows at:</w:t>
      </w:r>
    </w:p>
    <w:tbl>
      <w:tblPr>
        <w:tblW w:w="10205" w:type="dxa"/>
        <w:jc w:val="left"/>
        <w:tblInd w:w="0" w:type="dxa"/>
        <w:tblLayout w:type="fixed"/>
        <w:tblCellMar>
          <w:top w:w="28" w:type="dxa"/>
          <w:left w:w="28" w:type="dxa"/>
          <w:bottom w:w="28" w:type="dxa"/>
          <w:right w:w="28" w:type="dxa"/>
        </w:tblCellMar>
      </w:tblPr>
      <w:tblGrid>
        <w:gridCol w:w="1131"/>
        <w:gridCol w:w="982"/>
        <w:gridCol w:w="990"/>
        <w:gridCol w:w="251"/>
        <w:gridCol w:w="831"/>
        <w:gridCol w:w="139"/>
        <w:gridCol w:w="109"/>
        <w:gridCol w:w="109"/>
        <w:gridCol w:w="109"/>
        <w:gridCol w:w="196"/>
        <w:gridCol w:w="406"/>
        <w:gridCol w:w="109"/>
        <w:gridCol w:w="109"/>
        <w:gridCol w:w="109"/>
        <w:gridCol w:w="109"/>
        <w:gridCol w:w="196"/>
        <w:gridCol w:w="556"/>
        <w:gridCol w:w="109"/>
        <w:gridCol w:w="109"/>
        <w:gridCol w:w="109"/>
        <w:gridCol w:w="109"/>
        <w:gridCol w:w="196"/>
        <w:gridCol w:w="646"/>
        <w:gridCol w:w="109"/>
        <w:gridCol w:w="109"/>
        <w:gridCol w:w="109"/>
        <w:gridCol w:w="109"/>
        <w:gridCol w:w="402"/>
        <w:gridCol w:w="1328"/>
        <w:gridCol w:w="320"/>
      </w:tblGrid>
      <w:tr>
        <w:trPr/>
        <w:tc>
          <w:tcPr>
            <w:tcW w:w="113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2" w:type="dxa"/>
            <w:gridSpan w:val="27"/>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3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Fair Value Hierarchy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Total Estimated Fair Value</w:t>
            </w:r>
          </w:p>
        </w:tc>
      </w:tr>
      <w:tr>
        <w:trPr/>
        <w:tc>
          <w:tcPr>
            <w:tcW w:w="3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2" w:type="dxa"/>
            <w:gridSpan w:val="27"/>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Mortgage loans</w:t>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22,582 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21,378 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Policy loans</w:t>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1,055 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1,034 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Other invested assets</w:t>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Premiums, reinsurance and other receivables</w:t>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7,853 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7,928 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Policyholder account balances</w:t>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27,538 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27,268 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27,268 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830 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734 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1,427 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1,427 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Separate account liabilities</w:t>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1,327 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1,327 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60985"/>
                <wp:effectExtent l="0" t="0" r="0" b="0"/>
                <wp:wrapNone/>
                <wp:docPr id="50" name="Frame49"/>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180" w:after="283"/>
        <w:jc w:val="left"/>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9. Fair Value (continued)</w:t>
      </w:r>
    </w:p>
    <w:tbl>
      <w:tblPr>
        <w:tblW w:w="10205" w:type="dxa"/>
        <w:jc w:val="left"/>
        <w:tblInd w:w="0" w:type="dxa"/>
        <w:tblLayout w:type="fixed"/>
        <w:tblCellMar>
          <w:top w:w="28" w:type="dxa"/>
          <w:left w:w="28" w:type="dxa"/>
          <w:bottom w:w="28" w:type="dxa"/>
          <w:right w:w="28" w:type="dxa"/>
        </w:tblCellMar>
      </w:tblPr>
      <w:tblGrid>
        <w:gridCol w:w="1131"/>
        <w:gridCol w:w="982"/>
        <w:gridCol w:w="990"/>
        <w:gridCol w:w="251"/>
        <w:gridCol w:w="831"/>
        <w:gridCol w:w="139"/>
        <w:gridCol w:w="109"/>
        <w:gridCol w:w="109"/>
        <w:gridCol w:w="109"/>
        <w:gridCol w:w="196"/>
        <w:gridCol w:w="406"/>
        <w:gridCol w:w="109"/>
        <w:gridCol w:w="109"/>
        <w:gridCol w:w="109"/>
        <w:gridCol w:w="109"/>
        <w:gridCol w:w="196"/>
        <w:gridCol w:w="556"/>
        <w:gridCol w:w="109"/>
        <w:gridCol w:w="109"/>
        <w:gridCol w:w="109"/>
        <w:gridCol w:w="109"/>
        <w:gridCol w:w="196"/>
        <w:gridCol w:w="646"/>
        <w:gridCol w:w="109"/>
        <w:gridCol w:w="109"/>
        <w:gridCol w:w="109"/>
        <w:gridCol w:w="109"/>
        <w:gridCol w:w="402"/>
        <w:gridCol w:w="1328"/>
        <w:gridCol w:w="320"/>
      </w:tblGrid>
      <w:tr>
        <w:trPr/>
        <w:tc>
          <w:tcPr>
            <w:tcW w:w="113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2" w:type="dxa"/>
            <w:gridSpan w:val="27"/>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Fair Value Hierarchy</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20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Total Estimated Fair Value</w:t>
            </w:r>
          </w:p>
        </w:tc>
      </w:tr>
      <w:tr>
        <w:trPr/>
        <w:tc>
          <w:tcPr>
            <w:tcW w:w="3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2" w:type="dxa"/>
            <w:gridSpan w:val="27"/>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Mortgage loans</w:t>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22,726 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21,705 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Policy loans</w:t>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1,047 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1,072 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Other invested assets</w:t>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Premiums, reinsurance and other receivables</w:t>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7,978 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8,030 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Policyholder account balances</w:t>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28,701 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28,644 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28,644 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832 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768 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1,249 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1,249 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Separate account liabilities</w:t>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1,260 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1,260 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10.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Capital Contribution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11, 2025, Brighthouse Life Insurance Company received a $100 million capital contribution from BH Holdings.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Accumulated Other Comprehensive Income (Loss)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regarding changes in the balances of each component of AOCI was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840"/>
        <w:gridCol w:w="386"/>
        <w:gridCol w:w="338"/>
        <w:gridCol w:w="276"/>
        <w:gridCol w:w="836"/>
        <w:gridCol w:w="153"/>
        <w:gridCol w:w="109"/>
        <w:gridCol w:w="109"/>
        <w:gridCol w:w="109"/>
        <w:gridCol w:w="275"/>
        <w:gridCol w:w="594"/>
        <w:gridCol w:w="155"/>
        <w:gridCol w:w="109"/>
        <w:gridCol w:w="109"/>
        <w:gridCol w:w="109"/>
        <w:gridCol w:w="315"/>
        <w:gridCol w:w="920"/>
        <w:gridCol w:w="176"/>
        <w:gridCol w:w="109"/>
        <w:gridCol w:w="109"/>
        <w:gridCol w:w="109"/>
        <w:gridCol w:w="294"/>
        <w:gridCol w:w="834"/>
        <w:gridCol w:w="163"/>
        <w:gridCol w:w="109"/>
        <w:gridCol w:w="109"/>
        <w:gridCol w:w="109"/>
        <w:gridCol w:w="385"/>
        <w:gridCol w:w="475"/>
        <w:gridCol w:w="216"/>
        <w:gridCol w:w="109"/>
        <w:gridCol w:w="109"/>
        <w:gridCol w:w="109"/>
        <w:gridCol w:w="196"/>
        <w:gridCol w:w="578"/>
        <w:gridCol w:w="165"/>
      </w:tblGrid>
      <w:tr>
        <w:trPr/>
        <w:tc>
          <w:tcPr>
            <w:tcW w:w="84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1" w:type="dxa"/>
            <w:gridSpan w:val="3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Three Months Ended June 30, 2026</w:t>
            </w:r>
          </w:p>
        </w:tc>
      </w:tr>
      <w:tr>
        <w:trPr/>
        <w:tc>
          <w:tcPr>
            <w:tcW w:w="1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Unrealized Investment Gains (Losses), Net of Related Offsets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Unrealized Gains (Losses) on Derivatives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Changes in Nonperformance Risk on Market Risk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Changes in Discount Rates on the Liability for Future Policy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Foreign Currency Translation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1" w:type="dxa"/>
            <w:gridSpan w:val="3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(In millions)</w:t>
            </w:r>
          </w:p>
        </w:tc>
      </w:tr>
      <w:tr>
        <w:trPr/>
        <w:tc>
          <w:tcPr>
            <w:tcW w:w="156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2026</w:t>
            </w:r>
          </w:p>
        </w:tc>
        <w:tc>
          <w:tcPr>
            <w:tcW w:w="27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(4,143)</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(1,168)</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1,043 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(4,014)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OCI before reclassifications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benefit (expense) (2)</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AOCI before reclassifications, net of income tax</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(4,068)</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208 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(1,156)</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1,026 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(3,989)</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Amounts reclassified from AOCI</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benefit (expense) (2)</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reclassified from AOCI, net of income tax</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56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56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56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2026</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(4,064)</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205 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(1,156)</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1,026 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(3,988)</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60985"/>
                <wp:effectExtent l="0" t="0" r="0" b="0"/>
                <wp:wrapNone/>
                <wp:docPr id="51" name="Frame50"/>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120" w:after="283"/>
        <w:jc w:val="left"/>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10. Equity (continued)</w:t>
      </w:r>
    </w:p>
    <w:tbl>
      <w:tblPr>
        <w:tblW w:w="10205" w:type="dxa"/>
        <w:jc w:val="left"/>
        <w:tblInd w:w="0" w:type="dxa"/>
        <w:tblLayout w:type="fixed"/>
        <w:tblCellMar>
          <w:top w:w="28" w:type="dxa"/>
          <w:left w:w="28" w:type="dxa"/>
          <w:bottom w:w="28" w:type="dxa"/>
          <w:right w:w="28" w:type="dxa"/>
        </w:tblCellMar>
      </w:tblPr>
      <w:tblGrid>
        <w:gridCol w:w="840"/>
        <w:gridCol w:w="386"/>
        <w:gridCol w:w="338"/>
        <w:gridCol w:w="276"/>
        <w:gridCol w:w="836"/>
        <w:gridCol w:w="153"/>
        <w:gridCol w:w="109"/>
        <w:gridCol w:w="109"/>
        <w:gridCol w:w="109"/>
        <w:gridCol w:w="275"/>
        <w:gridCol w:w="594"/>
        <w:gridCol w:w="155"/>
        <w:gridCol w:w="109"/>
        <w:gridCol w:w="109"/>
        <w:gridCol w:w="109"/>
        <w:gridCol w:w="315"/>
        <w:gridCol w:w="920"/>
        <w:gridCol w:w="176"/>
        <w:gridCol w:w="109"/>
        <w:gridCol w:w="109"/>
        <w:gridCol w:w="109"/>
        <w:gridCol w:w="294"/>
        <w:gridCol w:w="834"/>
        <w:gridCol w:w="163"/>
        <w:gridCol w:w="109"/>
        <w:gridCol w:w="109"/>
        <w:gridCol w:w="109"/>
        <w:gridCol w:w="324"/>
        <w:gridCol w:w="571"/>
        <w:gridCol w:w="181"/>
        <w:gridCol w:w="109"/>
        <w:gridCol w:w="109"/>
        <w:gridCol w:w="109"/>
        <w:gridCol w:w="196"/>
        <w:gridCol w:w="578"/>
        <w:gridCol w:w="165"/>
      </w:tblGrid>
      <w:tr>
        <w:trPr/>
        <w:tc>
          <w:tcPr>
            <w:tcW w:w="84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1" w:type="dxa"/>
            <w:gridSpan w:val="3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Three Months Ended June 30, 2025</w:t>
            </w:r>
          </w:p>
        </w:tc>
      </w:tr>
      <w:tr>
        <w:trPr/>
        <w:tc>
          <w:tcPr>
            <w:tcW w:w="1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Unrealized Investment Gains (Losses), Net of Related Offsets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Unrealized Gains (Losses) on Derivatives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Changes in Nonperformance Risk on Market Risk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Changes in Discount Rates on the Liability for Future Policy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Foreign Currency Translation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1" w:type="dxa"/>
            <w:gridSpan w:val="3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(In millions)</w:t>
            </w:r>
          </w:p>
        </w:tc>
      </w:tr>
      <w:tr>
        <w:trPr/>
        <w:tc>
          <w:tcPr>
            <w:tcW w:w="156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2025</w:t>
            </w:r>
          </w:p>
        </w:tc>
        <w:tc>
          <w:tcPr>
            <w:tcW w:w="27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(4,302)</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(1,623)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1,023 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(4,569)</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OCI before reclassifications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505 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(253)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512 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benefit (expense) (2)</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(107)</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(109)</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AOCI before reclassifications, net of income tax</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(3,904)</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145 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(1,403)</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984 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(4,166)</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Amounts reclassified from AOCI</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benefit (expense) (2)</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reclassified from AOCI, net of income tax</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56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56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56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(3,894)</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145 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(1,403)</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984 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(4,156)</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799"/>
        <w:gridCol w:w="381"/>
        <w:gridCol w:w="383"/>
        <w:gridCol w:w="276"/>
        <w:gridCol w:w="836"/>
        <w:gridCol w:w="153"/>
        <w:gridCol w:w="109"/>
        <w:gridCol w:w="109"/>
        <w:gridCol w:w="109"/>
        <w:gridCol w:w="275"/>
        <w:gridCol w:w="594"/>
        <w:gridCol w:w="155"/>
        <w:gridCol w:w="109"/>
        <w:gridCol w:w="109"/>
        <w:gridCol w:w="109"/>
        <w:gridCol w:w="315"/>
        <w:gridCol w:w="920"/>
        <w:gridCol w:w="176"/>
        <w:gridCol w:w="109"/>
        <w:gridCol w:w="109"/>
        <w:gridCol w:w="109"/>
        <w:gridCol w:w="294"/>
        <w:gridCol w:w="834"/>
        <w:gridCol w:w="163"/>
        <w:gridCol w:w="109"/>
        <w:gridCol w:w="109"/>
        <w:gridCol w:w="109"/>
        <w:gridCol w:w="385"/>
        <w:gridCol w:w="475"/>
        <w:gridCol w:w="216"/>
        <w:gridCol w:w="109"/>
        <w:gridCol w:w="109"/>
        <w:gridCol w:w="109"/>
        <w:gridCol w:w="196"/>
        <w:gridCol w:w="578"/>
        <w:gridCol w:w="166"/>
      </w:tblGrid>
      <w:tr>
        <w:trPr/>
        <w:tc>
          <w:tcPr>
            <w:tcW w:w="79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2" w:type="dxa"/>
            <w:gridSpan w:val="3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Six Months Ended June 30, 2026</w:t>
            </w:r>
          </w:p>
        </w:tc>
      </w:tr>
      <w:tr>
        <w:trPr/>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Unrealized Investment Gains (Losses), Net of Related Offsets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Unrealized Gains (Losses) on Derivatives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Changes in Nonperformance Risk on Market Risk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Changes in Discount Rates on the Liability for Future Policy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Foreign Currency Translation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2" w:type="dxa"/>
            <w:gridSpan w:val="3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(In millions)</w:t>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2025</w:t>
            </w:r>
          </w:p>
        </w:tc>
        <w:tc>
          <w:tcPr>
            <w:tcW w:w="27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(3,414)</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(3,602)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OCI before reclassifications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(849)</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benefit (expense) (2)</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AOCI before reclassifications, net of income tax</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(4,085)</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(1,156)</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1,026 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(4,007)</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Amounts reclassified from AOCI</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benefit (expense) (2)</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reclassified from AOCI, net of income tax</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2026</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(4,064)</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205 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(1,156)</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1,026 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(3,988)</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99"/>
        <w:gridCol w:w="381"/>
        <w:gridCol w:w="383"/>
        <w:gridCol w:w="276"/>
        <w:gridCol w:w="836"/>
        <w:gridCol w:w="153"/>
        <w:gridCol w:w="109"/>
        <w:gridCol w:w="109"/>
        <w:gridCol w:w="109"/>
        <w:gridCol w:w="275"/>
        <w:gridCol w:w="594"/>
        <w:gridCol w:w="155"/>
        <w:gridCol w:w="109"/>
        <w:gridCol w:w="109"/>
        <w:gridCol w:w="109"/>
        <w:gridCol w:w="315"/>
        <w:gridCol w:w="920"/>
        <w:gridCol w:w="176"/>
        <w:gridCol w:w="109"/>
        <w:gridCol w:w="109"/>
        <w:gridCol w:w="109"/>
        <w:gridCol w:w="294"/>
        <w:gridCol w:w="834"/>
        <w:gridCol w:w="163"/>
        <w:gridCol w:w="109"/>
        <w:gridCol w:w="109"/>
        <w:gridCol w:w="109"/>
        <w:gridCol w:w="324"/>
        <w:gridCol w:w="571"/>
        <w:gridCol w:w="181"/>
        <w:gridCol w:w="109"/>
        <w:gridCol w:w="109"/>
        <w:gridCol w:w="109"/>
        <w:gridCol w:w="196"/>
        <w:gridCol w:w="578"/>
        <w:gridCol w:w="166"/>
      </w:tblGrid>
      <w:tr>
        <w:trPr/>
        <w:tc>
          <w:tcPr>
            <w:tcW w:w="79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2" w:type="dxa"/>
            <w:gridSpan w:val="3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Six Months Ended June 30, 2025</w:t>
            </w:r>
          </w:p>
        </w:tc>
      </w:tr>
      <w:tr>
        <w:trPr/>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Unrealized Investment Gains (Losses), Net of Related Offsets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Unrealized Gains (Losses) on Derivatives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Changes in Nonperformance Risk on Market Risk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Changes in Discount Rates on the Liability for Future Policy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Foreign Currency Translation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2" w:type="dxa"/>
            <w:gridSpan w:val="3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(In millions)</w:t>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2024</w:t>
            </w:r>
          </w:p>
        </w:tc>
        <w:tc>
          <w:tcPr>
            <w:tcW w:w="27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(5,046)</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(5,163)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OCI before reclassifications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1,418 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(269)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1,243 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benefit (expense) (2)</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(298)</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(262)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AOCI before reclassifications, net of income tax</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(3,926)</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(1,403)</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984 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(4,182)</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Amounts reclassified from AOCI</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benefit (expense) (2)</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reclassified from AOCI, net of income tax</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(3,894)</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145 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(1,403)</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984 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(4,156)</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(1)See Note 7 for information on offsets to investments related to future policy benefits.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effects of income taxes on amounts recorded to AOCI are also recognized in AOCI. These income tax effects are released from AOCI when the related activity is reclassified into results from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60985"/>
                <wp:effectExtent l="0" t="0" r="0" b="0"/>
                <wp:wrapNone/>
                <wp:docPr id="52" name="Frame51"/>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120" w:after="283"/>
        <w:jc w:val="left"/>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10. Equity (continued)</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regarding amounts reclassified out of each component of AOCI was as follows:</w:t>
      </w:r>
    </w:p>
    <w:tbl>
      <w:tblPr>
        <w:tblW w:w="10205" w:type="dxa"/>
        <w:jc w:val="left"/>
        <w:tblInd w:w="0" w:type="dxa"/>
        <w:tblLayout w:type="fixed"/>
        <w:tblCellMar>
          <w:top w:w="28" w:type="dxa"/>
          <w:left w:w="28" w:type="dxa"/>
          <w:bottom w:w="28" w:type="dxa"/>
          <w:right w:w="28" w:type="dxa"/>
        </w:tblCellMar>
      </w:tblPr>
      <w:tblGrid>
        <w:gridCol w:w="1075"/>
        <w:gridCol w:w="746"/>
        <w:gridCol w:w="751"/>
        <w:gridCol w:w="109"/>
        <w:gridCol w:w="109"/>
        <w:gridCol w:w="109"/>
        <w:gridCol w:w="196"/>
        <w:gridCol w:w="281"/>
        <w:gridCol w:w="109"/>
        <w:gridCol w:w="109"/>
        <w:gridCol w:w="109"/>
        <w:gridCol w:w="109"/>
        <w:gridCol w:w="196"/>
        <w:gridCol w:w="371"/>
        <w:gridCol w:w="109"/>
        <w:gridCol w:w="109"/>
        <w:gridCol w:w="109"/>
        <w:gridCol w:w="109"/>
        <w:gridCol w:w="196"/>
        <w:gridCol w:w="371"/>
        <w:gridCol w:w="109"/>
        <w:gridCol w:w="109"/>
        <w:gridCol w:w="109"/>
        <w:gridCol w:w="109"/>
        <w:gridCol w:w="196"/>
        <w:gridCol w:w="371"/>
        <w:gridCol w:w="109"/>
        <w:gridCol w:w="109"/>
        <w:gridCol w:w="109"/>
        <w:gridCol w:w="109"/>
        <w:gridCol w:w="1217"/>
        <w:gridCol w:w="895"/>
        <w:gridCol w:w="1272"/>
      </w:tblGrid>
      <w:tr>
        <w:trPr/>
        <w:tc>
          <w:tcPr>
            <w:tcW w:w="107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r>
      <w:tr>
        <w:trPr/>
        <w:tc>
          <w:tcPr>
            <w:tcW w:w="2572"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AOCI Components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Amounts Reclassified from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4"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Consolidated Statements of Operations and Comprehensive Income (Loss) Locations</w:t>
            </w:r>
          </w:p>
        </w:tc>
      </w:tr>
      <w:tr>
        <w:trPr/>
        <w:tc>
          <w:tcPr>
            <w:tcW w:w="25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5" w:type="dxa"/>
            <w:gridSpan w:val="21"/>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Net unrealized investment gains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Net unrealized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28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Net investment gains (losses)</w:t>
            </w:r>
          </w:p>
        </w:tc>
      </w:tr>
      <w:tr>
        <w:trPr/>
        <w:tc>
          <w:tcPr>
            <w:tcW w:w="2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84" w:type="dxa"/>
            <w:gridSpan w:val="3"/>
            <w:tcBorders/>
            <w:vAlign w:val="center"/>
          </w:tcPr>
          <w:p>
            <w:pPr>
              <w:pStyle w:val="TableContents"/>
              <w:bidi w:val="0"/>
              <w:spacing w:before="0" w:after="283"/>
              <w:jc w:val="left"/>
              <w:rPr>
                <w:sz w:val="4"/>
                <w:szCs w:val="4"/>
              </w:rPr>
            </w:pPr>
            <w:r>
              <w:rPr>
                <w:sz w:val="4"/>
                <w:szCs w:val="4"/>
              </w:rPr>
            </w:r>
          </w:p>
        </w:tc>
      </w:tr>
      <w:tr>
        <w:trPr/>
        <w:tc>
          <w:tcPr>
            <w:tcW w:w="2572"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Net unrealized investment gains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Net derivative gains (losses)</w:t>
            </w:r>
          </w:p>
        </w:tc>
      </w:tr>
      <w:tr>
        <w:trPr/>
        <w:tc>
          <w:tcPr>
            <w:tcW w:w="2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Net unrealized investment gains (losses), before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unrealized investment gains (losses), net of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Unrealized gains (losses) on derivatives -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Net derivative gains (losses)</w:t>
            </w:r>
          </w:p>
        </w:tc>
      </w:tr>
      <w:tr>
        <w:trPr/>
        <w:tc>
          <w:tcPr>
            <w:tcW w:w="2572"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Net investment income</w:t>
            </w:r>
          </w:p>
        </w:tc>
      </w:tr>
      <w:tr>
        <w:trPr/>
        <w:tc>
          <w:tcPr>
            <w:tcW w:w="2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84" w:type="dxa"/>
            <w:gridSpan w:val="3"/>
            <w:tcBorders/>
            <w:vAlign w:val="center"/>
          </w:tcPr>
          <w:p>
            <w:pPr>
              <w:pStyle w:val="TableContents"/>
              <w:bidi w:val="0"/>
              <w:spacing w:before="0" w:after="283"/>
              <w:jc w:val="left"/>
              <w:rPr>
                <w:sz w:val="4"/>
                <w:szCs w:val="4"/>
              </w:rPr>
            </w:pPr>
            <w:r>
              <w:rPr>
                <w:sz w:val="4"/>
                <w:szCs w:val="4"/>
              </w:rPr>
            </w:r>
          </w:p>
        </w:tc>
      </w:tr>
      <w:tr>
        <w:trPr/>
        <w:tc>
          <w:tcPr>
            <w:tcW w:w="2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84" w:type="dxa"/>
            <w:gridSpan w:val="3"/>
            <w:tcBorders/>
            <w:vAlign w:val="center"/>
          </w:tcPr>
          <w:p>
            <w:pPr>
              <w:pStyle w:val="TableContents"/>
              <w:bidi w:val="0"/>
              <w:spacing w:before="0" w:after="283"/>
              <w:jc w:val="left"/>
              <w:rPr>
                <w:sz w:val="4"/>
                <w:szCs w:val="4"/>
              </w:rPr>
            </w:pPr>
            <w:r>
              <w:rPr>
                <w:sz w:val="4"/>
                <w:szCs w:val="4"/>
              </w:rPr>
            </w:r>
          </w:p>
        </w:tc>
      </w:tr>
      <w:tr>
        <w:trPr/>
        <w:tc>
          <w:tcPr>
            <w:tcW w:w="2572"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Net derivative gains (losses)</w:t>
            </w:r>
          </w:p>
        </w:tc>
      </w:tr>
      <w:tr>
        <w:trPr/>
        <w:tc>
          <w:tcPr>
            <w:tcW w:w="2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84" w:type="dxa"/>
            <w:gridSpan w:val="3"/>
            <w:tcBorders/>
            <w:vAlign w:val="center"/>
          </w:tcPr>
          <w:p>
            <w:pPr>
              <w:pStyle w:val="TableContents"/>
              <w:bidi w:val="0"/>
              <w:spacing w:before="0" w:after="283"/>
              <w:jc w:val="left"/>
              <w:rPr>
                <w:sz w:val="4"/>
                <w:szCs w:val="4"/>
              </w:rPr>
            </w:pPr>
            <w:r>
              <w:rPr>
                <w:sz w:val="4"/>
                <w:szCs w:val="4"/>
              </w:rPr>
            </w:r>
          </w:p>
        </w:tc>
      </w:tr>
      <w:tr>
        <w:trPr/>
        <w:tc>
          <w:tcPr>
            <w:tcW w:w="2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84"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2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Gains (losses) on cash flow hedges, before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Gains (losses) on cash flow hedges, net of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reclassifications, net of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60985"/>
                <wp:effectExtent l="0" t="0" r="0" b="0"/>
                <wp:wrapNone/>
                <wp:docPr id="53" name="Frame52"/>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120" w:after="283"/>
        <w:jc w:val="left"/>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before="120" w:after="283"/>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11. Other Revenues and Other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Other Revenues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contracts with mutual funds, fund managers, and their affiliates (collectively, the “Funds”) whereby the Company is paid monthly or quarterly fees (“12b-1 fees”) for providing certain services to customers and distributors of the Funds. The 12b-1 fees, which are included in other revenues, are generally equal to a fixed percentage of the average daily balance of the customer’s investment in a fund. The percentage is specified in the contract between the Company and the Funds. Payments are generally collected when due and are neither refundable nor able to offset future fees.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earn these fees, the Company performs services such as responding to phone inquiries, maintaining records, providing information to distributors and shareholders about fund performance and providing training to account managers and sales agents. The passage of time reflects the satisfaction of the Company’s performance obligations to the Funds and is used to recognize revenue associated with 12b-1 fees.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Other revenues included 12b-1 fees of $47 million and $96 million</w:t>
      </w:r>
      <w:r>
        <w:rPr>
          <w:color w:val="000000"/>
        </w:rPr>
        <w:t xml:space="preserve"> </w:t>
      </w:r>
      <w:r>
        <w:rPr>
          <w:rFonts w:ascii="Times New Roman;serif" w:hAnsi="Times New Roman;serif"/>
          <w:b w:val="false"/>
          <w:color w:val="000000"/>
          <w:sz w:val="20"/>
        </w:rPr>
        <w:t>for the three months and six months ended June 30, 2026, respectively, and $50 million and $99 million for the three months and six months ended June 30, 2025, respectively, of which substantially all were reported in the Annuities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Other Expenses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on other expenses was as follows:</w:t>
      </w:r>
    </w:p>
    <w:tbl>
      <w:tblPr>
        <w:tblW w:w="9709" w:type="dxa"/>
        <w:jc w:val="left"/>
        <w:tblInd w:w="0" w:type="dxa"/>
        <w:tblLayout w:type="fixed"/>
        <w:tblCellMar>
          <w:top w:w="28" w:type="dxa"/>
          <w:left w:w="28" w:type="dxa"/>
          <w:bottom w:w="28" w:type="dxa"/>
          <w:right w:w="28" w:type="dxa"/>
        </w:tblCellMar>
      </w:tblPr>
      <w:tblGrid>
        <w:gridCol w:w="1917"/>
        <w:gridCol w:w="1685"/>
        <w:gridCol w:w="1693"/>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311"/>
      </w:tblGrid>
      <w:tr>
        <w:trPr/>
        <w:tc>
          <w:tcPr>
            <w:tcW w:w="1917"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7" w:type="dxa"/>
            <w:gridSpan w:val="21"/>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Contracted services and other labor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Transition services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Premium and other taxes, licenses and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Volume related costs, excluding compensation, net of DAC capitalization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811 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Capitalization of DAC</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6 for additional information on the capitalization of DAC.</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Related Party Expenses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13 for a discussion of related party expenses included in the table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60985"/>
                <wp:effectExtent l="0" t="0" r="0" b="0"/>
                <wp:wrapNone/>
                <wp:docPr id="54" name="Frame53"/>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120" w:after="283"/>
        <w:jc w:val="left"/>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12. Contingencies, Commitments and Guarantees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Contingencies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Litigation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a defendant in a number of litigation matters. In some of the matters, large or indeterminate amounts, including punitive and treble damages, are sought.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the actual experience of the Company in litigating or resolving through settlement numerous claims over an extended period of time, demonstrates to management that the monetary relief which may be specified in a lawsuit or claim bears little relevance to its merits or disposition value.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also receives and responds to subpoenas or other inquiries seeking a broad range of information from various state and federal regulators, agencies and officials. The issues involved in information requests and regulatory matters vary widely and can include inquiries or investigations concerning the Company’s compliance with applicable insurance and other laws and regulations. The Company cooperates in these inquiries.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Due to the vagaries of litigation, the outcome of a litigation matter and the amount or range of potential loss at particular points in time may normally be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establishes liabilities for litigation and regulatory loss contingencies when it is probable that a loss has been incurred and the amount of the loss can be reasonably estimated. It is possible that some matters could require the Company to pay damages or make other expenditures or establish accruals in amounts that could not be estimated at June 30, 2026.</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Matters as to Which an Estimate Can Be Made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some loss contingency matters, the Company is able to estimate a reasonably possible range of loss. For such matters where a loss is believed to be reasonably possible, but not probable, no accrual has been made. In addition to amounts accrued for probable and reasonably estimable losses, as of June 30, 2026, the Company estimates the aggregate range of reasonably possible losses to be up to approximately $10 million.</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Matters as to Which an Estimate Cannot Be Made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other matters, the Company is not currently able to estimate the reasonably possible loss or range of loss. The Company is often unable to estimate the possible loss or range of loss until developments in such matters have provided sufficient information to support an assessment of the range of possible loss, such as quantification of a damage demand from plaintiffs, discovery from other parties and investigation of factual allegations, rulings by the court on motions or appeals, analysis by experts, and the progress of settlement negotiations. On a quarterly and annual basis, the Company reviews relevant information with respect to litigation contingencies and updates its accruals, disclosures and estimates of reasonably possible losses or ranges of loss based on such reviews.</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Sales Practices Claims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Over the past several years, the Company has faced claims and regulatory inquiries and investigations, alleging improper marketing or sales of individual life insurance policies, annuities or other products. The Company continues to defend vigorously against the claims in these matters. The Company believes adequate provision has been made in its consolidated financial statements for all probable and reasonably estimable losses for sales practices matters.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60985"/>
                <wp:effectExtent l="0" t="0" r="0" b="0"/>
                <wp:wrapNone/>
                <wp:docPr id="55" name="Frame54"/>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120" w:after="283"/>
        <w:jc w:val="left"/>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12. Contingencies, Commitments and Guarantees (continued)</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Cost of Insurance Class Actions</w:t>
      </w:r>
    </w:p>
    <w:p>
      <w:pPr>
        <w:pStyle w:val="TextBody"/>
        <w:bidi w:val="0"/>
        <w:spacing w:lineRule="auto" w:line="288" w:before="120" w:after="283"/>
        <w:ind w:left="0" w:right="0" w:firstLine="360"/>
        <w:jc w:val="both"/>
        <w:rPr/>
      </w:pPr>
      <w:r>
        <w:rPr>
          <w:rFonts w:ascii="Times New Roman;serif" w:hAnsi="Times New Roman;serif"/>
          <w:b w:val="false"/>
          <w:i/>
          <w:color w:val="000000"/>
          <w:sz w:val="20"/>
        </w:rPr>
        <w:t xml:space="preserve">Richard A. Newton v. Brighthouse Life Insurance Company </w:t>
      </w:r>
      <w:r>
        <w:rPr>
          <w:rFonts w:ascii="Times New Roman;serif" w:hAnsi="Times New Roman;serif"/>
          <w:b w:val="false"/>
          <w:color w:val="000000"/>
          <w:sz w:val="20"/>
        </w:rPr>
        <w:t>(U.S. District Court, Northern District of Georgia, Atlanta Division, filed May 8, 2020). Plaintiff filed a purported class action lawsuit against Brighthouse Life Insurance Company. Plaintiff was the owner of a universal life (“UL”) insurance policy issued by Travelers Insurance Company, a predecessor to Brighthouse Life Insurance Company. Plaintiff sought to certify a class of all persons who own or owned life insurance policies issued where the terms of the life insurance policy provide or provided, among other things, a guarantee that the cost of insurance (“COI”) rates would not be increased by more than a specified percentage in any contract year. Plaintiff also alleges that COI charges were based on improper factors and should have decreased over time due to improving mortality. Plaintiff’s complaint alleges, among other things, causes of action for breach of contract, fraud, suppression and concealment, and violation of the Georgia Racketeer Influenced and Corrupt Organizations Act. Plaintiff seeks to recover damages, including punitive damages, interest and treble damages, attorneys’ fees, and injunctive and declaratory relief. Brighthouse Life Insurance Company filed a motion to dismiss in June 2020, which was granted in part and denied in part in March 2021. Plaintiff was granted leave to amend the complaint. On January 18, 2023, plaintiff filed a motion on consent to amend the second amended class action complaint to narrow the scope of the class sought to those who own or owned policies issued in Georgia. The motion was granted on January 23, 2023, and the third amended class action complaint was filed on January 23, 2023. On September 5, 2025, the court granted in part plaintiff’s motion for class certification, certifying a class of all persons, who as of May 8, 2015, owned a UL policy issued in Georgia by Brighthouse Life Insurance Company or its predecessors-in-interest on Forms ULXP86 and ULXP88, and who were subject to at least one monthly deduction. On October 31, 2025, the court issued an amended order changing the date as to class certification for breach of contract claims to March 14, 2014 and for Georgia Racketeer Influenced and Corrupt Organizations Act claims to March 14, 2015. The Company intends to vigorously defend this matter.</w:t>
      </w:r>
    </w:p>
    <w:p>
      <w:pPr>
        <w:pStyle w:val="TextBody"/>
        <w:bidi w:val="0"/>
        <w:spacing w:lineRule="auto" w:line="288" w:before="120" w:after="283"/>
        <w:ind w:left="0" w:right="0" w:firstLine="360"/>
        <w:jc w:val="both"/>
        <w:rPr/>
      </w:pPr>
      <w:r>
        <w:rPr>
          <w:rFonts w:ascii="Times New Roman;serif" w:hAnsi="Times New Roman;serif"/>
          <w:b w:val="false"/>
          <w:i/>
          <w:color w:val="000000"/>
          <w:sz w:val="20"/>
        </w:rPr>
        <w:t>Lawrence Martin v. Brighthouse Life Insurance Company</w:t>
      </w:r>
      <w:r>
        <w:rPr>
          <w:color w:val="000000"/>
        </w:rPr>
        <w:t xml:space="preserve"> </w:t>
      </w:r>
      <w:r>
        <w:rPr>
          <w:rFonts w:ascii="Times New Roman;serif" w:hAnsi="Times New Roman;serif"/>
          <w:b w:val="false"/>
          <w:color w:val="000000"/>
          <w:sz w:val="20"/>
        </w:rPr>
        <w:t xml:space="preserve">(U.S. District Court, Southern District of New York, filed April 6, 2021). Plaintiff filed a purported class action lawsuit against Brighthouse Life Insurance Company. Plaintiff is the owner of a UL insurance policy issued by Travelers Insurance Company, a predecessor to Brighthouse Life Insurance Company. Plaintiff sought to certify a class of similarly situated owners of UL insurance policies issued or administered by defendants and alleges that COI charges were based on improper factors and should have decreased over time due to improving mortality. Plaintiff’s complaint alleges, among other things, causes of action for breach of contract, breach of the covenant of good faith and fair dealing, and unjust enrichment. Plaintiff seeks to recover compensatory damages, attorneys’ fees, interest, and equitable relief including a constructive trust. Brighthouse Life Insurance Company filed a motion to dismiss in June 2021, which was denied in February 2022. On September 25, 2025, the court granted in part plaintiff’s motion for class certification, certifying as to plaintiff’s breach of contract claim based on the alleged failure to decrease COI rates, a nationwide class of owners of UL policies with the product codes ULX or ULXP that contains the language: “We will base these rates only on our future outlook for mortality and expenses.” On October 9, 2025, plaintiff filed a petition for permission to appeal to the United States Court of Appeals for the Second Circuit. On February 11, 2026, the United States Court of Appeals for the Second Circuit denied plaintiff’s petition. On July 27, 2026, Brighthouse Life Insurance Company executed a settlement agreement with plaintiff to settle all actual and potential claims on behalf of the putative class defined in the complaint for approximately $9.3 million. The settlement excludes any policies at issue in </w:t>
      </w:r>
      <w:r>
        <w:rPr>
          <w:rFonts w:ascii="Times New Roman;serif" w:hAnsi="Times New Roman;serif"/>
          <w:b w:val="false"/>
          <w:i/>
          <w:color w:val="000000"/>
          <w:sz w:val="20"/>
        </w:rPr>
        <w:t>Richard A. Newton v. Brighthouse Life Insurance Company</w:t>
      </w:r>
      <w:r>
        <w:rPr>
          <w:rFonts w:ascii="Times New Roman;serif" w:hAnsi="Times New Roman;serif"/>
          <w:b w:val="false"/>
          <w:color w:val="000000"/>
          <w:sz w:val="20"/>
        </w:rPr>
        <w:t>. The settlement is subject to court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60985"/>
                <wp:effectExtent l="0" t="0" r="0" b="0"/>
                <wp:wrapNone/>
                <wp:docPr id="56" name="Frame55"/>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120" w:after="283"/>
        <w:jc w:val="left"/>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12. Contingencies, Commitments and Guarantees (continued)</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MOVEit Data Security Incident Litigation</w:t>
      </w:r>
    </w:p>
    <w:p>
      <w:pPr>
        <w:pStyle w:val="TextBody"/>
        <w:bidi w:val="0"/>
        <w:spacing w:lineRule="auto" w:line="288" w:before="120" w:after="283"/>
        <w:ind w:left="0" w:right="0" w:firstLine="360"/>
        <w:jc w:val="both"/>
        <w:rPr/>
      </w:pPr>
      <w:r>
        <w:rPr>
          <w:rFonts w:ascii="Times New Roman;serif" w:hAnsi="Times New Roman;serif"/>
          <w:b w:val="false"/>
          <w:i/>
          <w:color w:val="000000"/>
          <w:sz w:val="20"/>
        </w:rPr>
        <w:t>Kennedy v. Progress Software Corporation, et al.</w:t>
      </w:r>
      <w:r>
        <w:rPr>
          <w:color w:val="000000"/>
        </w:rPr>
        <w:t xml:space="preserve"> </w:t>
      </w:r>
      <w:r>
        <w:rPr>
          <w:rFonts w:ascii="Times New Roman;serif" w:hAnsi="Times New Roman;serif"/>
          <w:b w:val="false"/>
          <w:color w:val="000000"/>
          <w:sz w:val="20"/>
        </w:rPr>
        <w:t>(U.S. District Court, District of Massachusetts, filed October 3, 2023). BHF has been named as a defendant in a purported class action lawsuit. The action relates to a data security incident at an alleged third-party vendor, PBI Research Services (“PBI”), and allegedly involves the MOVEit file transfer system that PBI uses in its provision of services (“MOVEit Incident”). As it relates to BHF, plaintiff seeks to certify a subclass of persons whose private information was allegedly maintained by BHF and accessed or acquired in relation to the MOVEit Incident. Plaintiff alleges, among other things, that BHF negligently chose to utilize PBI to store and transfer plaintiff’s and purported class members’ private information despite PBI’s use of the MOVEit software which plaintiff contends contained security vulnerabilities. The complaint asserts claims against BHF for negligence, negligence per se, and unjust enrichment, and plaintiff seeks declaratory and injunctive relief, damages, attorneys’ fees and prejudgment interest. The court dismissed claims for injunctive relief against BHF, but denied the remainder of a motion to dismiss based on plaintiff’s lack of standing. BHF intends to vigorously defend this matter.</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Summary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Various litigations, claims and assessments against the Company, in addition to those discussed previously and those otherwise provided for in the Company’s consolidated financial statements, have arisen in the course of the Company’s business, including, but not limited to, in connection with its activities as an insurer, investor and taxpayer. Further, state insurance regulatory authorities and other federal and state authorities regularly make inquiries and conduct investigations concerning the Company’s compliance with applicable insurance and other laws and regulations.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It is not possible to predict the ultimate outcome of all pending investigations and legal proceedings. In some of the matters referred to previously, large or indeterminate amounts, including punitive and treble damages, are sought. Although, in light of these considerations, it is possible that an adverse outcome in certain cases could have a material effect upon the Company’s financial position, based on information currently known by the Company’s management, in its opinion, the outcomes of such pending investigations and legal proceedings are not likely to have such an effect. However, given the large or indeterminate amounts sought in certain of these matters and the inherent unpredictability of litigation, it is possible that an adverse outcome in certain matters could, from time to time, have a material effect on the Company’s consolidated net income or cash flows in particular quarterly or annual periods.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Other Loss Contingencies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with litigation and regulatory loss contingencies, the Company considers establishing liabilities for loss contingencies associated with disputes or other matters involving third parties, including counterparties to contractual arrangements entered into by the Company (e.g., third-party vendors and reinsurers), as well as with tax or other authorities (“other loss contingencies”). The Company establishes liabilities for such other loss contingencies when it is probable that a loss will be incurred and the amount of the loss can be reasonably estimated. In matters where it is not probable, but is reasonably possible that a loss will be incurred and the amount of loss can be reasonably estimated, such losses or range of losses are disclosed, and no accrual is made. In the absence of sufficient information to support an assessment of the reasonably possible loss or range of loss, no accrual is made and no loss or range of loss is disclosed. On a quarterly basis, the Company reviews relevant information with respect to other loss contingencies and, when applicable, updates its accruals, disclosures and estimates of reasonably possible losses or estimated ranges of loss based on such reviews.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The Company’s tax-related matters have involved disputes with taxing authorities, ongoing audits, evaluation of filing positions and any potential assessments related thereto</w:t>
      </w:r>
      <w:r>
        <w:rPr>
          <w:rFonts w:ascii="Times New Roman;serif" w:hAnsi="Times New Roman;serif"/>
          <w:b w:val="false"/>
          <w:color w:val="0000FF"/>
          <w:sz w:val="24"/>
        </w:rPr>
        <w:t xml:space="preserve">. </w:t>
      </w:r>
      <w:r>
        <w:rPr>
          <w:rFonts w:ascii="Times New Roman;serif" w:hAnsi="Times New Roman;serif"/>
          <w:b w:val="false"/>
          <w:color w:val="000000"/>
          <w:sz w:val="20"/>
        </w:rPr>
        <w:t>In the matters where the Company’s subsidiaries are acting as the reinsured or the reinsurer, such reinsurance matters have involved assertions by third parties primarily related to rates, fees or reinsured benefit calculations, and certain of such reinsurance matters have resulted in arbitration. As of June 30, 2026, the Company estimates the range of reasonably possible losses in excess of the amounts accrued for certain other loss contingencies to be from zero up to approximately $15 million relating to a certain reinsurance matter, as described above. For certain matters, the Company may not currently be able to estimate the reasonably possible loss or estimated range of loss until developments in such matters have provided sufficient information to support an assessment of such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60985"/>
                <wp:effectExtent l="0" t="0" r="0" b="0"/>
                <wp:wrapNone/>
                <wp:docPr id="57" name="Frame56"/>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120" w:after="283"/>
        <w:jc w:val="left"/>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12. Contingencies, Commitments and Guarantees (continued)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Commitments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Mortgage Loan Commitments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commits to lend funds under mortgage loan commitments. The amounts of these mortgage loan commitments were $441 million and $436 million at June 30, 2026 and December 31, 2025, respectively.</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Commitments to Fund Partnership Investments and Private Corporate Bond Investments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commits to fund partnership investments and to lend funds under private corporate bond investments. The amounts of these unfunded commitments were $1.2 billion and $1.4 billion at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Guarantees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normal course of its business, the Company has provided certain indemnities, guarantees and commitments to third parties such that it may be required to make payments now or in the future. In the context of reinsurance, acquisition, disposition, investment and other transactions, the Company has provided indemnities and guarantees, including those related to tax, environmental and other specific liabilities and other indemnities and guarantees that are triggered by, among other things, breaches of representations, warranties or covenants provided by the Company. In addition, in the normal course of business, the Company provides indemnifications to counterparties in contracts with triggers similar to the foregoing, as well as for certain other liabilities, such as third-party lawsuits. These obligations are often subject to time limitations that vary in duration, including contractual limitations and those that arise by operation of law, such as applicable statutes of limitation. In some cases, the maximum potential obligation under the indemnities and guarantees is subject to a contractual limitation with a cumulative maximum of $82 million, while in other cases such limitations are not specified or applicable. Since certain of these obligations are not subject to limitations, the Company does not believe that it is possible to determine the maximum potential amount that could become due under these guarantees in the future. Management believes that it is unlikely the Company will have to make any material payments under these indemnities, guarantees, or commitments.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Company indemnifies its directors and officers as provided in its charters and bylaws. Also, the Company indemnifies its agents for liabilities incurred as a result of their representation of the Company’s interests. Since these indemnities are generally not subject to limitation with respect to duration or amount, the Company does not believe that it is possible to determine the maximum potential amount that could become due under these indemnities in the future.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did not have any liabilities recorded for indemnities, guarantees and commitments at both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13. Related Party Transactions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Reinsurance Agreements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enters into reinsurance agreements primarily as a purchaser of reinsurance for its various insurance products and also as a provider of reinsurance for some insurance products issued by related parties. The Company participates in reinsurance activities in order to limit losses, minimize exposure to significant risks and provide additional capacity for future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60985"/>
                <wp:effectExtent l="0" t="0" r="0" b="0"/>
                <wp:wrapNone/>
                <wp:docPr id="58" name="Frame57"/>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120" w:after="283"/>
        <w:jc w:val="left"/>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13. Related Party Transactions (continued)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regarding the significant effects of assumed reinsurance with New England Life Insurance Company (“NELICO”), an affiliate, included on the interim condensed consolidated statements of operations and comprehensive income (loss) was as follows:</w:t>
      </w:r>
    </w:p>
    <w:tbl>
      <w:tblPr>
        <w:tblW w:w="6612" w:type="dxa"/>
        <w:jc w:val="left"/>
        <w:tblInd w:w="0" w:type="dxa"/>
        <w:tblLayout w:type="fixed"/>
        <w:tblCellMar>
          <w:top w:w="28" w:type="dxa"/>
          <w:left w:w="28" w:type="dxa"/>
          <w:bottom w:w="28" w:type="dxa"/>
          <w:right w:w="28" w:type="dxa"/>
        </w:tblCellMar>
      </w:tblPr>
      <w:tblGrid>
        <w:gridCol w:w="873"/>
        <w:gridCol w:w="769"/>
        <w:gridCol w:w="773"/>
        <w:gridCol w:w="109"/>
        <w:gridCol w:w="109"/>
        <w:gridCol w:w="109"/>
        <w:gridCol w:w="196"/>
        <w:gridCol w:w="406"/>
        <w:gridCol w:w="109"/>
        <w:gridCol w:w="109"/>
        <w:gridCol w:w="109"/>
        <w:gridCol w:w="109"/>
        <w:gridCol w:w="196"/>
        <w:gridCol w:w="406"/>
        <w:gridCol w:w="109"/>
        <w:gridCol w:w="109"/>
        <w:gridCol w:w="109"/>
        <w:gridCol w:w="109"/>
        <w:gridCol w:w="196"/>
        <w:gridCol w:w="406"/>
        <w:gridCol w:w="109"/>
        <w:gridCol w:w="109"/>
        <w:gridCol w:w="109"/>
        <w:gridCol w:w="109"/>
        <w:gridCol w:w="196"/>
        <w:gridCol w:w="406"/>
        <w:gridCol w:w="154"/>
      </w:tblGrid>
      <w:tr>
        <w:trPr/>
        <w:tc>
          <w:tcPr>
            <w:tcW w:w="87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21"/>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Policyholder benefits and claims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market risk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regarding the significant effects of assumed reinsurance with NELICO included on the interim condensed consolidated balance sheets was as follows at:</w:t>
      </w:r>
    </w:p>
    <w:tbl>
      <w:tblPr>
        <w:tblW w:w="9809" w:type="dxa"/>
        <w:jc w:val="left"/>
        <w:tblInd w:w="0" w:type="dxa"/>
        <w:tblLayout w:type="fixed"/>
        <w:tblCellMar>
          <w:top w:w="28" w:type="dxa"/>
          <w:left w:w="28" w:type="dxa"/>
          <w:bottom w:w="28" w:type="dxa"/>
          <w:right w:w="28" w:type="dxa"/>
        </w:tblCellMar>
      </w:tblPr>
      <w:tblGrid>
        <w:gridCol w:w="2084"/>
        <w:gridCol w:w="1828"/>
        <w:gridCol w:w="1847"/>
        <w:gridCol w:w="303"/>
        <w:gridCol w:w="652"/>
        <w:gridCol w:w="169"/>
        <w:gridCol w:w="109"/>
        <w:gridCol w:w="1501"/>
        <w:gridCol w:w="109"/>
        <w:gridCol w:w="109"/>
        <w:gridCol w:w="109"/>
        <w:gridCol w:w="196"/>
        <w:gridCol w:w="421"/>
        <w:gridCol w:w="109"/>
        <w:gridCol w:w="109"/>
        <w:gridCol w:w="154"/>
      </w:tblGrid>
      <w:tr>
        <w:trPr/>
        <w:tc>
          <w:tcPr>
            <w:tcW w:w="2084"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316" w:type="dxa"/>
            <w:gridSpan w:val="8"/>
            <w:tcBorders/>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4"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1316" w:type="dxa"/>
            <w:gridSpan w:val="8"/>
            <w:tcBorders/>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Premiums, reinsurance and other receivables (net of allowance for credit losses)</w:t>
            </w:r>
          </w:p>
        </w:tc>
        <w:tc>
          <w:tcPr>
            <w:tcW w:w="303"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Future policy benefits</w:t>
            </w:r>
          </w:p>
        </w:tc>
        <w:tc>
          <w:tcPr>
            <w:tcW w:w="303"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Market risk benefit liabilities</w:t>
            </w:r>
          </w:p>
        </w:tc>
        <w:tc>
          <w:tcPr>
            <w:tcW w:w="303"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Other policy-related balances</w:t>
            </w:r>
          </w:p>
        </w:tc>
        <w:tc>
          <w:tcPr>
            <w:tcW w:w="303"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03"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Shared Services and Overhead Allocations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various agreements with affiliates regarding the provision of certain services, which include, but are not limited to, treasury, financial planning and analysis, legal, human resources, tax planning, internal audit, financial reporting and information technology. Revenues received from an affiliate related to these agreements, recorded in universal life and investment-type product policy fees, were $41 million and $82 million for the three months and six months ended June 30, 2026, respectively, and $41 million and $83 million for the three months and six months ended June 30, 2025, respectively. Costs incurred under these arrangements were $207 million and $424 million for the three months and six months ended June 30, 2026, respectively, and $224 million and $435 million for the three months and six months ended June 30, 2025, respectively, and were recorded in other expenses.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had net receivables from/(payables to) affiliates, related to the items discussed above, of ($44) million and ($68) million at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Broker-Dealer Transactions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related party expense for the Company was commissions paid on the sale of variable products and passed through to the broker-dealer affiliate. The related party revenue for the Company was fee income passed through the broker-dealer affiliate from trusts and mutual funds whose shares serve as investment options of policyholders of the Company. Fee income received related to these transactions and recorded in other revenues was $41 million and $82 million for the three months and six months ended June 30, 2026 and 2025, respectively. Commission expenses incurred related to these transactions and recorded in other expenses were $245 million and $475 million for the three months and six months ended June 30, 2026, respectively, and $237 million and $466 million for the three months and six months ended June 30, 2025, respectively. The Company also had related party fee income receivables of $13 million and $14 million at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60985"/>
                <wp:effectExtent l="0" t="0" r="0" b="0"/>
                <wp:wrapNone/>
                <wp:docPr id="59" name="Frame58"/>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both"/>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Index to Management’s Discussion and Analysis of Financial Condition and Results of Operations</w:t>
      </w:r>
    </w:p>
    <w:tbl>
      <w:tblPr>
        <w:tblW w:w="4380" w:type="dxa"/>
        <w:jc w:val="center"/>
        <w:tblInd w:w="0" w:type="dxa"/>
        <w:tblLayout w:type="fixed"/>
        <w:tblCellMar>
          <w:top w:w="28" w:type="dxa"/>
          <w:left w:w="28" w:type="dxa"/>
          <w:bottom w:w="28" w:type="dxa"/>
          <w:right w:w="28" w:type="dxa"/>
        </w:tblCellMar>
      </w:tblPr>
      <w:tblGrid>
        <w:gridCol w:w="1378"/>
        <w:gridCol w:w="1212"/>
        <w:gridCol w:w="1219"/>
        <w:gridCol w:w="167"/>
        <w:gridCol w:w="167"/>
        <w:gridCol w:w="237"/>
      </w:tblGrid>
      <w:tr>
        <w:trPr/>
        <w:tc>
          <w:tcPr>
            <w:tcW w:w="137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Page</w:t>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e4eacba7ae443fb84d35a26facf6cf5_328">
              <w:r>
                <w:rPr>
                  <w:rStyle w:val="InternetLink"/>
                  <w:rFonts w:ascii="Times New Roman;serif" w:hAnsi="Times New Roman;serif"/>
                  <w:b w:val="false"/>
                  <w:color w:val="0000FF"/>
                  <w:sz w:val="20"/>
                  <w:u w:val="single"/>
                </w:rPr>
                <w:t>Overview</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e4eacba7ae443fb84d35a26facf6cf5_328">
              <w:r>
                <w:rPr>
                  <w:rStyle w:val="InternetLink"/>
                  <w:rFonts w:ascii="Times New Roman;serif" w:hAnsi="Times New Roman;serif"/>
                  <w:b w:val="false"/>
                  <w:color w:val="0000FF"/>
                  <w:sz w:val="20"/>
                  <w:u w:val="single"/>
                </w:rPr>
                <w:t>59</w:t>
              </w:r>
            </w:hyperlink>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e4eacba7ae443fb84d35a26facf6cf5_337">
              <w:r>
                <w:rPr>
                  <w:rStyle w:val="InternetLink"/>
                  <w:rFonts w:ascii="Times New Roman;serif" w:hAnsi="Times New Roman;serif"/>
                  <w:b w:val="false"/>
                  <w:color w:val="0000FF"/>
                  <w:sz w:val="20"/>
                  <w:u w:val="single"/>
                </w:rPr>
                <w:t>Regulatory Developments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e4eacba7ae443fb84d35a26facf6cf5_337">
              <w:r>
                <w:rPr>
                  <w:rStyle w:val="InternetLink"/>
                  <w:rFonts w:ascii="Times New Roman;serif" w:hAnsi="Times New Roman;serif"/>
                  <w:b w:val="false"/>
                  <w:color w:val="0000FF"/>
                  <w:sz w:val="20"/>
                  <w:u w:val="single"/>
                </w:rPr>
                <w:t>60</w:t>
              </w:r>
            </w:hyperlink>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e4eacba7ae443fb84d35a26facf6cf5_352">
              <w:r>
                <w:rPr>
                  <w:rStyle w:val="InternetLink"/>
                  <w:rFonts w:ascii="Times New Roman;serif" w:hAnsi="Times New Roman;serif"/>
                  <w:b w:val="false"/>
                  <w:color w:val="0000FF"/>
                  <w:sz w:val="20"/>
                  <w:u w:val="single"/>
                </w:rPr>
                <w:t>Summary of Critical Accounting Estimates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e4eacba7ae443fb84d35a26facf6cf5_352">
              <w:r>
                <w:rPr>
                  <w:rStyle w:val="InternetLink"/>
                  <w:rFonts w:ascii="Times New Roman;serif" w:hAnsi="Times New Roman;serif"/>
                  <w:b w:val="false"/>
                  <w:color w:val="0000FF"/>
                  <w:sz w:val="20"/>
                  <w:u w:val="single"/>
                </w:rPr>
                <w:t>60</w:t>
              </w:r>
            </w:hyperlink>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e4eacba7ae443fb84d35a26facf6cf5_355">
              <w:r>
                <w:rPr>
                  <w:rStyle w:val="InternetLink"/>
                  <w:rFonts w:ascii="Times New Roman;serif" w:hAnsi="Times New Roman;serif"/>
                  <w:b w:val="false"/>
                  <w:color w:val="0000FF"/>
                  <w:sz w:val="20"/>
                  <w:u w:val="single"/>
                </w:rPr>
                <w:t>Non-GAAP Financial Disclosures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e4eacba7ae443fb84d35a26facf6cf5_355">
              <w:r>
                <w:rPr>
                  <w:rStyle w:val="InternetLink"/>
                  <w:rFonts w:ascii="Times New Roman;serif" w:hAnsi="Times New Roman;serif"/>
                  <w:b w:val="false"/>
                  <w:color w:val="0000FF"/>
                  <w:sz w:val="20"/>
                  <w:u w:val="single"/>
                </w:rPr>
                <w:t>61</w:t>
              </w:r>
            </w:hyperlink>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e4eacba7ae443fb84d35a26facf6cf5_358">
              <w:r>
                <w:rPr>
                  <w:rStyle w:val="InternetLink"/>
                  <w:rFonts w:ascii="Times New Roman;serif" w:hAnsi="Times New Roman;serif"/>
                  <w:b w:val="false"/>
                  <w:color w:val="0000FF"/>
                  <w:sz w:val="20"/>
                  <w:u w:val="single"/>
                </w:rPr>
                <w:t>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e4eacba7ae443fb84d35a26facf6cf5_358">
              <w:r>
                <w:rPr>
                  <w:rStyle w:val="InternetLink"/>
                  <w:rFonts w:ascii="Times New Roman;serif" w:hAnsi="Times New Roman;serif"/>
                  <w:b w:val="false"/>
                  <w:color w:val="0000FF"/>
                  <w:sz w:val="20"/>
                  <w:u w:val="single"/>
                </w:rPr>
                <w:t>63</w:t>
              </w:r>
            </w:hyperlink>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e4eacba7ae443fb84d35a26facf6cf5_385">
              <w:r>
                <w:rPr>
                  <w:rStyle w:val="InternetLink"/>
                  <w:rFonts w:ascii="Times New Roman;serif" w:hAnsi="Times New Roman;serif"/>
                  <w:b w:val="false"/>
                  <w:color w:val="0000FF"/>
                  <w:sz w:val="20"/>
                  <w:u w:val="single"/>
                </w:rPr>
                <w:t>Liquidity and Capital Resources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e4eacba7ae443fb84d35a26facf6cf5_385">
              <w:r>
                <w:rPr>
                  <w:rStyle w:val="InternetLink"/>
                  <w:rFonts w:ascii="Times New Roman;serif" w:hAnsi="Times New Roman;serif"/>
                  <w:b w:val="false"/>
                  <w:color w:val="0000FF"/>
                  <w:sz w:val="20"/>
                  <w:u w:val="single"/>
                </w:rPr>
                <w:t>67</w:t>
              </w:r>
            </w:hyperlink>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e4eacba7ae443fb84d35a26facf6cf5_397">
              <w:r>
                <w:rPr>
                  <w:rStyle w:val="InternetLink"/>
                  <w:rFonts w:ascii="Times New Roman;serif" w:hAnsi="Times New Roman;serif"/>
                  <w:b w:val="false"/>
                  <w:color w:val="0000FF"/>
                  <w:sz w:val="20"/>
                  <w:u w:val="single"/>
                </w:rPr>
                <w:t>Note Regarding Forward-Looking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e4eacba7ae443fb84d35a26facf6cf5_397">
              <w:r>
                <w:rPr>
                  <w:rStyle w:val="InternetLink"/>
                  <w:rFonts w:ascii="Times New Roman;serif" w:hAnsi="Times New Roman;serif"/>
                  <w:b w:val="false"/>
                  <w:color w:val="0000FF"/>
                  <w:sz w:val="20"/>
                  <w:u w:val="single"/>
                </w:rPr>
                <w:t>68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60985"/>
                <wp:effectExtent l="0" t="0" r="0" b="0"/>
                <wp:wrapNone/>
                <wp:docPr id="60" name="Frame59"/>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both"/>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76" w:before="0" w:after="0"/>
        <w:jc w:val="both"/>
        <w:rPr/>
      </w:pPr>
      <w:r>
        <w:rPr>
          <w:rFonts w:ascii="Times New Roman;serif" w:hAnsi="Times New Roman;serif"/>
          <w:b w:val="false"/>
          <w:i/>
          <w:color w:val="000000"/>
          <w:sz w:val="20"/>
        </w:rPr>
        <w:t>For purposes of this discussion, “BLIC,” the “Company,” “we,” “our” and “us” refer to Brighthouse Life Insurance Company and its subsidiaries, and “Brighthouse Life Insurance Company” refers solely to Brighthouse Life Insurance Company and not to any of its subsidiaries. Brighthouse Life Insurance Company is an indirect wholly-owned subsidiary of Brighthouse Financial, Inc. (“BHF” and together with its subsidiaries, “Brighthouse Financial”). This Management’s Discussion and Analysis of Financial Condition and Results of Operations should be read in conjunction with (i) the Interim Condensed Consolidated Financial Statements and related notes included elsewhere herein; (ii) our Annual Report on Form 10-K for the year ended December 31, 2025 (the “2025 Annual Report”) filed with the U.S. Securities and Exchange Commission (“SEC”) on February 27, 2026; (iii) our Quarterly Report on Form 10-Q for the quarter ended March 31, 2026 filed with the SEC on May 11, 2026; and (iv)</w:t>
      </w:r>
      <w:r>
        <w:rPr>
          <w:color w:val="000000"/>
        </w:rPr>
        <w:t xml:space="preserve"> </w:t>
      </w:r>
      <w:r>
        <w:rPr>
          <w:rFonts w:ascii="Times New Roman;serif" w:hAnsi="Times New Roman;serif"/>
          <w:b w:val="false"/>
          <w:i/>
          <w:color w:val="000000"/>
          <w:sz w:val="20"/>
        </w:rPr>
        <w:t>our current reports on Form 8-K filed in 2026.</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offer a range of annuity and life insurance products to individuals and deliver our products through multiple independent distribution channels and marketing arrangements with a diverse network of distribution partners. Brighthouse Life Insurance Company, a Delaware corporation, is licensed to write business in all U.S. states (except New York), the District of Columbia, the Bahamas, Guam, Puerto Rico, the British Virgin Islands and the U.S. Virgin Islands. Brighthouse Life Insurance Company of NY (“BHNY”), a wholly-owned subsidiary of Brighthouse Life Insurance Company, is domiciled in New York and licensed to write business only in New York.</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organized into the following reportable segments: Annuities; Life; Run-off; and Corporate &amp; Other. See “Business — Segment Information” included in our 2025 Annual Report, as well as Note 2 of the Notes to the Interim Condensed Consolidated Financial Statements for further information regarding our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Recent Developments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November 6, 2025, BHF entered into an Agreement and Plan of Merger (the “Merger Agreement”) with Aquarian Holdings VI L.P., a Delaware limited partnership (“Aquarian Parent”), Aquarian Beacon Merger Sub Inc., a Delaware corporation and an indirect wholly-owned subsidiary of Aquarian Parent (“Merger Sub”), and Aquarian Holdings LLC, a Delaware limited liability company, solely for the purpose of certain provisions, pursuant to which, at the closing of the transactions contemplated by the Merger Agreement, Merger Sub will merge with and into BHF, and the separate corporate existence of Merger Sub will cease, with BHF continuing as the surviving corporation and as a wholly-owned subsidiary of Aquarian Parent (the “Merger”). Brighthouse Life Insurance Company will remain an indirect wholly-owned subsidiary of BHF after the effective time of the Merger.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Merger Agreement was adopted by BHF stockholders at the special meeting held on February 12, 2026, and the applicable waiting period under the Hart-Scott-Rodino Antitrust Improvements Act of 1976, as amended, has expired. On May 19, 2026, the Financial Industry Regulatory Authority (“FINRA”) approved the change of control of Brighthouse Securities, LLC. In addition, on June 18, 2026, the Committee on Foreign Investment in the United States (“CFIUS”) informed the parties that it had concluded its review and that there were no unresolved national security concerns.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However, the completion of the Merger remains subject to the receipt of insurance regulatory approvals in Delaware, New York and Massachusetts. All other conditions to the closing of the Merger have been satisfied or waived (other than those conditions that, by their terms, are to be satisfied at the closing and are capable of being satisfied at the closing). Accordingly, if the Merger has not closed by September 6, 2026, because the remaining insurance regulatory approvals have not yet been obtained, the Merger Agreement will be automatically extended to December 6, 2026. The Merger is expected to close in 2026. See “Risks Related to the Merger — The completion of the Merger is subject to a number of conditions, many of which are largely outside the parties’ control, and, if these conditions are not satisfied or waived, the Merger may not be completed within the expected timeframe or at all” included in our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Financial and Economic Environment</w:t>
      </w:r>
    </w:p>
    <w:p>
      <w:pPr>
        <w:pStyle w:val="TextBody"/>
        <w:bidi w:val="0"/>
        <w:spacing w:lineRule="auto" w:line="288" w:before="120" w:after="283"/>
        <w:ind w:left="0" w:right="0" w:firstLine="360"/>
        <w:jc w:val="both"/>
        <w:rPr/>
      </w:pPr>
      <w:r>
        <w:rPr>
          <w:rFonts w:ascii="Times New Roman;serif" w:hAnsi="Times New Roman;serif"/>
          <w:b w:val="false"/>
          <w:color w:val="000000"/>
          <w:sz w:val="20"/>
        </w:rPr>
        <w:t>Our business and results of operations are materially affected by conditions in the capital markets and the economy generally. Stressed conditions, volatility and disruptions in the capital markets or financial asset classes can have an adverse effect on us. Equity market performance can affect our profitability for variable annuities, Shield</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Level Annuities (“Shield,” “Shield Annuity” and “Shield Annuities”) and other separate account products as a result of the effects it has on product demand, revenues, expenses, reserves and our risk management effectiveness. The Federal Reserve Board decreased the target range for the federal funds rate in September, October and December 2025, and any additional future decrease may negatively impact our business in certain respects, including our investment portfolio, by lowering the level of long-term interest rates and changing the shape of the yield curve. The level of long-term interest rates and the shape of the yield curve can have a negative effect on the profitability for variable annuities, as well as the demand for, and the profitability of, spread-based products such as fixed annuities, index-linked annuities and universal life insurance. Low interest rates and risk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60985"/>
                <wp:effectExtent l="0" t="0" r="0" b="0"/>
                <wp:wrapNone/>
                <wp:docPr id="61" name="Frame60"/>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both"/>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premium, including credit spread, affect new money rates on invested assets and the cost of product guarantees. Insurance premium growth and demand for our products is impacted by the general health of U.S. economic activity. A sustained or material increase in inflation could also affect our business in several ways. During inflationary periods, the value of fixed income investments falls, which could increase realized and unrealized losses. Inflation also increases our expenses (including, among others, for labor and third-party services), potentially putting pressure on profitability if such costs cannot be passed through to policyholders in our product prices. Prolonged and elevated inflation could adversely affect the financial markets and the economy generally and dispelling it may require governments to pursue restrictive fiscal and monetary policies, which could constrain overall economic activity and inhibit revenue growth. Events involving limited liquidity, defaults, nonperformance, fraud or other adverse developments that affect financial institutions or the financial services industry generally, or concerns or rumors about events of these kinds or other similar risks, could adversely affect market-wide liquidity, which could increase the risk of a recession or an equity market downturn and negatively impact various portions of our business, including our investment portfolio. See “Risk Factors — Economic Environment and Capital Markets-Related Risks — If difficult conditions in the capital markets and the U.S. economy generally persist or are perceived to persist, they may materially adversely affect our business and results of operations” and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included in our 2025 Annual Report.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above factors affect our expectations regarding future margins. We review our long-term assumptions about capital markets returns and interest rates, along with other assumptions such as contract holder behavior, as part of our annual actuarial review. As additional company specific or industry information on contract holder behavior becomes available, related assumptions may change and may potentially have a material impact on liability valuations and net income.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continue to closely monitor political and economic conditions that might contribute to market volatility and their impact on our business operations, investment portfolio and derivatives, such as global inflation, tariffs and sanctions imposed or threatened by the U.S. or foreign governments, higher fuel and energy costs, uncertainty and instability in certain asset classes (including commercial real estate and private credit), supply chain disruptions and recent geopolitical conflicts, including in Europe and the Middle East, as well as the risk of further escalation or expansion of such conflicts. See “Risk Factors — Economic Environment and Capital Markets-Related Risks” and “Risk Factors — Risks Related to Our Investment Portfolio” included in our 2025 Annual Report for a detailed discussion of financial and economic impacts on our business, including the potential impacts of interest rate risk and inflation risk on our investments and overall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Regulatory Developments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including our insurance subsidiary, BHNY, and our reinsurance subsidiary, Brighthouse Reinsurance Company of Delaware, are primarily regulated at the state level, with some products and services also subject to federal regulation. In addition, Brighthouse Life Insurance Company and BHNY are subject to regulation under the insurance holding company laws of various U.S. jurisdictions. Furthermore, some of our operations, products and services are subject to the Employee Retirement Income Security Act of 1974, consumer protection laws, securities, broker-dealer and investment advisor regulations, as well as environmental and unclaimed property laws and regulations. See “Business — Regulation,” as well as “Risk Factors — Regulatory and Legal Risks” included in our 2025 Annual Report, as amended or supplemented by our quarterly reports under the heading “Management’s Discussion and Analysis of Financial Condition and Results of Operations — Regulatory Developments.”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Summary of Critical Accounting Estimates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accounting principles generally accepted in the United States of America (“GAAP”) requires management to adopt accounting policies and make estimates and assumptions that affect amounts reported on the Interim Condensed Consolidated Financial Statements.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most critical estimates include those used in determining: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liability for future policy benefits;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estimated fair values of market risk benefits (“MRB”);</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estimated fair values of freestanding derivatives and the recognition and estimated fair value of embedded derivatives requiring bifurcation;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measurement of income taxes and the valuation of deferred tax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60985"/>
                <wp:effectExtent l="0" t="0" r="0" b="0"/>
                <wp:wrapNone/>
                <wp:docPr id="62" name="Frame61"/>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both"/>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applying our accounting policies, we make subjective and complex judgments that frequently require estimates about matters that are inherently uncertain. Many of these policies, estimates and related judgments are common in the insurance and financial services industries; others are specific to our business and operations. Actual results could differ from these estimates.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above critical accounting estimates are described in “Management’s Discussion and Analysis of Financial Condition and Results of Operations — Summary of Critical Accounting Estimates” and Note 1 of the Notes to the Consolidated Financial Statements included in our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Non-GAAP Financial Disclosures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present certain measures of our performance that are not calculated in accordance with GAAP. Our definitions of non-GAAP financial measures may differ from those used by other companies.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Adjusted Earnings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earnings is a financial measure used by management to evaluate performance and facilitate comparisons to industry results. We believe the presentation of adjusted earnings, as the Company measures it for management purposes, enhances the understanding of our performance by the investor community and contract holders by highlighting the results of operations and the underlying profitability drivers of our business. Adjusted earnings should not be viewed as a substitute for net income (loss) attributable to Brighthouse Life Insurance Company, which is the most directly comparable financial measure calculated in accordance with GAAP. See “— Results of Operations” for a reconciliation of adjusted earnings to net income (loss) attributable to Brighthouse Life Insurance Company.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earnings, which may be positive or negative, focuses on our primary businesses by excluding the impact of market volatility, which could distort trends.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items are excluded from total revenues in calculating adjusted earnings: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Net investment gains (losses);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Investment gains (losses) on trading securities measured at estimated fair value through net investment income;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Net derivative gains (losses), excluding earned income and amortization of premium on derivatives that are hedges of investments or that are used to replicate certain investments, but do not qualify for hedge accounting treatment (“Investment Hedge Adjustments”).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items are excluded from total expenses in calculating adjusted earnings: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 in MRBs;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 in fair value of the crediting rate on experience-rated contracts and market value adjustments on institutional group annuities that are economically offset by gains (losses) on the related trading securities (“Market Value Adjustments”).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 related to adjusted earnings is calculated using the statutory tax rate of 21%, net of impacts related to the dividends received deduction, tax credits and current period non-recurring items.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60985"/>
                <wp:effectExtent l="0" t="0" r="0" b="0"/>
                <wp:wrapNone/>
                <wp:docPr id="63" name="Frame62"/>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both"/>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present adjusted earnings in a manner consistent with management’s view of the primary business activities that drive the profitability of our core businesses. The following table illustrates how each component of adjusted earnings is calculated from the GAAP statements of operations line items:</w:t>
      </w:r>
    </w:p>
    <w:tbl>
      <w:tblPr>
        <w:tblW w:w="10205" w:type="dxa"/>
        <w:jc w:val="left"/>
        <w:tblInd w:w="0" w:type="dxa"/>
        <w:tblLayout w:type="fixed"/>
        <w:tblCellMar>
          <w:top w:w="28" w:type="dxa"/>
          <w:left w:w="28" w:type="dxa"/>
          <w:bottom w:w="28" w:type="dxa"/>
          <w:right w:w="28" w:type="dxa"/>
        </w:tblCellMar>
      </w:tblPr>
      <w:tblGrid>
        <w:gridCol w:w="293"/>
        <w:gridCol w:w="257"/>
        <w:gridCol w:w="257"/>
        <w:gridCol w:w="777"/>
        <w:gridCol w:w="777"/>
        <w:gridCol w:w="496"/>
        <w:gridCol w:w="201"/>
        <w:gridCol w:w="201"/>
        <w:gridCol w:w="201"/>
        <w:gridCol w:w="1947"/>
        <w:gridCol w:w="1947"/>
        <w:gridCol w:w="2851"/>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r>
      <w:tr>
        <w:trPr/>
        <w:tc>
          <w:tcPr>
            <w:tcW w:w="2857" w:type="dxa"/>
            <w:gridSpan w:val="6"/>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Component of Adjusted Earnings</w:t>
            </w:r>
          </w:p>
        </w:tc>
        <w:tc>
          <w:tcPr>
            <w:tcW w:w="7348" w:type="dxa"/>
            <w:gridSpan w:val="6"/>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How Derived from GAAP (1)</w:t>
            </w:r>
          </w:p>
        </w:tc>
      </w:tr>
      <w:tr>
        <w:trPr/>
        <w:tc>
          <w:tcPr>
            <w:tcW w:w="807"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w:t>
            </w:r>
          </w:p>
        </w:tc>
        <w:tc>
          <w:tcPr>
            <w:tcW w:w="205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Fee income</w:t>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w:t>
            </w:r>
          </w:p>
        </w:tc>
        <w:tc>
          <w:tcPr>
            <w:tcW w:w="6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i/>
                <w:color w:val="000000"/>
                <w:sz w:val="20"/>
              </w:rPr>
              <w:t>Universal life and investment-type product policy fees</w:t>
            </w:r>
            <w:r>
              <w:rPr>
                <w:color w:val="000000"/>
              </w:rPr>
              <w:t xml:space="preserve"> </w:t>
            </w:r>
            <w:r>
              <w:rPr>
                <w:rFonts w:ascii="Times New Roman;serif" w:hAnsi="Times New Roman;serif"/>
                <w:b w:val="false"/>
                <w:color w:val="000000"/>
                <w:sz w:val="20"/>
              </w:rPr>
              <w:t xml:space="preserve">plus </w:t>
            </w:r>
            <w:r>
              <w:rPr>
                <w:rFonts w:ascii="Times New Roman;serif" w:hAnsi="Times New Roman;serif"/>
                <w:b w:val="false"/>
                <w:i/>
                <w:color w:val="000000"/>
                <w:sz w:val="20"/>
              </w:rPr>
              <w:t>Other revenues</w:t>
            </w:r>
            <w:r>
              <w:rPr>
                <w:rFonts w:ascii="Times New Roman;serif" w:hAnsi="Times New Roman;serif"/>
                <w:b w:val="false"/>
                <w:color w:val="000000"/>
                <w:sz w:val="20"/>
              </w:rPr>
              <w:t>.</w:t>
            </w:r>
          </w:p>
        </w:tc>
      </w:tr>
      <w:tr>
        <w:trPr/>
        <w:tc>
          <w:tcPr>
            <w:tcW w:w="807"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(ii)</w:t>
            </w:r>
          </w:p>
        </w:tc>
        <w:tc>
          <w:tcPr>
            <w:tcW w:w="205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Net investment spread</w:t>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(ii)</w:t>
            </w:r>
          </w:p>
        </w:tc>
        <w:tc>
          <w:tcPr>
            <w:tcW w:w="6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i/>
                <w:color w:val="000000"/>
                <w:sz w:val="20"/>
              </w:rPr>
              <w:t>Net investment income</w:t>
            </w:r>
            <w:r>
              <w:rPr>
                <w:color w:val="000000"/>
              </w:rPr>
              <w:t xml:space="preserve"> </w:t>
            </w:r>
            <w:r>
              <w:rPr>
                <w:rFonts w:ascii="Times New Roman;serif" w:hAnsi="Times New Roman;serif"/>
                <w:b w:val="false"/>
                <w:color w:val="000000"/>
                <w:sz w:val="20"/>
              </w:rPr>
              <w:t xml:space="preserve">(excluding investment gains (losses) on trading securities) plus Investment Hedge Adjustments reduced by </w:t>
            </w:r>
            <w:r>
              <w:rPr>
                <w:rFonts w:ascii="Times New Roman;serif" w:hAnsi="Times New Roman;serif"/>
                <w:b w:val="false"/>
                <w:i/>
                <w:color w:val="000000"/>
                <w:sz w:val="20"/>
              </w:rPr>
              <w:t xml:space="preserve">Interest credited to policyholder account balances </w:t>
            </w:r>
            <w:r>
              <w:rPr>
                <w:rFonts w:ascii="Times New Roman;serif" w:hAnsi="Times New Roman;serif"/>
                <w:b w:val="false"/>
                <w:color w:val="000000"/>
                <w:sz w:val="20"/>
              </w:rPr>
              <w:t>(excluding Market Value Adjustments) and interest on future policy benefits.</w:t>
            </w:r>
          </w:p>
        </w:tc>
      </w:tr>
      <w:tr>
        <w:trPr/>
        <w:tc>
          <w:tcPr>
            <w:tcW w:w="807"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(iii)</w:t>
            </w:r>
          </w:p>
        </w:tc>
        <w:tc>
          <w:tcPr>
            <w:tcW w:w="205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Insurance-related activities</w:t>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(iii)</w:t>
            </w:r>
          </w:p>
        </w:tc>
        <w:tc>
          <w:tcPr>
            <w:tcW w:w="6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i/>
                <w:color w:val="000000"/>
                <w:sz w:val="20"/>
              </w:rPr>
              <w:t xml:space="preserve">Premiums </w:t>
            </w:r>
            <w:r>
              <w:rPr>
                <w:rFonts w:ascii="Times New Roman;serif" w:hAnsi="Times New Roman;serif"/>
                <w:b w:val="false"/>
                <w:color w:val="000000"/>
                <w:sz w:val="20"/>
              </w:rPr>
              <w:t>less</w:t>
            </w:r>
            <w:r>
              <w:rPr>
                <w:color w:val="000000"/>
              </w:rPr>
              <w:t xml:space="preserve"> </w:t>
            </w:r>
            <w:r>
              <w:rPr>
                <w:rFonts w:ascii="Times New Roman;serif" w:hAnsi="Times New Roman;serif"/>
                <w:b w:val="false"/>
                <w:i/>
                <w:color w:val="000000"/>
                <w:sz w:val="20"/>
              </w:rPr>
              <w:t>Policyholder benefits and claims</w:t>
            </w:r>
            <w:r>
              <w:rPr>
                <w:rFonts w:ascii="Times New Roman;serif" w:hAnsi="Times New Roman;serif"/>
                <w:b w:val="false"/>
                <w:color w:val="000000"/>
                <w:sz w:val="20"/>
              </w:rPr>
              <w:t>, excluding interest on future policy benefits.</w:t>
            </w:r>
          </w:p>
        </w:tc>
      </w:tr>
      <w:tr>
        <w:trPr/>
        <w:tc>
          <w:tcPr>
            <w:tcW w:w="807"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(iv)</w:t>
            </w:r>
          </w:p>
        </w:tc>
        <w:tc>
          <w:tcPr>
            <w:tcW w:w="205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DAC and VOBA</w:t>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(iv)</w:t>
            </w:r>
          </w:p>
        </w:tc>
        <w:tc>
          <w:tcPr>
            <w:tcW w:w="6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i/>
                <w:color w:val="000000"/>
                <w:sz w:val="20"/>
              </w:rPr>
              <w:t>Amortization of deferred policy acquisition costs (“DAC”) and value of business acquired (“VOBA”)</w:t>
            </w:r>
            <w:r>
              <w:rPr>
                <w:rFonts w:ascii="Times New Roman;serif" w:hAnsi="Times New Roman;serif"/>
                <w:b w:val="false"/>
                <w:color w:val="000000"/>
                <w:sz w:val="20"/>
              </w:rPr>
              <w:t>.</w:t>
            </w:r>
          </w:p>
        </w:tc>
      </w:tr>
      <w:tr>
        <w:trPr/>
        <w:tc>
          <w:tcPr>
            <w:tcW w:w="807"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(v)</w:t>
            </w:r>
          </w:p>
        </w:tc>
        <w:tc>
          <w:tcPr>
            <w:tcW w:w="205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(v)</w:t>
            </w:r>
          </w:p>
        </w:tc>
        <w:tc>
          <w:tcPr>
            <w:tcW w:w="6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20"/>
              </w:rPr>
            </w:pPr>
            <w:r>
              <w:rPr>
                <w:rFonts w:ascii="Times New Roman;serif" w:hAnsi="Times New Roman;serif"/>
                <w:b w:val="false"/>
                <w:i/>
                <w:color w:val="000000"/>
                <w:sz w:val="20"/>
              </w:rPr>
              <w:t>Other expenses.</w:t>
            </w:r>
          </w:p>
        </w:tc>
      </w:tr>
      <w:tr>
        <w:trPr/>
        <w:tc>
          <w:tcPr>
            <w:tcW w:w="807"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(vi)</w:t>
            </w:r>
          </w:p>
        </w:tc>
        <w:tc>
          <w:tcPr>
            <w:tcW w:w="205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 expense (benefit)</w:t>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(vi)</w:t>
            </w:r>
          </w:p>
        </w:tc>
        <w:tc>
          <w:tcPr>
            <w:tcW w:w="6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Tax impact of the above items, calculated using the statutory tax rate of 21%, net of impacts related to the dividends received deduction, tax credits and current period non-recurring items.</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(1)Italicized items indicate GAAP statements of operations line items.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Consistent with GAAP guidance for segment reporting, adjusted earnings is also our GAAP measure of segment performance. Accordingly, we report adjusted earnings by segment in Note 2 of the Notes to the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60985"/>
                <wp:effectExtent l="0" t="0" r="0" b="0"/>
                <wp:wrapNone/>
                <wp:docPr id="64" name="Frame63"/>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both"/>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Consolidated Results for the Six Months Ended June 30, 2026 and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Unless otherwise noted, all amounts in the following discussions of our results of operations are stated before income tax except for adjusted earnings, which are presented net of income tax.</w:t>
      </w:r>
    </w:p>
    <w:tbl>
      <w:tblPr>
        <w:tblW w:w="10040" w:type="dxa"/>
        <w:jc w:val="left"/>
        <w:tblInd w:w="0" w:type="dxa"/>
        <w:tblLayout w:type="fixed"/>
        <w:tblCellMar>
          <w:top w:w="28" w:type="dxa"/>
          <w:left w:w="28" w:type="dxa"/>
          <w:bottom w:w="28" w:type="dxa"/>
          <w:right w:w="28" w:type="dxa"/>
        </w:tblCellMar>
      </w:tblPr>
      <w:tblGrid>
        <w:gridCol w:w="2829"/>
        <w:gridCol w:w="2477"/>
        <w:gridCol w:w="2508"/>
        <w:gridCol w:w="109"/>
        <w:gridCol w:w="109"/>
        <w:gridCol w:w="109"/>
        <w:gridCol w:w="196"/>
        <w:gridCol w:w="421"/>
        <w:gridCol w:w="109"/>
        <w:gridCol w:w="109"/>
        <w:gridCol w:w="109"/>
        <w:gridCol w:w="109"/>
        <w:gridCol w:w="196"/>
        <w:gridCol w:w="496"/>
        <w:gridCol w:w="154"/>
      </w:tblGrid>
      <w:tr>
        <w:trPr/>
        <w:tc>
          <w:tcPr>
            <w:tcW w:w="2829"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2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7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781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Universal life and investment-type product policy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Net 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2,527 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Other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Net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Net derivative gains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2,814 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2,929 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Policyholder benefits and claims (including liability remeasurement gains (losses) of $0 and $0,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Interest credited to policyholder account balances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DAC and VOBA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Change in market risk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2,625 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3,245 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provision for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(316)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Less: 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Brighthouse Life Insurance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net income (loss) were as follows:</w:t>
      </w:r>
    </w:p>
    <w:tbl>
      <w:tblPr>
        <w:tblW w:w="9321" w:type="dxa"/>
        <w:jc w:val="left"/>
        <w:tblInd w:w="0" w:type="dxa"/>
        <w:tblLayout w:type="fixed"/>
        <w:tblCellMar>
          <w:top w:w="28" w:type="dxa"/>
          <w:left w:w="28" w:type="dxa"/>
          <w:bottom w:w="28" w:type="dxa"/>
          <w:right w:w="28" w:type="dxa"/>
        </w:tblCellMar>
      </w:tblPr>
      <w:tblGrid>
        <w:gridCol w:w="2572"/>
        <w:gridCol w:w="2256"/>
        <w:gridCol w:w="2267"/>
        <w:gridCol w:w="109"/>
        <w:gridCol w:w="109"/>
        <w:gridCol w:w="109"/>
        <w:gridCol w:w="196"/>
        <w:gridCol w:w="421"/>
        <w:gridCol w:w="109"/>
        <w:gridCol w:w="109"/>
        <w:gridCol w:w="109"/>
        <w:gridCol w:w="109"/>
        <w:gridCol w:w="196"/>
        <w:gridCol w:w="496"/>
        <w:gridCol w:w="154"/>
      </w:tblGrid>
      <w:tr>
        <w:trPr/>
        <w:tc>
          <w:tcPr>
            <w:tcW w:w="2572" w:type="dxa"/>
            <w:tcBorders/>
            <w:vAlign w:val="center"/>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7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Change in market risk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Net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Investment gains (losses) on trading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derivative gains (losses), excluding investment hedge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Market value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Pre-tax adjusted earnings (loss), less 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Income (loss) attributable to Brighthouse Life Insurance Company before provision for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(317)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Brighthouse Life Insurance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u w:val="single"/>
        </w:rPr>
      </w:pPr>
      <w:r>
        <w:rPr>
          <w:rFonts w:ascii="Times New Roman;serif" w:hAnsi="Times New Roman;serif"/>
          <w:b/>
          <w:i/>
          <w:color w:val="000000"/>
          <w:sz w:val="20"/>
          <w:u w:val="single"/>
        </w:rPr>
        <w:t>Six Months Ended June 30, 2026 Compared with the Six Months Ended June 30,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Income before provision for income tax was $188 million ($178 million, net of income tax), an increase of $505 million ($398 million, net of income tax) from loss before provision for income tax of $317 million ($220 million, net of income tax) in the prior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60985"/>
                <wp:effectExtent l="0" t="0" r="0" b="0"/>
                <wp:wrapNone/>
                <wp:docPr id="65" name="Frame64"/>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both"/>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in income before provision for income tax was driven by the following favorable items: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losses from variable annuity guaranteed benefit riders, see “— Annuity Guaranteed Benefits and Shield Annuity Liabilities for the Six Months Ended June 30, 2026 and 2025”;</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gains on derivatives used to manage interest rate exposure in our universal life with secondary guarantees (“ULSG”) business from the favorable impact of interest rate movements in the current period compared to the unfavorable impact in the prior period;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pre-tax adjusted earnings, as discussed in greater detail below;</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U.S. dollar strengthening in the current period and weakening in the prior period, favorably impacting foreign currency forwards and swaps;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net investment gains (losses) reflecting lower net losses on mortgage loans due to a smaller increase in the allowance for credit losses and lower net losses on sales of fixed maturity securities.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 calculated as a percentage of income (loss) before provision for income tax, resulted in an effective tax rate of 5% in the current period compared to 31% in the prior period. Our effective tax rate differs from the statutory tax rate primarily due to the impacts of the dividends received deduction, tax credits and current period non-recurring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Reconciliation of Net Income (Loss) to Adjusted Earnings (Loss)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reconciliation of net income (loss) attributable to Brighthouse Life Insurance Company to adjusted earnings (loss) was as follows:</w:t>
      </w:r>
    </w:p>
    <w:tbl>
      <w:tblPr>
        <w:tblW w:w="9590" w:type="dxa"/>
        <w:jc w:val="left"/>
        <w:tblInd w:w="0" w:type="dxa"/>
        <w:tblLayout w:type="fixed"/>
        <w:tblCellMar>
          <w:top w:w="28" w:type="dxa"/>
          <w:left w:w="28" w:type="dxa"/>
          <w:bottom w:w="28" w:type="dxa"/>
          <w:right w:w="28" w:type="dxa"/>
        </w:tblCellMar>
      </w:tblPr>
      <w:tblGrid>
        <w:gridCol w:w="2668"/>
        <w:gridCol w:w="2341"/>
        <w:gridCol w:w="2355"/>
        <w:gridCol w:w="109"/>
        <w:gridCol w:w="109"/>
        <w:gridCol w:w="109"/>
        <w:gridCol w:w="196"/>
        <w:gridCol w:w="421"/>
        <w:gridCol w:w="109"/>
        <w:gridCol w:w="109"/>
        <w:gridCol w:w="109"/>
        <w:gridCol w:w="109"/>
        <w:gridCol w:w="196"/>
        <w:gridCol w:w="496"/>
        <w:gridCol w:w="154"/>
      </w:tblGrid>
      <w:tr>
        <w:trPr/>
        <w:tc>
          <w:tcPr>
            <w:tcW w:w="2668"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2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Brighthouse Life Insurance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Add: 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Income (loss) attributable to Brighthouse Life Insurance Company before provision for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(317)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Less: Net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Less: Investment gains (losses) on trading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Less: Net derivative gains (losses), excluding investment hedge adjustments of $1 and $2,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Less: Change in market risk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Less: Market value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Pre-tax adjusted earnings (loss), less net income (loss)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Less: 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60985"/>
                <wp:effectExtent l="0" t="0" r="0" b="0"/>
                <wp:wrapNone/>
                <wp:docPr id="66" name="Frame65"/>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both"/>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Consolidated Results for the Six Months Ended June 30, 2026 and 2025 — Adjusted Earnings (Loss)</w:t>
      </w:r>
    </w:p>
    <w:p>
      <w:pPr>
        <w:pStyle w:val="TextBody"/>
        <w:bidi w:val="0"/>
        <w:spacing w:lineRule="auto" w:line="288" w:before="12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components of adjusted earnings (loss) were as follows:</w:t>
      </w:r>
    </w:p>
    <w:tbl>
      <w:tblPr>
        <w:tblW w:w="9110" w:type="dxa"/>
        <w:jc w:val="left"/>
        <w:tblInd w:w="0" w:type="dxa"/>
        <w:tblLayout w:type="fixed"/>
        <w:tblCellMar>
          <w:top w:w="28" w:type="dxa"/>
          <w:left w:w="28" w:type="dxa"/>
          <w:bottom w:w="28" w:type="dxa"/>
          <w:right w:w="28" w:type="dxa"/>
        </w:tblCellMar>
      </w:tblPr>
      <w:tblGrid>
        <w:gridCol w:w="2417"/>
        <w:gridCol w:w="2128"/>
        <w:gridCol w:w="2144"/>
        <w:gridCol w:w="109"/>
        <w:gridCol w:w="109"/>
        <w:gridCol w:w="109"/>
        <w:gridCol w:w="196"/>
        <w:gridCol w:w="556"/>
        <w:gridCol w:w="109"/>
        <w:gridCol w:w="109"/>
        <w:gridCol w:w="109"/>
        <w:gridCol w:w="109"/>
        <w:gridCol w:w="196"/>
        <w:gridCol w:w="556"/>
        <w:gridCol w:w="154"/>
      </w:tblGrid>
      <w:tr>
        <w:trPr/>
        <w:tc>
          <w:tcPr>
            <w:tcW w:w="2417"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6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Net investment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Insurance-related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DAC and VOBA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Less: 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Pre-tax adjusted earnings (loss), less net income (loss)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Adjusted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u w:val="single"/>
        </w:rPr>
      </w:pPr>
      <w:r>
        <w:rPr>
          <w:rFonts w:ascii="Times New Roman;serif" w:hAnsi="Times New Roman;serif"/>
          <w:b/>
          <w:i/>
          <w:color w:val="000000"/>
          <w:sz w:val="20"/>
          <w:u w:val="single"/>
        </w:rPr>
        <w:t>Six Months Ended June 30, 2026 Compared with the Six Months Ended June 30,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earnings were $514 million in the current period, an increase of $67 million.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Key net favorable impacts were: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net costs associated with insurance-related activities due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claims, net of reinsurance, in our ULSG and life business;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net increase in liability balances resulting from actuarial modeling improvements in our ULSG and life business;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decrease in income annuity underwriting margins;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other expenses due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operational expenses;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ceded cost of insurance (“COI”) expenses consistent with favorable equity market returns in our life business, which are offset in fee income;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deferred compensation expenses.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Key net unfavorable impacts were: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amortization of DAC and VOBA resulting primarily from changes in policyholder behavior in our annuity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fee income due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reinsurance fees on our fixed annuity business resulting from lower account balances;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ceded COI fees consistent with favorable equity market returns in our life business, a portion of which are offset in other expenses;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net investment spread due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returns on other limited partnerships;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average invested long-term assets and yields on our institutional spread margin business;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partially offset by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60985"/>
                <wp:effectExtent l="0" t="0" r="0" b="0"/>
                <wp:wrapNone/>
                <wp:docPr id="67" name="Frame66"/>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both"/>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yields on long-term assets;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interest credited to policyholders in our fixed annuity business resulting from lower account balances, as well as prior period actuarial modeling improvements in our annuity business.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 calculated as a percentage of pre-tax adjusted earnings (loss), resulted in an effective tax rate of 16% in the current period compared to 15% in the prior period. Our effective tax rate differs from the statutory tax rate primarily due to the impacts of the dividends received deduction, tax credits and current period non-recurring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Annuity Guaranteed Benefits and Shield Annuity Liabilities for the Six Months Ended June 30, 2026 and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overall impact on income (loss) before provision for income tax from the performance of annuity guaranteed benefits and Shield Annuity liabilities, which includes (i) changes in the fair value of liabilities and related reinsurance, (ii) fees net of claims and (iii) the mark-to-market of hedges, was as follows:</w:t>
      </w:r>
    </w:p>
    <w:tbl>
      <w:tblPr>
        <w:tblW w:w="7205" w:type="dxa"/>
        <w:jc w:val="left"/>
        <w:tblInd w:w="0" w:type="dxa"/>
        <w:tblLayout w:type="fixed"/>
        <w:tblCellMar>
          <w:top w:w="28" w:type="dxa"/>
          <w:left w:w="28" w:type="dxa"/>
          <w:bottom w:w="28" w:type="dxa"/>
          <w:right w:w="28" w:type="dxa"/>
        </w:tblCellMar>
      </w:tblPr>
      <w:tblGrid>
        <w:gridCol w:w="1476"/>
        <w:gridCol w:w="1298"/>
        <w:gridCol w:w="1306"/>
        <w:gridCol w:w="109"/>
        <w:gridCol w:w="109"/>
        <w:gridCol w:w="109"/>
        <w:gridCol w:w="109"/>
        <w:gridCol w:w="109"/>
        <w:gridCol w:w="150"/>
        <w:gridCol w:w="150"/>
        <w:gridCol w:w="271"/>
        <w:gridCol w:w="686"/>
        <w:gridCol w:w="150"/>
        <w:gridCol w:w="109"/>
        <w:gridCol w:w="109"/>
        <w:gridCol w:w="109"/>
        <w:gridCol w:w="196"/>
        <w:gridCol w:w="496"/>
        <w:gridCol w:w="154"/>
      </w:tblGrid>
      <w:tr>
        <w:trPr/>
        <w:tc>
          <w:tcPr>
            <w:tcW w:w="147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7" w:type="dxa"/>
            <w:gridSpan w:val="5"/>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173" w:type="dxa"/>
            <w:gridSpan w:val="6"/>
            <w:tcBorders/>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2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Market risk benefits mark-to-market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470 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Annuity guaranteed benefit rider fees, net of claims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Ceded reinsurance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changes attributable to annuity guaranteed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624 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Variable annuity and Shield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1,418 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Shield embedded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(2,404)</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(362)</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(529)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Six Months Ended June 30, 2026</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Annuity guaranteed benefits and Shield Annuity liabilities performance was unfavorable for the six months ended June 30, 2026, primarily driven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favorable decreases in annuity guaranteed benefits liabilities due to increasing equity markets and interest rates;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favorable changes in variable annuity and Shield hedges due to increasing equity markets;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unfavorable changes in Shield embedded derivatives due to increasing equity markets.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Six Months Ended June 30,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Annuity guaranteed benefits and Shield Annuity liabilities performance was unfavorable for the six months ended June 30, 2025, primarily driven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favorable decreases in annuity guaranteed benefits liabilities due to increasing equity markets, partially offset by decreasing interest rates;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favorable changes in variable annuity and Shield hedges due to decreasing long-term interest rates and increasing equity markets;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unfavorable changes in Shield embedded derivatives due to increasing equity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60985"/>
                <wp:effectExtent l="0" t="0" r="0" b="0"/>
                <wp:wrapNone/>
                <wp:docPr id="68" name="Frame67"/>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both"/>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and results of operations are materially affected by conditions in the global capital markets and the economy generally. Stressed conditions, volatility or disruptions in global capital markets, particular markets or financial asset classes can impact us adversely, in part because we have a large investment portfolio and our insurance liabilities and derivatives are sensitive to changing market factors. Changing conditions in the global capital markets and the economy may affect our financing costs and market interest rates for our debt issuances. For further information regarding market factors that could affect our ability to meet liquidity and capital needs, see “— Overview — Financial and Economic Environment,” as well as “Risk Factors — Economic Environment and Capital Markets-Related Risks” and “Risk Factors — Risks Related to Our Investment Portfolio” included in our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Sources and Uses of Liquidity and Capital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the summary description of liquidity and capital sources discussed in “Management’s Discussion and Analysis of Financial Condition and Results of Operations — Liquidity and Capital Resources — Sources and Uses of Liquidity and Capital” in our 2025 Annual Report, the following additional information is provided regarding our primary sources of liquidity and capital:</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Funding Agreements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Brighthouse Life Insurance Company issues funding agreements and uses the proceeds from such issuances for spread lending purposes in connection with our institutional spread margin business or to provide additional liquidity. The institutional spread margin business is comprised of funding agreements issued in connection with the programs described in more detail below. Activity related to these programs is reported in the Corporate &amp; Other segment. See Note 3 of the Notes to the Consolidated Financial Statements included in our 2025 Annual Report for additional information on funding agreements.</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Funding Agreement-Backed Repurchase Agreement Program</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January 2024, Brighthouse Life Insurance Company established a secured funding agreement-backed repurchase agreement program (the “FABR Program”), pursuant to which Brighthouse Life Insurance Company may enter into repurchase agreements with bank counterparties and the proceeds of the repurchase agreements are then used by a special purpose entity to purchase funding agreements from Brighthouse Life Insurance Company.</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Funding Agreement-Backed Commercial Paper Program</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July 2021, Brighthouse Life Insurance Company established a funding agreement-backed commercial paper program (the “FABCP Program”) for spread lending purposes, pursuant to which a special purpose limited liability company (the “SPLLC”) may issue commercial paper and deposit the proceeds with Brighthouse Life Insurance Company under a funding agreement issued by Brighthouse Life Insurance Company to the SPLLC. The maximum aggregate principal amount permitted to be outstanding at any one time under the FABCP Program is $5.0 billion.</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Funding Agreement-Backed Notes Program</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April 2021, Brighthouse Life Insurance Company established a funding agreement-backed notes program (the “FABN Program”), pursuant to which Brighthouse Life Insurance Company may issue funding agreements to a special purpose statutory trust for spread lending purposes. The maximum aggregate principal amount permitted to be outstanding at any one time under the FABN Program is $7.0 billion.</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Federal Home Loan Bank Funding Agreements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Brighthouse Life Insurance Company is a member of the Federal Home Loan Bank (“FHLB”) of Atlanta, where we maintain a secured funding agreement program, under which funding agreements may be issued.</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Farmer Mac Funding Agreements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Brighthouse Life Insurance Company has a secured funding agreement program with the Federal Agricultural Mortgage Corporation and its affiliate Farmer Mac Mortgage Securities Corporation (“Farmer Mac”) with a term ending on December 1, 2026, pursuant to which the parties may enter into funding agreements in an aggregate amount of up to $750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60985"/>
                <wp:effectExtent l="0" t="0" r="0" b="0"/>
                <wp:wrapNone/>
                <wp:docPr id="69" name="Frame68"/>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both"/>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regarding funding agreements issued for spread lending purposes is as follows:</w:t>
      </w:r>
    </w:p>
    <w:tbl>
      <w:tblPr>
        <w:tblW w:w="10205" w:type="dxa"/>
        <w:jc w:val="left"/>
        <w:tblInd w:w="0" w:type="dxa"/>
        <w:tblLayout w:type="fixed"/>
        <w:tblCellMar>
          <w:top w:w="28" w:type="dxa"/>
          <w:left w:w="28" w:type="dxa"/>
          <w:bottom w:w="28" w:type="dxa"/>
          <w:right w:w="28" w:type="dxa"/>
        </w:tblCellMar>
      </w:tblPr>
      <w:tblGrid>
        <w:gridCol w:w="827"/>
        <w:gridCol w:w="686"/>
        <w:gridCol w:w="692"/>
        <w:gridCol w:w="109"/>
        <w:gridCol w:w="109"/>
        <w:gridCol w:w="109"/>
        <w:gridCol w:w="243"/>
        <w:gridCol w:w="691"/>
        <w:gridCol w:w="134"/>
        <w:gridCol w:w="116"/>
        <w:gridCol w:w="116"/>
        <w:gridCol w:w="116"/>
        <w:gridCol w:w="310"/>
        <w:gridCol w:w="882"/>
        <w:gridCol w:w="172"/>
        <w:gridCol w:w="109"/>
        <w:gridCol w:w="109"/>
        <w:gridCol w:w="109"/>
        <w:gridCol w:w="196"/>
        <w:gridCol w:w="556"/>
        <w:gridCol w:w="109"/>
        <w:gridCol w:w="109"/>
        <w:gridCol w:w="109"/>
        <w:gridCol w:w="109"/>
        <w:gridCol w:w="196"/>
        <w:gridCol w:w="556"/>
        <w:gridCol w:w="109"/>
        <w:gridCol w:w="109"/>
        <w:gridCol w:w="109"/>
        <w:gridCol w:w="109"/>
        <w:gridCol w:w="196"/>
        <w:gridCol w:w="646"/>
        <w:gridCol w:w="109"/>
        <w:gridCol w:w="109"/>
        <w:gridCol w:w="109"/>
        <w:gridCol w:w="109"/>
        <w:gridCol w:w="196"/>
        <w:gridCol w:w="556"/>
        <w:gridCol w:w="160"/>
      </w:tblGrid>
      <w:tr>
        <w:trPr/>
        <w:tc>
          <w:tcPr>
            <w:tcW w:w="827"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9"/>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Aggregate Principal Amount </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Issuances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Repayments</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3" w:type="dxa"/>
            <w:gridSpan w:val="3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FABR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FABCP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1,981 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2,254 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3,947 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FABN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550 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FHLB Funding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4,500 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4,200 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725 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Farmer Mac Funding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9,081 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9,454 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9,937 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4,610 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10,310 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5,422 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Regarding Forward-Looking Statements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report and other oral or written statements that we make from time to time may contain information that includes or is based upon forward-looking statements within the meaning of the Private Securities Litigation Reform Act of 1995. Such forward-looking statements involve substantial risks and uncertainties. We have tried, wherever possible, to identify such statements using words such as “anticipate,” “estimate,” “expect,” “project,” “may,” “will,” “could,” “intend,” “goal,” “target,” “guidance,” “forecast,” “preliminary,” “objective,” “continue,” “aim,” “plan,” “believe” and other words and terms of similar meaning, or that are tied to future periods, in connection with a discussion of future operating or financial performance. In particular, these include, without limitation, statements relating to the completion of the pending Merger, future actions, prospective services or products, financial projections, future performance or results of current and anticipated services or products, sales efforts, expenses, the outcome of contingencies such as legal proceedings, as well as trends in operating and financial results.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or all forward-looking statements may turn out to be wrong. They can be affected by inaccurate assumptions or by known or unknown risks and uncertainties. Many such factors will be important in determining the actual future results of BLIC. These statements are based on current expectations and the current economic environment and involve a number of risks and uncertainties that are difficult to predict. These statements are not guarantees of future performance. Actual results could differ materially from those expressed or implied in the forward-looking statements due to a variety of known and unknown risks, uncertainties and other factors. Although it is not possible to identify all of these risks and factors, they include, among others: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BHF’s ability to complete the Merger in the timeframe or manner currently anticipated or at all, including due to a failure to obtain the regulatory approvals required for the closing of the Merger or the occurrence of any event, change or other circumstance that could give rise to the right of one or both of the parties to terminate the Merger Agreement;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effect of the pendency of the Merger on Brighthouse Financial’s ongoing business and operations, including disruption to business relationships, the diversion of management’s attention from ongoing business operations and opportunities, or the outcome of any legal proceedings that may be instituted against Aquarian Parent or BHF following announcement of the Merger;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restrictions on the conduct of Brighthouse Financial’s business prior to the closing of the Merger and on Brighthouse Financial’s ability to pursue alternatives to the Merger;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possibility that the Merger may be more expensive to complete than anticipated, including as a result of unexpected factors or events;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differences between actual experience and actuarial assumptions and the effectiveness of our actuarial models;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risk management costs and exposure to increased market risk due to guarantees within certain of our products;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effectiveness of our risk management strategy and the impacts of such strategy on volatility in our profitability measures and the negative effects on our statutory capital;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material differences between actual outcomes and the sensitivities calculated under certain scenarios that we may utilize in connection with our risk management strategies;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60985"/>
                <wp:effectExtent l="0" t="0" r="0" b="0"/>
                <wp:wrapNone/>
                <wp:docPr id="70" name="Frame69"/>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both"/>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impact of interest rates on our future ULSG policyholder obligations and net income volatility;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potential material adverse effect of changes in accounting standards, practices or policies applicable to us;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loss of business and other negative impacts resulting from a downgrade or a potential downgrade in our financial strength ratings;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availability of reinsurance and the ability of the counterparties to our reinsurance or indemnification arrangements to perform their obligations thereunder;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heightened competition, including with respect to service, product features, product mix, scale, price, actual or perceived financial strength, claims-paying ratings, e-business capabilities and name recognition;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market and distribute our products through distribution channels and maintain relationships with key distribution partners;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any failure of third parties to provide services we need, any failure of the practices and procedures of such third parties and any inability to obtain information or assistance we need from third parties;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Brighthouse Life Insurance Company’s ability to pay dividends, as well as the ability of its subsidiaries to pay dividends to Brighthouse Life Insurance Company;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risks associated with climate change;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adverse impact of public health crises, extreme mortality events or similar occurrences on our business and the economy in general;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impact of adverse capital and credit market conditions, including with respect to our ability to meet liquidity needs and access capital;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impact of economic conditions in the capital markets and the U.S. and global economy, as well as geopolitical events, tariffs imposed or threatened by the U.S. or foreign governments, military actions or catastrophic events, on our profitability measures as well as our investment portfolio, including on realized and unrealized losses and impairments, net investment spread and net investment income;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financial risks that our investment portfolio is subject to, including credit risk, interest rate risk, inflation risk, market valuation risk, liquidity risk, real estate risk, derivatives risk, and other factors outside our control;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impact of changes in regulation and in supervisory and enforcement policies or interpretations thereof on our business or other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potential material negative tax impact of potential future tax legislation that could make some of our products less attractive to consumers or increase our tax liability;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effectiveness of our policies, procedures and processes in managing risk;</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loss or disclosure of confidential information, damage to our reputation and impairment of our ability to conduct business effectively as a result of any failure in cyber- or other information security systems;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whether all or any portion of the tax consequences of our separation from MetLife, Inc. (together with its subsidiaries and affiliates, “MetLife”) are not as expected, leading to material additional taxes or material adverse consequences to tax attributes that impact us;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other factors described in this report and from time to time in documents that we file with the SEC.</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reasons described above, we caution you against relying on any forward-looking statements, which should also be read in conjunction with the other cautionary statements included and the risks, uncertainties and other factors identified in our 2025 Annual Report, particularly in the sections entitled “Risk Factors” and “Quantitative and Qualitative Disclosures About Market Risk,” as well as in our other subsequent filings with the SEC.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except as otherwise may be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60985"/>
                <wp:effectExtent l="0" t="0" r="0" b="0"/>
                <wp:wrapNone/>
                <wp:docPr id="71" name="Frame70"/>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both"/>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 with the participation of the Chief Executive Officer and the Chief Financial Officer, has evaluated the effectiveness of the design and operation of the Company’s disclosure controls and procedures as defined in Rules 13a-15(e) and 15d-15(e) under the Securities Exchange Act of 1934, as amended (“Exchange Act”), as of the end of the period covered by this report. Based on that evaluation, the Chief Executive Officer and the Chief Financial Officer have concluded that these disclosure controls and procedures were effective as of June 30, 2026.</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MetLife provides certain services to the Company through services agreements, some of which are on a transitional basis. The Company continues to change business processes, implement systems and establish new third-party arrangements, as a subsidiary of Brighthouse Financial, Inc. We consider these in aggregate to be material changes in our internal control over financial reporting.</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than as noted above, there were no changes to the Company’s internal control over financial reporting (as defined in Rules 13a-15(f) and 15d-15(f) under the Exchange Act) that occurred during the quarter ended June 30, 2026 that have materially affected, or are reasonably likely to materially affect, these internal controls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12 of the Notes to the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discuss in this report, in our 2025 Annual Report and in our other filings with the SEC, various risks that may materially affect our business. In addition, see “Management’s Discussion and Analysis of Financial Condition and Results of Operations — Note Regarding Forward-Looking Statements” included herein. There have been no material changes to our risk factors from the risk factors previously disclosed in our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Director and Officer Rule 10b5-1 Plans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of Brighthouse Life Insurance Company’s common stock is held by Brighthouse Holdings, LLC. As such, during the three months ended June 30, 2026, none of the Company’s directors or officers (as defined in Rule 16a-1(f) of the Exchange Act) adopted or terminated a Rule 10b5-1 trading arrangement or non-Rule 10b5-1 trading arrangement (as such terms are defined in Item 408 of Regulation S-K of the Securities Act of 1933,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60985"/>
                <wp:effectExtent l="0" t="0" r="0" b="0"/>
                <wp:wrapNone/>
                <wp:docPr id="72" name="Frame71"/>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20" w:after="320"/>
        <w:ind w:left="0" w:right="0" w:firstLine="180"/>
        <w:jc w:val="both"/>
        <w:rPr/>
      </w:pPr>
      <w:r>
        <w:rPr>
          <w:rFonts w:ascii="Times New Roman;serif" w:hAnsi="Times New Roman;serif"/>
          <w:b w:val="false"/>
          <w:i/>
          <w:color w:val="000000"/>
          <w:sz w:val="20"/>
        </w:rPr>
        <w:t>(</w:t>
      </w:r>
      <w:r>
        <w:rPr>
          <w:rFonts w:ascii="Times New Roman;serif" w:hAnsi="Times New Roman;serif"/>
          <w:b/>
          <w:i/>
          <w:color w:val="000000"/>
          <w:sz w:val="20"/>
        </w:rPr>
        <w:t>Note Regarding Reliance on Statements in Our Contracts:</w:t>
      </w:r>
      <w:r>
        <w:rPr>
          <w:color w:val="000000"/>
        </w:rPr>
        <w:t xml:space="preserve"> </w:t>
      </w:r>
      <w:r>
        <w:rPr>
          <w:rFonts w:ascii="Times New Roman;serif" w:hAnsi="Times New Roman;serif"/>
          <w:b w:val="false"/>
          <w:i/>
          <w:color w:val="000000"/>
          <w:sz w:val="20"/>
        </w:rPr>
        <w:t>In reviewing the agreements included as exhibits herein, please remember that they are included to provide you with information regarding their terms and are not intended to provide any other factual or disclosure information about Brighthouse Life Insurance Company, its subsidiaries or affiliates or the other parties to the agreements. The agreements contain representations and warranties by each of the parties to the applicable agreement. These representations and warranties have been made solely for the benefit of the other parties to the applicable agreement and (i) should not in all instances be treated as categorical statements of fact, but rather as a way of allocating the risk to one of the parties if those statements prove to be inaccurate; (ii) have been qualified by disclosures that were made to the other party in connection with the negotiation of the applicable agreement, which disclosures are not necessarily reflected in the agreement; (iii) may apply standards of materiality in a way that is different from what may be viewed as material to investors; and (iv) were made only as of the date of the applicable agreement or such other date or dates as may be specified in the agreement and are subject to more recent developments. Accordingly, these representations and warranties may not describe the actual state of affairs as of the date they were made or at any other time. Additional information about Brighthouse Life Insurance Company, its subsidiaries and affiliates may be found elsewhere herein and in Brighthouse Life Insurance Company’s other public filings, which are available without charge through the U.S. Securities and Exchange Commission website at www.sec.gov.)</w:t>
      </w:r>
    </w:p>
    <w:tbl>
      <w:tblPr>
        <w:tblW w:w="10205" w:type="dxa"/>
        <w:jc w:val="left"/>
        <w:tblInd w:w="0" w:type="dxa"/>
        <w:tblLayout w:type="fixed"/>
        <w:tblCellMar>
          <w:top w:w="28" w:type="dxa"/>
          <w:left w:w="28" w:type="dxa"/>
          <w:bottom w:w="28" w:type="dxa"/>
          <w:right w:w="28" w:type="dxa"/>
        </w:tblCellMar>
      </w:tblPr>
      <w:tblGrid>
        <w:gridCol w:w="332"/>
        <w:gridCol w:w="292"/>
        <w:gridCol w:w="293"/>
        <w:gridCol w:w="109"/>
        <w:gridCol w:w="109"/>
        <w:gridCol w:w="109"/>
        <w:gridCol w:w="2613"/>
        <w:gridCol w:w="2613"/>
        <w:gridCol w:w="3735"/>
      </w:tblGrid>
      <w:tr>
        <w:trPr/>
        <w:tc>
          <w:tcPr>
            <w:tcW w:w="33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3735" w:type="dxa"/>
            <w:tcBorders/>
            <w:vAlign w:val="center"/>
          </w:tcPr>
          <w:p>
            <w:pPr>
              <w:pStyle w:val="TableContents"/>
              <w:bidi w:val="0"/>
              <w:spacing w:before="0" w:after="283"/>
              <w:jc w:val="left"/>
              <w:rPr>
                <w:sz w:val="4"/>
                <w:szCs w:val="4"/>
              </w:rPr>
            </w:pPr>
            <w:r>
              <w:rPr>
                <w:sz w:val="4"/>
                <w:szCs w:val="4"/>
              </w:rPr>
            </w:r>
          </w:p>
        </w:tc>
      </w:tr>
      <w:tr>
        <w:trPr/>
        <w:tc>
          <w:tcPr>
            <w:tcW w:w="91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blic06302026-ex311.htm">
              <w:r>
                <w:rPr>
                  <w:rStyle w:val="InternetLink"/>
                  <w:rFonts w:ascii="Times New Roman;serif" w:hAnsi="Times New Roman;serif"/>
                  <w:b w:val="false"/>
                  <w:color w:val="0000FF"/>
                  <w:sz w:val="20"/>
                  <w:u w:val="single"/>
                </w:rPr>
                <w:t>Certification of Chief Executive Officer pursuant to Section 302 of the Sarbanes-Oxley Act of 2002.</w:t>
              </w:r>
            </w:hyperlink>
          </w:p>
        </w:tc>
      </w:tr>
      <w:tr>
        <w:trPr/>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lic06302026-ex312.htm">
              <w:r>
                <w:rPr>
                  <w:rStyle w:val="InternetLink"/>
                  <w:rFonts w:ascii="Times New Roman;serif" w:hAnsi="Times New Roman;serif"/>
                  <w:b w:val="false"/>
                  <w:color w:val="0000FF"/>
                  <w:sz w:val="20"/>
                  <w:u w:val="single"/>
                </w:rPr>
                <w:t>Certification of Chief Financial Officer pursuant to Section 302 of the Sarbanes-Oxley Act of 2002.</w:t>
              </w:r>
            </w:hyperlink>
          </w:p>
        </w:tc>
      </w:tr>
      <w:tr>
        <w:trPr/>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lic06302026-ex321.htm">
              <w:r>
                <w:rPr>
                  <w:rStyle w:val="InternetLink"/>
                  <w:rFonts w:ascii="Times New Roman;serif" w:hAnsi="Times New Roman;serif"/>
                  <w:b w:val="false"/>
                  <w:color w:val="0000FF"/>
                  <w:sz w:val="20"/>
                  <w:u w:val="single"/>
                </w:rPr>
                <w:t>Certification of Chief Executive Officer pursuant to Section 906 of the Sarbanes-Oxley Act of 2002.</w:t>
              </w:r>
            </w:hyperlink>
          </w:p>
        </w:tc>
      </w:tr>
      <w:tr>
        <w:trPr/>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lic06302026-ex322.htm">
              <w:r>
                <w:rPr>
                  <w:rStyle w:val="InternetLink"/>
                  <w:rFonts w:ascii="Times New Roman;serif" w:hAnsi="Times New Roman;serif"/>
                  <w:b w:val="false"/>
                  <w:color w:val="0000FF"/>
                  <w:sz w:val="20"/>
                  <w:u w:val="single"/>
                </w:rPr>
                <w:t>Certification of Chief Financial Officer pursuant to Section 906 of the Sarbanes-Oxley Act of 2002.</w:t>
              </w:r>
            </w:hyperlink>
          </w:p>
        </w:tc>
      </w:tr>
      <w:tr>
        <w:trPr/>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cover page of Brighthouse Life Insurance Company’s Quarterly Report on Form 10-Q for the quarter ended June 30, 2026, formatted in Inline XBRL (included within the Exhibit 101 attachments).</w:t>
            </w:r>
          </w:p>
        </w:tc>
      </w:tr>
    </w:tbl>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both"/>
        <w:rPr/>
      </w:pPr>
      <w:hyperlink w:anchor="i4e4eacba7ae443fb84d35a26facf6cf5_7">
        <w:r>
          <w:rPr>
            <w:rStyle w:val="InternetLink"/>
            <w:rFonts w:ascii="Times New Roman;serif" w:hAnsi="Times New Roman;serif"/>
            <w:b/>
            <w:color w:val="0000FF"/>
            <w:sz w:val="18"/>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180" w:after="283"/>
        <w:ind w:left="0" w:right="0" w:firstLine="360"/>
        <w:jc w:val="center"/>
        <w:rPr/>
      </w:pPr>
      <w:r>
        <w:rPr/>
      </w:r>
    </w:p>
    <w:tbl>
      <w:tblPr>
        <w:tblW w:w="7935" w:type="dxa"/>
        <w:jc w:val="center"/>
        <w:tblInd w:w="0" w:type="dxa"/>
        <w:tblLayout w:type="fixed"/>
        <w:tblCellMar>
          <w:top w:w="28" w:type="dxa"/>
          <w:left w:w="28" w:type="dxa"/>
          <w:bottom w:w="28" w:type="dxa"/>
          <w:right w:w="28" w:type="dxa"/>
        </w:tblCellMar>
      </w:tblPr>
      <w:tblGrid>
        <w:gridCol w:w="371"/>
        <w:gridCol w:w="325"/>
        <w:gridCol w:w="325"/>
        <w:gridCol w:w="325"/>
        <w:gridCol w:w="325"/>
        <w:gridCol w:w="325"/>
        <w:gridCol w:w="325"/>
        <w:gridCol w:w="325"/>
        <w:gridCol w:w="325"/>
        <w:gridCol w:w="1420"/>
        <w:gridCol w:w="1420"/>
        <w:gridCol w:w="2124"/>
      </w:tblGrid>
      <w:tr>
        <w:trPr/>
        <w:tc>
          <w:tcPr>
            <w:tcW w:w="37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r>
      <w:tr>
        <w:trPr/>
        <w:tc>
          <w:tcPr>
            <w:tcW w:w="793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BRIGHTHOUSE LIFE INSURANCE COMPANY</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Melissa B. Pavlovich</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9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Melissa B. Pavlovich</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Vice President and Chief Accounting Officer</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(Duly Authorized Officer and Principal Accounting Officer)</w:t>
            </w:r>
          </w:p>
        </w:tc>
      </w:tr>
    </w:tbl>
    <w:p>
      <w:pPr>
        <w:pStyle w:val="TextBody"/>
        <w:bidi w:val="0"/>
        <w:spacing w:lineRule="auto" w:line="288" w:before="1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Date: August 10,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60985"/>
                <wp:effectExtent l="0" t="0" r="0" b="0"/>
                <wp:wrapNone/>
                <wp:docPr id="74" name="Frame73"/>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right"/>
        <w:rPr/>
      </w:pPr>
      <w:r>
        <w:rPr/>
      </w:r>
    </w:p>
    <w:p>
      <w:pPr>
        <w:pStyle w:val="TextBody"/>
        <w:bidi w:val="0"/>
        <w:spacing w:lineRule="auto" w:line="288" w:before="0" w:after="240"/>
        <w:ind w:left="0" w:right="0" w:firstLine="72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CERTIFICATIONS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 Eric T. Steigerwalt, certify that:</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Brighthouse Life Insurance Company;</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bl>
      <w:tblPr>
        <w:tblW w:w="3239" w:type="dxa"/>
        <w:jc w:val="right"/>
        <w:tblInd w:w="0" w:type="dxa"/>
        <w:tblLayout w:type="fixed"/>
        <w:tblCellMar>
          <w:top w:w="28" w:type="dxa"/>
          <w:left w:w="28" w:type="dxa"/>
          <w:bottom w:w="28" w:type="dxa"/>
          <w:right w:w="28" w:type="dxa"/>
        </w:tblCellMar>
      </w:tblPr>
      <w:tblGrid>
        <w:gridCol w:w="1037"/>
        <w:gridCol w:w="911"/>
        <w:gridCol w:w="1291"/>
      </w:tblGrid>
      <w:tr>
        <w:trPr/>
        <w:tc>
          <w:tcPr>
            <w:tcW w:w="103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Eric T. Steigerwalt</w:t>
            </w:r>
          </w:p>
        </w:tc>
      </w:tr>
      <w:tr>
        <w:trPr/>
        <w:tc>
          <w:tcPr>
            <w:tcW w:w="32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Eric T. Steigerwalt</w:t>
              <w:br/>
              <w:t xml:space="preserve">Chairman of the Board, President and </w:t>
              <w:b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240"/>
        <w:ind w:left="0" w:right="0" w:firstLine="72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CERTIFICATIONS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 Edward A. Spehar, certify that:</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Brighthouse Life Insurance Company;</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bl>
      <w:tblPr>
        <w:tblW w:w="3912" w:type="dxa"/>
        <w:jc w:val="right"/>
        <w:tblInd w:w="0" w:type="dxa"/>
        <w:tblLayout w:type="fixed"/>
        <w:tblCellMar>
          <w:top w:w="28" w:type="dxa"/>
          <w:left w:w="28" w:type="dxa"/>
          <w:bottom w:w="28" w:type="dxa"/>
          <w:right w:w="28" w:type="dxa"/>
        </w:tblCellMar>
      </w:tblPr>
      <w:tblGrid>
        <w:gridCol w:w="124"/>
        <w:gridCol w:w="109"/>
        <w:gridCol w:w="109"/>
        <w:gridCol w:w="1042"/>
        <w:gridCol w:w="1042"/>
        <w:gridCol w:w="14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Edward A. Spehar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Edward A. Spehar</w:t>
              <w:br/>
              <w:t>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CERTIFICATION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 SECTION 1350 OF CHAPTER 63 OF TITLE 18 OF THE UNITED STATES CODE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 Eric T. Steigerwalt, certify that, to my knowledge, (i) Brighthouse Life Insurance Company’s Quarterly Report on Form 10-Q for the quarter ended June 30, 2026 (the “Form 10-Q”) fully complies with the requirements of Section 13(a) or 15(d) of the Securities Exchange Act of 1934, and (ii) the information contained in the Form 10-Q fairly presents, in all material respects, the financial condition and results of operations of Brighthouse Life Insurance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p>
      <w:pPr>
        <w:pStyle w:val="TextBody"/>
        <w:bidi w:val="0"/>
        <w:spacing w:lineRule="auto" w:line="288" w:before="0" w:after="0"/>
        <w:jc w:val="left"/>
        <w:rPr>
          <w:color w:val="000000"/>
        </w:rPr>
      </w:pPr>
      <w:r>
        <w:rPr>
          <w:color w:val="000000"/>
        </w:rPr>
        <w:t>            </w:t>
      </w:r>
    </w:p>
    <w:tbl>
      <w:tblPr>
        <w:tblW w:w="3566" w:type="dxa"/>
        <w:jc w:val="right"/>
        <w:tblInd w:w="0" w:type="dxa"/>
        <w:tblLayout w:type="fixed"/>
        <w:tblCellMar>
          <w:top w:w="28" w:type="dxa"/>
          <w:left w:w="28" w:type="dxa"/>
          <w:bottom w:w="28" w:type="dxa"/>
          <w:right w:w="28" w:type="dxa"/>
        </w:tblCellMar>
      </w:tblPr>
      <w:tblGrid>
        <w:gridCol w:w="124"/>
        <w:gridCol w:w="109"/>
        <w:gridCol w:w="109"/>
        <w:gridCol w:w="943"/>
        <w:gridCol w:w="943"/>
        <w:gridCol w:w="13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Eric T. Steigerwalt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Eric T. Steigerwalt</w:t>
              <w:br/>
              <w:t xml:space="preserve">Chairman of the Board, President and </w:t>
              <w:br/>
              <w:t>Chief Executive Officer</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certification accompanies this Quarterly Report on Form 10-Q pursuant to Section 906 of the Sarbanes-Oxley Act of 2002 and shall not, except to the extent required by such Act, be deemed filed by Brighthouse Life Insurance Company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CERTIFICATION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 SECTION 1350 OF CHAPTER 63 OF TITLE 18 OF THE UNITED STATES CODE</w:t>
      </w:r>
    </w:p>
    <w:p>
      <w:pPr>
        <w:pStyle w:val="TextBody"/>
        <w:bidi w:val="0"/>
        <w:spacing w:before="0" w:after="0"/>
        <w:jc w:val="center"/>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 Edward A. Spehar, certify that, to my knowledge, (i) Brighthouse Life Insurance Company’s Quarterly Report on Form 10-Q for the quarter ended June 30, 2026 (the “Form 10-Q”) fully complies with the requirements of Section 13(a) or 15(d) of the Securities Exchange Act of 1934, and (ii) the information contained in the Form 10-Q fairly presents, in all material respects, the financial condition and results of operations of Brighthouse Life Insurance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p>
      <w:pPr>
        <w:pStyle w:val="TextBody"/>
        <w:bidi w:val="0"/>
        <w:spacing w:lineRule="auto" w:line="288" w:before="0" w:after="0"/>
        <w:ind w:left="0" w:right="0" w:firstLine="720"/>
        <w:jc w:val="left"/>
        <w:rPr>
          <w:color w:val="000000"/>
        </w:rPr>
      </w:pPr>
      <w:r>
        <w:rPr>
          <w:color w:val="000000"/>
        </w:rPr>
        <w:t>            </w:t>
      </w:r>
    </w:p>
    <w:tbl>
      <w:tblPr>
        <w:tblW w:w="3912" w:type="dxa"/>
        <w:jc w:val="right"/>
        <w:tblInd w:w="0" w:type="dxa"/>
        <w:tblLayout w:type="fixed"/>
        <w:tblCellMar>
          <w:top w:w="28" w:type="dxa"/>
          <w:left w:w="28" w:type="dxa"/>
          <w:bottom w:w="28" w:type="dxa"/>
          <w:right w:w="28" w:type="dxa"/>
        </w:tblCellMar>
      </w:tblPr>
      <w:tblGrid>
        <w:gridCol w:w="124"/>
        <w:gridCol w:w="109"/>
        <w:gridCol w:w="109"/>
        <w:gridCol w:w="1042"/>
        <w:gridCol w:w="1042"/>
        <w:gridCol w:w="14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Edward A. Spehar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Edward A. Spehar</w:t>
              <w:br/>
              <w:t>Vice President and Chief Financial Officer</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certification accompanies this Quarterly Report on Form 10-Q pursuant to Section 906 of the Sarbanes-Oxley Act of 2002 and shall not, except to the extent required by such Act, be deemed filed by Brighthouse Life Insurance Company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32365</Words>
  <Characters>180220</Characters>
  <CharactersWithSpaces>209189</CharactersWithSpaces>
  <Paragraphs>7290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