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June 29, 2018 (June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444500</wp:posOffset>
            </wp:positionV>
            <wp:extent cx="219519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519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Brighthouse Financial,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81-3846992</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11225 North Community House Road</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(980) 365-7100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5.04 Temporary Suspension of Trading Under Registrant’s Employee Benefit Plans.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New England Life Insurance Company, an indirect wholly-owned subsidiary of Brighthouse Financial, Inc. (the “Company”), sponsors the New England Life Insurance Company Agents’ Retirement Plan and Trust (the “NELICO Plan”), which includes among its investment options a Company stock fund that is invested in the common stock (the “Common Stock”) of the Company (the “Company Stock Fund”). On June 25, 2018, the NELICO Plan provided notice to the Company and the NELICO Plan participants of a blackout period for the NELICO Plan that will begin on July 26, 2018 and is expected to end no later than August 17, 2018 (the “Blackout Period”).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Blackout Period is being implemented to facilitate a change in record keeper for the NELICO Plan to a new vendor, including the transfer of plan and participant account information. During the Blackout Period, participants in the NELICO Plan will be unable to access their plan accounts or redirect the investments of their plan accounts or receive a distribution from the NELICO Plan, including being unable to sell any shares held through the Company Stock Fund. The Company Stock Fund is currently closed to new investments.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29, 2018, the Company sent a notice (the “Notice”) to its directors and executive officers informing them of the Blackout Period and the restrictions on trading in the Company’s equity securities that will apply to them during the Blackout Period, pursuant to Section 306(a) of the Sarbanes-Oxley Act of 2002 and Rule 104 of Regulation Blackout Trading Restriction (or Regulation BTR) under the Securities Exchange Act of 1934, as amended. A copy of the Notice is attached as Exhibit 99.1 to this Form 8-K and is incorporated herein by reference.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described in the Notice, during the Blackout Period, the Company’s directors and executive officers will be prohibited from, directly or indirectly, purchasing, selling or otherwise acquiring or transferring any equity security of the Company acquired in connection with his or her service or employment as a director or executive officer, except pursuant to a limited number of exceptions provided by law. The term “equity security” includes, without limitation, the Company’s Common Stock, options to purchase the Company’s Common Stock and other derivative securities which derive their value from the Company’s Common Stock.</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Blackout Period, and for a period of two years after the end date thereof, a security holder or other interested person may obtain, without charge, information regarding the Blackout Period, including the actual beginning and end dates of the Blackout Period, by contacting Milliman by mail at: Milliman (DC plan code 411BHB), 3800 American Blvd W, Suite 400, Minneapolis, MN 55431, or by telephone at: 866-767-1212.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Exhibit No.</w:t>
            </w:r>
          </w:p>
        </w:tc>
        <w:tc>
          <w:tcPr>
            <w:tcW w:w="7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4"/>
              </w:rPr>
              <w:t>Description</w:t>
            </w:r>
          </w:p>
        </w:tc>
        <w:tc>
          <w:tcPr>
            <w:tcW w:w="2820" w:type="dxa"/>
            <w:vAlign w:val="bottom"/>
          </w:tcPr>
          <w:p>
            <w:pPr>
              <w:spacing w:after="0"/>
              <w:rPr>
                <w:sz w:val="14"/>
                <w:szCs w:val="14"/>
                <w:color w:val="auto"/>
              </w:rPr>
            </w:pPr>
          </w:p>
        </w:tc>
      </w:tr>
      <w:tr>
        <w:trPr>
          <w:trHeight w:val="264"/>
        </w:trPr>
        <w:tc>
          <w:tcPr>
            <w:tcW w:w="660" w:type="dxa"/>
            <w:vAlign w:val="bottom"/>
          </w:tcPr>
          <w:p>
            <w:pPr>
              <w:jc w:val="right"/>
              <w:ind w:right="79"/>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2"/>
                <w:szCs w:val="22"/>
                <w:color w:val="auto"/>
              </w:rPr>
            </w:pPr>
          </w:p>
        </w:tc>
        <w:tc>
          <w:tcPr>
            <w:tcW w:w="3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Notice of Trading Blackout Dated June 29, 2018</w:t>
              </w:r>
            </w:hyperlink>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BRIGHTHOUSE FINANCIAL,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 Burt 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 Burt Arrington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2018</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Blackout Period and Regulation BTR Trading Restrictions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29, 2018</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This notice is to inform you of significant restrictions on your ability to trade in equity securities of Brighthouse Financial, Inc. (the “Company”), including shares of the common stock of the Company (the “Company Common Stock”) during an upcoming special blackout period described below.</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25, 2018, the New England Life Insurance Company Agents’ Retirement Plan and Trust (the “NELICO Plan”) notified the Company and participants in the NELICO Plan of a blackout period (the “Special Blackout Period”) for the NELICO Plan, which includes among its investment options a Company stock fund that is invested in the Company Common Stock (the “Company Stock Fund”). This Special Blackout Period is being implemented to facilitate a change in recordkeeper for the NELICO Plan from Alight to Milliman, effective August 1, 2018, including the transfer of plan and participant account information to Milliman. During the Special Blackout Period, participants in the NELICO Plan will be unable to access their plan accounts or redirect the investment of their plan accounts or receive a distribution from the NELICO Plan, including being unable to sell any shares held through the Company Stock Fund. The Company Stock Fund is currently closed to new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Special Blackout Period will begin on </w:t>
      </w:r>
      <w:r>
        <w:rPr>
          <w:rFonts w:ascii="Arial" w:cs="Arial" w:eastAsia="Arial" w:hAnsi="Arial"/>
          <w:sz w:val="18"/>
          <w:szCs w:val="18"/>
          <w:b w:val="1"/>
          <w:bCs w:val="1"/>
          <w:color w:val="auto"/>
        </w:rPr>
        <w:t>July 26, 2018</w:t>
      </w:r>
      <w:r>
        <w:rPr>
          <w:rFonts w:ascii="Arial" w:cs="Arial" w:eastAsia="Arial" w:hAnsi="Arial"/>
          <w:sz w:val="18"/>
          <w:szCs w:val="18"/>
          <w:color w:val="auto"/>
        </w:rPr>
        <w:t xml:space="preserve"> and end no later than </w:t>
      </w:r>
      <w:r>
        <w:rPr>
          <w:rFonts w:ascii="Arial" w:cs="Arial" w:eastAsia="Arial" w:hAnsi="Arial"/>
          <w:sz w:val="18"/>
          <w:szCs w:val="18"/>
          <w:b w:val="1"/>
          <w:bCs w:val="1"/>
          <w:color w:val="auto"/>
        </w:rPr>
        <w:t>August 17, 2018</w:t>
      </w:r>
      <w:r>
        <w:rPr>
          <w:rFonts w:ascii="Arial" w:cs="Arial" w:eastAsia="Arial" w:hAnsi="Arial"/>
          <w:sz w:val="18"/>
          <w:szCs w:val="18"/>
          <w:color w:val="auto"/>
        </w:rPr>
        <w: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Your ability to trade in Company Common Stock is affected by the Special Blackout Period. During the Special Blackout Period, the Company’s directors and officers subject to Section 16 of the Securities Exchange Act of 1934, as amended, will be subject to trading restrictions imposed under Section 306(a) of the Sarbanes-Oxley Act of 2002 and Regulation Blackout Trading Restriction (“Regulation BTR”) as promulgated by the U.S. Securities and Exchange Commission. </w:t>
      </w:r>
      <w:r>
        <w:rPr>
          <w:rFonts w:ascii="Arial" w:cs="Arial" w:eastAsia="Arial" w:hAnsi="Arial"/>
          <w:sz w:val="16"/>
          <w:szCs w:val="16"/>
          <w:b w:val="1"/>
          <w:bCs w:val="1"/>
          <w:color w:val="auto"/>
        </w:rPr>
        <w:t>Subject to limited exceptions, these restrictions generally prohibit, during the Special Blackout Period, the direct or indirect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sale or other acquisition or transfer of any equity security of the Company acquired in connection with your service or employment as a director or executive officer of the Company. </w:t>
      </w:r>
      <w:r>
        <w:rPr>
          <w:rFonts w:ascii="Arial" w:cs="Arial" w:eastAsia="Arial" w:hAnsi="Arial"/>
          <w:sz w:val="16"/>
          <w:szCs w:val="16"/>
          <w:color w:val="auto"/>
        </w:rPr>
        <w:t>The term “equity security” is defined broadly to include Company Common Stock, options to purchase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derivative securities which derive their value from Company Common Stock. Transactions covered by this trading restriction are not limited to those involving your direct ownership, but also include any transaction in which you may have a pecuniary interest (e.g., transaction by your immediate family members who share your household, as well as certain entities in which you have financial involvement).</w:t>
      </w:r>
    </w:p>
    <w:p>
      <w:pPr>
        <w:spacing w:after="0" w:line="16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Regulation BTR imposes penalties, including criminal penalties, and a requirement to disgorge all profits, on trades that occur during a Regulation BTR blackout period.</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certain transactions are exempt from this trading prohibition, those exemptions are limited. Given the applicable rules and the short time period involved here, it is recommended that you avoid any change in your beneficial ownership of Company Common stock, other equity and derivative securities during the Special Blackout Period.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It should be noted that these Special Blackout Period restrictions apply in addition to the trading restrictions imposed under the Company’s Insider Trading Policy, including those during the Company’s quarterly blackout period. The Special Blackout Period will overlap with, and extend beyond, the Company’s quarterly blackout period for the second quarter of 2018.</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Special Blackout Period and for a period of two years after the end date thereof, you may obtain, without charge, information regarding the Special Blackout Period, including the actual beginning and end dates of the Special Blackout period, by contacting Milliman by telephone at (866) 767-1212 or by mail at Milliman (DC plan code 411BHB), 3800 American Blvd W, Suite 400, Minneapolis, MN 55431. In addition, for any questions you may have about the Special</w:t>
      </w:r>
    </w:p>
    <w:p>
      <w:pPr>
        <w:sectPr>
          <w:pgSz w:w="11900" w:h="16838" w:orient="portrait"/>
          <w:cols w:equalWidth="0" w:num="1">
            <w:col w:w="11420"/>
          </w:cols>
          <w:pgMar w:left="240" w:top="121" w:right="239" w:bottom="1440" w:gutter="0" w:footer="0" w:header="0"/>
        </w:sectPr>
      </w:pPr>
    </w:p>
    <w:bookmarkStart w:id="4" w:name="page5"/>
    <w:bookmarkEnd w:id="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Blackout Period and how it may relate to other blackout or lock-up periods currently in effect, you may also contact Bruce Schindler by telephone at (980) 949-3613 or by mail at Bruce Schindler, Brighthouse Financial, Inc., 285 Madison Avenue, 14</w:t>
      </w:r>
      <w:r>
        <w:rPr>
          <w:rFonts w:ascii="Arial" w:cs="Arial" w:eastAsia="Arial" w:hAnsi="Arial"/>
          <w:sz w:val="14"/>
          <w:szCs w:val="14"/>
          <w:color w:val="auto"/>
        </w:rPr>
        <w:t>th</w:t>
      </w:r>
      <w:r>
        <w:rPr>
          <w:rFonts w:ascii="Arial" w:cs="Arial" w:eastAsia="Arial" w:hAnsi="Arial"/>
          <w:sz w:val="17"/>
          <w:szCs w:val="17"/>
          <w:color w:val="auto"/>
        </w:rPr>
        <w:t xml:space="preserve"> Floor, New York, NY 10017.</w:t>
      </w:r>
    </w:p>
    <w:sectPr>
      <w:pgSz w:w="11900" w:h="16838" w:orient="portrait"/>
      <w:cols w:equalWidth="0" w:num="1">
        <w:col w:w="11140"/>
      </w:cols>
      <w:pgMar w:left="2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2019-12-28T20:57:15Z</dcterms:created>
  <dcterms:modified xsi:type="dcterms:W3CDTF">2019-12-28T20:57:15Z</dcterms:modified>
</cp:coreProperties>
</file>