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color w:val="auto"/>
        </w:rPr>
        <w:t>Brighthouse Life Insurance Company of NY</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285 Madison Avenue, Suite 1400</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New York, NY 10017</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April 30, 2025</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VIA EDGAR TRANSMISSION</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34" w:lineRule="exact"/>
        <w:rPr>
          <w:sz w:val="24"/>
          <w:szCs w:val="24"/>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color w:val="auto"/>
        </w:rPr>
        <w:t>Re:</w:t>
        <w:tab/>
        <w:t>Brighthouse Life Insurance Company of NY</w:t>
      </w:r>
    </w:p>
    <w:p>
      <w:pPr>
        <w:spacing w:after="0" w:line="27"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File No. 333-279315</w:t>
      </w:r>
    </w:p>
    <w:p>
      <w:pPr>
        <w:ind w:left="440"/>
        <w:spacing w:after="0" w:line="181" w:lineRule="auto"/>
        <w:rPr>
          <w:sz w:val="20"/>
          <w:szCs w:val="20"/>
          <w:color w:val="auto"/>
        </w:rPr>
      </w:pPr>
      <w:r>
        <w:rPr>
          <w:rFonts w:ascii="Times New Roman" w:cs="Times New Roman" w:eastAsia="Times New Roman" w:hAnsi="Times New Roman"/>
          <w:sz w:val="18"/>
          <w:szCs w:val="18"/>
          <w:color w:val="auto"/>
        </w:rPr>
        <w:t>(Brighthouse Shield</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Level II 6-Year Annuity)</w:t>
      </w:r>
    </w:p>
    <w:p>
      <w:pPr>
        <w:spacing w:after="0" w:line="1"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Rule 497(j) Certification 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284480</wp:posOffset>
            </wp:positionH>
            <wp:positionV relativeFrom="paragraph">
              <wp:posOffset>-20320</wp:posOffset>
            </wp:positionV>
            <wp:extent cx="29578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830" cy="8890"/>
                    </a:xfrm>
                    <a:prstGeom prst="rect">
                      <a:avLst/>
                    </a:prstGeom>
                    <a:noFill/>
                  </pic:spPr>
                </pic:pic>
              </a:graphicData>
            </a:graphic>
          </wp:anchor>
        </w:drawing>
      </w:r>
    </w:p>
    <w:p>
      <w:pPr>
        <w:spacing w:after="0" w:line="18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Members of the Commission:</w:t>
      </w:r>
    </w:p>
    <w:p>
      <w:pPr>
        <w:spacing w:after="0" w:line="117" w:lineRule="exact"/>
        <w:rPr>
          <w:sz w:val="24"/>
          <w:szCs w:val="24"/>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behalf of Brighthouse Life Insurance Company of NY (the “Company”), I hereby certify, pursuant to paragraph (j) of Rule 497 under the Securities Act of 1933, that the form of the Prospectus and Statement of Additional Information (“SAI”) each dated April 28, 2025 being used for certain registered annuity contracts offered by the Company and otherwise required to be filed under paragraph (c) of Rule 497 does not differ from the Prospectus and SAI contained in Post-Effective Amendment No. 1 filed electronically with the Commission on April 21, 2025.</w:t>
      </w:r>
    </w:p>
    <w:p>
      <w:pPr>
        <w:spacing w:after="0" w:line="18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you have any questions, please contact me at (980) 949-5089.</w:t>
      </w: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 Michele H. Abate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7946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Michele H. Abate</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Associate General Counsel</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Brighthouse Life Insurance Company of NY</w:t>
      </w:r>
    </w:p>
    <w:sectPr>
      <w:pgSz w:w="11900" w:h="16838" w:orient="portrait"/>
      <w:cols w:equalWidth="0" w:num="1">
        <w:col w:w="10900"/>
      </w:cols>
      <w:pgMar w:left="320" w:top="229"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2025-04-30T08:44:20Z</dcterms:created>
  <dcterms:modified xsi:type="dcterms:W3CDTF">2025-04-30T08:44:20Z</dcterms:modified>
</cp:coreProperties>
</file>