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829310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787400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2502535</wp:posOffset>
            </wp:positionH>
            <wp:positionV relativeFrom="paragraph">
              <wp:posOffset>165735</wp:posOffset>
            </wp:positionV>
            <wp:extent cx="2347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50" w:lineRule="exact"/>
        <w:rPr>
          <w:sz w:val="24"/>
          <w:szCs w:val="24"/>
          <w:color w:val="auto"/>
        </w:rPr>
      </w:pPr>
    </w:p>
    <w:p>
      <w:pPr>
        <w:ind w:left="1800" w:hanging="370"/>
        <w:spacing w:after="0"/>
        <w:tabs>
          <w:tab w:leader="none" w:pos="1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7" w:lineRule="exact"/>
        <w:rPr>
          <w:sz w:val="24"/>
          <w:szCs w:val="24"/>
          <w:color w:val="auto"/>
        </w:rPr>
      </w:pPr>
    </w:p>
    <w:p>
      <w:pPr>
        <w:ind w:left="1640" w:hanging="369"/>
        <w:spacing w:after="0"/>
        <w:tabs>
          <w:tab w:leader="none" w:pos="16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___ to 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2830830</wp:posOffset>
            </wp:positionH>
            <wp:positionV relativeFrom="paragraph">
              <wp:posOffset>199390</wp:posOffset>
            </wp:positionV>
            <wp:extent cx="148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9075" cy="825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342265</wp:posOffset>
            </wp:positionV>
            <wp:extent cx="2061210" cy="471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61210" cy="471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Brighthouse Financial, Inc.</w:t>
      </w:r>
    </w:p>
    <w:p>
      <w:pPr>
        <w:spacing w:after="0" w:line="5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69" w:lineRule="exact"/>
        <w:rPr>
          <w:sz w:val="24"/>
          <w:szCs w:val="24"/>
          <w:color w:val="auto"/>
        </w:rPr>
      </w:pPr>
    </w:p>
    <w:tbl>
      <w:tblPr>
        <w:tblLayout w:type="fixed"/>
        <w:tblInd w:w="3080" w:type="dxa"/>
        <w:tblCellMar>
          <w:top w:w="0" w:type="dxa"/>
          <w:left w:w="0" w:type="dxa"/>
          <w:bottom w:w="0" w:type="dxa"/>
          <w:right w:w="0" w:type="dxa"/>
        </w:tblCellMar>
      </w:tblPr>
      <w:tr>
        <w:trPr>
          <w:trHeight w:val="186"/>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81-3846992</w:t>
            </w:r>
          </w:p>
        </w:tc>
      </w:tr>
    </w:tbl>
    <w:p>
      <w:pPr>
        <w:spacing w:after="0" w:line="13" w:lineRule="exact"/>
        <w:rPr>
          <w:sz w:val="24"/>
          <w:szCs w:val="24"/>
          <w:color w:val="auto"/>
        </w:rPr>
      </w:pPr>
    </w:p>
    <w:p>
      <w:pPr>
        <w:sectPr>
          <w:pgSz w:w="11900" w:h="16838" w:orient="portrait"/>
          <w:cols w:equalWidth="0" w:num="1">
            <w:col w:w="11240"/>
          </w:cols>
          <w:pgMar w:left="320" w:top="1391" w:right="339" w:bottom="1440" w:gutter="0" w:footer="0" w:header="0"/>
        </w:sectPr>
      </w:pPr>
    </w:p>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184"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11225 North Community House Road, Charlotte, North Carolina</w:t>
      </w:r>
    </w:p>
    <w:p>
      <w:pPr>
        <w:spacing w:after="0" w:line="11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37" w:lineRule="exact"/>
        <w:rPr>
          <w:sz w:val="24"/>
          <w:szCs w:val="24"/>
          <w:color w:val="auto"/>
        </w:rPr>
      </w:pPr>
    </w:p>
    <w:tbl>
      <w:tblPr>
        <w:tblLayout w:type="fixed"/>
        <w:tblInd w:w="1120" w:type="dxa"/>
        <w:tblCellMar>
          <w:top w:w="0" w:type="dxa"/>
          <w:left w:w="0" w:type="dxa"/>
          <w:bottom w:w="0" w:type="dxa"/>
          <w:right w:w="0" w:type="dxa"/>
        </w:tblCellMar>
      </w:tblPr>
      <w:tr>
        <w:trPr>
          <w:trHeight w:val="177"/>
        </w:trPr>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60" w:type="dxa"/>
            <w:vAlign w:val="bottom"/>
            <w:gridSpan w:val="2"/>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(980) 365-7100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40" w:type="dxa"/>
            <w:vAlign w:val="bottom"/>
            <w:gridSpan w:val="4"/>
          </w:tcPr>
          <w:p>
            <w:pPr>
              <w:jc w:val="center"/>
              <w:ind w:left="758"/>
              <w:spacing w:after="0"/>
              <w:rPr>
                <w:sz w:val="20"/>
                <w:szCs w:val="20"/>
                <w:color w:val="auto"/>
              </w:rPr>
            </w:pPr>
            <w:r>
              <w:rPr>
                <w:rFonts w:ascii="Times New Roman" w:cs="Times New Roman" w:eastAsia="Times New Roman" w:hAnsi="Times New Roman"/>
                <w:sz w:val="12"/>
                <w:szCs w:val="12"/>
                <w:i w:val="1"/>
                <w:iCs w:val="1"/>
                <w:color w:val="auto"/>
              </w:rPr>
              <w:t>(Registrant’s telephone number, including area code)</w:t>
            </w: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40" w:type="dxa"/>
            <w:vAlign w:val="bottom"/>
            <w:gridSpan w:val="4"/>
          </w:tcPr>
          <w:p>
            <w:pPr>
              <w:jc w:val="center"/>
              <w:ind w:left="73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0" w:type="dxa"/>
            <w:vAlign w:val="bottom"/>
          </w:tcPr>
          <w:p>
            <w:pPr>
              <w:spacing w:after="0"/>
              <w:rPr>
                <w:sz w:val="1"/>
                <w:szCs w:val="1"/>
                <w:color w:val="auto"/>
              </w:rPr>
            </w:pPr>
          </w:p>
        </w:tc>
      </w:tr>
      <w:tr>
        <w:trPr>
          <w:trHeight w:val="348"/>
        </w:trPr>
        <w:tc>
          <w:tcPr>
            <w:tcW w:w="1400" w:type="dxa"/>
            <w:vAlign w:val="bottom"/>
          </w:tcPr>
          <w:p>
            <w:pPr>
              <w:spacing w:after="0"/>
              <w:rPr>
                <w:sz w:val="24"/>
                <w:szCs w:val="24"/>
                <w:color w:val="auto"/>
              </w:rPr>
            </w:pPr>
          </w:p>
        </w:tc>
        <w:tc>
          <w:tcPr>
            <w:tcW w:w="2460" w:type="dxa"/>
            <w:vAlign w:val="bottom"/>
            <w:gridSpan w:val="2"/>
          </w:tcPr>
          <w:p>
            <w:pPr>
              <w:jc w:val="center"/>
              <w:ind w:right="1518"/>
              <w:spacing w:after="0"/>
              <w:rPr>
                <w:sz w:val="20"/>
                <w:szCs w:val="20"/>
                <w:color w:val="auto"/>
              </w:rPr>
            </w:pPr>
            <w:r>
              <w:rPr>
                <w:rFonts w:ascii="Times New Roman" w:cs="Times New Roman" w:eastAsia="Times New Roman" w:hAnsi="Times New Roman"/>
                <w:sz w:val="12"/>
                <w:szCs w:val="12"/>
                <w:color w:val="auto"/>
              </w:rPr>
              <w:t>Title of each class</w:t>
            </w:r>
          </w:p>
        </w:tc>
        <w:tc>
          <w:tcPr>
            <w:tcW w:w="206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rPr>
              <w:t>Trading symbol(s)</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Common Stock, par value $0.01 per share</w:t>
            </w:r>
          </w:p>
        </w:tc>
        <w:tc>
          <w:tcPr>
            <w:tcW w:w="54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BHF</w:t>
            </w:r>
          </w:p>
        </w:tc>
        <w:tc>
          <w:tcPr>
            <w:tcW w:w="0" w:type="dxa"/>
            <w:vAlign w:val="bottom"/>
          </w:tcPr>
          <w:p>
            <w:pPr>
              <w:spacing w:after="0"/>
              <w:rPr>
                <w:sz w:val="1"/>
                <w:szCs w:val="1"/>
                <w:color w:val="auto"/>
              </w:rPr>
            </w:pPr>
          </w:p>
        </w:tc>
      </w:tr>
      <w:tr>
        <w:trPr>
          <w:trHeight w:val="150"/>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8"/>
              </w:rPr>
              <w:t>BHFAP</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6.600% Non-Cumulative Preferred Stock, Series A</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rPr>
              <w:t>BHFAO</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6.750% Non-Cumulative Preferred Stock, Series B</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9"/>
              </w:rPr>
              <w:t>BHFAN</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5.375% Non-Cumulative Preferred Stock, Series C</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BHFAM</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4.625% Non-Cumulative Preferred Stock, Series D</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6.250% Junior Subordinated Debentures due 2058</w:t>
            </w:r>
          </w:p>
        </w:tc>
        <w:tc>
          <w:tcPr>
            <w:tcW w:w="540" w:type="dxa"/>
            <w:vAlign w:val="bottom"/>
          </w:tcPr>
          <w:p>
            <w:pPr>
              <w:spacing w:after="0"/>
              <w:rPr>
                <w:sz w:val="17"/>
                <w:szCs w:val="17"/>
                <w:color w:val="auto"/>
              </w:rPr>
            </w:pPr>
          </w:p>
        </w:tc>
        <w:tc>
          <w:tcPr>
            <w:tcW w:w="152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BHFAL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84"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28277</w:t>
      </w:r>
    </w:p>
    <w:p>
      <w:pPr>
        <w:spacing w:after="0" w:line="117"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2"/>
          <w:szCs w:val="12"/>
          <w:u w:val="single" w:color="auto"/>
          <w:color w:val="auto"/>
        </w:rPr>
        <w:t>Name of each exchange on which registered</w:t>
      </w:r>
    </w:p>
    <w:p>
      <w:pPr>
        <w:spacing w:after="0" w:line="7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1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208" w:lineRule="exact"/>
        <w:rPr>
          <w:sz w:val="24"/>
          <w:szCs w:val="24"/>
          <w:color w:val="auto"/>
        </w:rPr>
      </w:pPr>
    </w:p>
    <w:p>
      <w:pPr>
        <w:sectPr>
          <w:pgSz w:w="11900" w:h="16838" w:orient="portrait"/>
          <w:cols w:equalWidth="0" w:num="2">
            <w:col w:w="7040" w:space="100"/>
            <w:col w:w="4100"/>
          </w:cols>
          <w:pgMar w:left="320" w:top="1391" w:right="339" w:bottom="1440" w:gutter="0" w:footer="0" w:header="0"/>
          <w:type w:val="continuous"/>
        </w:sect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85"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72" w:lineRule="exact"/>
        <w:rPr>
          <w:sz w:val="24"/>
          <w:szCs w:val="24"/>
          <w:color w:val="auto"/>
        </w:rPr>
      </w:pPr>
    </w:p>
    <w:p>
      <w:pPr>
        <w:spacing w:after="0" w:line="29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1" w:lineRule="exact"/>
        <w:rPr>
          <w:sz w:val="24"/>
          <w:szCs w:val="24"/>
          <w:color w:val="auto"/>
        </w:rPr>
      </w:pPr>
    </w:p>
    <w:tbl>
      <w:tblPr>
        <w:tblLayout w:type="fixed"/>
        <w:tblInd w:w="1100" w:type="dxa"/>
        <w:tblCellMar>
          <w:top w:w="0" w:type="dxa"/>
          <w:left w:w="0" w:type="dxa"/>
          <w:bottom w:w="0" w:type="dxa"/>
          <w:right w:w="0" w:type="dxa"/>
        </w:tblCellMar>
      </w:tblPr>
      <w:tr>
        <w:trPr>
          <w:trHeight w:val="256"/>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Accelerated filer</w:t>
            </w:r>
          </w:p>
        </w:tc>
        <w:tc>
          <w:tcPr>
            <w:tcW w:w="2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24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6" w:lineRule="exact"/>
        <w:rPr>
          <w:sz w:val="24"/>
          <w:szCs w:val="24"/>
          <w:color w:val="auto"/>
        </w:rPr>
      </w:pPr>
    </w:p>
    <w:p>
      <w:pPr>
        <w:spacing w:after="0" w:line="170"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46" w:lineRule="exact"/>
        <w:rPr>
          <w:sz w:val="24"/>
          <w:szCs w:val="24"/>
          <w:color w:val="auto"/>
        </w:rPr>
      </w:pPr>
    </w:p>
    <w:p>
      <w:pPr>
        <w:ind w:right="4860"/>
        <w:spacing w:after="0" w:line="22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highlight w:val="black"/>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highlight w:val="black"/>
        </w:rPr>
        <w:t>☑</w:t>
      </w:r>
      <w:r>
        <w:rPr>
          <w:rFonts w:ascii="Times New Roman" w:cs="Times New Roman" w:eastAsia="Times New Roman" w:hAnsi="Times New Roman"/>
          <w:sz w:val="12"/>
          <w:szCs w:val="12"/>
          <w:color w:val="auto"/>
        </w:rPr>
        <w:t xml:space="preserve"> As of August 4, 2025, 57,152,371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738505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137160</wp:posOffset>
            </wp:positionV>
            <wp:extent cx="69951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65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111760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8"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8"/>
          <w:szCs w:val="18"/>
          <w:b w:val="1"/>
          <w:bCs w:val="1"/>
          <w:u w:val="single" w:color="auto"/>
          <w:color w:val="auto"/>
        </w:rPr>
        <w:t>Page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95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auto"/>
                <w:w w:val="99"/>
              </w:rPr>
              <w:t>Consolidated Financial Statements (at June 30, 2025 (Unaudited) and December 31, 2024 and for the Three Months and Six Months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Ended June 30, 2025 and 2024 (Unaudited)):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Borders>
              <w:bottom w:val="single" w:sz="8" w:color="0000FF"/>
            </w:tcBorders>
            <w:gridSpan w:val="15"/>
          </w:tcPr>
          <w:p>
            <w:pPr>
              <w:spacing w:after="0" w:line="193" w:lineRule="exact"/>
              <w:rPr>
                <w:sz w:val="20"/>
                <w:szCs w:val="20"/>
                <w:color w:val="auto"/>
              </w:rPr>
            </w:pPr>
            <w:r>
              <w:rPr>
                <w:rFonts w:ascii="Times New Roman" w:cs="Times New Roman" w:eastAsia="Times New Roman" w:hAnsi="Times New Roman"/>
                <w:sz w:val="18"/>
                <w:szCs w:val="18"/>
                <w:color w:val="0000FF"/>
                <w:w w:val="98"/>
              </w:rPr>
              <w:t>Interim Condensed Consolidated Balance Sheets</w:t>
            </w:r>
          </w:p>
        </w:tc>
        <w:tc>
          <w:tcPr>
            <w:tcW w:w="5940" w:type="dxa"/>
            <w:vAlign w:val="bottom"/>
            <w:gridSpan w:val="12"/>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93" w:lineRule="exact"/>
              <w:rPr>
                <w:sz w:val="20"/>
                <w:szCs w:val="20"/>
                <w:color w:val="auto"/>
              </w:rPr>
            </w:pPr>
            <w:r>
              <w:rPr>
                <w:rFonts w:ascii="Times New Roman" w:cs="Times New Roman" w:eastAsia="Times New Roman" w:hAnsi="Times New Roman"/>
                <w:sz w:val="18"/>
                <w:szCs w:val="18"/>
                <w:color w:val="0000FF"/>
              </w:rPr>
              <w:t>2</w:t>
            </w:r>
          </w:p>
        </w:tc>
        <w:tc>
          <w:tcPr>
            <w:tcW w:w="22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Interim Condensed Consolidated Statements of Operations and Comprehensive Income (Loss)</w:t>
            </w:r>
          </w:p>
        </w:tc>
        <w:tc>
          <w:tcPr>
            <w:tcW w:w="360" w:type="dxa"/>
            <w:vAlign w:val="bottom"/>
            <w:gridSpan w:val="2"/>
          </w:tcPr>
          <w:p>
            <w:pPr>
              <w:jc w:val="center"/>
              <w:ind w:left="92"/>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top w:val="single" w:sz="8" w:color="0000FF"/>
              <w:bottom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w w:val="97"/>
              </w:rPr>
              <w:t>Interim Condensed Consolidated Statements of Equity</w:t>
            </w:r>
          </w:p>
        </w:tc>
        <w:tc>
          <w:tcPr>
            <w:tcW w:w="2820" w:type="dxa"/>
            <w:vAlign w:val="bottom"/>
            <w:tcBorders>
              <w:top w:val="single" w:sz="8" w:color="0000FF"/>
            </w:tcBorders>
            <w:gridSpan w:val="8"/>
          </w:tcPr>
          <w:p>
            <w:pPr>
              <w:spacing w:after="0"/>
              <w:rPr>
                <w:sz w:val="17"/>
                <w:szCs w:val="17"/>
                <w:color w:val="auto"/>
              </w:rPr>
            </w:pPr>
          </w:p>
        </w:tc>
        <w:tc>
          <w:tcPr>
            <w:tcW w:w="27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tcBorders>
              <w:bottom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Interim Condensed Consolidated Statements of Cash Flows</w:t>
            </w:r>
          </w:p>
        </w:tc>
        <w:tc>
          <w:tcPr>
            <w:tcW w:w="518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00" w:type="dxa"/>
            <w:vAlign w:val="bottom"/>
            <w:tcBorders>
              <w:bottom w:val="single" w:sz="8" w:color="0000FF"/>
            </w:tcBorders>
            <w:gridSpan w:val="22"/>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the Interim Condensed Consolidated Financial Statements (Unaudited):</w:t>
            </w:r>
          </w:p>
        </w:tc>
        <w:tc>
          <w:tcPr>
            <w:tcW w:w="370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Note 1 — Business, Basis of Presentation and Summary of Significant Accounting Policies</w:t>
            </w:r>
          </w:p>
        </w:tc>
        <w:tc>
          <w:tcPr>
            <w:tcW w:w="360" w:type="dxa"/>
            <w:vAlign w:val="bottom"/>
            <w:gridSpan w:val="2"/>
          </w:tcPr>
          <w:p>
            <w:pPr>
              <w:jc w:val="center"/>
              <w:ind w:left="92"/>
              <w:spacing w:after="0" w:line="205" w:lineRule="exact"/>
              <w:rPr>
                <w:sz w:val="20"/>
                <w:szCs w:val="20"/>
                <w:color w:val="auto"/>
              </w:rPr>
            </w:pPr>
            <w:r>
              <w:rPr>
                <w:rFonts w:ascii="Times New Roman" w:cs="Times New Roman" w:eastAsia="Times New Roman" w:hAnsi="Times New Roman"/>
                <w:sz w:val="18"/>
                <w:szCs w:val="18"/>
                <w:color w:val="0000FF"/>
              </w:rPr>
              <w:t>6</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top w:val="single" w:sz="8" w:color="0000FF"/>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Note 2 — Segment Information</w:t>
            </w:r>
          </w:p>
        </w:tc>
        <w:tc>
          <w:tcPr>
            <w:tcW w:w="4200" w:type="dxa"/>
            <w:vAlign w:val="bottom"/>
            <w:tcBorders>
              <w:top w:val="single" w:sz="8" w:color="0000FF"/>
            </w:tcBorders>
            <w:gridSpan w:val="11"/>
          </w:tcPr>
          <w:p>
            <w:pPr>
              <w:spacing w:after="0"/>
              <w:rPr>
                <w:sz w:val="17"/>
                <w:szCs w:val="17"/>
                <w:color w:val="auto"/>
              </w:rPr>
            </w:pPr>
          </w:p>
        </w:tc>
        <w:tc>
          <w:tcPr>
            <w:tcW w:w="278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Note 3 — Insurance Liabilities</w:t>
            </w:r>
          </w:p>
        </w:tc>
        <w:tc>
          <w:tcPr>
            <w:tcW w:w="7040" w:type="dxa"/>
            <w:vAlign w:val="bottom"/>
            <w:gridSpan w:val="15"/>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14</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Note 4 — Market Risk Benefits</w:t>
            </w:r>
          </w:p>
        </w:tc>
        <w:tc>
          <w:tcPr>
            <w:tcW w:w="698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18</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Note 5 — Separate Accounts</w:t>
            </w:r>
          </w:p>
        </w:tc>
        <w:tc>
          <w:tcPr>
            <w:tcW w:w="360" w:type="dxa"/>
            <w:vAlign w:val="bottom"/>
            <w:gridSpan w:val="2"/>
          </w:tcPr>
          <w:p>
            <w:pPr>
              <w:jc w:val="center"/>
              <w:ind w:left="92"/>
              <w:spacing w:after="0" w:line="205" w:lineRule="exact"/>
              <w:rPr>
                <w:sz w:val="20"/>
                <w:szCs w:val="20"/>
                <w:color w:val="auto"/>
              </w:rPr>
            </w:pPr>
            <w:r>
              <w:rPr>
                <w:rFonts w:ascii="Times New Roman" w:cs="Times New Roman" w:eastAsia="Times New Roman" w:hAnsi="Times New Roman"/>
                <w:sz w:val="18"/>
                <w:szCs w:val="18"/>
                <w:color w:val="0000FF"/>
                <w:w w:val="99"/>
              </w:rPr>
              <w:t>18</w:t>
            </w: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Note 6 — Deferred Policy Acquisition Costs, Value of Business Acquired and Other Intangibles</w:t>
            </w:r>
          </w:p>
        </w:tc>
        <w:tc>
          <w:tcPr>
            <w:tcW w:w="360" w:type="dxa"/>
            <w:vAlign w:val="bottom"/>
            <w:gridSpan w:val="2"/>
          </w:tcPr>
          <w:p>
            <w:pPr>
              <w:jc w:val="center"/>
              <w:ind w:left="92"/>
              <w:spacing w:after="0" w:line="205" w:lineRule="exact"/>
              <w:rPr>
                <w:sz w:val="20"/>
                <w:szCs w:val="20"/>
                <w:color w:val="auto"/>
              </w:rPr>
            </w:pPr>
            <w:r>
              <w:rPr>
                <w:rFonts w:ascii="Times New Roman" w:cs="Times New Roman" w:eastAsia="Times New Roman" w:hAnsi="Times New Roman"/>
                <w:sz w:val="18"/>
                <w:szCs w:val="18"/>
                <w:color w:val="0000FF"/>
                <w:w w:val="99"/>
              </w:rPr>
              <w:t>20</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tcBorders>
              <w:top w:val="single" w:sz="8" w:color="0000FF"/>
            </w:tcBorders>
            <w:gridSpan w:val="25"/>
          </w:tcPr>
          <w:p>
            <w:pPr>
              <w:spacing w:after="0" w:line="205" w:lineRule="exact"/>
              <w:rPr>
                <w:sz w:val="20"/>
                <w:szCs w:val="20"/>
                <w:color w:val="auto"/>
              </w:rPr>
            </w:pPr>
            <w:r>
              <w:rPr>
                <w:rFonts w:ascii="Times New Roman" w:cs="Times New Roman" w:eastAsia="Times New Roman" w:hAnsi="Times New Roman"/>
                <w:sz w:val="18"/>
                <w:szCs w:val="18"/>
                <w:color w:val="0000FF"/>
              </w:rPr>
              <w:t>Note 7 — Investments</w:t>
            </w: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21</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Borders>
              <w:top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9"/>
              </w:rPr>
              <w:t>Note 8 — Derivatives</w:t>
            </w:r>
          </w:p>
        </w:tc>
        <w:tc>
          <w:tcPr>
            <w:tcW w:w="7640" w:type="dxa"/>
            <w:vAlign w:val="bottom"/>
            <w:gridSpan w:val="17"/>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33</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Note 9 — Fair Value</w:t>
            </w:r>
          </w:p>
        </w:tc>
        <w:tc>
          <w:tcPr>
            <w:tcW w:w="80" w:type="dxa"/>
            <w:vAlign w:val="bottom"/>
            <w:tcBorders>
              <w:top w:val="single" w:sz="8" w:color="0000FF"/>
            </w:tcBorders>
          </w:tcPr>
          <w:p>
            <w:pPr>
              <w:spacing w:after="0"/>
              <w:rPr>
                <w:sz w:val="17"/>
                <w:szCs w:val="17"/>
                <w:color w:val="auto"/>
              </w:rPr>
            </w:pPr>
          </w:p>
        </w:tc>
        <w:tc>
          <w:tcPr>
            <w:tcW w:w="7680" w:type="dxa"/>
            <w:vAlign w:val="bottom"/>
            <w:gridSpan w:val="18"/>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39</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Note 10 — Equity</w:t>
            </w:r>
          </w:p>
        </w:tc>
        <w:tc>
          <w:tcPr>
            <w:tcW w:w="360" w:type="dxa"/>
            <w:vAlign w:val="bottom"/>
            <w:gridSpan w:val="2"/>
          </w:tcPr>
          <w:p>
            <w:pPr>
              <w:jc w:val="center"/>
              <w:ind w:left="92"/>
              <w:spacing w:after="0" w:line="205" w:lineRule="exact"/>
              <w:rPr>
                <w:sz w:val="20"/>
                <w:szCs w:val="20"/>
                <w:color w:val="auto"/>
              </w:rPr>
            </w:pPr>
            <w:r>
              <w:rPr>
                <w:rFonts w:ascii="Times New Roman" w:cs="Times New Roman" w:eastAsia="Times New Roman" w:hAnsi="Times New Roman"/>
                <w:sz w:val="18"/>
                <w:szCs w:val="18"/>
                <w:color w:val="0000FF"/>
                <w:w w:val="99"/>
              </w:rPr>
              <w:t>49</w:t>
            </w:r>
          </w:p>
        </w:tc>
        <w:tc>
          <w:tcPr>
            <w:tcW w:w="2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bottom w:val="single" w:sz="8" w:color="0000FF"/>
            </w:tcBorders>
            <w:gridSpan w:val="15"/>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11 — Other Revenues and Other Expenses</w:t>
            </w:r>
          </w:p>
        </w:tc>
        <w:tc>
          <w:tcPr>
            <w:tcW w:w="582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52</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12 — Earnings Per Common Share</w:t>
            </w:r>
          </w:p>
        </w:tc>
        <w:tc>
          <w:tcPr>
            <w:tcW w:w="634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53</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tcBorders>
              <w:bottom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13 — Contingencies, Commitments and Guarantees</w:t>
            </w:r>
          </w:p>
        </w:tc>
        <w:tc>
          <w:tcPr>
            <w:tcW w:w="516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53</w:t>
            </w:r>
          </w:p>
        </w:tc>
        <w:tc>
          <w:tcPr>
            <w:tcW w:w="2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10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2.</w:t>
            </w:r>
          </w:p>
        </w:tc>
        <w:tc>
          <w:tcPr>
            <w:tcW w:w="6700" w:type="dxa"/>
            <w:vAlign w:val="bottom"/>
            <w:tcBorders>
              <w:bottom w:val="single" w:sz="8" w:color="0000FF"/>
            </w:tcBorders>
            <w:gridSpan w:val="24"/>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7"/>
              </w:rPr>
              <w:t>Management’s Discussion and Analysis of Financial Condition and Results of Operations</w:t>
            </w:r>
          </w:p>
        </w:tc>
        <w:tc>
          <w:tcPr>
            <w:tcW w:w="2840" w:type="dxa"/>
            <w:vAlign w:val="bottom"/>
            <w:gridSpan w:val="4"/>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57</w:t>
            </w:r>
          </w:p>
        </w:tc>
        <w:tc>
          <w:tcPr>
            <w:tcW w:w="22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185" w:lineRule="exact"/>
              <w:rPr>
                <w:sz w:val="20"/>
                <w:szCs w:val="20"/>
                <w:color w:val="auto"/>
              </w:rPr>
            </w:pPr>
            <w:r>
              <w:rPr>
                <w:rFonts w:ascii="Times New Roman" w:cs="Times New Roman" w:eastAsia="Times New Roman" w:hAnsi="Times New Roman"/>
                <w:sz w:val="18"/>
                <w:szCs w:val="18"/>
                <w:b w:val="1"/>
                <w:bCs w:val="1"/>
                <w:color w:val="auto"/>
              </w:rPr>
              <w:t>Item 3.</w:t>
            </w:r>
          </w:p>
        </w:tc>
        <w:tc>
          <w:tcPr>
            <w:tcW w:w="9540" w:type="dxa"/>
            <w:vAlign w:val="bottom"/>
            <w:gridSpan w:val="28"/>
          </w:tcPr>
          <w:p>
            <w:pPr>
              <w:spacing w:after="0" w:line="185"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360" w:type="dxa"/>
            <w:vAlign w:val="bottom"/>
            <w:gridSpan w:val="2"/>
          </w:tcPr>
          <w:p>
            <w:pPr>
              <w:jc w:val="center"/>
              <w:ind w:left="92"/>
              <w:spacing w:after="0" w:line="185" w:lineRule="exact"/>
              <w:rPr>
                <w:sz w:val="20"/>
                <w:szCs w:val="20"/>
                <w:color w:val="auto"/>
              </w:rPr>
            </w:pPr>
            <w:r>
              <w:rPr>
                <w:rFonts w:ascii="Times New Roman" w:cs="Times New Roman" w:eastAsia="Times New Roman" w:hAnsi="Times New Roman"/>
                <w:sz w:val="18"/>
                <w:szCs w:val="18"/>
                <w:color w:val="0000FF"/>
                <w:w w:val="99"/>
              </w:rPr>
              <w:t>96</w:t>
            </w:r>
          </w:p>
        </w:tc>
        <w:tc>
          <w:tcPr>
            <w:tcW w:w="22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1100" w:type="dxa"/>
            <w:vAlign w:val="bottom"/>
            <w:gridSpan w:val="2"/>
          </w:tcPr>
          <w:p>
            <w:pPr>
              <w:ind w:left="100"/>
              <w:spacing w:after="0" w:line="185" w:lineRule="exact"/>
              <w:rPr>
                <w:sz w:val="20"/>
                <w:szCs w:val="20"/>
                <w:color w:val="auto"/>
              </w:rPr>
            </w:pPr>
            <w:r>
              <w:rPr>
                <w:rFonts w:ascii="Times New Roman" w:cs="Times New Roman" w:eastAsia="Times New Roman" w:hAnsi="Times New Roman"/>
                <w:sz w:val="18"/>
                <w:szCs w:val="18"/>
                <w:b w:val="1"/>
                <w:bCs w:val="1"/>
                <w:color w:val="auto"/>
              </w:rPr>
              <w:t>Item 4.</w:t>
            </w:r>
          </w:p>
        </w:tc>
        <w:tc>
          <w:tcPr>
            <w:tcW w:w="4560" w:type="dxa"/>
            <w:vAlign w:val="bottom"/>
            <w:tcBorders>
              <w:top w:val="single" w:sz="8" w:color="0000FF"/>
            </w:tcBorders>
            <w:gridSpan w:val="22"/>
          </w:tcPr>
          <w:p>
            <w:pPr>
              <w:spacing w:after="0" w:line="185"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980" w:type="dxa"/>
            <w:vAlign w:val="bottom"/>
            <w:gridSpan w:val="6"/>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0000FF"/>
            </w:tcBorders>
          </w:tcPr>
          <w:p>
            <w:pPr>
              <w:jc w:val="center"/>
              <w:spacing w:after="0" w:line="185" w:lineRule="exact"/>
              <w:rPr>
                <w:sz w:val="20"/>
                <w:szCs w:val="20"/>
                <w:color w:val="auto"/>
              </w:rPr>
            </w:pPr>
            <w:r>
              <w:rPr>
                <w:rFonts w:ascii="Times New Roman" w:cs="Times New Roman" w:eastAsia="Times New Roman" w:hAnsi="Times New Roman"/>
                <w:sz w:val="18"/>
                <w:szCs w:val="18"/>
                <w:color w:val="0000FF"/>
                <w:w w:val="77"/>
              </w:rPr>
              <w:t>97</w:t>
            </w:r>
          </w:p>
        </w:tc>
        <w:tc>
          <w:tcPr>
            <w:tcW w:w="2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620" w:type="dxa"/>
            <w:vAlign w:val="bottom"/>
            <w:gridSpan w:val="11"/>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064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14"/>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10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1.</w:t>
            </w:r>
          </w:p>
        </w:tc>
        <w:tc>
          <w:tcPr>
            <w:tcW w:w="954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Legal Proceedings</w:t>
            </w:r>
          </w:p>
        </w:tc>
        <w:tc>
          <w:tcPr>
            <w:tcW w:w="360" w:type="dxa"/>
            <w:vAlign w:val="bottom"/>
            <w:gridSpan w:val="2"/>
          </w:tcPr>
          <w:p>
            <w:pPr>
              <w:jc w:val="center"/>
              <w:ind w:left="92"/>
              <w:spacing w:after="0" w:line="205" w:lineRule="exact"/>
              <w:rPr>
                <w:sz w:val="20"/>
                <w:szCs w:val="20"/>
                <w:color w:val="auto"/>
              </w:rPr>
            </w:pPr>
            <w:r>
              <w:rPr>
                <w:rFonts w:ascii="Times New Roman" w:cs="Times New Roman" w:eastAsia="Times New Roman" w:hAnsi="Times New Roman"/>
                <w:sz w:val="18"/>
                <w:szCs w:val="18"/>
                <w:color w:val="0000FF"/>
                <w:w w:val="99"/>
              </w:rPr>
              <w:t>97</w:t>
            </w:r>
          </w:p>
        </w:tc>
        <w:tc>
          <w:tcPr>
            <w:tcW w:w="22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1100" w:type="dxa"/>
            <w:vAlign w:val="bottom"/>
            <w:gridSpan w:val="2"/>
          </w:tcPr>
          <w:p>
            <w:pPr>
              <w:ind w:left="100"/>
              <w:spacing w:after="0" w:line="185" w:lineRule="exact"/>
              <w:rPr>
                <w:sz w:val="20"/>
                <w:szCs w:val="20"/>
                <w:color w:val="auto"/>
              </w:rPr>
            </w:pPr>
            <w:r>
              <w:rPr>
                <w:rFonts w:ascii="Times New Roman" w:cs="Times New Roman" w:eastAsia="Times New Roman" w:hAnsi="Times New Roman"/>
                <w:sz w:val="18"/>
                <w:szCs w:val="18"/>
                <w:b w:val="1"/>
                <w:bCs w:val="1"/>
                <w:color w:val="auto"/>
              </w:rPr>
              <w:t>Item 1A.</w:t>
            </w:r>
          </w:p>
        </w:tc>
        <w:tc>
          <w:tcPr>
            <w:tcW w:w="1360" w:type="dxa"/>
            <w:vAlign w:val="bottom"/>
            <w:tcBorders>
              <w:top w:val="single" w:sz="8" w:color="0000FF"/>
            </w:tcBorders>
            <w:gridSpan w:val="6"/>
          </w:tcPr>
          <w:p>
            <w:pPr>
              <w:spacing w:after="0" w:line="185"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8180" w:type="dxa"/>
            <w:vAlign w:val="bottom"/>
            <w:gridSpan w:val="22"/>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0000FF"/>
            </w:tcBorders>
          </w:tcPr>
          <w:p>
            <w:pPr>
              <w:jc w:val="center"/>
              <w:spacing w:after="0" w:line="185" w:lineRule="exact"/>
              <w:rPr>
                <w:sz w:val="20"/>
                <w:szCs w:val="20"/>
                <w:color w:val="auto"/>
              </w:rPr>
            </w:pPr>
            <w:r>
              <w:rPr>
                <w:rFonts w:ascii="Times New Roman" w:cs="Times New Roman" w:eastAsia="Times New Roman" w:hAnsi="Times New Roman"/>
                <w:sz w:val="18"/>
                <w:szCs w:val="18"/>
                <w:color w:val="0000FF"/>
                <w:w w:val="77"/>
              </w:rPr>
              <w:t>97</w:t>
            </w:r>
          </w:p>
        </w:tc>
        <w:tc>
          <w:tcPr>
            <w:tcW w:w="2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80" w:type="dxa"/>
            <w:vAlign w:val="bottom"/>
            <w:gridSpan w:val="14"/>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2.</w:t>
            </w:r>
          </w:p>
        </w:tc>
        <w:tc>
          <w:tcPr>
            <w:tcW w:w="4480" w:type="dxa"/>
            <w:vAlign w:val="bottom"/>
            <w:tcBorders>
              <w:bottom w:val="single" w:sz="8" w:color="0000FF"/>
            </w:tcBorders>
            <w:gridSpan w:val="21"/>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7"/>
              </w:rPr>
              <w:t>Unregistered Sales of Equity Securities and Use of Proceeds</w:t>
            </w:r>
          </w:p>
        </w:tc>
        <w:tc>
          <w:tcPr>
            <w:tcW w:w="506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97</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5.</w:t>
            </w:r>
          </w:p>
        </w:tc>
        <w:tc>
          <w:tcPr>
            <w:tcW w:w="9540" w:type="dxa"/>
            <w:vAlign w:val="bottom"/>
            <w:gridSpan w:val="28"/>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360" w:type="dxa"/>
            <w:vAlign w:val="bottom"/>
            <w:gridSpan w:val="2"/>
          </w:tcPr>
          <w:p>
            <w:pPr>
              <w:jc w:val="center"/>
              <w:ind w:left="92"/>
              <w:spacing w:after="0" w:line="205" w:lineRule="exact"/>
              <w:rPr>
                <w:sz w:val="20"/>
                <w:szCs w:val="20"/>
                <w:color w:val="auto"/>
              </w:rPr>
            </w:pPr>
            <w:r>
              <w:rPr>
                <w:rFonts w:ascii="Times New Roman" w:cs="Times New Roman" w:eastAsia="Times New Roman" w:hAnsi="Times New Roman"/>
                <w:sz w:val="18"/>
                <w:szCs w:val="18"/>
                <w:color w:val="0000FF"/>
                <w:w w:val="99"/>
              </w:rPr>
              <w:t>97</w:t>
            </w:r>
          </w:p>
        </w:tc>
        <w:tc>
          <w:tcPr>
            <w:tcW w:w="2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6.</w:t>
            </w:r>
          </w:p>
        </w:tc>
        <w:tc>
          <w:tcPr>
            <w:tcW w:w="620" w:type="dxa"/>
            <w:vAlign w:val="bottom"/>
            <w:tcBorders>
              <w:top w:val="single" w:sz="8" w:color="0000FF"/>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3"/>
              </w:rPr>
              <w:t>Exhibits</w:t>
            </w:r>
          </w:p>
        </w:tc>
        <w:tc>
          <w:tcPr>
            <w:tcW w:w="780" w:type="dxa"/>
            <w:vAlign w:val="bottom"/>
            <w:tcBorders>
              <w:top w:val="single" w:sz="8" w:color="0000FF"/>
            </w:tcBorders>
            <w:gridSpan w:val="4"/>
          </w:tcPr>
          <w:p>
            <w:pPr>
              <w:spacing w:after="0"/>
              <w:rPr>
                <w:sz w:val="17"/>
                <w:szCs w:val="17"/>
                <w:color w:val="auto"/>
              </w:rPr>
            </w:pPr>
          </w:p>
        </w:tc>
        <w:tc>
          <w:tcPr>
            <w:tcW w:w="8140" w:type="dxa"/>
            <w:vAlign w:val="bottom"/>
            <w:gridSpan w:val="21"/>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98</w:t>
            </w:r>
          </w:p>
        </w:tc>
        <w:tc>
          <w:tcPr>
            <w:tcW w:w="22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3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0000FF"/>
                <w:w w:val="99"/>
              </w:rPr>
              <w:t>99</w:t>
            </w:r>
          </w:p>
        </w:tc>
        <w:tc>
          <w:tcPr>
            <w:tcW w:w="220" w:type="dxa"/>
            <w:vAlign w:val="bottom"/>
          </w:tcPr>
          <w:p>
            <w:pPr>
              <w:spacing w:after="0"/>
              <w:rPr>
                <w:sz w:val="22"/>
                <w:szCs w:val="22"/>
                <w:color w:val="auto"/>
              </w:rPr>
            </w:pPr>
          </w:p>
        </w:tc>
      </w:tr>
      <w:tr>
        <w:trPr>
          <w:trHeight w:val="1166"/>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6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 (Unaudited) and December 31, 2024</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2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8"/>
        </w:trPr>
        <w:tc>
          <w:tcPr>
            <w:tcW w:w="77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772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Fixed maturity securities available-for-sale, at estimated fair value (amortized cost: $86,762 and $87,603, respectively; allowance for</w:t>
            </w:r>
          </w:p>
        </w:tc>
        <w:tc>
          <w:tcPr>
            <w:tcW w:w="2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80,835</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80,055</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credit losses of $67 and $81, respectively)</w:t>
            </w:r>
          </w:p>
        </w:tc>
        <w:tc>
          <w:tcPr>
            <w:tcW w:w="260" w:type="dxa"/>
            <w:vAlign w:val="bottom"/>
            <w:vMerge w:val="continue"/>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 at estimated fair value</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at estimated fair value</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 (net of allowance for credit losses of $209 and $178, respectively)</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23,286</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 principally at estimated fair value</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invested assets, principally at estimated fair value (net of allowance for credit losses of $0 and $0, respectively)</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investments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120,747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117,387</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reinsurance and other receivables (net of allowance for credit losses of $3 and $3, respectively)</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21,126</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policy acquisition costs and value of business acquired</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4,710</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 recoverable</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86,085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85,636</w:t>
            </w:r>
          </w:p>
        </w:tc>
        <w:tc>
          <w:tcPr>
            <w:tcW w:w="0" w:type="dxa"/>
            <w:vAlign w:val="bottom"/>
          </w:tcPr>
          <w:p>
            <w:pPr>
              <w:spacing w:after="0"/>
              <w:rPr>
                <w:sz w:val="1"/>
                <w:szCs w:val="1"/>
                <w:color w:val="auto"/>
              </w:rPr>
            </w:pPr>
          </w:p>
        </w:tc>
      </w:tr>
      <w:tr>
        <w:trPr>
          <w:trHeight w:val="22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242,645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238,537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policy benefits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31,974</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31,475</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87,989</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8,329</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policy-related balances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 for collateral under securities loaned and other transactions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9,160</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86,085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85,636</w:t>
            </w:r>
          </w:p>
        </w:tc>
        <w:tc>
          <w:tcPr>
            <w:tcW w:w="0" w:type="dxa"/>
            <w:vAlign w:val="bottom"/>
          </w:tcPr>
          <w:p>
            <w:pPr>
              <w:spacing w:after="0"/>
              <w:rPr>
                <w:sz w:val="1"/>
                <w:szCs w:val="1"/>
                <w:color w:val="auto"/>
              </w:rPr>
            </w:pPr>
          </w:p>
        </w:tc>
      </w:tr>
      <w:tr>
        <w:trPr>
          <w:trHeight w:val="185"/>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236,907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233,513</w:t>
            </w:r>
          </w:p>
        </w:tc>
        <w:tc>
          <w:tcPr>
            <w:tcW w:w="0" w:type="dxa"/>
            <w:vAlign w:val="bottom"/>
          </w:tcPr>
          <w:p>
            <w:pPr>
              <w:spacing w:after="0"/>
              <w:rPr>
                <w:sz w:val="1"/>
                <w:szCs w:val="1"/>
                <w:color w:val="auto"/>
              </w:rPr>
            </w:pPr>
          </w:p>
        </w:tc>
      </w:tr>
      <w:tr>
        <w:trPr>
          <w:trHeight w:val="18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Contingencies, Commitments and Guarantees (Note 13)</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Brighthouse Financial, Inc.’s stockholders’ equity:</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par value $0.01 per share; $1,753 aggregate liquidation preference</w:t>
            </w:r>
          </w:p>
        </w:tc>
        <w:tc>
          <w:tcPr>
            <w:tcW w:w="26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772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Common stock, par value $0.01 per share; 1,000,000,000 shares authorized; 124,019,538 and 123,480,326 shares issued,</w:t>
            </w:r>
          </w:p>
        </w:tc>
        <w:tc>
          <w:tcPr>
            <w:tcW w:w="26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respectively; 57,122,494 and 58,629,049 shares outstanding, respectively</w:t>
            </w:r>
          </w:p>
        </w:tc>
        <w:tc>
          <w:tcPr>
            <w:tcW w:w="26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13,927</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 (deficit)</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at cost; 66,897,044 and 64,851,277 shares, respectively</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w:t>
            </w:r>
          </w:p>
        </w:tc>
        <w:tc>
          <w:tcPr>
            <w:tcW w:w="0" w:type="dxa"/>
            <w:vAlign w:val="bottom"/>
          </w:tcPr>
          <w:p>
            <w:pPr>
              <w:spacing w:after="0"/>
              <w:rPr>
                <w:sz w:val="1"/>
                <w:szCs w:val="1"/>
                <w:color w:val="auto"/>
              </w:rPr>
            </w:pPr>
          </w:p>
        </w:tc>
      </w:tr>
      <w:tr>
        <w:trPr>
          <w:trHeight w:val="185"/>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Brighthouse Financial, Inc.’s stockholders’ equity</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4,959</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5"/>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equity</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5,024</w:t>
            </w:r>
          </w:p>
        </w:tc>
        <w:tc>
          <w:tcPr>
            <w:tcW w:w="0" w:type="dxa"/>
            <w:vAlign w:val="bottom"/>
          </w:tcPr>
          <w:p>
            <w:pPr>
              <w:spacing w:after="0"/>
              <w:rPr>
                <w:sz w:val="1"/>
                <w:szCs w:val="1"/>
                <w:color w:val="auto"/>
              </w:rPr>
            </w:pPr>
          </w:p>
        </w:tc>
      </w:tr>
      <w:tr>
        <w:trPr>
          <w:trHeight w:val="224"/>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242,645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238,537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Operations and Comprehensive Income (Loss)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Three Months and Six Months Ended June 30, 2025 and 2024 (Unaudited)</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620" w:type="dxa"/>
            <w:vAlign w:val="bottom"/>
            <w:gridSpan w:val="4"/>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gridSpan w:val="5"/>
            <w:vMerge w:val="continue"/>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7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0" w:type="dxa"/>
            <w:vAlign w:val="bottom"/>
          </w:tcPr>
          <w:p>
            <w:pPr>
              <w:spacing w:after="0"/>
              <w:rPr>
                <w:sz w:val="1"/>
                <w:szCs w:val="1"/>
                <w:color w:val="auto"/>
              </w:rPr>
            </w:pPr>
          </w:p>
        </w:tc>
      </w:tr>
      <w:tr>
        <w:trPr>
          <w:trHeight w:val="203"/>
        </w:trPr>
        <w:tc>
          <w:tcPr>
            <w:tcW w:w="7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19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36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$0, $0, $0, and $0,</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642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0" w:type="dxa"/>
            <w:vAlign w:val="bottom"/>
          </w:tcPr>
          <w:p>
            <w:pPr>
              <w:spacing w:after="0"/>
              <w:rPr>
                <w:sz w:val="1"/>
                <w:szCs w:val="1"/>
                <w:color w:val="auto"/>
              </w:rPr>
            </w:pPr>
          </w:p>
        </w:tc>
      </w:tr>
      <w:tr>
        <w:trPr>
          <w:trHeight w:val="210"/>
        </w:trPr>
        <w:tc>
          <w:tcPr>
            <w:tcW w:w="7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policy acquisition costs and value of business acquired</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07"/>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03"/>
        </w:trPr>
        <w:tc>
          <w:tcPr>
            <w:tcW w:w="7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4"/>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7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1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7"/>
        </w:trPr>
        <w:tc>
          <w:tcPr>
            <w:tcW w:w="7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2"/>
        </w:trPr>
        <w:tc>
          <w:tcPr>
            <w:tcW w:w="7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income (loss) attributable to Brighthouse Financial, Inc.</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24"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Equity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and Six Months Ended June 30, 2025 and 2024 (Unaudited)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Brighthouse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Financial, Inc.’s</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8"/>
              <w:spacing w:after="0" w:line="133"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1"/>
                <w:szCs w:val="11"/>
                <w:color w:val="auto"/>
              </w:rPr>
            </w:pPr>
          </w:p>
        </w:tc>
        <w:tc>
          <w:tcPr>
            <w:tcW w:w="56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Stock at Cost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560" w:type="dxa"/>
            <w:vAlign w:val="bottom"/>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71"/>
        </w:trPr>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2024</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13,927</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(2,572)</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(5,278)</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5,024</w:t>
            </w:r>
          </w:p>
        </w:tc>
        <w:tc>
          <w:tcPr>
            <w:tcW w:w="0" w:type="dxa"/>
            <w:vAlign w:val="bottom"/>
          </w:tcPr>
          <w:p>
            <w:pPr>
              <w:spacing w:after="0"/>
              <w:rPr>
                <w:sz w:val="1"/>
                <w:szCs w:val="1"/>
                <w:color w:val="auto"/>
              </w:rPr>
            </w:pPr>
          </w:p>
        </w:tc>
      </w:tr>
      <w:tr>
        <w:trPr>
          <w:trHeight w:val="119"/>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Treasury stock acquired in connection with</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Dividends on 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noncontrolling interests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0" w:type="dxa"/>
            <w:vAlign w:val="bottom"/>
          </w:tcPr>
          <w:p>
            <w:pPr>
              <w:spacing w:after="0"/>
              <w:rPr>
                <w:sz w:val="1"/>
                <w:szCs w:val="1"/>
                <w:color w:val="auto"/>
              </w:rPr>
            </w:pPr>
          </w:p>
        </w:tc>
      </w:tr>
      <w:tr>
        <w:trPr>
          <w:trHeight w:val="125"/>
        </w:trPr>
        <w:tc>
          <w:tcPr>
            <w:tcW w:w="24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Other comprehensive income (loss), net of</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income tax</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w:t>
            </w:r>
          </w:p>
        </w:tc>
        <w:tc>
          <w:tcPr>
            <w:tcW w:w="0" w:type="dxa"/>
            <w:vAlign w:val="bottom"/>
          </w:tcPr>
          <w:p>
            <w:pPr>
              <w:spacing w:after="0"/>
              <w:rPr>
                <w:sz w:val="1"/>
                <w:szCs w:val="1"/>
                <w:color w:val="auto"/>
              </w:rPr>
            </w:pPr>
          </w:p>
        </w:tc>
      </w:tr>
      <w:tr>
        <w:trPr>
          <w:trHeight w:val="159"/>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Balance at March 31, 2025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13,939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5,304</w:t>
            </w:r>
          </w:p>
        </w:tc>
        <w:tc>
          <w:tcPr>
            <w:tcW w:w="0" w:type="dxa"/>
            <w:vAlign w:val="bottom"/>
          </w:tcPr>
          <w:p>
            <w:pPr>
              <w:spacing w:after="0"/>
              <w:rPr>
                <w:sz w:val="1"/>
                <w:szCs w:val="1"/>
                <w:color w:val="auto"/>
              </w:rPr>
            </w:pPr>
          </w:p>
        </w:tc>
      </w:tr>
      <w:tr>
        <w:trPr>
          <w:trHeight w:val="125"/>
        </w:trPr>
        <w:tc>
          <w:tcPr>
            <w:tcW w:w="24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Treasury stock acquired in connection with</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Dividends on preferred stock</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Change in noncontrolling 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0" w:type="dxa"/>
            <w:vAlign w:val="bottom"/>
          </w:tcPr>
          <w:p>
            <w:pPr>
              <w:spacing w:after="0"/>
              <w:rPr>
                <w:sz w:val="1"/>
                <w:szCs w:val="1"/>
                <w:color w:val="auto"/>
              </w:rPr>
            </w:pPr>
          </w:p>
        </w:tc>
      </w:tr>
      <w:tr>
        <w:trPr>
          <w:trHeight w:val="119"/>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Other comprehensive income (loss), net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income tax</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0" w:type="dxa"/>
            <w:vAlign w:val="bottom"/>
          </w:tcPr>
          <w:p>
            <w:pPr>
              <w:spacing w:after="0"/>
              <w:rPr>
                <w:sz w:val="1"/>
                <w:szCs w:val="1"/>
                <w:color w:val="auto"/>
              </w:rPr>
            </w:pPr>
          </w:p>
        </w:tc>
      </w:tr>
      <w:tr>
        <w:trPr>
          <w:trHeight w:val="191"/>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June 30, 2025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13,918</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(1,302)</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(2,687)</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(4,257)</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5,738</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Brighthouse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Financial, Inc.’s</w:t>
            </w:r>
          </w:p>
        </w:tc>
        <w:tc>
          <w:tcPr>
            <w:tcW w:w="12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0"/>
                <w:szCs w:val="10"/>
                <w:color w:val="auto"/>
              </w:rPr>
            </w:pPr>
          </w:p>
        </w:tc>
        <w:tc>
          <w:tcPr>
            <w:tcW w:w="56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Stock at Cost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560" w:type="dxa"/>
            <w:vAlign w:val="bottom"/>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3"/>
        </w:trPr>
        <w:tc>
          <w:tcPr>
            <w:tcW w:w="2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14,004</w:t>
            </w:r>
          </w:p>
        </w:tc>
        <w:tc>
          <w:tcPr>
            <w:tcW w:w="1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(2,309)</w:t>
            </w:r>
          </w:p>
        </w:tc>
        <w:tc>
          <w:tcPr>
            <w:tcW w:w="1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5,008</w:t>
            </w:r>
          </w:p>
        </w:tc>
        <w:tc>
          <w:tcPr>
            <w:tcW w:w="0" w:type="dxa"/>
            <w:vAlign w:val="bottom"/>
          </w:tcPr>
          <w:p>
            <w:pPr>
              <w:spacing w:after="0"/>
              <w:rPr>
                <w:sz w:val="1"/>
                <w:szCs w:val="1"/>
                <w:color w:val="auto"/>
              </w:rPr>
            </w:pPr>
          </w:p>
        </w:tc>
      </w:tr>
      <w:tr>
        <w:trPr>
          <w:trHeight w:val="119"/>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Treasury stock acquired in connection with</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Dividends on 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noncontrolling interests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0" w:type="dxa"/>
            <w:vAlign w:val="bottom"/>
          </w:tcPr>
          <w:p>
            <w:pPr>
              <w:spacing w:after="0"/>
              <w:rPr>
                <w:sz w:val="1"/>
                <w:szCs w:val="1"/>
                <w:color w:val="auto"/>
              </w:rPr>
            </w:pPr>
          </w:p>
        </w:tc>
      </w:tr>
      <w:tr>
        <w:trPr>
          <w:trHeight w:val="125"/>
        </w:trPr>
        <w:tc>
          <w:tcPr>
            <w:tcW w:w="24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Other comprehensive income (loss), net of</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income tax</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0" w:type="dxa"/>
            <w:vAlign w:val="bottom"/>
          </w:tcPr>
          <w:p>
            <w:pPr>
              <w:spacing w:after="0"/>
              <w:rPr>
                <w:sz w:val="1"/>
                <w:szCs w:val="1"/>
                <w:color w:val="auto"/>
              </w:rPr>
            </w:pPr>
          </w:p>
        </w:tc>
      </w:tr>
      <w:tr>
        <w:trPr>
          <w:trHeight w:val="159"/>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Balance at March 31, 2024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4,260</w:t>
            </w:r>
          </w:p>
        </w:tc>
        <w:tc>
          <w:tcPr>
            <w:tcW w:w="0" w:type="dxa"/>
            <w:vAlign w:val="bottom"/>
          </w:tcPr>
          <w:p>
            <w:pPr>
              <w:spacing w:after="0"/>
              <w:rPr>
                <w:sz w:val="1"/>
                <w:szCs w:val="1"/>
                <w:color w:val="auto"/>
              </w:rPr>
            </w:pPr>
          </w:p>
        </w:tc>
      </w:tr>
      <w:tr>
        <w:trPr>
          <w:trHeight w:val="125"/>
        </w:trPr>
        <w:tc>
          <w:tcPr>
            <w:tcW w:w="24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Treasury stock acquired in connection with</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Dividends on preferred stock</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66"/>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Change in noncontrolling interests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19"/>
        </w:trPr>
        <w:tc>
          <w:tcPr>
            <w:tcW w:w="244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Other comprehensive income (loss), net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income tax</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91"/>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June 30, 2024</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13,972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(1,966)</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(5,419)</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4,141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4,206</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6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and 2024 (Unaudited)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7"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5"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60" w:type="dxa"/>
            <w:vAlign w:val="bottom"/>
          </w:tcPr>
          <w:p>
            <w:pPr>
              <w:spacing w:after="0"/>
              <w:rPr>
                <w:sz w:val="17"/>
                <w:szCs w:val="17"/>
                <w:color w:val="auto"/>
              </w:rPr>
            </w:pPr>
          </w:p>
        </w:tc>
        <w:tc>
          <w:tcPr>
            <w:tcW w:w="116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66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9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16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72"/>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maturities and repayments of:</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5,550</w:t>
            </w:r>
          </w:p>
        </w:tc>
      </w:tr>
      <w:tr>
        <w:trPr>
          <w:trHeight w:val="20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securities</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w:t>
            </w:r>
          </w:p>
        </w:tc>
      </w:tr>
      <w:tr>
        <w:trPr>
          <w:trHeight w:val="20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securities</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received in connection with freestanding derivatives</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5,627</w:t>
            </w: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in connection with freestanding derivatives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w:t>
            </w: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policy loans</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short-term investments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other invested assets</w:t>
            </w:r>
          </w:p>
        </w:tc>
        <w:tc>
          <w:tcPr>
            <w:tcW w:w="1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85"/>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w:t>
            </w:r>
          </w:p>
        </w:tc>
      </w:tr>
      <w:tr>
        <w:trPr>
          <w:trHeight w:val="18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20,632</w:t>
            </w:r>
          </w:p>
        </w:tc>
      </w:tr>
      <w:tr>
        <w:trPr>
          <w:trHeight w:val="191"/>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Withdrawals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(18,009)</w:t>
            </w: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payables for collateral under securities loaned and other transactions</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repaid</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acquired in connection with share repurchases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20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element on certain derivative instruments and other derivative related transactions, net</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92"/>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w:t>
            </w:r>
          </w:p>
        </w:tc>
      </w:tr>
      <w:tr>
        <w:trPr>
          <w:trHeight w:val="185"/>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w:t>
            </w:r>
          </w:p>
        </w:tc>
      </w:tr>
      <w:tr>
        <w:trPr>
          <w:trHeight w:val="199"/>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116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4,441</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paid (received) for:</w:t>
            </w: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1"/>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116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w:t>
            </w:r>
          </w:p>
        </w:tc>
        <w:tc>
          <w:tcPr>
            <w:tcW w:w="116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7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60"/>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1. Business, Basis of Presentation and Summary of Significant Accounting Policies </w:t>
      </w:r>
      <w:r>
        <w:rPr>
          <w:rFonts w:ascii="Times New Roman" w:cs="Times New Roman" w:eastAsia="Times New Roman" w:hAnsi="Times New Roman"/>
          <w:sz w:val="18"/>
          <w:szCs w:val="18"/>
          <w:b w:val="1"/>
          <w:bCs w:val="1"/>
          <w:i w:val="1"/>
          <w:iCs w:val="1"/>
          <w:color w:val="auto"/>
        </w:rPr>
        <w:t>Business</w:t>
      </w:r>
    </w:p>
    <w:p>
      <w:pPr>
        <w:spacing w:after="0" w:line="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Brighthouse Financial, Inc. (“BHF” and, together with its subsidiaries, “Brighthouse Financial” or the “Company”) is a holding company formed in 2016 to own the legal entities that historically operated a substantial portion of MetLife, Inc.’s former retail segment until becoming a separate, publicly-traded company in August 2017. Brighthouse Financial is one of the largest providers of annuity and life insurance products in the U.S. through multiple independent distribution channels and marketing arrangements with a diverse network of distribution partners. The Company is organized into the following reportable segments: Annuities; Life; Run-off; and Corporate &amp; Other.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Consolidation</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Brighthouse Financial, as well as partnerships and limited liability companies (“LLC”) that the Company controls. Intercompany accounts and transactions have been eliminated.</w:t>
      </w:r>
    </w:p>
    <w:p>
      <w:pPr>
        <w:spacing w:after="0" w:line="57"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74"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2024 consolidated balance sheet data was derived from audited consolidated financial statements included in Brighthouse Financial, Inc.’s Annual Report on Form 10-K for the year ended December 31, 2024 (the “2024 Annual Report”), which include all disclosures required by GAAP. Therefore, these interim condensed consolidated financial statements should be read in conjunction with the consolidated financial statements of the Company included in the 2024 Annual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establishment of a trading portfolio comprised of fixed income securities (classified as “trading securities” under GAAP), the Company updated its impacted accounting policies as described below. See Note 1 of the Notes to the Consolidated Financial Statements included in the 2024 Annual Report for a description of the Company’s accounting policies that did not change.</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Trading Securities</w:t>
      </w:r>
    </w:p>
    <w:p>
      <w:pPr>
        <w:spacing w:after="0" w:line="113" w:lineRule="exact"/>
        <w:rPr>
          <w:sz w:val="20"/>
          <w:szCs w:val="20"/>
          <w:color w:val="auto"/>
        </w:rPr>
      </w:pPr>
    </w:p>
    <w:p>
      <w:pPr>
        <w:ind w:left="320" w:firstLine="318"/>
        <w:spacing w:after="0" w:line="304" w:lineRule="auto"/>
        <w:rPr>
          <w:sz w:val="20"/>
          <w:szCs w:val="20"/>
          <w:color w:val="auto"/>
        </w:rPr>
      </w:pPr>
      <w:r>
        <w:rPr>
          <w:rFonts w:ascii="Times New Roman" w:cs="Times New Roman" w:eastAsia="Times New Roman" w:hAnsi="Times New Roman"/>
          <w:sz w:val="17"/>
          <w:szCs w:val="17"/>
          <w:color w:val="auto"/>
        </w:rPr>
        <w:t>The Company’s trading securities consist primarily of fixed maturity securities and are reported at their estimated fair value. Realized and unrealized investment gains (losses) on trading securities are recorded in net investment income on the interim 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June 30, 2025.</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Future Adoption of New Accounting Pronouncements</w:t>
      </w:r>
    </w:p>
    <w:p>
      <w:pPr>
        <w:spacing w:after="0" w:line="113" w:lineRule="exact"/>
        <w:rPr>
          <w:sz w:val="20"/>
          <w:szCs w:val="20"/>
          <w:color w:val="auto"/>
        </w:rPr>
      </w:pPr>
    </w:p>
    <w:p>
      <w:pPr>
        <w:jc w:val="both"/>
        <w:ind w:left="160" w:firstLine="318"/>
        <w:spacing w:after="0" w:line="271" w:lineRule="auto"/>
        <w:rPr>
          <w:sz w:val="20"/>
          <w:szCs w:val="20"/>
          <w:color w:val="auto"/>
        </w:rPr>
      </w:pPr>
      <w:r>
        <w:rPr>
          <w:rFonts w:ascii="Times New Roman" w:cs="Times New Roman" w:eastAsia="Times New Roman" w:hAnsi="Times New Roman"/>
          <w:sz w:val="17"/>
          <w:szCs w:val="17"/>
          <w:color w:val="auto"/>
        </w:rPr>
        <w:t xml:space="preserve">In November 2024, the FASB issued new guidance on income statement expense disclosures (ASU 2024-03, </w:t>
      </w:r>
      <w:r>
        <w:rPr>
          <w:rFonts w:ascii="Times New Roman" w:cs="Times New Roman" w:eastAsia="Times New Roman" w:hAnsi="Times New Roman"/>
          <w:sz w:val="17"/>
          <w:szCs w:val="17"/>
          <w:i w:val="1"/>
          <w:iCs w:val="1"/>
          <w:color w:val="auto"/>
        </w:rPr>
        <w:t>Income Statement—Reporting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Comprehensive Income—Expense Disaggregation Disclosures (Subtopic 220-40)</w:t>
      </w:r>
      <w:r>
        <w:rPr>
          <w:rFonts w:ascii="Times New Roman" w:cs="Times New Roman" w:eastAsia="Times New Roman" w:hAnsi="Times New Roman"/>
          <w:sz w:val="17"/>
          <w:szCs w:val="17"/>
          <w:color w:val="auto"/>
        </w:rPr>
        <w:t>: Disaggregation of Income Statement Expenses). This ASU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companies to disclose additional disaggregated information about expenses in the notes to financial statements at each interim and annual reporting period. This ASU is effective for fiscal years starting January 1, 2027, and for interim periods starting January 1, 2028. This ASU is required to be adopted prospectively with the option of retrospective application. The Company is currently evaluating the impact of this guidance on its financial statements.</w:t>
      </w:r>
    </w:p>
    <w:p>
      <w:pPr>
        <w:spacing w:after="0" w:line="62" w:lineRule="exact"/>
        <w:rPr>
          <w:sz w:val="20"/>
          <w:szCs w:val="20"/>
          <w:color w:val="auto"/>
        </w:rPr>
      </w:pPr>
    </w:p>
    <w:p>
      <w:pPr>
        <w:jc w:val="both"/>
        <w:ind w:left="160"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new guidance on Income Tax Disclosures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ASU updates the required income tax disclosures to include disclosure of income taxes paid disaggregated by jurisdiction and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information in the required rate reconciliation. This ASU is effective for annual periods starting with fiscal year 2025 and will be applied on a prospective basis with the option of retrospective application. This ASU has no impact on the Company’s consolidated financial statements but will result in expanded disclosures in the Notes to the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organized into and provides its products and services through the following reportable segments: Annuities; Life; Run-off; and Corporate &amp; Other. The Company’s chief operating decision maker (“CODM”) views and manages the business through these segments.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15"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Life segment consists of insurance products, including term, universal, whole and variable life products designed to address policyholders’ needs for financial security and protected wealth transfer, which may be on a tax-advantaged basis.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15" w:lineRule="exact"/>
        <w:rPr>
          <w:sz w:val="20"/>
          <w:szCs w:val="20"/>
          <w:color w:val="auto"/>
        </w:rPr>
      </w:pPr>
    </w:p>
    <w:p>
      <w:pPr>
        <w:jc w:val="both"/>
        <w:ind w:left="160" w:firstLine="318"/>
        <w:spacing w:after="0" w:line="304" w:lineRule="auto"/>
        <w:rPr>
          <w:sz w:val="20"/>
          <w:szCs w:val="20"/>
          <w:color w:val="auto"/>
        </w:rPr>
      </w:pPr>
      <w:r>
        <w:rPr>
          <w:rFonts w:ascii="Times New Roman" w:cs="Times New Roman" w:eastAsia="Times New Roman" w:hAnsi="Times New Roman"/>
          <w:sz w:val="17"/>
          <w:szCs w:val="17"/>
          <w:color w:val="auto"/>
        </w:rPr>
        <w:t>The Run-off segment consists primarily of products that are no longer actively sold and are separately managed, including universal life with secondary guarantees (“ULSG”), structured settlements, pension risk transfer contracts, certain company-owned life insurance policies and certain funding agreements.</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&amp; Other</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Corporate &amp; Other segment consists of activities related to funding agreements associated with the Company’s institutional spread margin business, excess capital not allocated to the other segments, interest expense related to the Company’s outstanding debt, and preferred stock dividends, as well as expenses associated with certain legal proceedings and income tax audit issues. The Corporate &amp; Other segment also includes long-term care business reinsured through 100% quota share reinsurance agreements.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Measure and Segment Accounting Policies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CODM is its Chief Executive Officer (“CEO”). The CEO uses adjusted earnings to evaluate segment performance and facilitate comparisons to industry results.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spacing w:after="0" w:line="7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Adjusted earnings, which may be positive or negative, focuses on the Company’s primary businesses by excluding the impact of market volatility, which could distort trends. Adjusted earnings was updated during the first quarter of 2025 in connection with the establishment of a trading portfolio comprised of certain fixed income securities (classified as “trading securities” under GAAP). The Company did not have trading securities prior to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market risk benefits (“MRB”);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spacing w:after="0" w:line="7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Annuities, Life and Run-off segments, if any, are held in the Corporate &amp; Other segment. Segment net investment income reflects the performance of each segment’s respective invested assets.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tables below provide information about the Company’s segments, including significant segment expenses, and reconciliations to Net income (loss) available to common shareholders.</w:t>
      </w:r>
    </w:p>
    <w:p>
      <w:pPr>
        <w:spacing w:after="0" w:line="19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p>
      <w:pPr>
        <w:spacing w:after="0" w:line="29" w:lineRule="exact"/>
        <w:rPr>
          <w:sz w:val="20"/>
          <w:szCs w:val="20"/>
          <w:color w:val="auto"/>
        </w:rPr>
      </w:pPr>
    </w:p>
    <w:tbl>
      <w:tblPr>
        <w:tblLayout w:type="fixed"/>
        <w:tblInd w:w="5800" w:type="dxa"/>
        <w:tblCellMar>
          <w:top w:w="0" w:type="dxa"/>
          <w:left w:w="0" w:type="dxa"/>
          <w:bottom w:w="0" w:type="dxa"/>
          <w:right w:w="0" w:type="dxa"/>
        </w:tblCellMar>
      </w:tblPr>
      <w:tr>
        <w:trPr>
          <w:trHeight w:val="148"/>
        </w:trPr>
        <w:tc>
          <w:tcPr>
            <w:tcW w:w="11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90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tcBorders>
              <w:top w:val="single" w:sz="8" w:color="auto"/>
            </w:tcBorders>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160" w:type="dxa"/>
            <w:vAlign w:val="bottom"/>
            <w:tcBorders>
              <w:top w:val="single" w:sz="8" w:color="auto"/>
            </w:tcBorders>
          </w:tcPr>
          <w:p>
            <w:pPr>
              <w:jc w:val="center"/>
              <w:ind w:right="29"/>
              <w:spacing w:after="0" w:line="148"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98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240"/>
          </w:cols>
          <w:pgMar w:left="320" w:top="230" w:right="339" w:bottom="1440" w:gutter="0" w:footer="0" w:header="0"/>
        </w:sectPr>
      </w:pPr>
    </w:p>
    <w:tbl>
      <w:tblPr>
        <w:tblLayout w:type="fixed"/>
        <w:tblInd w:w="20" w:type="dxa"/>
        <w:tblCellMar>
          <w:top w:w="0" w:type="dxa"/>
          <w:left w:w="0" w:type="dxa"/>
          <w:bottom w:w="0" w:type="dxa"/>
          <w:right w:w="0" w:type="dxa"/>
        </w:tblCellMar>
      </w:tblP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780" w:type="dxa"/>
            <w:vAlign w:val="bottom"/>
          </w:tcPr>
          <w:p>
            <w:pPr>
              <w:ind w:left="220"/>
              <w:spacing w:after="0" w:line="164" w:lineRule="exact"/>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3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adjustments</w:t>
            </w:r>
          </w:p>
        </w:tc>
        <w:tc>
          <w:tcPr>
            <w:tcW w:w="3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expenses (2)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Adjusted earnings (loss)</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$1</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-3277235</wp:posOffset>
            </wp:positionV>
            <wp:extent cx="713486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-3007995</wp:posOffset>
            </wp:positionV>
            <wp:extent cx="713486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-2739390</wp:posOffset>
            </wp:positionV>
            <wp:extent cx="7134860" cy="235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-2368550</wp:posOffset>
            </wp:positionV>
            <wp:extent cx="713486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-2099310</wp:posOffset>
            </wp:positionV>
            <wp:extent cx="7134860"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-1830705</wp:posOffset>
            </wp:positionV>
            <wp:extent cx="7134860"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-1536065</wp:posOffset>
            </wp:positionV>
            <wp:extent cx="7134860" cy="168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-1233170</wp:posOffset>
            </wp:positionV>
            <wp:extent cx="7134860" cy="13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-829310</wp:posOffset>
            </wp:positionV>
            <wp:extent cx="7134860" cy="269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-425450</wp:posOffset>
            </wp:positionV>
            <wp:extent cx="7134860"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-156210</wp:posOffset>
            </wp:positionV>
            <wp:extent cx="7134860" cy="160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6"/>
          <w:szCs w:val="16"/>
          <w:color w:val="auto"/>
        </w:rPr>
        <w:t>871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198</w:t>
      </w:r>
    </w:p>
    <w:p>
      <w:pPr>
        <w:spacing w:after="0" w:line="200" w:lineRule="exact"/>
        <w:rPr>
          <w:sz w:val="20"/>
          <w:szCs w:val="20"/>
          <w:color w:val="auto"/>
        </w:rPr>
      </w:pPr>
    </w:p>
    <w:p>
      <w:pPr>
        <w:spacing w:after="0" w:line="30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(6)</w:t>
      </w:r>
    </w:p>
    <w:p>
      <w:pPr>
        <w:spacing w:after="0" w:line="25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color w:val="auto"/>
        </w:rPr>
        <w:t>(1,238)</w:t>
      </w:r>
    </w:p>
    <w:p>
      <w:pPr>
        <w:spacing w:after="0" w:line="4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1,101</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6</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38</w:t>
      </w:r>
    </w:p>
    <w:p>
      <w:pPr>
        <w:spacing w:after="0" w:line="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43180</wp:posOffset>
            </wp:positionV>
            <wp:extent cx="6394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10340" w:space="420"/>
            <w:col w:w="480"/>
          </w:cols>
          <w:pgMar w:left="320" w:top="230" w:right="339" w:bottom="1440" w:gutter="0" w:footer="0" w:header="0"/>
          <w:type w:val="continuous"/>
        </w:sectPr>
      </w:pPr>
    </w:p>
    <w:p>
      <w:pPr>
        <w:spacing w:after="0" w:line="69" w:lineRule="exact"/>
        <w:rPr>
          <w:sz w:val="20"/>
          <w:szCs w:val="20"/>
          <w:color w:val="auto"/>
        </w:rPr>
      </w:pPr>
    </w:p>
    <w:p>
      <w:pPr>
        <w:ind w:left="20"/>
        <w:spacing w:after="0"/>
        <w:tabs>
          <w:tab w:leader="none" w:pos="5800" w:val="left"/>
          <w:tab w:leader="none" w:pos="6480" w:val="left"/>
          <w:tab w:leader="none" w:pos="6900" w:val="left"/>
          <w:tab w:leader="none" w:pos="7660" w:val="left"/>
          <w:tab w:leader="none" w:pos="8000" w:val="left"/>
          <w:tab w:leader="none" w:pos="8700" w:val="left"/>
          <w:tab w:leader="none" w:pos="9120" w:val="left"/>
          <w:tab w:leader="none" w:pos="980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757</w:t>
        <w:tab/>
        <w:t>$</w:t>
      </w:r>
      <w:r>
        <w:rPr>
          <w:sz w:val="20"/>
          <w:szCs w:val="20"/>
          <w:color w:val="auto"/>
        </w:rPr>
        <w:tab/>
      </w:r>
      <w:r>
        <w:rPr>
          <w:rFonts w:ascii="Times New Roman" w:cs="Times New Roman" w:eastAsia="Times New Roman" w:hAnsi="Times New Roman"/>
          <w:sz w:val="16"/>
          <w:szCs w:val="16"/>
          <w:color w:val="auto"/>
        </w:rPr>
        <w:t>97</w:t>
        <w:tab/>
        <w:t>$</w:t>
      </w:r>
      <w:r>
        <w:rPr>
          <w:sz w:val="20"/>
          <w:szCs w:val="20"/>
          <w:color w:val="auto"/>
        </w:rPr>
        <w:tab/>
      </w:r>
      <w:r>
        <w:rPr>
          <w:rFonts w:ascii="Times New Roman" w:cs="Times New Roman" w:eastAsia="Times New Roman" w:hAnsi="Times New Roman"/>
          <w:sz w:val="16"/>
          <w:szCs w:val="16"/>
          <w:color w:val="auto"/>
        </w:rPr>
        <w:t>283</w:t>
        <w:tab/>
        <w:t>$</w:t>
      </w:r>
      <w:r>
        <w:rPr>
          <w:sz w:val="20"/>
          <w:szCs w:val="20"/>
          <w:color w:val="auto"/>
        </w:rPr>
        <w:tab/>
      </w: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p>
      <w:pPr>
        <w:spacing w:after="0" w:line="29" w:lineRule="exact"/>
        <w:rPr>
          <w:sz w:val="20"/>
          <w:szCs w:val="20"/>
          <w:color w:val="auto"/>
        </w:rPr>
      </w:pPr>
    </w:p>
    <w:tbl>
      <w:tblPr>
        <w:tblLayout w:type="fixed"/>
        <w:tblInd w:w="5800" w:type="dxa"/>
        <w:tblCellMar>
          <w:top w:w="0" w:type="dxa"/>
          <w:left w:w="0" w:type="dxa"/>
          <w:bottom w:w="0" w:type="dxa"/>
          <w:right w:w="0" w:type="dxa"/>
        </w:tblCellMar>
      </w:tblPr>
      <w:tr>
        <w:trPr>
          <w:trHeight w:val="148"/>
        </w:trPr>
        <w:tc>
          <w:tcPr>
            <w:tcW w:w="11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90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tcBorders>
              <w:top w:val="single" w:sz="8" w:color="auto"/>
            </w:tcBorders>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160" w:type="dxa"/>
            <w:vAlign w:val="bottom"/>
            <w:tcBorders>
              <w:top w:val="single" w:sz="8" w:color="auto"/>
            </w:tcBorders>
          </w:tcPr>
          <w:p>
            <w:pPr>
              <w:jc w:val="center"/>
              <w:ind w:right="29"/>
              <w:spacing w:after="0" w:line="148"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98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240"/>
          </w:cols>
          <w:pgMar w:left="320" w:top="230" w:right="339" w:bottom="1440" w:gutter="0" w:footer="0" w:header="0"/>
        </w:sectPr>
      </w:pPr>
    </w:p>
    <w:tbl>
      <w:tblPr>
        <w:tblLayout w:type="fixed"/>
        <w:tblInd w:w="20" w:type="dxa"/>
        <w:tblCellMar>
          <w:top w:w="0" w:type="dxa"/>
          <w:left w:w="0" w:type="dxa"/>
          <w:bottom w:w="0" w:type="dxa"/>
          <w:right w:w="0" w:type="dxa"/>
        </w:tblCellMar>
      </w:tblP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780" w:type="dxa"/>
            <w:vAlign w:val="bottom"/>
          </w:tcPr>
          <w:p>
            <w:pPr>
              <w:ind w:left="160"/>
              <w:spacing w:after="0" w:line="164" w:lineRule="exact"/>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3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adjustments</w:t>
            </w:r>
          </w:p>
        </w:tc>
        <w:tc>
          <w:tcPr>
            <w:tcW w:w="3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expenses (2)</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earnings (loss)</w:t>
            </w: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$9</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-3277235</wp:posOffset>
            </wp:positionV>
            <wp:extent cx="7134860"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-3007995</wp:posOffset>
            </wp:positionV>
            <wp:extent cx="7134860"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-2739390</wp:posOffset>
            </wp:positionV>
            <wp:extent cx="7134860" cy="235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-2368550</wp:posOffset>
            </wp:positionV>
            <wp:extent cx="7134860" cy="13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-2099310</wp:posOffset>
            </wp:positionV>
            <wp:extent cx="7134860" cy="134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-1830705</wp:posOffset>
            </wp:positionV>
            <wp:extent cx="7134860" cy="134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-1536065</wp:posOffset>
            </wp:positionV>
            <wp:extent cx="7134860" cy="168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-1233170</wp:posOffset>
            </wp:positionV>
            <wp:extent cx="7134860" cy="134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-829310</wp:posOffset>
            </wp:positionV>
            <wp:extent cx="7134860" cy="269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-425450</wp:posOffset>
            </wp:positionV>
            <wp:extent cx="7134860" cy="134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-156210</wp:posOffset>
            </wp:positionV>
            <wp:extent cx="7134860" cy="160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1,427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346</w:t>
      </w: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(120)</w:t>
      </w:r>
    </w:p>
    <w:p>
      <w:pPr>
        <w:spacing w:after="0" w:line="25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w:t>
      </w:r>
    </w:p>
    <w:p>
      <w:pPr>
        <w:spacing w:after="0" w:line="24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(671)</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356</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6</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92</w:t>
      </w:r>
    </w:p>
    <w:p>
      <w:pPr>
        <w:spacing w:after="0" w:line="4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43180</wp:posOffset>
            </wp:positionV>
            <wp:extent cx="6394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10340" w:space="480"/>
            <w:col w:w="420"/>
          </w:cols>
          <w:pgMar w:left="320" w:top="230" w:right="339" w:bottom="1440" w:gutter="0" w:footer="0" w:header="0"/>
          <w:type w:val="continuous"/>
        </w:sectPr>
      </w:pPr>
    </w:p>
    <w:p>
      <w:pPr>
        <w:spacing w:after="0" w:line="69" w:lineRule="exact"/>
        <w:rPr>
          <w:sz w:val="20"/>
          <w:szCs w:val="20"/>
          <w:color w:val="auto"/>
        </w:rPr>
      </w:pPr>
    </w:p>
    <w:p>
      <w:pPr>
        <w:ind w:left="20"/>
        <w:spacing w:after="0"/>
        <w:tabs>
          <w:tab w:leader="none" w:pos="5800" w:val="left"/>
          <w:tab w:leader="none" w:pos="6480" w:val="left"/>
          <w:tab w:leader="none" w:pos="6900" w:val="left"/>
          <w:tab w:leader="none" w:pos="7580" w:val="left"/>
          <w:tab w:leader="none" w:pos="8000" w:val="left"/>
          <w:tab w:leader="none" w:pos="8700" w:val="left"/>
          <w:tab w:leader="none" w:pos="9120" w:val="left"/>
          <w:tab w:leader="none" w:pos="980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702</w:t>
        <w:tab/>
        <w:t>$</w:t>
      </w:r>
      <w:r>
        <w:rPr>
          <w:sz w:val="20"/>
          <w:szCs w:val="20"/>
          <w:color w:val="auto"/>
        </w:rPr>
        <w:tab/>
      </w:r>
      <w:r>
        <w:rPr>
          <w:rFonts w:ascii="Times New Roman" w:cs="Times New Roman" w:eastAsia="Times New Roman" w:hAnsi="Times New Roman"/>
          <w:sz w:val="16"/>
          <w:szCs w:val="16"/>
          <w:color w:val="auto"/>
        </w:rPr>
        <w:t>121</w:t>
        <w:tab/>
        <w:t>$</w:t>
      </w:r>
      <w:r>
        <w:rPr>
          <w:sz w:val="20"/>
          <w:szCs w:val="20"/>
          <w:color w:val="auto"/>
        </w:rPr>
        <w:tab/>
      </w:r>
      <w:r>
        <w:rPr>
          <w:rFonts w:ascii="Times New Roman" w:cs="Times New Roman" w:eastAsia="Times New Roman" w:hAnsi="Times New Roman"/>
          <w:sz w:val="16"/>
          <w:szCs w:val="16"/>
          <w:color w:val="auto"/>
        </w:rPr>
        <w:t>315</w:t>
        <w:tab/>
        <w:t>$</w:t>
      </w:r>
      <w:r>
        <w:rPr>
          <w:sz w:val="20"/>
          <w:szCs w:val="20"/>
          <w:color w:val="auto"/>
        </w:rPr>
        <w:tab/>
      </w:r>
      <w:r>
        <w:rPr>
          <w:rFonts w:ascii="Times New Roman" w:cs="Times New Roman" w:eastAsia="Times New Roman" w:hAnsi="Times New Roman"/>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p>
      <w:pPr>
        <w:spacing w:after="0" w:line="29" w:lineRule="exact"/>
        <w:rPr>
          <w:sz w:val="20"/>
          <w:szCs w:val="20"/>
          <w:color w:val="auto"/>
        </w:rPr>
      </w:pPr>
    </w:p>
    <w:tbl>
      <w:tblPr>
        <w:tblLayout w:type="fixed"/>
        <w:tblInd w:w="5800" w:type="dxa"/>
        <w:tblCellMar>
          <w:top w:w="0" w:type="dxa"/>
          <w:left w:w="0" w:type="dxa"/>
          <w:bottom w:w="0" w:type="dxa"/>
          <w:right w:w="0" w:type="dxa"/>
        </w:tblCellMar>
      </w:tblPr>
      <w:tr>
        <w:trPr>
          <w:trHeight w:val="148"/>
        </w:trPr>
        <w:tc>
          <w:tcPr>
            <w:tcW w:w="114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90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tcBorders>
              <w:top w:val="single" w:sz="8" w:color="auto"/>
            </w:tcBorders>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160" w:type="dxa"/>
            <w:vAlign w:val="bottom"/>
            <w:tcBorders>
              <w:top w:val="single" w:sz="8" w:color="auto"/>
            </w:tcBorders>
          </w:tcPr>
          <w:p>
            <w:pPr>
              <w:jc w:val="center"/>
              <w:ind w:right="29"/>
              <w:spacing w:after="0" w:line="148"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98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11240"/>
          </w:cols>
          <w:pgMar w:left="320" w:top="230" w:right="339" w:bottom="1440" w:gutter="0" w:footer="0" w:header="0"/>
        </w:sectPr>
      </w:pPr>
    </w:p>
    <w:tbl>
      <w:tblPr>
        <w:tblLayout w:type="fixed"/>
        <w:tblInd w:w="20" w:type="dxa"/>
        <w:tblCellMar>
          <w:top w:w="0" w:type="dxa"/>
          <w:left w:w="0" w:type="dxa"/>
          <w:bottom w:w="0" w:type="dxa"/>
          <w:right w:w="0" w:type="dxa"/>
        </w:tblCellMar>
      </w:tblP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780" w:type="dxa"/>
            <w:vAlign w:val="bottom"/>
          </w:tcPr>
          <w:p>
            <w:pPr>
              <w:ind w:left="160"/>
              <w:spacing w:after="0" w:line="164" w:lineRule="exact"/>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3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adjustments</w:t>
            </w:r>
          </w:p>
        </w:tc>
        <w:tc>
          <w:tcPr>
            <w:tcW w:w="3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expenses (2)</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earnings (loss)</w:t>
            </w: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$1</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-3142615</wp:posOffset>
            </wp:positionV>
            <wp:extent cx="7134860" cy="134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-2873375</wp:posOffset>
            </wp:positionV>
            <wp:extent cx="7134860" cy="134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-2604135</wp:posOffset>
            </wp:positionV>
            <wp:extent cx="7134860" cy="2355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-2233930</wp:posOffset>
            </wp:positionV>
            <wp:extent cx="7134860" cy="134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-1964690</wp:posOffset>
            </wp:positionV>
            <wp:extent cx="7134860" cy="134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-1695450</wp:posOffset>
            </wp:positionV>
            <wp:extent cx="7134860" cy="134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-1401445</wp:posOffset>
            </wp:positionV>
            <wp:extent cx="7134860" cy="168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-1098550</wp:posOffset>
            </wp:positionV>
            <wp:extent cx="7134860" cy="134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-829310</wp:posOffset>
            </wp:positionV>
            <wp:extent cx="7134860" cy="269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-425450</wp:posOffset>
            </wp:positionV>
            <wp:extent cx="7134860" cy="134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-156210</wp:posOffset>
            </wp:positionV>
            <wp:extent cx="7134860" cy="160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3,261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433</w:t>
      </w:r>
    </w:p>
    <w:p>
      <w:pPr>
        <w:spacing w:after="0" w:line="200" w:lineRule="exact"/>
        <w:rPr>
          <w:sz w:val="20"/>
          <w:szCs w:val="20"/>
          <w:color w:val="auto"/>
        </w:rPr>
      </w:pPr>
    </w:p>
    <w:p>
      <w:pPr>
        <w:spacing w:after="0" w:line="30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(122)</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w:t>
      </w:r>
    </w:p>
    <w:p>
      <w:pPr>
        <w:spacing w:after="0" w:line="24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(927)</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208</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178</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43180</wp:posOffset>
            </wp:positionV>
            <wp:extent cx="6394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10340" w:space="480"/>
            <w:col w:w="420"/>
          </w:cols>
          <w:pgMar w:left="320" w:top="230" w:right="339" w:bottom="1440" w:gutter="0" w:footer="0" w:header="0"/>
          <w:type w:val="continuous"/>
        </w:sectPr>
      </w:pPr>
    </w:p>
    <w:p>
      <w:pPr>
        <w:spacing w:after="0" w:line="69" w:lineRule="exact"/>
        <w:rPr>
          <w:sz w:val="20"/>
          <w:szCs w:val="20"/>
          <w:color w:val="auto"/>
        </w:rPr>
      </w:pPr>
    </w:p>
    <w:p>
      <w:pPr>
        <w:ind w:left="20"/>
        <w:spacing w:after="0"/>
        <w:tabs>
          <w:tab w:leader="none" w:pos="5800" w:val="left"/>
          <w:tab w:leader="none" w:pos="6360" w:val="left"/>
          <w:tab w:leader="none" w:pos="6900" w:val="left"/>
          <w:tab w:leader="none" w:pos="7580" w:val="left"/>
          <w:tab w:leader="none" w:pos="8000" w:val="left"/>
          <w:tab w:leader="none" w:pos="8700" w:val="left"/>
          <w:tab w:leader="none" w:pos="9120" w:val="left"/>
          <w:tab w:leader="none" w:pos="980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1,510</w:t>
        <w:tab/>
        <w:t>$</w:t>
      </w:r>
      <w:r>
        <w:rPr>
          <w:sz w:val="20"/>
          <w:szCs w:val="20"/>
          <w:color w:val="auto"/>
        </w:rPr>
        <w:tab/>
      </w:r>
      <w:r>
        <w:rPr>
          <w:rFonts w:ascii="Times New Roman" w:cs="Times New Roman" w:eastAsia="Times New Roman" w:hAnsi="Times New Roman"/>
          <w:sz w:val="16"/>
          <w:szCs w:val="16"/>
          <w:color w:val="auto"/>
        </w:rPr>
        <w:t>204</w:t>
        <w:tab/>
        <w:t>$</w:t>
      </w:r>
      <w:r>
        <w:rPr>
          <w:sz w:val="20"/>
          <w:szCs w:val="20"/>
          <w:color w:val="auto"/>
        </w:rPr>
        <w:tab/>
      </w:r>
      <w:r>
        <w:rPr>
          <w:rFonts w:ascii="Times New Roman" w:cs="Times New Roman" w:eastAsia="Times New Roman" w:hAnsi="Times New Roman"/>
          <w:sz w:val="16"/>
          <w:szCs w:val="16"/>
          <w:color w:val="auto"/>
        </w:rPr>
        <w:t>555</w:t>
        <w:tab/>
        <w:t>$</w:t>
      </w:r>
      <w:r>
        <w:rPr>
          <w:sz w:val="20"/>
          <w:szCs w:val="20"/>
          <w:color w:val="auto"/>
        </w:rPr>
        <w:tab/>
      </w:r>
      <w:r>
        <w:rPr>
          <w:rFonts w:ascii="Times New Roman" w:cs="Times New Roman" w:eastAsia="Times New Roman" w:hAnsi="Times New Roman"/>
          <w:sz w:val="16"/>
          <w:szCs w:val="16"/>
          <w:color w:val="auto"/>
        </w:rPr>
        <w:t>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Segment expenses: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80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on debt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expenses (2)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2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$22</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32"/>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certain revenues are excluded from adjusted earnings (loss), including net investment gains (losses), investment gains (losses) on trading securities and net derivative gains (losses), excluding investment hedge adjustments.</w:t>
      </w:r>
    </w:p>
    <w:p>
      <w:pPr>
        <w:spacing w:after="0" w:line="57" w:lineRule="exact"/>
        <w:rPr>
          <w:rFonts w:ascii="Times New Roman" w:cs="Times New Roman" w:eastAsia="Times New Roman" w:hAnsi="Times New Roman"/>
          <w:sz w:val="18"/>
          <w:szCs w:val="18"/>
          <w:color w:val="auto"/>
        </w:rPr>
      </w:pPr>
    </w:p>
    <w:p>
      <w:pPr>
        <w:ind w:left="320" w:right="3960" w:hanging="314"/>
        <w:spacing w:after="0" w:line="458"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corporate expense allocations directly attributable to each of the segments. Total assets by segment were as follows at: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163,830</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26,261</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24,873</w:t>
            </w:r>
          </w:p>
        </w:tc>
      </w:tr>
      <w:tr>
        <w:trPr>
          <w:trHeight w:val="21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23,573</w:t>
            </w:r>
          </w:p>
        </w:tc>
      </w:tr>
      <w:tr>
        <w:trPr>
          <w:trHeight w:val="232"/>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242,645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238,537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premiums, universal life and investment-type product policy fees and other revenues by major product group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4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63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Annuity products</w:t>
            </w:r>
          </w:p>
        </w:tc>
        <w:tc>
          <w:tcPr>
            <w:tcW w:w="780" w:type="dxa"/>
            <w:vAlign w:val="bottom"/>
            <w:shd w:val="clear" w:color="auto" w:fill="CCEEFF"/>
          </w:tcPr>
          <w:p>
            <w:pPr>
              <w:jc w:val="right"/>
              <w:ind w:right="60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products</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products</w:t>
            </w:r>
          </w:p>
        </w:tc>
        <w:tc>
          <w:tcPr>
            <w:tcW w:w="7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7"/>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w:t>
            </w:r>
          </w:p>
        </w:tc>
      </w:tr>
      <w:tr>
        <w:trPr>
          <w:trHeight w:val="20"/>
        </w:trPr>
        <w:tc>
          <w:tcPr>
            <w:tcW w:w="6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Substantially all of the Company’s premiums, universal life and investment-type product policy fees and other revenues originated in the U.S.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Revenues derived from any individual customer did not exceed 10% of premiums, universal life and investment-type product policy fees and other revenues for the three months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for Future Policy Benefits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liability for future policy benefits (“LFPB”) for non-participating traditional and limited-payment contracts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Structured</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2"/>
                <w:szCs w:val="12"/>
                <w:b w:val="1"/>
                <w:bCs w:val="1"/>
                <w:color w:val="auto"/>
                <w:w w:val="99"/>
              </w:rPr>
              <w:t>Structured</w:t>
            </w: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Settlement and</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2"/>
                <w:szCs w:val="12"/>
                <w:b w:val="1"/>
                <w:bCs w:val="1"/>
                <w:color w:val="auto"/>
              </w:rPr>
              <w:t>Settlement and</w:t>
            </w: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Term and Whole</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Pension Risk</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Term and Whole</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2"/>
                <w:szCs w:val="12"/>
                <w:b w:val="1"/>
                <w:bCs w:val="1"/>
                <w:color w:val="auto"/>
              </w:rPr>
              <w:t>Pension Risk</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Life Insurance</w:t>
            </w: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Income Annuities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Transfer Annuities</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Life Insurance</w:t>
            </w:r>
          </w:p>
        </w:tc>
        <w:tc>
          <w:tcPr>
            <w:tcW w:w="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Income Annuities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Transfer Annuities</w:t>
            </w: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net premiums: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2,808</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2,974</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3,161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3,234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model refinements</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Adjusted beginning of period balance</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3,153</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3,257</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premiums collected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3,030</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3,166</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2,728</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2,825</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future policy benefits:</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5,325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6,118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5,507</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3,754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6,697</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6,876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7,085</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model refinements</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Adjusted beginning of period balance</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5,977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6,852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6,060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4,030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7,082</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85"/>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6,731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5,902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6,946</w:t>
            </w:r>
          </w:p>
        </w:tc>
        <w:tc>
          <w:tcPr>
            <w:tcW w:w="0" w:type="dxa"/>
            <w:vAlign w:val="bottom"/>
          </w:tcPr>
          <w:p>
            <w:pPr>
              <w:spacing w:after="0"/>
              <w:rPr>
                <w:sz w:val="1"/>
                <w:szCs w:val="1"/>
                <w:color w:val="auto"/>
              </w:rPr>
            </w:pPr>
          </w:p>
        </w:tc>
      </w:tr>
      <w:tr>
        <w:trPr>
          <w:trHeight w:val="19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99"/>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5,267</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3,866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6,053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5,214</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3,698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6,225</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2,539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6,053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2,389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3,698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6,225</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 end of period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2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 after reinsurance recoverable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2,512</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5,994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2,352</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3,668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6,164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years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years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years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years</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interest accretion rate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4.46 %</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discount rate</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5.56 %</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premiums or assessments recognized during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future gross premiums, undiscounted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5,663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5,953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future gross premiums, discounted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4,175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4,477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future benefit payments, undiscounted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7,896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5,900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13,031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8,163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5,809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13,483</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future benefit payments, discounted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5,822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6,731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5,902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6,946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the additional insurance liabilities for universal life-type contracts with secondary guarantees was as follows:</w:t>
      </w:r>
    </w:p>
    <w:p>
      <w:pPr>
        <w:spacing w:after="0" w:line="211"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5"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7560" w:type="dxa"/>
            <w:vAlign w:val="bottom"/>
          </w:tcPr>
          <w:p>
            <w:pPr>
              <w:spacing w:after="0"/>
              <w:rPr>
                <w:sz w:val="17"/>
                <w:szCs w:val="17"/>
                <w:color w:val="auto"/>
              </w:rPr>
            </w:pPr>
          </w:p>
        </w:tc>
        <w:tc>
          <w:tcPr>
            <w:tcW w:w="11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5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7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20" w:type="dxa"/>
            <w:vAlign w:val="bottom"/>
          </w:tcPr>
          <w:p>
            <w:pPr>
              <w:spacing w:after="0"/>
              <w:rPr>
                <w:sz w:val="15"/>
                <w:szCs w:val="15"/>
                <w:color w:val="auto"/>
              </w:rPr>
            </w:pPr>
          </w:p>
        </w:tc>
      </w:tr>
      <w:tr>
        <w:trPr>
          <w:trHeight w:val="38"/>
        </w:trPr>
        <w:tc>
          <w:tcPr>
            <w:tcW w:w="7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8,986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7,607</w:t>
            </w: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 before the effect of unrealized gains and losses</w:t>
            </w:r>
          </w:p>
        </w:tc>
        <w:tc>
          <w:tcPr>
            <w:tcW w:w="110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9,277</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7,784</w:t>
            </w:r>
          </w:p>
        </w:tc>
      </w:tr>
      <w:tr>
        <w:trPr>
          <w:trHeight w:val="214"/>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beginning of period balance</w:t>
            </w:r>
          </w:p>
        </w:tc>
        <w:tc>
          <w:tcPr>
            <w:tcW w:w="1100" w:type="dxa"/>
            <w:vAlign w:val="bottom"/>
          </w:tcPr>
          <w:p>
            <w:pPr>
              <w:spacing w:after="0"/>
              <w:rPr>
                <w:sz w:val="17"/>
                <w:szCs w:val="17"/>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9,360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7,851</w:t>
            </w:r>
          </w:p>
        </w:tc>
      </w:tr>
      <w:tr>
        <w:trPr>
          <w:trHeight w:val="214"/>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accrual</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190</w:t>
            </w:r>
          </w:p>
        </w:tc>
      </w:tr>
      <w:tr>
        <w:trPr>
          <w:trHeight w:val="210"/>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assessments collected</w:t>
            </w:r>
          </w:p>
        </w:tc>
        <w:tc>
          <w:tcPr>
            <w:tcW w:w="110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215</w:t>
            </w:r>
          </w:p>
        </w:tc>
      </w:tr>
      <w:tr>
        <w:trPr>
          <w:trHeight w:val="214"/>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Benefit payments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(201)</w:t>
            </w:r>
          </w:p>
        </w:tc>
      </w:tr>
      <w:tr>
        <w:trPr>
          <w:trHeight w:val="20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before the effect of unrealized gains and losses</w:t>
            </w:r>
          </w:p>
        </w:tc>
        <w:tc>
          <w:tcPr>
            <w:tcW w:w="1100" w:type="dxa"/>
            <w:vAlign w:val="bottom"/>
          </w:tcPr>
          <w:p>
            <w:pPr>
              <w:spacing w:after="0"/>
              <w:rPr>
                <w:sz w:val="17"/>
                <w:szCs w:val="17"/>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9,588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8,055</w:t>
            </w:r>
          </w:p>
        </w:tc>
      </w:tr>
      <w:tr>
        <w:trPr>
          <w:trHeight w:val="214"/>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unrealized gains and losses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(250)</w:t>
            </w:r>
          </w:p>
        </w:tc>
      </w:tr>
      <w:tr>
        <w:trPr>
          <w:trHeight w:val="20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100" w:type="dxa"/>
            <w:vAlign w:val="bottom"/>
          </w:tcPr>
          <w:p>
            <w:pPr>
              <w:spacing w:after="0"/>
              <w:rPr>
                <w:sz w:val="17"/>
                <w:szCs w:val="17"/>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9,336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7,805</w:t>
            </w: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Reinsurance recoverable, end of period</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1,567</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1,466</w:t>
            </w:r>
          </w:p>
        </w:tc>
      </w:tr>
      <w:tr>
        <w:trPr>
          <w:trHeight w:val="207"/>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additional liability, after reinsurance recoverable</w:t>
            </w:r>
          </w:p>
        </w:tc>
        <w:tc>
          <w:tcPr>
            <w:tcW w:w="110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7,769</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6,339</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duration of liability</w:t>
            </w: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years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years</w:t>
            </w: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interest accretion rate</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4.93 %</w:t>
            </w:r>
          </w:p>
        </w:tc>
      </w:tr>
      <w:tr>
        <w:trPr>
          <w:trHeight w:val="21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assessments recognized during period</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542</w:t>
            </w:r>
          </w:p>
        </w:tc>
      </w:tr>
    </w:tbl>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6"/>
                <w:szCs w:val="16"/>
                <w:color w:val="auto"/>
              </w:rPr>
            </w:pPr>
          </w:p>
        </w:tc>
      </w:tr>
      <w:tr>
        <w:trPr>
          <w:trHeight w:val="38"/>
        </w:trPr>
        <w:tc>
          <w:tcPr>
            <w:tcW w:w="77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7760" w:type="dxa"/>
            <w:vAlign w:val="bottom"/>
          </w:tcPr>
          <w:p>
            <w:pPr>
              <w:spacing w:after="0"/>
              <w:rPr>
                <w:sz w:val="15"/>
                <w:szCs w:val="15"/>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7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7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5"/>
                <w:szCs w:val="15"/>
                <w:color w:val="auto"/>
              </w:rPr>
            </w:pPr>
          </w:p>
        </w:tc>
      </w:tr>
      <w:tr>
        <w:trPr>
          <w:trHeight w:val="37"/>
        </w:trPr>
        <w:tc>
          <w:tcPr>
            <w:tcW w:w="7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reported in the preceding rollforward tables</w:t>
            </w:r>
          </w:p>
        </w:tc>
        <w:tc>
          <w:tcPr>
            <w:tcW w:w="10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21,794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20,117</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care insurance (1)</w:t>
            </w:r>
          </w:p>
        </w:tc>
        <w:tc>
          <w:tcPr>
            <w:tcW w:w="108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r>
      <w:tr>
        <w:trPr>
          <w:trHeight w:val="214"/>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ULSG liabilities, including liability for profits followed by losses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Participating whole life insurance (2)</w:t>
            </w:r>
          </w:p>
        </w:tc>
        <w:tc>
          <w:tcPr>
            <w:tcW w:w="1080" w:type="dxa"/>
            <w:vAlign w:val="bottom"/>
          </w:tcPr>
          <w:p>
            <w:pPr>
              <w:spacing w:after="0"/>
              <w:rPr>
                <w:sz w:val="18"/>
                <w:szCs w:val="18"/>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w:t>
            </w:r>
          </w:p>
        </w:tc>
      </w:tr>
      <w:tr>
        <w:trPr>
          <w:trHeight w:val="214"/>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profit liabilities</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21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32"/>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liability for future policy benefits</w:t>
            </w: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31,974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fully reinsured individual long-term care insurance. See Note 2.</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whole life insurance uses an interest assumption based on the non-forfeiture interest rate, ranging from 3.5% to 4.5%, and mortality rates guaranteed in calculating the cash surrender values described in such contracts, and also includes a liability for terminal dividends. Participating whole life insurance represented 3% of the Company’s life insurance in-force at both June 30, 2025 and 2024, and 39% and 41% of gross traditional life insurance premiums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policyholder account balances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0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Variable Annuities</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Company-Owned</w:t>
            </w:r>
          </w:p>
        </w:tc>
        <w:tc>
          <w:tcPr>
            <w:tcW w:w="0" w:type="dxa"/>
            <w:vAlign w:val="bottom"/>
          </w:tcPr>
          <w:p>
            <w:pPr>
              <w:spacing w:after="0"/>
              <w:rPr>
                <w:sz w:val="1"/>
                <w:szCs w:val="1"/>
                <w:color w:val="auto"/>
              </w:rPr>
            </w:pPr>
          </w:p>
        </w:tc>
      </w:tr>
      <w:tr>
        <w:trPr>
          <w:trHeight w:val="179"/>
        </w:trPr>
        <w:tc>
          <w:tcPr>
            <w:tcW w:w="3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Fixed Rate Annuities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Life Insurance (1)</w:t>
            </w:r>
          </w:p>
        </w:tc>
        <w:tc>
          <w:tcPr>
            <w:tcW w:w="0" w:type="dxa"/>
            <w:vAlign w:val="bottom"/>
          </w:tcPr>
          <w:p>
            <w:pPr>
              <w:spacing w:after="0"/>
              <w:rPr>
                <w:sz w:val="1"/>
                <w:szCs w:val="1"/>
                <w:color w:val="auto"/>
              </w:rPr>
            </w:pPr>
          </w:p>
        </w:tc>
      </w:tr>
      <w:tr>
        <w:trPr>
          <w:trHeight w:val="168"/>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3"/>
          </w:tcPr>
          <w:p>
            <w:pPr>
              <w:ind w:left="54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2,590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3,833</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48,605</w:t>
            </w:r>
          </w:p>
        </w:tc>
        <w:tc>
          <w:tcPr>
            <w:tcW w:w="10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14,665</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4,779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4,001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(3,547)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6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2,605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3,625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50,237</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14,619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4,619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0" w:type="dxa"/>
            <w:vAlign w:val="bottom"/>
          </w:tcPr>
          <w:p>
            <w:pPr>
              <w:spacing w:after="0"/>
              <w:rPr>
                <w:sz w:val="1"/>
                <w:szCs w:val="1"/>
                <w:color w:val="auto"/>
              </w:rPr>
            </w:pPr>
          </w:p>
        </w:tc>
      </w:tr>
      <w:tr>
        <w:trPr>
          <w:trHeight w:val="192"/>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41,627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14,672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6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4,236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(2,510)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2,605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46,089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14,726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1.88 %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1.29 %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0.85 %</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1.90 %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1.65 %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2.49 %</w:t>
            </w:r>
          </w:p>
        </w:tc>
        <w:tc>
          <w:tcPr>
            <w:tcW w:w="0" w:type="dxa"/>
            <w:vAlign w:val="bottom"/>
          </w:tcPr>
          <w:p>
            <w:pPr>
              <w:spacing w:after="0"/>
              <w:rPr>
                <w:sz w:val="1"/>
                <w:szCs w:val="1"/>
                <w:color w:val="auto"/>
              </w:rPr>
            </w:pPr>
          </w:p>
        </w:tc>
      </w:tr>
      <w:tr>
        <w:trPr>
          <w:trHeight w:val="269"/>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separate account products where the contract holder elected a general account investment option.</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effects of embedded derivatives related to index-linked crediting rates.</w:t>
      </w:r>
    </w:p>
    <w:p>
      <w:pPr>
        <w:spacing w:after="0" w:line="1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policyholder account balances reported in the preceding rollforward table to the liability for policyholder account balances on the consolidated balance sheets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6"/>
                <w:szCs w:val="16"/>
                <w:color w:val="auto"/>
              </w:rPr>
            </w:pP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5"/>
                <w:szCs w:val="15"/>
                <w:color w:val="auto"/>
              </w:rPr>
            </w:pPr>
          </w:p>
        </w:tc>
      </w:tr>
      <w:tr>
        <w:trPr>
          <w:trHeight w:val="38"/>
        </w:trPr>
        <w:tc>
          <w:tcPr>
            <w:tcW w:w="7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72,998</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Funding agreements classified as investment contracts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11,502</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Institutional group annuities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1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investment contract liabilities</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w:t>
            </w:r>
          </w:p>
        </w:tc>
      </w:tr>
      <w:tr>
        <w:trPr>
          <w:trHeight w:val="232"/>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policyholder account balances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88,046</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25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balance of account values by range of guaranteed minimum crediting rates and the related range of difference, in basis points, between rates being credited to policyholders and the respective guaranteed minimums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Guaranteed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 to 50 Basis Points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51 to 150 Basis</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Above</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Pr>
          <w:p>
            <w:pPr>
              <w:spacing w:after="0"/>
              <w:rPr>
                <w:sz w:val="16"/>
                <w:szCs w:val="16"/>
                <w:color w:val="auto"/>
              </w:rPr>
            </w:pPr>
          </w:p>
        </w:tc>
        <w:tc>
          <w:tcPr>
            <w:tcW w:w="10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4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Annuities (1):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8,035</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18,770</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1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Life insurance (2) (3):</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0" w:type="dxa"/>
            <w:vAlign w:val="bottom"/>
          </w:tcPr>
          <w:p>
            <w:pPr>
              <w:spacing w:after="0"/>
              <w:rPr>
                <w:sz w:val="1"/>
                <w:szCs w:val="1"/>
                <w:color w:val="auto"/>
              </w:rPr>
            </w:pPr>
          </w:p>
        </w:tc>
      </w:tr>
      <w:tr>
        <w:trPr>
          <w:trHeight w:val="232"/>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1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Annuities (1):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8,499</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18,979</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1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Life insurance (2) (3):</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0" w:type="dxa"/>
            <w:vAlign w:val="bottom"/>
          </w:tcPr>
          <w:p>
            <w:pPr>
              <w:spacing w:after="0"/>
              <w:rPr>
                <w:sz w:val="1"/>
                <w:szCs w:val="1"/>
                <w:color w:val="auto"/>
              </w:rPr>
            </w:pPr>
          </w:p>
        </w:tc>
      </w:tr>
      <w:tr>
        <w:trPr>
          <w:trHeight w:val="232"/>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fixed rate annuities and the fixed account portion of variable annuities.</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retained asset accounts, universal life policies and the fixed account portion of universal variable life insurance policies.</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gross of policy loans.</w:t>
      </w:r>
    </w:p>
    <w:p>
      <w:pPr>
        <w:spacing w:after="0" w:line="111"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for information regarding net amount at risk and cash surrender values.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 Risk Benefits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MRB assets and liabilities associated with variable annuities was as follows:</w:t>
      </w:r>
    </w:p>
    <w:p>
      <w:pPr>
        <w:spacing w:after="0" w:line="211"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5"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776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7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7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40" w:type="dxa"/>
            <w:vAlign w:val="bottom"/>
          </w:tcPr>
          <w:p>
            <w:pPr>
              <w:spacing w:after="0"/>
              <w:rPr>
                <w:sz w:val="15"/>
                <w:szCs w:val="15"/>
                <w:color w:val="auto"/>
              </w:rPr>
            </w:pPr>
          </w:p>
        </w:tc>
      </w:tr>
      <w:tr>
        <w:trPr>
          <w:trHeight w:val="38"/>
        </w:trPr>
        <w:tc>
          <w:tcPr>
            <w:tcW w:w="7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7,233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9,701</w:t>
            </w: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 before effect of changes in nonperformance risk</w:t>
            </w:r>
          </w:p>
        </w:tc>
        <w:tc>
          <w:tcPr>
            <w:tcW w:w="10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5,219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7,326</w:t>
            </w:r>
          </w:p>
        </w:tc>
      </w:tr>
      <w:tr>
        <w:trPr>
          <w:trHeight w:val="214"/>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Decrements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0"/>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actual different from expected experience</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4"/>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interest rates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r>
      <w:tr>
        <w:trPr>
          <w:trHeight w:val="210"/>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fund returns</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14"/>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risk margin</w:t>
            </w: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Aging of the block and other</w:t>
            </w:r>
          </w:p>
        </w:tc>
        <w:tc>
          <w:tcPr>
            <w:tcW w:w="10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 before effect of changes in nonperformance risk</w:t>
            </w:r>
          </w:p>
        </w:tc>
        <w:tc>
          <w:tcPr>
            <w:tcW w:w="100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5,197</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5,764</w:t>
            </w:r>
          </w:p>
        </w:tc>
      </w:tr>
      <w:tr>
        <w:trPr>
          <w:trHeight w:val="214"/>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nonperformance risk</w:t>
            </w:r>
          </w:p>
        </w:tc>
        <w:tc>
          <w:tcPr>
            <w:tcW w:w="10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000" w:type="dxa"/>
            <w:vAlign w:val="bottom"/>
          </w:tcPr>
          <w:p>
            <w:pPr>
              <w:spacing w:after="0"/>
              <w:rPr>
                <w:sz w:val="17"/>
                <w:szCs w:val="17"/>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6,960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7,813</w:t>
            </w:r>
          </w:p>
        </w:tc>
      </w:tr>
      <w:tr>
        <w:trPr>
          <w:trHeight w:val="212"/>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Reinsurance recoverable, end of period</w:t>
            </w:r>
          </w:p>
        </w:tc>
        <w:tc>
          <w:tcPr>
            <w:tcW w:w="10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 net of reinsurance (1)</w:t>
            </w:r>
          </w:p>
        </w:tc>
        <w:tc>
          <w:tcPr>
            <w:tcW w:w="100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6,945</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7,792</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attained age of contract holder</w:t>
            </w: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74.2 years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 years</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sum of MRB assets and MRB liabilities presented on the consolidated balance sheets at June 30, 2025 and 2024, with the exception of $22 million and $0, respectively, of index-linked annuities not included in this table.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Separate Accounts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separate account liabilities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8"/>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r>
      <w:tr>
        <w:trPr>
          <w:trHeight w:val="167"/>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Company-Owned</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Company-Owned</w:t>
            </w:r>
          </w:p>
        </w:tc>
      </w:tr>
      <w:tr>
        <w:trPr>
          <w:trHeight w:val="186"/>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6"/>
                <w:szCs w:val="16"/>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Life Insurance</w:t>
            </w:r>
          </w:p>
        </w:tc>
      </w:tr>
      <w:tr>
        <w:trPr>
          <w:trHeight w:val="38"/>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7"/>
        </w:trPr>
        <w:tc>
          <w:tcPr>
            <w:tcW w:w="3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 and deposits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Surrenders and withdrawals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payments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performance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 charges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4"/>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from (to) general account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2"/>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 (continued)</w:t>
      </w:r>
    </w:p>
    <w:p>
      <w:pPr>
        <w:spacing w:after="0" w:line="200" w:lineRule="exact"/>
        <w:rPr>
          <w:sz w:val="20"/>
          <w:szCs w:val="20"/>
          <w:color w:val="auto"/>
        </w:rPr>
      </w:pPr>
    </w:p>
    <w:p>
      <w:pPr>
        <w:spacing w:after="0" w:line="3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separate account liabilities reported in the preceding rollforward table to the separate account liabilities balance on the consolidated balance sheets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6"/>
                <w:szCs w:val="16"/>
                <w:color w:val="auto"/>
              </w:rPr>
            </w:pP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5"/>
                <w:szCs w:val="15"/>
                <w:color w:val="auto"/>
              </w:rPr>
            </w:pPr>
          </w:p>
        </w:tc>
      </w:tr>
      <w:tr>
        <w:trPr>
          <w:trHeight w:val="38"/>
        </w:trPr>
        <w:tc>
          <w:tcPr>
            <w:tcW w:w="7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88,020</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income annuities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risk transfer annuities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7"/>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separate account liabilities</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86,085</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88,260</w:t>
            </w:r>
          </w:p>
        </w:tc>
      </w:tr>
      <w:tr>
        <w:trPr>
          <w:trHeight w:val="20"/>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aggregate estimated fair value of assets, by major investment asset category, supporting separate accounts was as follows at: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r>
      <w:tr>
        <w:trPr>
          <w:trHeight w:val="181"/>
        </w:trPr>
        <w:tc>
          <w:tcPr>
            <w:tcW w:w="7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85,423</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2"/>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aggregate estimated fair value of assets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86,085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85,636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Amount at Risk and Cash Surrender Values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regarding the net amount at risk and cash surrender value for insurance products was as follows at: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Variable</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Fixed Rate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Company-Owned</w:t>
            </w:r>
          </w:p>
        </w:tc>
        <w:tc>
          <w:tcPr>
            <w:tcW w:w="0" w:type="dxa"/>
            <w:vAlign w:val="bottom"/>
          </w:tcPr>
          <w:p>
            <w:pPr>
              <w:spacing w:after="0"/>
              <w:rPr>
                <w:sz w:val="1"/>
                <w:szCs w:val="1"/>
                <w:color w:val="auto"/>
              </w:rPr>
            </w:pPr>
          </w:p>
        </w:tc>
      </w:tr>
      <w:tr>
        <w:trPr>
          <w:trHeight w:val="172"/>
        </w:trPr>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Life Insurance</w:t>
            </w:r>
          </w:p>
        </w:tc>
        <w:tc>
          <w:tcPr>
            <w:tcW w:w="0" w:type="dxa"/>
            <w:vAlign w:val="bottom"/>
          </w:tcPr>
          <w:p>
            <w:pPr>
              <w:spacing w:after="0"/>
              <w:rPr>
                <w:sz w:val="1"/>
                <w:szCs w:val="1"/>
                <w:color w:val="auto"/>
              </w:rPr>
            </w:pPr>
          </w:p>
        </w:tc>
      </w:tr>
      <w:tr>
        <w:trPr>
          <w:trHeight w:val="167"/>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6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18"/>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60" w:type="dxa"/>
            <w:vAlign w:val="bottom"/>
            <w:tcBorders>
              <w:top w:val="single" w:sz="8" w:color="CCEEFF"/>
            </w:tcBorders>
            <w:vMerge w:val="continue"/>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32,356</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62,652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0" w:type="dxa"/>
            <w:vAlign w:val="bottom"/>
          </w:tcPr>
          <w:p>
            <w:pPr>
              <w:spacing w:after="0"/>
              <w:rPr>
                <w:sz w:val="1"/>
                <w:szCs w:val="1"/>
                <w:color w:val="auto"/>
              </w:rPr>
            </w:pPr>
          </w:p>
        </w:tc>
      </w:tr>
      <w:tr>
        <w:trPr>
          <w:trHeight w:val="211"/>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4,914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2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0" w:type="dxa"/>
            <w:vAlign w:val="bottom"/>
          </w:tcPr>
          <w:p>
            <w:pPr>
              <w:spacing w:after="0"/>
              <w:rPr>
                <w:sz w:val="1"/>
                <w:szCs w:val="1"/>
                <w:color w:val="auto"/>
              </w:rPr>
            </w:pPr>
          </w:p>
        </w:tc>
      </w:tr>
      <w:tr>
        <w:trPr>
          <w:trHeight w:val="225"/>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83,566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46,089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2,926</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64,450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08"/>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8,224</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83,155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14,063</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Products may contain both separate account and general account fund options; accordingly, net amount at risk and cash surrender value reported in the table above relate to the total account balance for each respective product grouping.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Policy Acquisition Costs and Value of Business Acquired</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deferred policy acquisition costs (“DAC”) and value of business acquired (“VOBA”)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Index-linked</w:t>
            </w: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and Whole</w:t>
            </w:r>
          </w:p>
        </w:tc>
        <w:tc>
          <w:tcPr>
            <w:tcW w:w="140" w:type="dxa"/>
            <w:vAlign w:val="bottom"/>
          </w:tcPr>
          <w:p>
            <w:pPr>
              <w:spacing w:after="0"/>
              <w:rPr>
                <w:sz w:val="14"/>
                <w:szCs w:val="14"/>
                <w:color w:val="auto"/>
              </w:rPr>
            </w:pPr>
          </w:p>
        </w:tc>
        <w:tc>
          <w:tcPr>
            <w:tcW w:w="10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Universal Life</w:t>
            </w:r>
          </w:p>
        </w:tc>
      </w:tr>
      <w:tr>
        <w:trPr>
          <w:trHeight w:val="186"/>
        </w:trPr>
        <w:tc>
          <w:tcPr>
            <w:tcW w:w="474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40" w:type="dxa"/>
            <w:vAlign w:val="bottom"/>
          </w:tcPr>
          <w:p>
            <w:pPr>
              <w:spacing w:after="0"/>
              <w:rPr>
                <w:sz w:val="16"/>
                <w:szCs w:val="16"/>
                <w:color w:val="auto"/>
              </w:rPr>
            </w:pPr>
          </w:p>
        </w:tc>
        <w:tc>
          <w:tcPr>
            <w:tcW w:w="10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Insurance</w:t>
            </w:r>
          </w:p>
        </w:tc>
      </w:tr>
      <w:tr>
        <w:trPr>
          <w:trHeight w:val="38"/>
        </w:trPr>
        <w:tc>
          <w:tcPr>
            <w:tcW w:w="47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4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4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1"/>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r>
      <w:tr>
        <w:trPr>
          <w:trHeight w:val="19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19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47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1"/>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2,206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19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9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20"/>
        </w:trPr>
        <w:tc>
          <w:tcPr>
            <w:tcW w:w="4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Sales Inducements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deferred sales inducements, included in other assets, was as follows:</w:t>
      </w:r>
    </w:p>
    <w:p>
      <w:pPr>
        <w:spacing w:after="0" w:line="198" w:lineRule="exact"/>
        <w:rPr>
          <w:sz w:val="20"/>
          <w:szCs w:val="20"/>
          <w:color w:val="auto"/>
        </w:rPr>
      </w:pPr>
    </w:p>
    <w:tbl>
      <w:tblPr>
        <w:tblLayout w:type="fixed"/>
        <w:tblInd w:w="24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4"/>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5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3"/>
          </w:tcPr>
          <w:p>
            <w:pPr>
              <w:jc w:val="right"/>
              <w:ind w:right="76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spacing w:after="0"/>
              <w:rPr>
                <w:sz w:val="15"/>
                <w:szCs w:val="15"/>
                <w:color w:val="auto"/>
              </w:rPr>
            </w:pPr>
          </w:p>
        </w:tc>
      </w:tr>
      <w:tr>
        <w:trPr>
          <w:trHeight w:val="38"/>
        </w:trPr>
        <w:tc>
          <w:tcPr>
            <w:tcW w:w="58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54"/>
        </w:trPr>
        <w:tc>
          <w:tcPr>
            <w:tcW w:w="5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04"/>
              <w:spacing w:after="0" w:line="154" w:lineRule="exact"/>
              <w:rPr>
                <w:sz w:val="20"/>
                <w:szCs w:val="20"/>
                <w:color w:val="auto"/>
              </w:rPr>
            </w:pPr>
            <w:r>
              <w:rPr>
                <w:rFonts w:ascii="Times New Roman" w:cs="Times New Roman" w:eastAsia="Times New Roman" w:hAnsi="Times New Roman"/>
                <w:sz w:val="14"/>
                <w:szCs w:val="14"/>
                <w:b w:val="1"/>
                <w:bCs w:val="1"/>
                <w:color w:val="auto"/>
              </w:rPr>
              <w:t>Fixed Rate</w:t>
            </w:r>
          </w:p>
        </w:tc>
      </w:tr>
      <w:tr>
        <w:trPr>
          <w:trHeight w:val="199"/>
        </w:trPr>
        <w:tc>
          <w:tcPr>
            <w:tcW w:w="580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160" w:type="dxa"/>
            <w:vAlign w:val="bottom"/>
          </w:tcPr>
          <w:p>
            <w:pPr>
              <w:spacing w:after="0"/>
              <w:rPr>
                <w:sz w:val="17"/>
                <w:szCs w:val="17"/>
                <w:color w:val="auto"/>
              </w:rPr>
            </w:pPr>
          </w:p>
        </w:tc>
        <w:tc>
          <w:tcPr>
            <w:tcW w:w="10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38"/>
        </w:trPr>
        <w:tc>
          <w:tcPr>
            <w:tcW w:w="58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gridSpan w:val="4"/>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5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center"/>
              <w:ind w:left="684"/>
              <w:spacing w:after="0"/>
              <w:rPr>
                <w:sz w:val="20"/>
                <w:szCs w:val="20"/>
                <w:color w:val="auto"/>
              </w:rPr>
            </w:pPr>
            <w:r>
              <w:rPr>
                <w:rFonts w:ascii="Times New Roman" w:cs="Times New Roman" w:eastAsia="Times New Roman" w:hAnsi="Times New Roman"/>
                <w:sz w:val="16"/>
                <w:szCs w:val="16"/>
                <w:color w:val="auto"/>
                <w:w w:val="99"/>
              </w:rPr>
              <w:t>8</w:t>
            </w:r>
          </w:p>
        </w:tc>
      </w:tr>
      <w:tr>
        <w:trPr>
          <w:trHeight w:val="21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60" w:type="dxa"/>
            <w:vAlign w:val="bottom"/>
          </w:tcPr>
          <w:p>
            <w:pPr>
              <w:spacing w:after="0"/>
              <w:rPr>
                <w:sz w:val="18"/>
                <w:szCs w:val="18"/>
                <w:color w:val="auto"/>
              </w:rPr>
            </w:pPr>
          </w:p>
        </w:tc>
        <w:tc>
          <w:tcPr>
            <w:tcW w:w="7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7"/>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left="664"/>
              <w:spacing w:after="0"/>
              <w:rPr>
                <w:sz w:val="20"/>
                <w:szCs w:val="20"/>
                <w:color w:val="auto"/>
              </w:rPr>
            </w:pPr>
            <w:r>
              <w:rPr>
                <w:rFonts w:ascii="Times New Roman" w:cs="Times New Roman" w:eastAsia="Times New Roman" w:hAnsi="Times New Roman"/>
                <w:sz w:val="16"/>
                <w:szCs w:val="16"/>
                <w:color w:val="auto"/>
                <w:w w:val="96"/>
              </w:rPr>
              <w:t>(1)</w:t>
            </w:r>
          </w:p>
        </w:tc>
      </w:tr>
      <w:tr>
        <w:trPr>
          <w:trHeight w:val="232"/>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center"/>
              <w:ind w:left="684"/>
              <w:spacing w:after="0"/>
              <w:rPr>
                <w:sz w:val="20"/>
                <w:szCs w:val="20"/>
                <w:color w:val="auto"/>
              </w:rPr>
            </w:pPr>
            <w:r>
              <w:rPr>
                <w:rFonts w:ascii="Times New Roman" w:cs="Times New Roman" w:eastAsia="Times New Roman" w:hAnsi="Times New Roman"/>
                <w:sz w:val="16"/>
                <w:szCs w:val="16"/>
                <w:color w:val="auto"/>
                <w:w w:val="99"/>
              </w:rPr>
              <w:t>7</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unearned revenue, included in other policy-related balances,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
        </w:trPr>
        <w:tc>
          <w:tcPr>
            <w:tcW w:w="4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4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67"/>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Variable</w:t>
            </w:r>
          </w:p>
        </w:tc>
      </w:tr>
      <w:tr>
        <w:trPr>
          <w:trHeight w:val="186"/>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2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80" w:type="dxa"/>
            <w:vAlign w:val="bottom"/>
          </w:tcPr>
          <w:p>
            <w:pPr>
              <w:spacing w:after="0"/>
              <w:rPr>
                <w:sz w:val="16"/>
                <w:szCs w:val="16"/>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38"/>
        </w:trPr>
        <w:tc>
          <w:tcPr>
            <w:tcW w:w="4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4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6"/>
              </w:rPr>
              <w:t>(4)</w:t>
            </w:r>
          </w:p>
        </w:tc>
      </w:tr>
      <w:tr>
        <w:trPr>
          <w:trHeight w:val="207"/>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63</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1 to the Interim Condensed Consolidated Financial Statements and Notes 1 and 10 of the Notes to the Consolidated Financial Statements included in the 2024 Annual Report for a description of the Company’s accounting policies for investments and the fair value hierarchy for investments and the related valuation methodologies.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by Sector</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Fixed maturity securities by sector were as follows at: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40" w:type="dxa"/>
            <w:vAlign w:val="bottom"/>
          </w:tcPr>
          <w:p>
            <w:pPr>
              <w:spacing w:after="0"/>
              <w:rPr>
                <w:sz w:val="21"/>
                <w:szCs w:val="21"/>
                <w:color w:val="auto"/>
              </w:rPr>
            </w:pPr>
          </w:p>
        </w:tc>
        <w:tc>
          <w:tcPr>
            <w:tcW w:w="1380" w:type="dxa"/>
            <w:vAlign w:val="bottom"/>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0" w:type="dxa"/>
            <w:vAlign w:val="bottom"/>
          </w:tcPr>
          <w:p>
            <w:pPr>
              <w:spacing w:after="0"/>
              <w:rPr>
                <w:sz w:val="1"/>
                <w:szCs w:val="1"/>
                <w:color w:val="auto"/>
              </w:rPr>
            </w:pPr>
          </w:p>
        </w:tc>
      </w:tr>
      <w:tr>
        <w:trPr>
          <w:trHeight w:val="66"/>
        </w:trPr>
        <w:tc>
          <w:tcPr>
            <w:tcW w:w="2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340" w:type="dxa"/>
            <w:vAlign w:val="bottom"/>
          </w:tcPr>
          <w:p>
            <w:pPr>
              <w:spacing w:after="0"/>
              <w:rPr>
                <w:sz w:val="15"/>
                <w:szCs w:val="15"/>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9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0" w:type="dxa"/>
            <w:vAlign w:val="bottom"/>
          </w:tcPr>
          <w:p>
            <w:pPr>
              <w:spacing w:after="0"/>
              <w:rPr>
                <w:sz w:val="1"/>
                <w:szCs w:val="1"/>
                <w:color w:val="auto"/>
              </w:rPr>
            </w:pPr>
          </w:p>
        </w:tc>
      </w:tr>
      <w:tr>
        <w:trPr>
          <w:trHeight w:val="167"/>
        </w:trPr>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40,690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40,894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37,123</w:t>
            </w:r>
          </w:p>
        </w:tc>
        <w:tc>
          <w:tcPr>
            <w:tcW w:w="0" w:type="dxa"/>
            <w:vAlign w:val="bottom"/>
          </w:tcPr>
          <w:p>
            <w:pPr>
              <w:spacing w:after="0"/>
              <w:rPr>
                <w:sz w:val="1"/>
                <w:szCs w:val="1"/>
                <w:color w:val="auto"/>
              </w:rPr>
            </w:pPr>
          </w:p>
        </w:tc>
      </w:tr>
      <w:tr>
        <w:trPr>
          <w:trHeight w:val="191"/>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13,284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11,830</w:t>
            </w:r>
          </w:p>
        </w:tc>
        <w:tc>
          <w:tcPr>
            <w:tcW w:w="0" w:type="dxa"/>
            <w:vAlign w:val="bottom"/>
          </w:tcPr>
          <w:p>
            <w:pPr>
              <w:spacing w:after="0"/>
              <w:rPr>
                <w:sz w:val="1"/>
                <w:szCs w:val="1"/>
                <w:color w:val="auto"/>
              </w:rPr>
            </w:pPr>
          </w:p>
        </w:tc>
      </w:tr>
      <w:tr>
        <w:trPr>
          <w:trHeight w:val="398"/>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8,120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7,287</w:t>
            </w:r>
          </w:p>
        </w:tc>
        <w:tc>
          <w:tcPr>
            <w:tcW w:w="0" w:type="dxa"/>
            <w:vAlign w:val="bottom"/>
          </w:tcPr>
          <w:p>
            <w:pPr>
              <w:spacing w:after="0"/>
              <w:rPr>
                <w:sz w:val="1"/>
                <w:szCs w:val="1"/>
                <w:color w:val="auto"/>
              </w:rPr>
            </w:pPr>
          </w:p>
        </w:tc>
      </w:tr>
      <w:tr>
        <w:trPr>
          <w:trHeight w:val="191"/>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7,408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6,747</w:t>
            </w:r>
          </w:p>
        </w:tc>
        <w:tc>
          <w:tcPr>
            <w:tcW w:w="0" w:type="dxa"/>
            <w:vAlign w:val="bottom"/>
          </w:tcPr>
          <w:p>
            <w:pPr>
              <w:spacing w:after="0"/>
              <w:rPr>
                <w:sz w:val="1"/>
                <w:szCs w:val="1"/>
                <w:color w:val="auto"/>
              </w:rPr>
            </w:pPr>
          </w:p>
        </w:tc>
      </w:tr>
      <w:tr>
        <w:trPr>
          <w:trHeight w:val="398"/>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6,776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6,356</w:t>
            </w:r>
          </w:p>
        </w:tc>
        <w:tc>
          <w:tcPr>
            <w:tcW w:w="0" w:type="dxa"/>
            <w:vAlign w:val="bottom"/>
          </w:tcPr>
          <w:p>
            <w:pPr>
              <w:spacing w:after="0"/>
              <w:rPr>
                <w:sz w:val="1"/>
                <w:szCs w:val="1"/>
                <w:color w:val="auto"/>
              </w:rPr>
            </w:pPr>
          </w:p>
        </w:tc>
      </w:tr>
      <w:tr>
        <w:trPr>
          <w:trHeight w:val="387"/>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6,354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0" w:type="dxa"/>
            <w:vAlign w:val="bottom"/>
          </w:tcPr>
          <w:p>
            <w:pPr>
              <w:spacing w:after="0"/>
              <w:rPr>
                <w:sz w:val="1"/>
                <w:szCs w:val="1"/>
                <w:color w:val="auto"/>
              </w:rPr>
            </w:pPr>
          </w:p>
        </w:tc>
      </w:tr>
      <w:tr>
        <w:trPr>
          <w:trHeight w:val="24"/>
        </w:trPr>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3,731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0" w:type="dxa"/>
            <w:vAlign w:val="bottom"/>
          </w:tcPr>
          <w:p>
            <w:pPr>
              <w:spacing w:after="0"/>
              <w:rPr>
                <w:sz w:val="1"/>
                <w:szCs w:val="1"/>
                <w:color w:val="auto"/>
              </w:rPr>
            </w:pPr>
          </w:p>
        </w:tc>
      </w:tr>
      <w:tr>
        <w:trPr>
          <w:trHeight w:val="192"/>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224"/>
        </w:trPr>
        <w:tc>
          <w:tcPr>
            <w:tcW w:w="2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2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87,603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80,055</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held non-income producing fixed maturity securities with an estimated fair value of $20 million and $30 million at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200" w:lineRule="exact"/>
        <w:rPr>
          <w:rFonts w:ascii="Times New Roman" w:cs="Times New Roman" w:eastAsia="Times New Roman" w:hAnsi="Times New Roman"/>
          <w:sz w:val="18"/>
          <w:szCs w:val="18"/>
          <w:b w:val="1"/>
          <w:bCs w:val="1"/>
          <w:color w:val="auto"/>
        </w:rPr>
      </w:pPr>
    </w:p>
    <w:p>
      <w:pPr>
        <w:spacing w:after="0" w:line="359" w:lineRule="exact"/>
        <w:rPr>
          <w:rFonts w:ascii="Times New Roman" w:cs="Times New Roman" w:eastAsia="Times New Roman" w:hAnsi="Times New Roman"/>
          <w:sz w:val="18"/>
          <w:szCs w:val="18"/>
          <w:b w:val="1"/>
          <w:bCs w:val="1"/>
          <w:color w:val="auto"/>
        </w:rPr>
      </w:pPr>
    </w:p>
    <w:p>
      <w:pPr>
        <w:ind w:left="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Maturities of Fixed Maturity Securities</w:t>
      </w:r>
    </w:p>
    <w:p>
      <w:pPr>
        <w:spacing w:after="0" w:line="115"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and estimated fair value of fixed maturity securities, by contractual maturity date, were as follows at June 30, 2025:</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32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Due in One Year or</w:t>
            </w: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Due After One Year</w:t>
            </w: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Due After Five Years</w:t>
            </w: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Due After Ten Years</w:t>
            </w:r>
          </w:p>
        </w:tc>
        <w:tc>
          <w:tcPr>
            <w:tcW w:w="220" w:type="dxa"/>
            <w:vAlign w:val="bottom"/>
          </w:tcPr>
          <w:p>
            <w:pPr>
              <w:spacing w:after="0"/>
              <w:rPr>
                <w:sz w:val="13"/>
                <w:szCs w:val="13"/>
                <w:color w:val="auto"/>
              </w:rPr>
            </w:pPr>
          </w:p>
        </w:tc>
        <w:tc>
          <w:tcPr>
            <w:tcW w:w="114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80" w:type="dxa"/>
            <w:vAlign w:val="bottom"/>
          </w:tcPr>
          <w:p>
            <w:pPr>
              <w:spacing w:after="0"/>
              <w:rPr>
                <w:sz w:val="13"/>
                <w:szCs w:val="13"/>
                <w:color w:val="auto"/>
              </w:rPr>
            </w:pPr>
          </w:p>
        </w:tc>
        <w:tc>
          <w:tcPr>
            <w:tcW w:w="10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Fixed</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Less</w:t>
            </w:r>
          </w:p>
        </w:tc>
        <w:tc>
          <w:tcPr>
            <w:tcW w:w="142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Through Five Years</w:t>
            </w:r>
          </w:p>
        </w:tc>
        <w:tc>
          <w:tcPr>
            <w:tcW w:w="1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Through Ten Years</w:t>
            </w:r>
          </w:p>
        </w:tc>
        <w:tc>
          <w:tcPr>
            <w:tcW w:w="14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Securities (1)</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Securities</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4,365</w:t>
            </w:r>
          </w:p>
        </w:tc>
        <w:tc>
          <w:tcPr>
            <w:tcW w:w="52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19,915</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12,556</w:t>
            </w: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28,566</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21,360</w:t>
            </w:r>
          </w:p>
        </w:tc>
        <w:tc>
          <w:tcPr>
            <w:tcW w:w="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86,762</w:t>
            </w:r>
          </w:p>
        </w:tc>
        <w:tc>
          <w:tcPr>
            <w:tcW w:w="0" w:type="dxa"/>
            <w:vAlign w:val="bottom"/>
          </w:tcPr>
          <w:p>
            <w:pPr>
              <w:spacing w:after="0"/>
              <w:rPr>
                <w:sz w:val="1"/>
                <w:szCs w:val="1"/>
                <w:color w:val="auto"/>
              </w:rPr>
            </w:pPr>
          </w:p>
        </w:tc>
      </w:tr>
      <w:tr>
        <w:trPr>
          <w:trHeight w:val="208"/>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4,342</w:t>
            </w:r>
          </w:p>
        </w:tc>
        <w:tc>
          <w:tcPr>
            <w:tcW w:w="520" w:type="dxa"/>
            <w:vAlign w:val="bottom"/>
          </w:tcPr>
          <w:p>
            <w:pPr>
              <w:jc w:val="right"/>
              <w:ind w:right="285"/>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19,598</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11,928</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24,572</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20,395</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80,835</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Structured securities include residential mortgage-backed securities (“RMBS”), commercial mortgage-backed securities (“CMBS”) and asset-backed securities (“ABS”) (collectively, “Structured Securities”).</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Continuous Gross Unrealized Losses for Fixed Maturity Securities by Sector</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0" w:type="dxa"/>
            <w:vAlign w:val="bottom"/>
          </w:tcPr>
          <w:p>
            <w:pPr>
              <w:spacing w:after="0"/>
              <w:rPr>
                <w:sz w:val="1"/>
                <w:szCs w:val="1"/>
                <w:color w:val="auto"/>
              </w:rPr>
            </w:pPr>
          </w:p>
        </w:tc>
      </w:tr>
      <w:tr>
        <w:trPr>
          <w:trHeight w:val="134"/>
        </w:trPr>
        <w:tc>
          <w:tcPr>
            <w:tcW w:w="28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9"/>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corporate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17,381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Foreign corporate</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0" w:type="dxa"/>
            <w:vAlign w:val="bottom"/>
          </w:tcPr>
          <w:p>
            <w:pPr>
              <w:spacing w:after="0"/>
              <w:rPr>
                <w:sz w:val="1"/>
                <w:szCs w:val="1"/>
                <w:color w:val="auto"/>
              </w:rPr>
            </w:pPr>
          </w:p>
        </w:tc>
      </w:tr>
      <w:tr>
        <w:trPr>
          <w:trHeight w:val="20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RMBS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U.S. government and agency</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20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CMBS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ABS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Foreign government</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24"/>
        </w:trPr>
        <w:tc>
          <w:tcPr>
            <w:tcW w:w="2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35,569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160"/>
              <w:spacing w:after="0" w:line="123" w:lineRule="exact"/>
              <w:rPr>
                <w:sz w:val="20"/>
                <w:szCs w:val="20"/>
                <w:color w:val="auto"/>
              </w:rPr>
            </w:pPr>
            <w:r>
              <w:rPr>
                <w:rFonts w:ascii="Times New Roman" w:cs="Times New Roman" w:eastAsia="Times New Roman" w:hAnsi="Times New Roman"/>
                <w:sz w:val="14"/>
                <w:szCs w:val="14"/>
                <w:color w:val="auto"/>
              </w:rPr>
              <w:t>Total number of securities in an unrealized loss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2,598</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4,962</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5,272</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position</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Fixed Maturity Securities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63" w:lineRule="auto"/>
        <w:rPr>
          <w:sz w:val="20"/>
          <w:szCs w:val="20"/>
          <w:color w:val="auto"/>
        </w:rPr>
      </w:pPr>
      <w:r>
        <w:rPr>
          <w:rFonts w:ascii="Times New Roman" w:cs="Times New Roman" w:eastAsia="Times New Roman" w:hAnsi="Times New Roman"/>
          <w:sz w:val="17"/>
          <w:szCs w:val="17"/>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(“OCI”).</w:t>
      </w:r>
    </w:p>
    <w:p>
      <w:pPr>
        <w:spacing w:after="0" w:line="77"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$669 million and $672 million at June 30, 2025 and December 31, 2024, respectively, and is included in accrued investment income.</w:t>
      </w:r>
    </w:p>
    <w:p>
      <w:pPr>
        <w:spacing w:after="0" w:line="74"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Current Period Evaluation</w:t>
      </w:r>
    </w:p>
    <w:p>
      <w:pPr>
        <w:spacing w:after="0" w:line="113"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Based on the Company’s current evaluation of its fixed maturity securities in an unrealized loss position and the current intent or requirement to sell, the Company recorded an allowance for credit losses of $67 million, relating to 19 securities, at June 30, 2025.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Rollforward of the Allowance for Credit Losses for Fixed Maturity Securities by Sector</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changes in the allowance for credit losses for fixed maturity securities by sector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20" w:type="dxa"/>
            <w:vAlign w:val="bottom"/>
          </w:tcPr>
          <w:p>
            <w:pPr>
              <w:spacing w:after="0"/>
              <w:rPr>
                <w:sz w:val="13"/>
                <w:szCs w:val="13"/>
                <w:color w:val="auto"/>
              </w:rPr>
            </w:pPr>
          </w:p>
        </w:tc>
        <w:tc>
          <w:tcPr>
            <w:tcW w:w="8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RMBS</w:t>
            </w:r>
          </w:p>
        </w:tc>
        <w:tc>
          <w:tcPr>
            <w:tcW w:w="16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CMBS</w:t>
            </w:r>
          </w:p>
        </w:tc>
        <w:tc>
          <w:tcPr>
            <w:tcW w:w="200" w:type="dxa"/>
            <w:vAlign w:val="bottom"/>
          </w:tcPr>
          <w:p>
            <w:pPr>
              <w:spacing w:after="0"/>
              <w:rPr>
                <w:sz w:val="13"/>
                <w:szCs w:val="13"/>
                <w:color w:val="auto"/>
              </w:rPr>
            </w:pPr>
          </w:p>
        </w:tc>
        <w:tc>
          <w:tcPr>
            <w:tcW w:w="70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 recorded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 previous period</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32"/>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 recorded</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 previous period</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Company recorded total write-offs of $33 million and $1 million for the six months ended June 30, 2025 and 2024,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by Portfolio Segment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Mortgage loans are summarized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6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7"/>
        </w:trPr>
        <w:tc>
          <w:tcPr>
            <w:tcW w:w="6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gridSpan w:val="5"/>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80" w:type="dxa"/>
            <w:vAlign w:val="bottom"/>
          </w:tcPr>
          <w:p>
            <w:pPr>
              <w:spacing w:after="0"/>
              <w:rPr>
                <w:sz w:val="16"/>
                <w:szCs w:val="16"/>
                <w:color w:val="auto"/>
              </w:rPr>
            </w:pPr>
          </w:p>
        </w:tc>
      </w:tr>
      <w:tr>
        <w:trPr>
          <w:trHeight w:val="21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12,916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57.2 %</w:t>
            </w: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1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00" w:type="dxa"/>
            <w:vAlign w:val="bottom"/>
          </w:tcPr>
          <w:p>
            <w:pPr>
              <w:spacing w:after="0"/>
              <w:rPr>
                <w:sz w:val="18"/>
                <w:szCs w:val="18"/>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19.7</w:t>
            </w: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5,777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23.8</w:t>
            </w:r>
          </w:p>
        </w:tc>
      </w:tr>
      <w:tr>
        <w:trPr>
          <w:trHeight w:val="203"/>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 (1)</w:t>
            </w:r>
          </w:p>
        </w:tc>
        <w:tc>
          <w:tcPr>
            <w:tcW w:w="18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23,202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23,464</w:t>
            </w:r>
          </w:p>
        </w:tc>
        <w:tc>
          <w:tcPr>
            <w:tcW w:w="100" w:type="dxa"/>
            <w:vAlign w:val="bottom"/>
          </w:tcPr>
          <w:p>
            <w:pPr>
              <w:spacing w:after="0"/>
              <w:rPr>
                <w:sz w:val="17"/>
                <w:szCs w:val="17"/>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100.7</w:t>
            </w:r>
          </w:p>
        </w:tc>
      </w:tr>
      <w:tr>
        <w:trPr>
          <w:trHeight w:val="21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(0.7)</w:t>
            </w:r>
          </w:p>
        </w:tc>
      </w:tr>
      <w:tr>
        <w:trPr>
          <w:trHeight w:val="207"/>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 net</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22,993</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23,286</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jc w:val="both"/>
        <w:ind w:left="320" w:hanging="314"/>
        <w:spacing w:after="0" w:line="259" w:lineRule="auto"/>
        <w:tabs>
          <w:tab w:leader="none" w:pos="3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mortgage loans from third parties were $379 million and $557 million for the three months and six months ended June 30, 2025, respectively, and $188 million and $349 million for the three months and six months ended June 30, 2024, respectively, and were primarily comprised of residential mortgage loans.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Mortgage Loans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$130 million and $132 million at June 30, 2025 and December 31, 2024, respectively.</w:t>
      </w:r>
    </w:p>
    <w:p>
      <w:pPr>
        <w:spacing w:after="0" w:line="74"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spacing w:after="0" w:line="74"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spacing w:after="0" w:line="79" w:lineRule="exact"/>
        <w:rPr>
          <w:sz w:val="20"/>
          <w:szCs w:val="20"/>
          <w:color w:val="auto"/>
        </w:rPr>
      </w:pPr>
    </w:p>
    <w:p>
      <w:pPr>
        <w:jc w:val="both"/>
        <w:ind w:left="320" w:firstLine="318"/>
        <w:spacing w:after="0" w:line="248" w:lineRule="auto"/>
        <w:rPr>
          <w:sz w:val="20"/>
          <w:szCs w:val="20"/>
          <w:color w:val="auto"/>
        </w:rPr>
      </w:pPr>
      <w:r>
        <w:rPr>
          <w:rFonts w:ascii="Times New Roman" w:cs="Times New Roman" w:eastAsia="Times New Roman" w:hAnsi="Times New Roman"/>
          <w:sz w:val="18"/>
          <w:szCs w:val="18"/>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2" w:lineRule="exact"/>
        <w:rPr>
          <w:sz w:val="20"/>
          <w:szCs w:val="20"/>
          <w:color w:val="auto"/>
        </w:rPr>
      </w:pPr>
    </w:p>
    <w:p>
      <w:pPr>
        <w:jc w:val="right"/>
        <w:ind w:left="320" w:right="4580"/>
        <w:spacing w:after="0" w:line="436" w:lineRule="auto"/>
        <w:rPr>
          <w:sz w:val="20"/>
          <w:szCs w:val="20"/>
          <w:color w:val="auto"/>
        </w:rPr>
      </w:pPr>
      <w:r>
        <w:rPr>
          <w:rFonts w:ascii="Times New Roman" w:cs="Times New Roman" w:eastAsia="Times New Roman" w:hAnsi="Times New Roman"/>
          <w:sz w:val="17"/>
          <w:szCs w:val="17"/>
          <w:i w:val="1"/>
          <w:iCs w:val="1"/>
          <w:u w:val="single" w:color="auto"/>
          <w:color w:val="auto"/>
        </w:rPr>
        <w:t xml:space="preserve">Rollforward of the Allowance for Credit Losses for Mortgage Loans by Portfolio Segment </w:t>
      </w:r>
      <w:r>
        <w:rPr>
          <w:rFonts w:ascii="Times New Roman" w:cs="Times New Roman" w:eastAsia="Times New Roman" w:hAnsi="Times New Roman"/>
          <w:sz w:val="17"/>
          <w:szCs w:val="17"/>
          <w:color w:val="auto"/>
        </w:rPr>
        <w:t>The changes in the allowance for credit losses by portfolio segment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40" w:type="dxa"/>
            <w:vAlign w:val="bottom"/>
          </w:tcPr>
          <w:p>
            <w:pPr>
              <w:spacing w:after="0"/>
              <w:rPr>
                <w:sz w:val="16"/>
                <w:szCs w:val="16"/>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6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2"/>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5"/>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Quality of Mortgage Loans by Portfolio Segment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mortgage loans by year of origination and credit quality indicator was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6"/>
                <w:szCs w:val="16"/>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6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3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1"/>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660" w:type="dxa"/>
            <w:vAlign w:val="bottom"/>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5,881</w:t>
            </w:r>
          </w:p>
        </w:tc>
      </w:tr>
      <w:tr>
        <w:trPr>
          <w:trHeight w:val="21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w:t>
            </w:r>
          </w:p>
        </w:tc>
      </w:tr>
      <w:tr>
        <w:trPr>
          <w:trHeight w:val="21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6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r>
      <w:tr>
        <w:trPr>
          <w:trHeight w:val="21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r>
      <w:tr>
        <w:trPr>
          <w:trHeight w:val="203"/>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6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6,231</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12,916</w:t>
            </w:r>
          </w:p>
        </w:tc>
      </w:tr>
      <w:tr>
        <w:trPr>
          <w:trHeight w:val="19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w:t>
            </w:r>
          </w:p>
        </w:tc>
      </w:tr>
      <w:tr>
        <w:trPr>
          <w:trHeight w:val="21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6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6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w:t>
            </w:r>
          </w:p>
        </w:tc>
      </w:tr>
      <w:tr>
        <w:trPr>
          <w:trHeight w:val="191"/>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w:t>
            </w:r>
          </w:p>
        </w:tc>
      </w:tr>
      <w:tr>
        <w:trPr>
          <w:trHeight w:val="21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6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05"/>
        </w:trPr>
        <w:tc>
          <w:tcPr>
            <w:tcW w:w="3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w:t>
            </w:r>
          </w:p>
        </w:tc>
      </w:tr>
      <w:tr>
        <w:trPr>
          <w:trHeight w:val="207"/>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23,202</w:t>
            </w:r>
          </w:p>
        </w:tc>
      </w:tr>
      <w:tr>
        <w:trPr>
          <w:trHeight w:val="20"/>
        </w:trPr>
        <w:tc>
          <w:tcPr>
            <w:tcW w:w="3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6,010</w:t>
            </w: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3,176</w:t>
            </w: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1,094</w:t>
            </w: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3,050</w:t>
            </w:r>
          </w:p>
        </w:tc>
      </w:tr>
      <w:tr>
        <w:trPr>
          <w:trHeight w:val="203"/>
        </w:trPr>
        <w:tc>
          <w:tcPr>
            <w:tcW w:w="3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13,330</w:t>
            </w:r>
          </w:p>
        </w:tc>
      </w:tr>
      <w:tr>
        <w:trPr>
          <w:trHeight w:val="19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4,337</w:t>
            </w: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237</w:t>
            </w: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r>
      <w:tr>
        <w:trPr>
          <w:trHeight w:val="207"/>
        </w:trPr>
        <w:tc>
          <w:tcPr>
            <w:tcW w:w="3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4,591</w:t>
            </w:r>
          </w:p>
        </w:tc>
      </w:tr>
      <w:tr>
        <w:trPr>
          <w:trHeight w:val="19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5,425</w:t>
            </w: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w:t>
            </w:r>
          </w:p>
        </w:tc>
      </w:tr>
      <w:tr>
        <w:trPr>
          <w:trHeight w:val="205"/>
        </w:trPr>
        <w:tc>
          <w:tcPr>
            <w:tcW w:w="3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5,543</w:t>
            </w:r>
          </w:p>
        </w:tc>
      </w:tr>
      <w:tr>
        <w:trPr>
          <w:trHeight w:val="207"/>
        </w:trPr>
        <w:tc>
          <w:tcPr>
            <w:tcW w:w="3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23,464</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of commercial mortgage loans by debt-service coverage ratio was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2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6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4"/>
        </w:trPr>
        <w:tc>
          <w:tcPr>
            <w:tcW w:w="6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4"/>
                <w:szCs w:val="14"/>
                <w:b w:val="1"/>
                <w:bCs w:val="1"/>
                <w:color w:val="auto"/>
              </w:rPr>
              <w:t>% of</w:t>
            </w: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403"/>
              <w:spacing w:after="0" w:line="154"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9"/>
        </w:trPr>
        <w:tc>
          <w:tcPr>
            <w:tcW w:w="6120" w:type="dxa"/>
            <w:vAlign w:val="bottom"/>
          </w:tcPr>
          <w:p>
            <w:pPr>
              <w:spacing w:after="0"/>
              <w:rPr>
                <w:sz w:val="17"/>
                <w:szCs w:val="17"/>
                <w:color w:val="auto"/>
              </w:rPr>
            </w:pPr>
          </w:p>
        </w:tc>
        <w:tc>
          <w:tcPr>
            <w:tcW w:w="17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6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Debt-service coverage ratios: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1.20x</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87.6 %</w:t>
            </w:r>
          </w:p>
        </w:tc>
        <w:tc>
          <w:tcPr>
            <w:tcW w:w="100" w:type="dxa"/>
            <w:vAlign w:val="bottom"/>
          </w:tcPr>
          <w:p>
            <w:pPr>
              <w:spacing w:after="0"/>
              <w:rPr>
                <w:sz w:val="18"/>
                <w:szCs w:val="18"/>
                <w:color w:val="auto"/>
              </w:rPr>
            </w:pPr>
          </w:p>
        </w:tc>
        <w:tc>
          <w:tcPr>
            <w:tcW w:w="580" w:type="dxa"/>
            <w:vAlign w:val="bottom"/>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12,033</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90.3 %</w:t>
            </w: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1.00x - 1.20x</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than 1.00x</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3.7</w:t>
            </w:r>
          </w:p>
        </w:tc>
      </w:tr>
      <w:tr>
        <w:trPr>
          <w:trHeight w:val="232"/>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Past Due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has a high-quality, well-performing mortgage loan portfolio, with 99% of all mortgage loans classified as performing at both June 30, 2025 and December 31, 2024. Delinquency is defined consistent with industry practice, when mortgage loans are past due as follows: commercial and residential mortgage loans — 60 days; and agricultural mortgage loans — 90 days.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aging of the amortized cost of past due mortgage loans by portfolio segment was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6"/>
        </w:trPr>
        <w:tc>
          <w:tcPr>
            <w:tcW w:w="22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12,801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22,871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23,199</w:t>
            </w:r>
          </w:p>
        </w:tc>
      </w:tr>
      <w:tr>
        <w:trPr>
          <w:trHeight w:val="210"/>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30-59 days past due</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60-89 days past due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90-179 days past due</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180+ days past due</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380"/>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12,916</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4,509</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5,777</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23,202</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23,464</w:t>
            </w:r>
          </w:p>
        </w:tc>
      </w:tr>
      <w:tr>
        <w:trPr>
          <w:trHeight w:val="20"/>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in Nonaccrual Status by Portfolio Segment</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Mortgage loans are placed in a nonaccrual status if there are concerns regarding collectability of future payments or the loan is past due, unless the past due loan is well collateralized.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mortgage loans in a nonaccrual status by portfolio segment was as follows at:</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80" w:type="dxa"/>
            <w:vAlign w:val="bottom"/>
          </w:tcPr>
          <w:p>
            <w:pPr>
              <w:spacing w:after="0"/>
              <w:rPr>
                <w:sz w:val="16"/>
                <w:szCs w:val="16"/>
                <w:color w:val="auto"/>
              </w:rPr>
            </w:pPr>
          </w:p>
        </w:tc>
        <w:tc>
          <w:tcPr>
            <w:tcW w:w="122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260" w:type="dxa"/>
            <w:vAlign w:val="bottom"/>
          </w:tcPr>
          <w:p>
            <w:pPr>
              <w:spacing w:after="0"/>
              <w:rPr>
                <w:sz w:val="16"/>
                <w:szCs w:val="16"/>
                <w:color w:val="auto"/>
              </w:rPr>
            </w:pPr>
          </w:p>
        </w:tc>
        <w:tc>
          <w:tcPr>
            <w:tcW w:w="124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Residential (1)</w:t>
            </w:r>
          </w:p>
        </w:tc>
        <w:tc>
          <w:tcPr>
            <w:tcW w:w="400" w:type="dxa"/>
            <w:vAlign w:val="bottom"/>
          </w:tcPr>
          <w:p>
            <w:pPr>
              <w:spacing w:after="0"/>
              <w:rPr>
                <w:sz w:val="16"/>
                <w:szCs w:val="16"/>
                <w:color w:val="auto"/>
              </w:rPr>
            </w:pPr>
          </w:p>
        </w:tc>
        <w:tc>
          <w:tcPr>
            <w:tcW w:w="106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3"/>
          </w:tcPr>
          <w:p>
            <w:pPr>
              <w:jc w:val="right"/>
              <w:ind w:right="10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2025</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162</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109</w:t>
            </w:r>
          </w:p>
        </w:tc>
        <w:tc>
          <w:tcPr>
            <w:tcW w:w="4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08"/>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120</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118</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line="274" w:lineRule="auto"/>
        <w:tabs>
          <w:tab w:leader="none" w:pos="2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$9 million and $3 million of mortgage loans in nonaccrual status for which there was no related allowance for credit losses at June 30, 2025 and December 31, 2024, respectively.</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Current period investment income on mortgage loans in nonaccrual status was $3 million and $1 million for the six months ended June 30, 2025 and 2024,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Modified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Under certain circumstances, modifications are granted to mortgage loans. Generally, the types of concessions may include interest rate reduction, term extension, principal forgiveness, or a combination of all three. The Company did not have a significant amount of mortgage loans modified during both the six months ended June 30,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Over 75% of other invested assets is comprised of freestanding derivatives with positive estimated fair values. See Note 8 for information about freestanding derivatives with positive estimated fair values. Other invested assets also includes the Company’s investment in company-owned life insurance, Federal Home Loan Bank (“FHLB”) stock, leveraged leases and tax credit and renewable energy partnerships.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Investment Gains (Losses)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unrealized investment gains (losses), included in AOCI,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(7,467)</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Subtotal</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w:t>
            </w:r>
          </w:p>
        </w:tc>
      </w:tr>
      <w:tr>
        <w:trPr>
          <w:trHeight w:val="19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allocated from:</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r>
      <w:tr>
        <w:trPr>
          <w:trHeight w:val="207"/>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(4,766)</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net unrealized investment gains (losses)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2"/>
        </w:trPr>
        <w:tc>
          <w:tcPr>
            <w:tcW w:w="9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2"/>
        </w:trPr>
        <w:tc>
          <w:tcPr>
            <w:tcW w:w="9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8"/>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w:t>
            </w:r>
          </w:p>
        </w:tc>
      </w:tr>
      <w:tr>
        <w:trPr>
          <w:trHeight w:val="210"/>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during the period</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w:t>
            </w:r>
          </w:p>
        </w:tc>
      </w:tr>
      <w:tr>
        <w:trPr>
          <w:trHeight w:val="214"/>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relating to:</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0"/>
        </w:trPr>
        <w:tc>
          <w:tcPr>
            <w:tcW w:w="9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Future policy benefits</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2"/>
        </w:trPr>
        <w:tc>
          <w:tcPr>
            <w:tcW w:w="9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07"/>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(3,819)</w:t>
            </w:r>
          </w:p>
        </w:tc>
      </w:tr>
      <w:tr>
        <w:trPr>
          <w:trHeight w:val="20"/>
        </w:trPr>
        <w:tc>
          <w:tcPr>
            <w:tcW w:w="9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0"/>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net unrealized investment gains (losses)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investments in any counterparty that were greater than 10% of the Company’s equity, other than the U.S. government and its agencies, at both June 30, 2025 and December 31,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Elements of the securities lending program are presented below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60" w:type="dxa"/>
            <w:vAlign w:val="bottom"/>
          </w:tcPr>
          <w:p>
            <w:pPr>
              <w:spacing w:after="0"/>
              <w:rPr>
                <w:sz w:val="16"/>
                <w:szCs w:val="16"/>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gridSpan w:val="2"/>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on loan: (1)</w:t>
            </w: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Amortized cost</w:t>
            </w:r>
          </w:p>
        </w:tc>
        <w:tc>
          <w:tcPr>
            <w:tcW w:w="1240" w:type="dxa"/>
            <w:vAlign w:val="bottom"/>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4"/>
              </w:rPr>
              <w:t>3,636</w:t>
            </w:r>
          </w:p>
        </w:tc>
        <w:tc>
          <w:tcPr>
            <w:tcW w:w="8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r>
      <w:tr>
        <w:trPr>
          <w:trHeight w:val="214"/>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Estimated fair value</w:t>
            </w:r>
          </w:p>
        </w:tc>
        <w:tc>
          <w:tcPr>
            <w:tcW w:w="1240" w:type="dxa"/>
            <w:vAlign w:val="bottom"/>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4"/>
              </w:rPr>
              <w:t>3,238</w:t>
            </w:r>
          </w:p>
        </w:tc>
        <w:tc>
          <w:tcPr>
            <w:tcW w:w="86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collateral received from counterparties (2)</w:t>
            </w:r>
          </w:p>
        </w:tc>
        <w:tc>
          <w:tcPr>
            <w:tcW w:w="1240" w:type="dxa"/>
            <w:vAlign w:val="bottom"/>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4"/>
              </w:rPr>
              <w:t>3,301</w:t>
            </w:r>
          </w:p>
        </w:tc>
        <w:tc>
          <w:tcPr>
            <w:tcW w:w="8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Reinvestment portfolio — estimated fair value</w:t>
            </w:r>
          </w:p>
        </w:tc>
        <w:tc>
          <w:tcPr>
            <w:tcW w:w="1240" w:type="dxa"/>
            <w:vAlign w:val="bottom"/>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4"/>
              </w:rPr>
              <w:t>3,383</w:t>
            </w:r>
          </w:p>
        </w:tc>
        <w:tc>
          <w:tcPr>
            <w:tcW w:w="86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fixed maturity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payables for collateral under securities loaned and other transactions.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cash collateral liability by loaned security type and remaining tenor of the agreements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80" w:type="dxa"/>
            <w:vAlign w:val="bottom"/>
          </w:tcPr>
          <w:p>
            <w:pPr>
              <w:spacing w:after="0"/>
              <w:rPr>
                <w:sz w:val="11"/>
                <w:szCs w:val="11"/>
                <w:color w:val="auto"/>
              </w:rPr>
            </w:pPr>
          </w:p>
        </w:tc>
        <w:tc>
          <w:tcPr>
            <w:tcW w:w="9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1 Month or</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6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1 Month or</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80" w:type="dxa"/>
            <w:vAlign w:val="bottom"/>
          </w:tcPr>
          <w:p>
            <w:pPr>
              <w:spacing w:after="0"/>
              <w:rPr>
                <w:sz w:val="11"/>
                <w:szCs w:val="11"/>
                <w:color w:val="auto"/>
              </w:rPr>
            </w:pPr>
          </w:p>
        </w:tc>
        <w:tc>
          <w:tcPr>
            <w:tcW w:w="62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9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98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2"/>
        </w:trPr>
        <w:tc>
          <w:tcPr>
            <w:tcW w:w="3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loaned security could be returned to the Company on the next business day which would require the Company to immediately return the cash collateral.</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June 30, 2025 was $444 million, primarily comprised of U.S. government and agency securities which, if put back to the Company, could be immediately sold to satisfy the cash requirement.</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reinvestment portfolio acquired with the cash collateral consisted principally of fixed maturity securities (including agency RMBS, ABS, U.S. government and agency securities, U.S. and foreign corporate securities, non-agency RMBS and CMBS) with 52% invested in agency RMBS, U.S. government and agency securities and cash and cash equivalents at June 30, 2025.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Invested Assets on Deposit, Held in Trust and Pledged as Collateral</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Invested assets on deposit, held in trust and pledged as collateral at estimated fair value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on deposit (regulatory deposits) (1)</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Invested assets held in trust (reinsurance agreements) (2)</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8,274</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pledged as collateral (3)</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12,471</w:t>
            </w:r>
          </w:p>
        </w:tc>
      </w:tr>
      <w:tr>
        <w:trPr>
          <w:trHeight w:val="207"/>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invested assets on deposit, held in trust and pledged as collateral</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26,243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26,994</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jc w:val="both"/>
        <w:ind w:left="320" w:hanging="314"/>
        <w:spacing w:after="0" w:line="304" w:lineRule="auto"/>
        <w:tabs>
          <w:tab w:leader="none" w:pos="31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assets, primarily fixed maturity securities, on deposit with governmental authorities relating to certain policyholder liabilities, of which $76 million and $68 million of the assets on deposit represents restricted cash and cash equivalents at June 30, 2025 and December 31, 2024, respectively.</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held in trust relating to certain reinsurance transactions, of which $616 million and $334 million of the assets held in trust balance represents restricted cash and cash equivalents at June 30, 2025 and December 31, 2024, respectively.</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pledged invested assets in connection with various agreements and transactions, including funding agreements (see Note 3 of the Notes to the Consolidated Financial Statements included in the 2024 Annual Report) and derivative transactions (see Note 8).</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 Securities Lending” for information regarding securities on loan. In addition, the Company’s investment in FHLB common stock, which is considered restricted until redeemed by the issuer, was $218 million and $222 million at redemption value at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7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VIEs for which the Company has concluded that it is the primary beneficiary at either June 30, 2025 or December 31, 2024.</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 and maximum exposure to loss related to the VIEs for which the Company has concluded that it holds a variable interest, but is not the primary beneficiary, were as follows at: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60" w:type="dxa"/>
            <w:vAlign w:val="bottom"/>
          </w:tcPr>
          <w:p>
            <w:pPr>
              <w:spacing w:after="0"/>
              <w:rPr>
                <w:sz w:val="16"/>
                <w:szCs w:val="16"/>
                <w:color w:val="auto"/>
              </w:rPr>
            </w:pPr>
          </w:p>
        </w:tc>
        <w:tc>
          <w:tcPr>
            <w:tcW w:w="194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0"/>
        </w:trPr>
        <w:tc>
          <w:tcPr>
            <w:tcW w:w="6320" w:type="dxa"/>
            <w:vAlign w:val="bottom"/>
          </w:tcPr>
          <w:p>
            <w:pPr>
              <w:spacing w:after="0"/>
              <w:rPr>
                <w:sz w:val="24"/>
                <w:szCs w:val="24"/>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24"/>
                <w:szCs w:val="24"/>
                <w:color w:val="auto"/>
              </w:rPr>
            </w:pPr>
          </w:p>
        </w:tc>
        <w:tc>
          <w:tcPr>
            <w:tcW w:w="9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Exposure to Loss</w:t>
            </w:r>
          </w:p>
        </w:tc>
        <w:tc>
          <w:tcPr>
            <w:tcW w:w="124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Exposure to Loss</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15,474</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0" w:type="dxa"/>
            <w:vAlign w:val="bottom"/>
          </w:tcPr>
          <w:p>
            <w:pPr>
              <w:spacing w:after="0"/>
              <w:rPr>
                <w:sz w:val="1"/>
                <w:szCs w:val="1"/>
                <w:color w:val="auto"/>
              </w:rPr>
            </w:pPr>
          </w:p>
        </w:tc>
      </w:tr>
      <w:tr>
        <w:trPr>
          <w:trHeight w:val="232"/>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20,289</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investments in unconsolidated VIEs are described below.</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Limited Partnerships and LLCs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investment income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98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720" w:type="dxa"/>
            <w:vAlign w:val="bottom"/>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Pr>
          <w:p>
            <w:pPr>
              <w:spacing w:after="0"/>
              <w:rPr>
                <w:sz w:val="18"/>
                <w:szCs w:val="18"/>
                <w:color w:val="auto"/>
              </w:rPr>
            </w:pPr>
          </w:p>
        </w:tc>
        <w:tc>
          <w:tcPr>
            <w:tcW w:w="720" w:type="dxa"/>
            <w:vAlign w:val="bottom"/>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w:t>
            </w:r>
          </w:p>
        </w:tc>
      </w:tr>
      <w:tr>
        <w:trPr>
          <w:trHeight w:val="42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Trading securities (1)</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42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 (2)</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short-term investments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3"/>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investment income</w:t>
            </w: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1,366</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1,394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expenses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07"/>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income</w:t>
            </w:r>
          </w:p>
        </w:tc>
        <w:tc>
          <w:tcPr>
            <w:tcW w:w="7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1,285</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1,307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w:t>
            </w:r>
          </w:p>
        </w:tc>
      </w:tr>
      <w:tr>
        <w:trPr>
          <w:trHeight w:val="20"/>
        </w:trPr>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jc w:val="both"/>
        <w:ind w:left="320" w:hanging="314"/>
        <w:spacing w:after="0" w:line="259" w:lineRule="auto"/>
        <w:tabs>
          <w:tab w:leader="none" w:pos="3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were ($6) million and less than $1 million related to trading securities still held for the three months and six months ended June 30, 2025, respectively. There were no investment gains (losses) related to trading securities still held for the three months and six months ended June 30, 2024.</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investment income pertaining to other limited partnership interests of $63 million and $119 million for the three months and six months ended June 30, 2025, respectively, and $102 million and $195 million for the three months and six months ended June 30, 2024, respectively.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Components of Net Investment Gains (Losses)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net investment gains (losses)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0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63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780" w:type="dxa"/>
            <w:vAlign w:val="bottom"/>
            <w:shd w:val="clear" w:color="auto" w:fill="CCEEFF"/>
          </w:tcPr>
          <w:p>
            <w:pPr>
              <w:jc w:val="right"/>
              <w:ind w:right="60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investment gains (losses)</w:t>
            </w:r>
          </w:p>
        </w:tc>
        <w:tc>
          <w:tcPr>
            <w:tcW w:w="78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
        </w:trPr>
        <w:tc>
          <w:tcPr>
            <w:tcW w:w="6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Gains (losses) from foreign currency transactions included within net investment gains (losses) were not significant for the three months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Sales or Disposals of Fixed Maturity Securities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960" w:type="dxa"/>
            <w:vAlign w:val="bottom"/>
            <w:gridSpan w:val="4"/>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63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6"/>
        </w:trPr>
        <w:tc>
          <w:tcPr>
            <w:tcW w:w="6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780" w:type="dxa"/>
            <w:vAlign w:val="bottom"/>
            <w:tcBorders>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4"/>
              </w:rPr>
              <w:t>1,175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investment gains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vMerge w:val="continue"/>
          </w:tcPr>
          <w:p>
            <w:pPr>
              <w:spacing w:after="0"/>
              <w:rPr>
                <w:sz w:val="15"/>
                <w:szCs w:val="15"/>
                <w:color w:val="auto"/>
              </w:rPr>
            </w:pPr>
          </w:p>
        </w:tc>
        <w:tc>
          <w:tcPr>
            <w:tcW w:w="780" w:type="dxa"/>
            <w:vAlign w:val="bottom"/>
          </w:tcPr>
          <w:p>
            <w:pPr>
              <w:jc w:val="right"/>
              <w:ind w:right="624"/>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720" w:type="dxa"/>
            <w:vAlign w:val="bottom"/>
          </w:tcPr>
          <w:p>
            <w:pPr>
              <w:jc w:val="right"/>
              <w:ind w:right="543"/>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ind w:right="2"/>
              <w:spacing w:after="0" w:line="183" w:lineRule="exact"/>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5"/>
                <w:szCs w:val="15"/>
                <w:color w:val="auto"/>
              </w:rPr>
            </w:pPr>
          </w:p>
        </w:tc>
        <w:tc>
          <w:tcPr>
            <w:tcW w:w="380" w:type="dxa"/>
            <w:vAlign w:val="bottom"/>
          </w:tcPr>
          <w:p>
            <w:pPr>
              <w:jc w:val="right"/>
              <w:ind w:right="20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5"/>
                <w:szCs w:val="15"/>
                <w:color w:val="auto"/>
              </w:rPr>
            </w:pPr>
          </w:p>
        </w:tc>
        <w:tc>
          <w:tcPr>
            <w:tcW w:w="320" w:type="dxa"/>
            <w:vAlign w:val="bottom"/>
          </w:tcPr>
          <w:p>
            <w:pPr>
              <w:jc w:val="right"/>
              <w:ind w:right="14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investment losses</w:t>
            </w: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7"/>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7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See Notes 1 and 10 of the Notes to the Consolidated Financial Statements included in the 2024 Annual Report for a description of the Company’s accounting policies for derivatives and the fair value hierarchy for derivatives.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Derivative Instruments and Derivative Strategies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maintains an overall risk management strategy that incorporates the use of derivative instruments to minimize its exposure to various market risks. Commonly used derivative instruments include, but are not necessarily limited to:</w:t>
      </w:r>
    </w:p>
    <w:p>
      <w:pPr>
        <w:spacing w:after="0" w:line="57"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derivatives: swaps, floors, caps, futures, options and forwards;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derivatives: forwards and swaps;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market derivatives: futures, options and total return swaps;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derivatives: index reference credit default swaps.</w:t>
      </w:r>
    </w:p>
    <w:p>
      <w:pPr>
        <w:spacing w:after="0" w:line="1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For detailed information on these contracts and the related strategies, see Note 9 of the Notes to the Consolidated Financial Statements included in the 2024 Annual Report.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Risks Managed by 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primary underlying risk exposure, gross notional amount and estimated fair value of derivatives, excluding embedded derivatives, held were as follows at: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9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80" w:type="dxa"/>
            <w:vAlign w:val="bottom"/>
          </w:tcPr>
          <w:p>
            <w:pPr>
              <w:spacing w:after="0"/>
              <w:rPr>
                <w:sz w:val="22"/>
                <w:szCs w:val="22"/>
                <w:color w:val="auto"/>
              </w:rPr>
            </w:pPr>
          </w:p>
        </w:tc>
        <w:tc>
          <w:tcPr>
            <w:tcW w:w="1780" w:type="dxa"/>
            <w:vAlign w:val="bottom"/>
            <w:gridSpan w:val="5"/>
          </w:tcPr>
          <w:p>
            <w:pPr>
              <w:ind w:left="20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4"/>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r>
        <w:trPr>
          <w:trHeight w:val="53"/>
        </w:trPr>
        <w:tc>
          <w:tcPr>
            <w:tcW w:w="29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260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Primary Underlying Risk Exposure</w:t>
            </w:r>
          </w:p>
        </w:tc>
        <w:tc>
          <w:tcPr>
            <w:tcW w:w="16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12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60" w:type="dxa"/>
            <w:vAlign w:val="bottom"/>
          </w:tcPr>
          <w:p>
            <w:pPr>
              <w:spacing w:after="0"/>
              <w:rPr>
                <w:sz w:val="15"/>
                <w:szCs w:val="15"/>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12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0" w:type="dxa"/>
            <w:vAlign w:val="bottom"/>
          </w:tcPr>
          <w:p>
            <w:pPr>
              <w:spacing w:after="0"/>
              <w:rPr>
                <w:sz w:val="1"/>
                <w:szCs w:val="1"/>
                <w:color w:val="auto"/>
              </w:rPr>
            </w:pPr>
          </w:p>
        </w:tc>
      </w:tr>
      <w:tr>
        <w:trPr>
          <w:trHeight w:val="167"/>
        </w:trPr>
        <w:tc>
          <w:tcPr>
            <w:tcW w:w="2940" w:type="dxa"/>
            <w:vAlign w:val="bottom"/>
          </w:tcPr>
          <w:p>
            <w:pPr>
              <w:spacing w:after="0"/>
              <w:rPr>
                <w:sz w:val="14"/>
                <w:szCs w:val="14"/>
                <w:color w:val="auto"/>
              </w:rPr>
            </w:pPr>
          </w:p>
        </w:tc>
        <w:tc>
          <w:tcPr>
            <w:tcW w:w="2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qualifying hedges</w:t>
            </w: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2"/>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 Instruments: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floors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futures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options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forwards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default swaps — written</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futures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index options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total return swaps</w:t>
            </w:r>
          </w:p>
        </w:tc>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107,041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106,301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99"/>
        </w:trPr>
        <w:tc>
          <w:tcPr>
            <w:tcW w:w="5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non-designated or non-qualifying derivatives</w:t>
            </w: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285,282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w:t>
            </w:r>
          </w:p>
        </w:tc>
        <w:tc>
          <w:tcPr>
            <w:tcW w:w="0" w:type="dxa"/>
            <w:vAlign w:val="bottom"/>
          </w:tcPr>
          <w:p>
            <w:pPr>
              <w:spacing w:after="0"/>
              <w:rPr>
                <w:sz w:val="1"/>
                <w:szCs w:val="1"/>
                <w:color w:val="auto"/>
              </w:rPr>
            </w:pPr>
          </w:p>
        </w:tc>
      </w:tr>
      <w:tr>
        <w:trPr>
          <w:trHeight w:val="192"/>
        </w:trPr>
        <w:tc>
          <w:tcPr>
            <w:tcW w:w="2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289,546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277,424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Based on gross notional amounts, a substantial portion of the Company’s derivatives was not designated or did not qualify as part of a hedging relationship at both June 30, 2025 and December 31, 2024. The Company’s use of derivatives includes (i) derivatives that serve as hedges of the Company’s exposure to various risks and generally do not qualify for hedge accounting because they do not meet the criteria required under portfolio hedging rules;</w:t>
      </w:r>
    </w:p>
    <w:p>
      <w:pPr>
        <w:spacing w:after="0" w:line="1" w:lineRule="exact"/>
        <w:rPr>
          <w:sz w:val="20"/>
          <w:szCs w:val="20"/>
          <w:color w:val="auto"/>
        </w:rPr>
      </w:pPr>
    </w:p>
    <w:p>
      <w:pPr>
        <w:jc w:val="both"/>
        <w:ind w:firstLine="6"/>
        <w:spacing w:after="0" w:line="267" w:lineRule="auto"/>
        <w:tabs>
          <w:tab w:leader="none" w:pos="267"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MRBs that do not qualify for hedge accounting because the changes in estimated fair value of the MRBs are already recorded in net income; and (iv) written credit default swaps that are used to create synthetic credit investments and that do not qualify for hedge accounting because they do not involve a hedging relationship.</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amount and location of gains (losses), including earned income, recognized for derivatives and gains (losses) pertaining to hedged items reported in net derivative gains (losses)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6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Policyholder Benefits</w:t>
            </w:r>
          </w:p>
        </w:tc>
        <w:tc>
          <w:tcPr>
            <w:tcW w:w="100" w:type="dxa"/>
            <w:vAlign w:val="bottom"/>
          </w:tcPr>
          <w:p>
            <w:pPr>
              <w:spacing w:after="0"/>
              <w:rPr>
                <w:sz w:val="13"/>
                <w:szCs w:val="13"/>
                <w:color w:val="auto"/>
              </w:rPr>
            </w:pPr>
          </w:p>
        </w:tc>
        <w:tc>
          <w:tcPr>
            <w:tcW w:w="12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42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(Losses) Recognized</w:t>
            </w:r>
          </w:p>
        </w:tc>
        <w:tc>
          <w:tcPr>
            <w:tcW w:w="140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(Losses) Recognized</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30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3"/>
        </w:trPr>
        <w:tc>
          <w:tcPr>
            <w:tcW w:w="4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Hedged Items</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and Claims</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141"/>
        </w:trPr>
        <w:tc>
          <w:tcPr>
            <w:tcW w:w="4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w w:val="96"/>
              </w:rPr>
              <w:t>(1)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41"/>
        </w:trPr>
        <w:tc>
          <w:tcPr>
            <w:tcW w:w="4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96"/>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w w:val="96"/>
              </w:rPr>
              <w:t>(6)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6"/>
                <w:szCs w:val="16"/>
                <w:color w:val="auto"/>
                <w:w w:val="96"/>
              </w:rPr>
              <w:t>(7)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Net Derivative</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Derivative</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9"/>
              </w:rPr>
              <w:t>Amount of Gains</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Gains (Losses)</w:t>
            </w:r>
          </w:p>
        </w:tc>
        <w:tc>
          <w:tcPr>
            <w:tcW w:w="140" w:type="dxa"/>
            <w:vAlign w:val="bottom"/>
          </w:tcPr>
          <w:p>
            <w:pPr>
              <w:spacing w:after="0"/>
              <w:rPr>
                <w:sz w:val="12"/>
                <w:szCs w:val="12"/>
                <w:color w:val="auto"/>
              </w:rPr>
            </w:pPr>
          </w:p>
        </w:tc>
        <w:tc>
          <w:tcPr>
            <w:tcW w:w="124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Policyholder</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for</w:t>
            </w:r>
          </w:p>
        </w:tc>
        <w:tc>
          <w:tcPr>
            <w:tcW w:w="140" w:type="dxa"/>
            <w:vAlign w:val="bottom"/>
          </w:tcPr>
          <w:p>
            <w:pPr>
              <w:spacing w:after="0"/>
              <w:rPr>
                <w:sz w:val="12"/>
                <w:szCs w:val="12"/>
                <w:color w:val="auto"/>
              </w:rPr>
            </w:pPr>
          </w:p>
        </w:tc>
        <w:tc>
          <w:tcPr>
            <w:tcW w:w="124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for</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3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Benefits and Claims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191"/>
        </w:trPr>
        <w:tc>
          <w:tcPr>
            <w:tcW w:w="4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4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June 30, 2025 and December 31, 2024, the Company held no qualified derivatives hedging exposure to future cash flows for forecasted asset purchases.</w:t>
      </w:r>
    </w:p>
    <w:p>
      <w:pPr>
        <w:spacing w:after="0" w:line="110" w:lineRule="exact"/>
        <w:rPr>
          <w:sz w:val="20"/>
          <w:szCs w:val="20"/>
          <w:color w:val="auto"/>
        </w:rPr>
      </w:pPr>
    </w:p>
    <w:p>
      <w:pPr>
        <w:ind w:right="540" w:firstLine="318"/>
        <w:spacing w:after="0" w:line="368" w:lineRule="auto"/>
        <w:rPr>
          <w:sz w:val="20"/>
          <w:szCs w:val="20"/>
          <w:color w:val="auto"/>
        </w:rPr>
      </w:pPr>
      <w:r>
        <w:rPr>
          <w:rFonts w:ascii="Times New Roman" w:cs="Times New Roman" w:eastAsia="Times New Roman" w:hAnsi="Times New Roman"/>
          <w:sz w:val="18"/>
          <w:szCs w:val="18"/>
          <w:color w:val="auto"/>
        </w:rPr>
        <w:t xml:space="preserve">At June 30, 2025 and December 31, 2024, the balance in AOCI associated with cash flow hedges was $189 million and $469 million, respectively. </w:t>
      </w:r>
      <w:r>
        <w:rPr>
          <w:rFonts w:ascii="Times New Roman" w:cs="Times New Roman" w:eastAsia="Times New Roman" w:hAnsi="Times New Roman"/>
          <w:sz w:val="18"/>
          <w:szCs w:val="18"/>
          <w:b w:val="1"/>
          <w:bCs w:val="1"/>
          <w:i w:val="1"/>
          <w:iCs w:val="1"/>
          <w:color w:val="auto"/>
        </w:rPr>
        <w:t>Credit Derivatives</w:t>
      </w:r>
    </w:p>
    <w:p>
      <w:pPr>
        <w:spacing w:after="0" w:line="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estimated fair value, maximum amount of future payments and weighted average years to maturity of written credit default swaps were as follows at: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0"/>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4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48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200" w:type="dxa"/>
            <w:vAlign w:val="bottom"/>
            <w:vMerge w:val="restart"/>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4"/>
        </w:trPr>
        <w:tc>
          <w:tcPr>
            <w:tcW w:w="3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Rating Agency Designation of Referenced Credit</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48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20" w:type="dxa"/>
            <w:vAlign w:val="bottom"/>
          </w:tcPr>
          <w:p>
            <w:pPr>
              <w:ind w:left="220"/>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00" w:type="dxa"/>
            <w:vAlign w:val="bottom"/>
            <w:gridSpan w:val="2"/>
            <w:vMerge w:val="continue"/>
          </w:tcPr>
          <w:p>
            <w:pPr>
              <w:spacing w:after="0"/>
              <w:rPr>
                <w:sz w:val="12"/>
                <w:szCs w:val="12"/>
                <w:color w:val="auto"/>
              </w:rPr>
            </w:pPr>
          </w:p>
        </w:tc>
        <w:tc>
          <w:tcPr>
            <w:tcW w:w="104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4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Future Payments under</w:t>
            </w:r>
          </w:p>
        </w:tc>
        <w:tc>
          <w:tcPr>
            <w:tcW w:w="13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Average Years to</w:t>
            </w:r>
          </w:p>
        </w:tc>
        <w:tc>
          <w:tcPr>
            <w:tcW w:w="104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4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Future Payments under</w:t>
            </w:r>
          </w:p>
        </w:tc>
        <w:tc>
          <w:tcPr>
            <w:tcW w:w="1200" w:type="dxa"/>
            <w:vAlign w:val="bottom"/>
          </w:tcPr>
          <w:p>
            <w:pPr>
              <w:jc w:val="center"/>
              <w:ind w:left="44"/>
              <w:spacing w:after="0" w:line="146" w:lineRule="exact"/>
              <w:rPr>
                <w:sz w:val="20"/>
                <w:szCs w:val="20"/>
                <w:color w:val="auto"/>
              </w:rPr>
            </w:pPr>
            <w:r>
              <w:rPr>
                <w:rFonts w:ascii="Times New Roman" w:cs="Times New Roman" w:eastAsia="Times New Roman" w:hAnsi="Times New Roman"/>
                <w:sz w:val="14"/>
                <w:szCs w:val="14"/>
                <w:b w:val="1"/>
                <w:bCs w:val="1"/>
                <w:color w:val="auto"/>
                <w:w w:val="96"/>
              </w:rPr>
              <w:t>Average Years to</w:t>
            </w:r>
          </w:p>
        </w:tc>
        <w:tc>
          <w:tcPr>
            <w:tcW w:w="0" w:type="dxa"/>
            <w:vAlign w:val="bottom"/>
          </w:tcPr>
          <w:p>
            <w:pPr>
              <w:spacing w:after="0"/>
              <w:rPr>
                <w:sz w:val="1"/>
                <w:szCs w:val="1"/>
                <w:color w:val="auto"/>
              </w:rPr>
            </w:pPr>
          </w:p>
        </w:tc>
      </w:tr>
      <w:tr>
        <w:trPr>
          <w:trHeight w:val="193"/>
        </w:trPr>
        <w:tc>
          <w:tcPr>
            <w:tcW w:w="370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Obligations (1)</w:t>
            </w: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48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Credit Default Swaps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Maturity (2)</w:t>
            </w: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w w:val="99"/>
              </w:rPr>
              <w:t>Credit Default Swaps</w:t>
            </w:r>
          </w:p>
        </w:tc>
        <w:tc>
          <w:tcPr>
            <w:tcW w:w="120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0" w:type="dxa"/>
            <w:vAlign w:val="bottom"/>
          </w:tcPr>
          <w:p>
            <w:pPr>
              <w:spacing w:after="0"/>
              <w:rPr>
                <w:sz w:val="1"/>
                <w:szCs w:val="1"/>
                <w:color w:val="auto"/>
              </w:rPr>
            </w:pPr>
          </w:p>
        </w:tc>
      </w:tr>
      <w:tr>
        <w:trPr>
          <w:trHeight w:val="191"/>
        </w:trPr>
        <w:tc>
          <w:tcPr>
            <w:tcW w:w="3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Aaa/Aa/A</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Baa</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4"/>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Caa and Lower</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2"/>
        </w:trPr>
        <w:tc>
          <w:tcPr>
            <w:tcW w:w="37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written credit protection on index references. The rating agency designations are based on availability and the midpoint of the applicable ratings among Moody’s, S&amp;P and Fitch. If no rating is available from a rating agency, then an internally developed rating is used.</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years to maturity of the credit default swaps is calculated based on weighted average gross notional amounts.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manages its credit risk by: (i) entering into derivative transactions with creditworthy counterparties governed by master netting agreements;</w:t>
      </w:r>
    </w:p>
    <w:p>
      <w:pPr>
        <w:spacing w:after="0" w:line="36" w:lineRule="exact"/>
        <w:rPr>
          <w:sz w:val="20"/>
          <w:szCs w:val="20"/>
          <w:color w:val="auto"/>
        </w:rPr>
      </w:pPr>
    </w:p>
    <w:p>
      <w:pPr>
        <w:ind w:firstLine="6"/>
        <w:spacing w:after="0" w:line="251" w:lineRule="auto"/>
        <w:tabs>
          <w:tab w:leader="none" w:pos="2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9 for a description of the impact of credit risk on the valuation of derivatives.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values of net derivative assets and net derivative liabilities after the application of master netting agreements and collateral were as follows at:</w:t>
      </w:r>
    </w:p>
    <w:p>
      <w:pPr>
        <w:spacing w:after="0" w:line="197"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Gross Amounts Not Offset on the Consolidated</w:t>
      </w:r>
    </w:p>
    <w:p>
      <w:pPr>
        <w:spacing w:after="0" w:line="3"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303"/>
              <w:spacing w:after="0" w:line="139" w:lineRule="exact"/>
              <w:rPr>
                <w:sz w:val="20"/>
                <w:szCs w:val="20"/>
                <w:color w:val="auto"/>
              </w:rPr>
            </w:pPr>
            <w:r>
              <w:rPr>
                <w:rFonts w:ascii="Times New Roman" w:cs="Times New Roman" w:eastAsia="Times New Roman" w:hAnsi="Times New Roman"/>
                <w:sz w:val="14"/>
                <w:szCs w:val="14"/>
                <w:b w:val="1"/>
                <w:bCs w:val="1"/>
                <w:color w:val="auto"/>
              </w:rPr>
              <w:t>Gross Amount</w:t>
            </w:r>
          </w:p>
        </w:tc>
        <w:tc>
          <w:tcPr>
            <w:tcW w:w="1500" w:type="dxa"/>
            <w:vAlign w:val="bottom"/>
            <w:tcBorders>
              <w:top w:val="single" w:sz="8" w:color="auto"/>
            </w:tcBorders>
            <w:gridSpan w:val="2"/>
          </w:tcPr>
          <w:p>
            <w:pPr>
              <w:jc w:val="right"/>
              <w:ind w:right="22"/>
              <w:spacing w:after="0" w:line="139" w:lineRule="exact"/>
              <w:rPr>
                <w:sz w:val="20"/>
                <w:szCs w:val="20"/>
                <w:color w:val="auto"/>
              </w:rPr>
            </w:pPr>
            <w:r>
              <w:rPr>
                <w:rFonts w:ascii="Times New Roman" w:cs="Times New Roman" w:eastAsia="Times New Roman" w:hAnsi="Times New Roman"/>
                <w:sz w:val="14"/>
                <w:szCs w:val="14"/>
                <w:b w:val="1"/>
                <w:bCs w:val="1"/>
                <w:color w:val="auto"/>
              </w:rPr>
              <w:t>Financial Instruments</w:t>
            </w:r>
          </w:p>
        </w:tc>
        <w:tc>
          <w:tcPr>
            <w:tcW w:w="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83"/>
              <w:spacing w:after="0" w:line="13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420" w:type="dxa"/>
            <w:vAlign w:val="bottom"/>
          </w:tcPr>
          <w:p>
            <w:pPr>
              <w:spacing w:after="0"/>
              <w:rPr>
                <w:sz w:val="12"/>
                <w:szCs w:val="12"/>
                <w:color w:val="auto"/>
              </w:rPr>
            </w:pPr>
          </w:p>
        </w:tc>
        <w:tc>
          <w:tcPr>
            <w:tcW w:w="11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80" w:type="dxa"/>
            <w:vAlign w:val="bottom"/>
          </w:tcPr>
          <w:p>
            <w:pPr>
              <w:spacing w:after="0"/>
              <w:rPr>
                <w:sz w:val="12"/>
                <w:szCs w:val="12"/>
                <w:color w:val="auto"/>
              </w:rPr>
            </w:pPr>
          </w:p>
        </w:tc>
        <w:tc>
          <w:tcPr>
            <w:tcW w:w="1360" w:type="dxa"/>
            <w:vAlign w:val="bottom"/>
          </w:tcPr>
          <w:p>
            <w:pPr>
              <w:jc w:val="right"/>
              <w:ind w:right="62"/>
              <w:spacing w:after="0" w:line="139" w:lineRule="exact"/>
              <w:rPr>
                <w:sz w:val="20"/>
                <w:szCs w:val="20"/>
                <w:color w:val="auto"/>
              </w:rPr>
            </w:pPr>
            <w:r>
              <w:rPr>
                <w:rFonts w:ascii="Times New Roman" w:cs="Times New Roman" w:eastAsia="Times New Roman" w:hAnsi="Times New Roman"/>
                <w:sz w:val="14"/>
                <w:szCs w:val="14"/>
                <w:b w:val="1"/>
                <w:bCs w:val="1"/>
                <w:color w:val="auto"/>
                <w:w w:val="98"/>
              </w:rPr>
              <w:t>Securities Collateral</w:t>
            </w:r>
          </w:p>
        </w:tc>
        <w:tc>
          <w:tcPr>
            <w:tcW w:w="160" w:type="dxa"/>
            <w:vAlign w:val="bottom"/>
          </w:tcPr>
          <w:p>
            <w:pPr>
              <w:spacing w:after="0"/>
              <w:rPr>
                <w:sz w:val="12"/>
                <w:szCs w:val="12"/>
                <w:color w:val="auto"/>
              </w:rPr>
            </w:pPr>
          </w:p>
        </w:tc>
        <w:tc>
          <w:tcPr>
            <w:tcW w:w="1340" w:type="dxa"/>
            <w:vAlign w:val="bottom"/>
          </w:tcPr>
          <w:p>
            <w:pPr>
              <w:jc w:val="right"/>
              <w:ind w:right="103"/>
              <w:spacing w:after="0" w:line="139" w:lineRule="exact"/>
              <w:rPr>
                <w:sz w:val="20"/>
                <w:szCs w:val="20"/>
                <w:color w:val="auto"/>
              </w:rPr>
            </w:pPr>
            <w:r>
              <w:rPr>
                <w:rFonts w:ascii="Times New Roman" w:cs="Times New Roman" w:eastAsia="Times New Roman" w:hAnsi="Times New Roman"/>
                <w:sz w:val="14"/>
                <w:szCs w:val="14"/>
                <w:b w:val="1"/>
                <w:bCs w:val="1"/>
                <w:color w:val="auto"/>
              </w:rPr>
              <w:t>Net Amount After</w:t>
            </w:r>
          </w:p>
        </w:tc>
        <w:tc>
          <w:tcPr>
            <w:tcW w:w="0" w:type="dxa"/>
            <w:vAlign w:val="bottom"/>
          </w:tcPr>
          <w:p>
            <w:pPr>
              <w:spacing w:after="0"/>
              <w:rPr>
                <w:sz w:val="1"/>
                <w:szCs w:val="1"/>
                <w:color w:val="auto"/>
              </w:rPr>
            </w:pPr>
          </w:p>
        </w:tc>
      </w:tr>
      <w:tr>
        <w:trPr>
          <w:trHeight w:val="191"/>
        </w:trPr>
        <w:tc>
          <w:tcPr>
            <w:tcW w:w="2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(1)</w:t>
            </w: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Received/Pledged (2)</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Received/Pledged (3)</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c>
          <w:tcPr>
            <w:tcW w:w="0" w:type="dxa"/>
            <w:vAlign w:val="bottom"/>
          </w:tcPr>
          <w:p>
            <w:pPr>
              <w:spacing w:after="0"/>
              <w:rPr>
                <w:sz w:val="1"/>
                <w:szCs w:val="1"/>
                <w:color w:val="auto"/>
              </w:rPr>
            </w:pPr>
          </w:p>
        </w:tc>
      </w:tr>
      <w:tr>
        <w:trPr>
          <w:trHeight w:val="191"/>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7,458</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(6,143)</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702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7,265</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(6,143)</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4,140</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(3,039)</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8"/>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5,353</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(3,039)</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2,314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(2,306)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subject to an enforceable master netting agreement or similar agreement.</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collateral offset in the table above is limited to the net estimated fair value of derivatives after application of netting agreement.</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60" w:type="dxa"/>
            <w:vAlign w:val="bottom"/>
          </w:tcPr>
          <w:p>
            <w:pPr>
              <w:spacing w:after="0"/>
              <w:rPr>
                <w:sz w:val="16"/>
                <w:szCs w:val="16"/>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gridSpan w:val="2"/>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fair value of derivatives in a net liability position (1)</w:t>
            </w:r>
          </w:p>
        </w:tc>
        <w:tc>
          <w:tcPr>
            <w:tcW w:w="1240" w:type="dxa"/>
            <w:vAlign w:val="bottom"/>
            <w:shd w:val="clear" w:color="auto" w:fill="CCEEFF"/>
          </w:tcPr>
          <w:p>
            <w:pPr>
              <w:jc w:val="right"/>
              <w:ind w:right="10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4"/>
              </w:rPr>
              <w:t>1,122</w:t>
            </w:r>
          </w:p>
        </w:tc>
        <w:tc>
          <w:tcPr>
            <w:tcW w:w="86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 of collateral provided (2):</w:t>
            </w: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240" w:type="dxa"/>
            <w:vAlign w:val="bottom"/>
            <w:shd w:val="clear" w:color="auto" w:fill="CCEEFF"/>
          </w:tcPr>
          <w:p>
            <w:pPr>
              <w:jc w:val="right"/>
              <w:ind w:right="10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4"/>
              </w:rPr>
              <w:t>3,873</w:t>
            </w:r>
          </w:p>
        </w:tc>
        <w:tc>
          <w:tcPr>
            <w:tcW w:w="86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taking into consideration the existence of netting agreements.</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over-the-counter (“OTC”) bilateral contracts between two counterparties (“OTC-bilateral”) derivative transactions to third-party custodians.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Total Estimated</w:t>
            </w:r>
          </w:p>
        </w:tc>
      </w:tr>
      <w:tr>
        <w:trPr>
          <w:trHeight w:val="193"/>
        </w:trPr>
        <w:tc>
          <w:tcPr>
            <w:tcW w:w="55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36,920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37,573</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11,769</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7,835</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2,544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6,636</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5,794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6,186</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05"/>
        </w:trPr>
        <w:tc>
          <w:tcPr>
            <w:tcW w:w="5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2,544</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77,093</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80,835</w:t>
            </w:r>
          </w:p>
        </w:tc>
      </w:tr>
      <w:tr>
        <w:trPr>
          <w:trHeight w:val="404"/>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Trading securities</w:t>
            </w:r>
          </w:p>
        </w:tc>
        <w:tc>
          <w:tcPr>
            <w:tcW w:w="8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r>
      <w:tr>
        <w:trPr>
          <w:trHeight w:val="21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(1)</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7,183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7,183</w:t>
            </w:r>
          </w:p>
        </w:tc>
      </w:tr>
      <w:tr>
        <w:trPr>
          <w:trHeight w:val="203"/>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derivative assets</w:t>
            </w:r>
          </w:p>
        </w:tc>
        <w:tc>
          <w:tcPr>
            <w:tcW w:w="8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7,795</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7,803</w:t>
            </w:r>
          </w:p>
        </w:tc>
      </w:tr>
      <w:tr>
        <w:trPr>
          <w:trHeight w:val="4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(2)</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 assets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86,079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86,085</w:t>
            </w:r>
          </w:p>
        </w:tc>
      </w:tr>
      <w:tr>
        <w:trPr>
          <w:trHeight w:val="207"/>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3,612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171,660</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177,651</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8"/>
        </w:trPr>
        <w:tc>
          <w:tcPr>
            <w:tcW w:w="55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 liabilities</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(1)</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5,251</w:t>
            </w:r>
          </w:p>
        </w:tc>
      </w:tr>
      <w:tr>
        <w:trPr>
          <w:trHeight w:val="207"/>
        </w:trPr>
        <w:tc>
          <w:tcPr>
            <w:tcW w:w="5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7,397</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w:t>
            </w:r>
          </w:p>
        </w:tc>
      </w:tr>
      <w:tr>
        <w:trPr>
          <w:trHeight w:val="203"/>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(2)</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11,646</w:t>
            </w:r>
          </w:p>
        </w:tc>
      </w:tr>
      <w:tr>
        <w:trPr>
          <w:trHeight w:val="232"/>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7,397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8"/>
              </w:rPr>
              <w:t>Total Estimated Fair</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50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5"/>
                <w:szCs w:val="5"/>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86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36,427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37,123</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11,830</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7,287</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2,731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0" w:type="dxa"/>
            <w:vAlign w:val="bottom"/>
          </w:tcPr>
          <w:p>
            <w:pPr>
              <w:spacing w:after="0"/>
              <w:rPr>
                <w:sz w:val="1"/>
                <w:szCs w:val="1"/>
                <w:color w:val="auto"/>
              </w:rPr>
            </w:pPr>
          </w:p>
        </w:tc>
      </w:tr>
      <w:tr>
        <w:trPr>
          <w:trHeight w:val="205"/>
        </w:trPr>
        <w:tc>
          <w:tcPr>
            <w:tcW w:w="5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2,731</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75,846</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80,055</w:t>
            </w:r>
          </w:p>
        </w:tc>
        <w:tc>
          <w:tcPr>
            <w:tcW w:w="0" w:type="dxa"/>
            <w:vAlign w:val="bottom"/>
          </w:tcPr>
          <w:p>
            <w:pPr>
              <w:spacing w:after="0"/>
              <w:rPr>
                <w:sz w:val="1"/>
                <w:szCs w:val="1"/>
                <w:color w:val="auto"/>
              </w:rPr>
            </w:pPr>
          </w:p>
        </w:tc>
      </w:tr>
      <w:tr>
        <w:trPr>
          <w:trHeight w:val="404"/>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Trading securities</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1,414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(1)</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0" w:type="dxa"/>
            <w:vAlign w:val="bottom"/>
          </w:tcPr>
          <w:p>
            <w:pPr>
              <w:spacing w:after="0"/>
              <w:rPr>
                <w:sz w:val="1"/>
                <w:szCs w:val="1"/>
                <w:color w:val="auto"/>
              </w:rPr>
            </w:pPr>
          </w:p>
        </w:tc>
      </w:tr>
      <w:tr>
        <w:trPr>
          <w:trHeight w:val="203"/>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derivative assets</w:t>
            </w:r>
          </w:p>
        </w:tc>
        <w:tc>
          <w:tcPr>
            <w:tcW w:w="8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4,126</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0" w:type="dxa"/>
            <w:vAlign w:val="bottom"/>
          </w:tcPr>
          <w:p>
            <w:pPr>
              <w:spacing w:after="0"/>
              <w:rPr>
                <w:sz w:val="1"/>
                <w:szCs w:val="1"/>
                <w:color w:val="auto"/>
              </w:rPr>
            </w:pPr>
          </w:p>
        </w:tc>
      </w:tr>
      <w:tr>
        <w:trPr>
          <w:trHeight w:val="4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(2)</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 assets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85,633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85,636</w:t>
            </w:r>
          </w:p>
        </w:tc>
        <w:tc>
          <w:tcPr>
            <w:tcW w:w="0" w:type="dxa"/>
            <w:vAlign w:val="bottom"/>
          </w:tcPr>
          <w:p>
            <w:pPr>
              <w:spacing w:after="0"/>
              <w:rPr>
                <w:sz w:val="1"/>
                <w:szCs w:val="1"/>
                <w:color w:val="auto"/>
              </w:rPr>
            </w:pPr>
          </w:p>
        </w:tc>
      </w:tr>
      <w:tr>
        <w:trPr>
          <w:trHeight w:val="207"/>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4,204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166,063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172,910</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5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 liabilities</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8,329</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(1)</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0" w:type="dxa"/>
            <w:vAlign w:val="bottom"/>
          </w:tcPr>
          <w:p>
            <w:pPr>
              <w:spacing w:after="0"/>
              <w:rPr>
                <w:sz w:val="1"/>
                <w:szCs w:val="1"/>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0" w:type="dxa"/>
            <w:vAlign w:val="bottom"/>
          </w:tcPr>
          <w:p>
            <w:pPr>
              <w:spacing w:after="0"/>
              <w:rPr>
                <w:sz w:val="1"/>
                <w:szCs w:val="1"/>
                <w:color w:val="auto"/>
              </w:rPr>
            </w:pPr>
          </w:p>
        </w:tc>
      </w:tr>
      <w:tr>
        <w:trPr>
          <w:trHeight w:val="207"/>
        </w:trPr>
        <w:tc>
          <w:tcPr>
            <w:tcW w:w="5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5,247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0" w:type="dxa"/>
            <w:vAlign w:val="bottom"/>
          </w:tcPr>
          <w:p>
            <w:pPr>
              <w:spacing w:after="0"/>
              <w:rPr>
                <w:sz w:val="1"/>
                <w:szCs w:val="1"/>
                <w:color w:val="auto"/>
              </w:rPr>
            </w:pPr>
          </w:p>
        </w:tc>
      </w:tr>
      <w:tr>
        <w:trPr>
          <w:trHeight w:val="203"/>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(2)</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11,540</w:t>
            </w:r>
          </w:p>
        </w:tc>
        <w:tc>
          <w:tcPr>
            <w:tcW w:w="0" w:type="dxa"/>
            <w:vAlign w:val="bottom"/>
          </w:tcPr>
          <w:p>
            <w:pPr>
              <w:spacing w:after="0"/>
              <w:rPr>
                <w:sz w:val="1"/>
                <w:szCs w:val="1"/>
                <w:color w:val="auto"/>
              </w:rPr>
            </w:pPr>
          </w:p>
        </w:tc>
      </w:tr>
      <w:tr>
        <w:trPr>
          <w:trHeight w:val="232"/>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5,247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reported in other invested assets and derivative liabilities are reported in other liabilities. The amounts are presented gross in the tables above to reflect the presentation on the consolidated balance sheets.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 assets on index-linked annuities are reported in premiums and other receivables. Embedded derivative liabilities on index-linked annuities are reported in policyholder account balances.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Valuation Controls and Procedures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BHF’s Board of Directors regarding compliance with fair value accounting standards.</w:t>
      </w:r>
    </w:p>
    <w:p>
      <w:pPr>
        <w:spacing w:after="0" w:line="79"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81"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74"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six months ended June 30, 2025.</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Determination of Fair Value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values for actively traded marketable bonds designated as available-for-sale or trading securities, primarily U.S. government and agency securities, are determined using the quoted market prices and are classified as Level 1 assets. For securities classified as Level 2 assets, fair values are determined using either a market or income approach and are valued based on a variety of observable inputs as described below.</w:t>
      </w:r>
    </w:p>
    <w:p>
      <w:pPr>
        <w:spacing w:after="0" w:line="123"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U.S. corporate and foreign corporate securities: </w:t>
      </w:r>
      <w:r>
        <w:rPr>
          <w:rFonts w:ascii="Times New Roman" w:cs="Times New Roman" w:eastAsia="Times New Roman" w:hAnsi="Times New Roman"/>
          <w:sz w:val="18"/>
          <w:szCs w:val="18"/>
          <w:color w:val="auto"/>
        </w:rPr>
        <w:t>Fair value is determined using third-party commercial pricing services, with the primary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28" w:lineRule="exact"/>
        <w:rPr>
          <w:sz w:val="20"/>
          <w:szCs w:val="20"/>
          <w:color w:val="auto"/>
        </w:rPr>
      </w:pPr>
    </w:p>
    <w:p>
      <w:pPr>
        <w:jc w:val="both"/>
        <w:ind w:left="3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U.S. government and agency, state and political subdivision and foreign government securities: </w:t>
      </w:r>
      <w:r>
        <w:rPr>
          <w:rFonts w:ascii="Times New Roman" w:cs="Times New Roman" w:eastAsia="Times New Roman" w:hAnsi="Times New Roman"/>
          <w:sz w:val="18"/>
          <w:szCs w:val="18"/>
          <w:color w:val="auto"/>
        </w:rPr>
        <w:t>Fair value is determined using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Structured Securities: </w:t>
      </w:r>
      <w:r>
        <w:rPr>
          <w:rFonts w:ascii="Times New Roman" w:cs="Times New Roman" w:eastAsia="Times New Roman" w:hAnsi="Times New Roman"/>
          <w:sz w:val="18"/>
          <w:szCs w:val="18"/>
          <w:color w:val="auto"/>
        </w:rPr>
        <w:t>Fair value is determined using third-party commercial pricing services, with the primary inputs being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 and Short-term Investments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123" w:lineRule="exact"/>
        <w:rPr>
          <w:sz w:val="20"/>
          <w:szCs w:val="20"/>
          <w:color w:val="auto"/>
        </w:rPr>
      </w:pPr>
    </w:p>
    <w:p>
      <w:pPr>
        <w:jc w:val="both"/>
        <w:ind w:left="3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Equity securities and short-term investments: </w:t>
      </w:r>
      <w:r>
        <w:rPr>
          <w:rFonts w:ascii="Times New Roman" w:cs="Times New Roman" w:eastAsia="Times New Roman" w:hAnsi="Times New Roman"/>
          <w:sz w:val="18"/>
          <w:szCs w:val="18"/>
          <w:color w:val="auto"/>
        </w:rPr>
        <w:t>Fair value is determined using third-party commercial pricing services, with the primary input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in markets that are not active.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Derivatives are financial instruments with values derived from interest rates, foreign currency exchange rates, credit spreads and/or other financial indices. Derivatives may be exchange-traded or contracted in the OTC market. Certain of the Company’s OTC derivatives are cleared and settled through central clearing counterparties (“OTC-cleared”), while others are OTC-bilateral.</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fair values for exchange-traded derivatives are determined using the quoted market prices and are classified as Level 1 assets or liabilities.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4"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2"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Market Risk Benefits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MRBs principally include guaranteed minimum benefits on variable annuity contracts including benefits reinsured related to these guarantees.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spacing w:after="0" w:line="81"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w:t>
      </w:r>
    </w:p>
    <w:p>
      <w:pPr>
        <w:spacing w:after="0" w:line="79"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Embedded derivatives include crediting rates associated with index-linked annuity contracts. Embedded derivatives are recorded at estimated fair value with changes in estimated fair value reported in net income.</w:t>
      </w:r>
    </w:p>
    <w:p>
      <w:pPr>
        <w:spacing w:after="0" w:line="57"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spacing w:after="0" w:line="57"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Transfers Into or Out of Level 3:</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and Liabilities Measured at Fair Value Using Significant Unobservable Inputs (Level 3)</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Impact of</w:t>
            </w:r>
          </w:p>
        </w:tc>
        <w:tc>
          <w:tcPr>
            <w:tcW w:w="0" w:type="dxa"/>
            <w:vAlign w:val="bottom"/>
          </w:tcPr>
          <w:p>
            <w:pPr>
              <w:spacing w:after="0"/>
              <w:rPr>
                <w:sz w:val="1"/>
                <w:szCs w:val="1"/>
                <w:color w:val="auto"/>
              </w:rPr>
            </w:pPr>
          </w:p>
        </w:tc>
      </w:tr>
      <w:tr>
        <w:trPr>
          <w:trHeight w:val="66"/>
        </w:trPr>
        <w:tc>
          <w:tcPr>
            <w:tcW w:w="2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Increase in Input on</w:t>
            </w:r>
          </w:p>
        </w:tc>
        <w:tc>
          <w:tcPr>
            <w:tcW w:w="0" w:type="dxa"/>
            <w:vAlign w:val="bottom"/>
          </w:tcPr>
          <w:p>
            <w:pPr>
              <w:spacing w:after="0"/>
              <w:rPr>
                <w:sz w:val="1"/>
                <w:szCs w:val="1"/>
                <w:color w:val="auto"/>
              </w:rPr>
            </w:pPr>
          </w:p>
        </w:tc>
      </w:tr>
      <w:tr>
        <w:trPr>
          <w:trHeight w:val="172"/>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Valuation Techniques</w:t>
            </w:r>
          </w:p>
        </w:tc>
        <w:tc>
          <w:tcPr>
            <w:tcW w:w="18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Significant Unobservable Inputs</w:t>
            </w:r>
          </w:p>
        </w:tc>
        <w:tc>
          <w:tcPr>
            <w:tcW w:w="6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r>
        <w:trPr>
          <w:trHeight w:val="185"/>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Risk Benefits</w:t>
            </w:r>
          </w:p>
        </w:tc>
        <w:tc>
          <w:tcPr>
            <w:tcW w:w="8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Variable annuity guaranteed minimum benefits</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 Discounted cash flows</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0.04%</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12.90%</w:t>
            </w:r>
          </w:p>
        </w:tc>
        <w:tc>
          <w:tcPr>
            <w:tcW w:w="100" w:type="dxa"/>
            <w:vAlign w:val="bottom"/>
          </w:tcPr>
          <w:p>
            <w:pPr>
              <w:spacing w:after="0"/>
              <w:rPr>
                <w:sz w:val="14"/>
                <w:szCs w:val="14"/>
                <w:color w:val="auto"/>
              </w:rPr>
            </w:pPr>
          </w:p>
        </w:tc>
        <w:tc>
          <w:tcPr>
            <w:tcW w:w="68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0.04%</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12.90%</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Utilization rates</w:t>
            </w: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25.00%</w:t>
            </w:r>
          </w:p>
        </w:tc>
        <w:tc>
          <w:tcPr>
            <w:tcW w:w="100" w:type="dxa"/>
            <w:vAlign w:val="bottom"/>
          </w:tcPr>
          <w:p>
            <w:pPr>
              <w:spacing w:after="0"/>
              <w:rPr>
                <w:sz w:val="14"/>
                <w:szCs w:val="14"/>
                <w:color w:val="auto"/>
              </w:rPr>
            </w:pPr>
          </w:p>
        </w:tc>
        <w:tc>
          <w:tcPr>
            <w:tcW w:w="68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25.00%</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(3)</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10.00%</w:t>
            </w:r>
          </w:p>
        </w:tc>
        <w:tc>
          <w:tcPr>
            <w:tcW w:w="1540" w:type="dxa"/>
            <w:vAlign w:val="bottom"/>
            <w:gridSpan w:val="2"/>
            <w:shd w:val="clear" w:color="auto" w:fill="CCEEFF"/>
          </w:tcPr>
          <w:p>
            <w:pPr>
              <w:jc w:val="center"/>
              <w:ind w:left="38"/>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Long-term equity volatilities</w:t>
            </w:r>
          </w:p>
        </w:tc>
        <w:tc>
          <w:tcPr>
            <w:tcW w:w="66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12.04%</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28.30%</w:t>
            </w:r>
          </w:p>
        </w:tc>
        <w:tc>
          <w:tcPr>
            <w:tcW w:w="100" w:type="dxa"/>
            <w:vAlign w:val="bottom"/>
          </w:tcPr>
          <w:p>
            <w:pPr>
              <w:spacing w:after="0"/>
              <w:rPr>
                <w:sz w:val="14"/>
                <w:szCs w:val="14"/>
                <w:color w:val="auto"/>
              </w:rPr>
            </w:pPr>
          </w:p>
        </w:tc>
        <w:tc>
          <w:tcPr>
            <w:tcW w:w="68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12.22%</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37.04%</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(5)</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Nonperformance risk spread</w:t>
            </w: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0.40%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1.22%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0.20%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r>
        <w:trPr>
          <w:trHeight w:val="192"/>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Embedded Derivatives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540" w:type="dxa"/>
            <w:vAlign w:val="bottom"/>
            <w:shd w:val="clear" w:color="auto" w:fill="CCEEFF"/>
          </w:tcPr>
          <w:p>
            <w:pPr>
              <w:spacing w:after="0"/>
              <w:rPr>
                <w:sz w:val="10"/>
                <w:szCs w:val="10"/>
                <w:color w:val="auto"/>
              </w:rPr>
            </w:pPr>
          </w:p>
        </w:tc>
        <w:tc>
          <w:tcPr>
            <w:tcW w:w="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w w:val="94"/>
              </w:rPr>
              <w:t>•</w:t>
            </w:r>
          </w:p>
        </w:tc>
        <w:tc>
          <w:tcPr>
            <w:tcW w:w="1500" w:type="dxa"/>
            <w:vAlign w:val="bottom"/>
            <w:gridSpan w:val="2"/>
            <w:shd w:val="clear" w:color="auto" w:fill="CCEEFF"/>
          </w:tcPr>
          <w:p>
            <w:pPr>
              <w:ind w:left="100"/>
              <w:spacing w:after="0" w:line="126" w:lineRule="exact"/>
              <w:rPr>
                <w:sz w:val="20"/>
                <w:szCs w:val="20"/>
                <w:color w:val="auto"/>
              </w:rPr>
            </w:pPr>
            <w:r>
              <w:rPr>
                <w:rFonts w:ascii="Times New Roman" w:cs="Times New Roman" w:eastAsia="Times New Roman" w:hAnsi="Times New Roman"/>
                <w:sz w:val="12"/>
                <w:szCs w:val="12"/>
                <w:color w:val="auto"/>
              </w:rPr>
              <w:t>Option pricing</w:t>
            </w:r>
          </w:p>
        </w:tc>
        <w:tc>
          <w:tcPr>
            <w:tcW w:w="14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Registered index-linked annuity crediting rates</w:t>
            </w:r>
          </w:p>
        </w:tc>
        <w:tc>
          <w:tcPr>
            <w:tcW w:w="1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techniques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7.86%</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0.03%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7.86%</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62.30%</w:t>
            </w:r>
          </w:p>
        </w:tc>
        <w:tc>
          <w:tcPr>
            <w:tcW w:w="100" w:type="dxa"/>
            <w:vAlign w:val="bottom"/>
          </w:tcPr>
          <w:p>
            <w:pPr>
              <w:spacing w:after="0"/>
              <w:rPr>
                <w:sz w:val="14"/>
                <w:szCs w:val="14"/>
                <w:color w:val="auto"/>
              </w:rPr>
            </w:pPr>
          </w:p>
        </w:tc>
        <w:tc>
          <w:tcPr>
            <w:tcW w:w="68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62.30%</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0.50%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13.00%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0.50%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13.00%</w:t>
            </w:r>
          </w:p>
        </w:tc>
        <w:tc>
          <w:tcPr>
            <w:tcW w:w="1540" w:type="dxa"/>
            <w:vAlign w:val="bottom"/>
            <w:gridSpan w:val="2"/>
            <w:shd w:val="clear" w:color="auto" w:fill="CCEEFF"/>
          </w:tcPr>
          <w:p>
            <w:pPr>
              <w:jc w:val="center"/>
              <w:ind w:left="38"/>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Nonperformance risk spread</w:t>
            </w: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0.21%</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1.64%</w:t>
            </w:r>
          </w:p>
        </w:tc>
        <w:tc>
          <w:tcPr>
            <w:tcW w:w="100" w:type="dxa"/>
            <w:vAlign w:val="bottom"/>
          </w:tcPr>
          <w:p>
            <w:pPr>
              <w:spacing w:after="0"/>
              <w:rPr>
                <w:sz w:val="13"/>
                <w:szCs w:val="13"/>
                <w:color w:val="auto"/>
              </w:rPr>
            </w:pPr>
          </w:p>
        </w:tc>
        <w:tc>
          <w:tcPr>
            <w:tcW w:w="68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0.30%</w:t>
            </w: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8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1.63%</w:t>
            </w: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2"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79" w:lineRule="exact"/>
        <w:rPr>
          <w:rFonts w:ascii="Times New Roman" w:cs="Times New Roman" w:eastAsia="Times New Roman" w:hAnsi="Times New Roman"/>
          <w:sz w:val="18"/>
          <w:szCs w:val="18"/>
          <w:color w:val="auto"/>
        </w:rPr>
      </w:pPr>
    </w:p>
    <w:p>
      <w:pPr>
        <w:jc w:val="both"/>
        <w:ind w:left="320" w:hanging="314"/>
        <w:spacing w:after="0" w:line="251"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 assumption for variable annuity guarantees estimates the percentage of contract holders with a guaranteed minimum income benefit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4" w:lineRule="exact"/>
        <w:rPr>
          <w:sz w:val="20"/>
          <w:szCs w:val="20"/>
          <w:color w:val="auto"/>
        </w:rPr>
      </w:pPr>
    </w:p>
    <w:p>
      <w:pPr>
        <w:jc w:val="both"/>
        <w:ind w:left="320" w:hanging="314"/>
        <w:spacing w:after="0" w:line="251"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guaranteed minimum withdrawal benefits, any increase (decrease) in withdrawal rates results in an increase (decrease) in the estimated fair value of the guarantees. For variable annuity guaranteed minimum accumulation benefits and GMIBs, any increase (decrease) in withdrawal rates results in a decrease (increase) in the estimated fair value.</w:t>
      </w:r>
    </w:p>
    <w:p>
      <w:pPr>
        <w:spacing w:after="0" w:line="79"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risk spread varies by duration. For any given contract, multiple nonperformance risk spreads will apply, depending on the duration of the cash flow being discounted for purposes of valuing the MRB or embedded derivative.</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4"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changes in assets and (liabilities) measured at estimated fair value on a recurring basis using significant unobservable inputs (excluding MRBs disclosed in Note 4) were summarized as follows: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2"/>
                <w:szCs w:val="12"/>
                <w:b w:val="1"/>
                <w:bCs w:val="1"/>
                <w:color w:val="auto"/>
              </w:rPr>
              <w:t>Fair Value Measurements Using Significant Unobservable Inputs (Level 3)</w:t>
            </w: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left="698"/>
              <w:spacing w:after="0"/>
              <w:rPr>
                <w:sz w:val="20"/>
                <w:szCs w:val="20"/>
                <w:color w:val="auto"/>
              </w:rPr>
            </w:pPr>
            <w:r>
              <w:rPr>
                <w:rFonts w:ascii="Times New Roman" w:cs="Times New Roman" w:eastAsia="Times New Roman" w:hAnsi="Times New Roman"/>
                <w:sz w:val="12"/>
                <w:szCs w:val="12"/>
                <w:b w:val="1"/>
                <w:bCs w:val="1"/>
                <w:color w:val="auto"/>
              </w:rPr>
              <w:t>Fixed Maturity Securities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Structured</w:t>
            </w: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Foreign</w:t>
            </w:r>
          </w:p>
        </w:tc>
        <w:tc>
          <w:tcPr>
            <w:tcW w:w="140" w:type="dxa"/>
            <w:vAlign w:val="bottom"/>
          </w:tcPr>
          <w:p>
            <w:pPr>
              <w:spacing w:after="0"/>
              <w:rPr>
                <w:sz w:val="9"/>
                <w:szCs w:val="9"/>
                <w:color w:val="auto"/>
              </w:rPr>
            </w:pPr>
          </w:p>
        </w:tc>
        <w:tc>
          <w:tcPr>
            <w:tcW w:w="680" w:type="dxa"/>
            <w:vAlign w:val="bottom"/>
            <w:vMerge w:val="restart"/>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Trading</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Short-term</w:t>
            </w:r>
          </w:p>
        </w:tc>
        <w:tc>
          <w:tcPr>
            <w:tcW w:w="120" w:type="dxa"/>
            <w:vAlign w:val="bottom"/>
          </w:tcPr>
          <w:p>
            <w:pPr>
              <w:spacing w:after="0"/>
              <w:rPr>
                <w:sz w:val="9"/>
                <w:szCs w:val="9"/>
                <w:color w:val="auto"/>
              </w:rPr>
            </w:pPr>
          </w:p>
        </w:tc>
        <w:tc>
          <w:tcPr>
            <w:tcW w:w="10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Net</w:t>
            </w:r>
          </w:p>
        </w:tc>
        <w:tc>
          <w:tcPr>
            <w:tcW w:w="1260" w:type="dxa"/>
            <w:vAlign w:val="bottom"/>
            <w:gridSpan w:val="2"/>
          </w:tcPr>
          <w:p>
            <w:pPr>
              <w:ind w:left="40"/>
              <w:spacing w:after="0" w:line="106" w:lineRule="exact"/>
              <w:rPr>
                <w:sz w:val="20"/>
                <w:szCs w:val="20"/>
                <w:color w:val="auto"/>
              </w:rPr>
            </w:pPr>
            <w:r>
              <w:rPr>
                <w:rFonts w:ascii="Times New Roman" w:cs="Times New Roman" w:eastAsia="Times New Roman" w:hAnsi="Times New Roman"/>
                <w:sz w:val="12"/>
                <w:szCs w:val="12"/>
                <w:b w:val="1"/>
                <w:bCs w:val="1"/>
                <w:color w:val="auto"/>
              </w:rPr>
              <w:t>Embedded Derivatives</w:t>
            </w: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right"/>
              <w:ind w:right="118"/>
              <w:spacing w:after="0" w:line="120" w:lineRule="exact"/>
              <w:rPr>
                <w:sz w:val="20"/>
                <w:szCs w:val="20"/>
                <w:color w:val="auto"/>
              </w:rPr>
            </w:pPr>
            <w:r>
              <w:rPr>
                <w:rFonts w:ascii="Times New Roman" w:cs="Times New Roman" w:eastAsia="Times New Roman" w:hAnsi="Times New Roman"/>
                <w:sz w:val="12"/>
                <w:szCs w:val="12"/>
                <w:b w:val="1"/>
                <w:bCs w:val="1"/>
                <w:color w:val="auto"/>
              </w:rPr>
              <w:t>on Index-Linked</w:t>
            </w:r>
          </w:p>
        </w:tc>
        <w:tc>
          <w:tcPr>
            <w:tcW w:w="0" w:type="dxa"/>
            <w:vAlign w:val="bottom"/>
          </w:tcPr>
          <w:p>
            <w:pPr>
              <w:spacing w:after="0"/>
              <w:rPr>
                <w:sz w:val="1"/>
                <w:szCs w:val="1"/>
                <w:color w:val="auto"/>
              </w:rPr>
            </w:pPr>
          </w:p>
        </w:tc>
      </w:tr>
      <w:tr>
        <w:trPr>
          <w:trHeight w:val="179"/>
        </w:trPr>
        <w:tc>
          <w:tcPr>
            <w:tcW w:w="2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 (1)</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Government</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Derivatives (2)</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3"/>
          </w:tcPr>
          <w:p>
            <w:pPr>
              <w:jc w:val="right"/>
              <w:ind w:right="141"/>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Three Months Ended June 30, 2025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340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56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14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(9,925)</w:t>
            </w:r>
          </w:p>
        </w:tc>
        <w:tc>
          <w:tcPr>
            <w:tcW w:w="0" w:type="dxa"/>
            <w:vAlign w:val="bottom"/>
          </w:tcPr>
          <w:p>
            <w:pPr>
              <w:spacing w:after="0"/>
              <w:rPr>
                <w:sz w:val="1"/>
                <w:szCs w:val="1"/>
                <w:color w:val="auto"/>
              </w:rPr>
            </w:pPr>
          </w:p>
        </w:tc>
      </w:tr>
      <w:tr>
        <w:trPr>
          <w:trHeight w:val="125"/>
        </w:trPr>
        <w:tc>
          <w:tcPr>
            <w:tcW w:w="24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(2,161)</w:t>
            </w:r>
          </w:p>
        </w:tc>
        <w:tc>
          <w:tcPr>
            <w:tcW w:w="0" w:type="dxa"/>
            <w:vAlign w:val="bottom"/>
          </w:tcPr>
          <w:p>
            <w:pPr>
              <w:spacing w:after="0"/>
              <w:rPr>
                <w:sz w:val="1"/>
                <w:szCs w:val="1"/>
                <w:color w:val="auto"/>
              </w:rPr>
            </w:pPr>
          </w:p>
        </w:tc>
      </w:tr>
      <w:tr>
        <w:trPr>
          <w:trHeight w:val="119"/>
        </w:trPr>
        <w:tc>
          <w:tcPr>
            <w:tcW w:w="24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included in AOCI</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 (5)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127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Sales (5)</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Issuances (5)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Settlements (5)</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0" w:type="dxa"/>
            <w:vAlign w:val="bottom"/>
          </w:tcPr>
          <w:p>
            <w:pPr>
              <w:spacing w:after="0"/>
              <w:rPr>
                <w:sz w:val="1"/>
                <w:szCs w:val="1"/>
                <w:color w:val="auto"/>
              </w:rPr>
            </w:pPr>
          </w:p>
        </w:tc>
      </w:tr>
      <w:tr>
        <w:trPr>
          <w:trHeight w:val="178"/>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Transfers into Level 3 (6)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7"/>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406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(11,566)</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2"/>
                <w:szCs w:val="12"/>
                <w:b w:val="1"/>
                <w:bCs w:val="1"/>
                <w:color w:val="auto"/>
              </w:rPr>
              <w:t>Three Months Ended June 30, 2024</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482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ind w:right="56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2"/>
              </w:rPr>
              <w:t>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(9,941)</w:t>
            </w:r>
          </w:p>
        </w:tc>
        <w:tc>
          <w:tcPr>
            <w:tcW w:w="0" w:type="dxa"/>
            <w:vAlign w:val="bottom"/>
          </w:tcPr>
          <w:p>
            <w:pPr>
              <w:spacing w:after="0"/>
              <w:rPr>
                <w:sz w:val="1"/>
                <w:szCs w:val="1"/>
                <w:color w:val="auto"/>
              </w:rPr>
            </w:pPr>
          </w:p>
        </w:tc>
      </w:tr>
      <w:tr>
        <w:trPr>
          <w:trHeight w:val="119"/>
        </w:trPr>
        <w:tc>
          <w:tcPr>
            <w:tcW w:w="24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w:t>
            </w:r>
          </w:p>
        </w:tc>
        <w:tc>
          <w:tcPr>
            <w:tcW w:w="0" w:type="dxa"/>
            <w:vAlign w:val="bottom"/>
          </w:tcPr>
          <w:p>
            <w:pPr>
              <w:spacing w:after="0"/>
              <w:rPr>
                <w:sz w:val="1"/>
                <w:szCs w:val="1"/>
                <w:color w:val="auto"/>
              </w:rPr>
            </w:pPr>
          </w:p>
        </w:tc>
      </w:tr>
      <w:tr>
        <w:trPr>
          <w:trHeight w:val="128"/>
        </w:trPr>
        <w:tc>
          <w:tcPr>
            <w:tcW w:w="24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included in AOCI</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Purchases (5)</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rPr>
              <w:t>129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Sales (5)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Issuances (5)</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Settlements (5)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66"/>
        </w:trPr>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Transfers into Level 3 (6)</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2"/>
                <w:szCs w:val="12"/>
                <w:color w:val="auto"/>
              </w:rPr>
              <w:t>506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2"/>
              </w:rPr>
              <w:t>24</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(10,583)</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48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color w:val="auto"/>
              </w:rPr>
              <w:t>Changes in unrealized gains (losses) included</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480" w:type="dxa"/>
            <w:vAlign w:val="bottom"/>
            <w:shd w:val="clear" w:color="auto" w:fill="CCEEFF"/>
          </w:tcPr>
          <w:p>
            <w:pPr>
              <w:ind w:left="160"/>
              <w:spacing w:after="0" w:line="128" w:lineRule="exact"/>
              <w:rPr>
                <w:sz w:val="20"/>
                <w:szCs w:val="20"/>
                <w:color w:val="auto"/>
              </w:rPr>
            </w:pPr>
            <w:r>
              <w:rPr>
                <w:rFonts w:ascii="Times New Roman" w:cs="Times New Roman" w:eastAsia="Times New Roman" w:hAnsi="Times New Roman"/>
                <w:sz w:val="12"/>
                <w:szCs w:val="12"/>
                <w:color w:val="auto"/>
              </w:rPr>
              <w:t>in net income (loss) for the instruments still</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shd w:val="clear" w:color="auto" w:fill="CCEEFF"/>
          </w:tcPr>
          <w:p>
            <w:pPr>
              <w:jc w:val="right"/>
              <w:ind w:right="561"/>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(2,430)</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held at June 30, 2025 (7)</w:t>
            </w:r>
          </w:p>
        </w:tc>
        <w:tc>
          <w:tcPr>
            <w:tcW w:w="1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 included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480" w:type="dxa"/>
            <w:vAlign w:val="bottom"/>
          </w:tcPr>
          <w:p>
            <w:pPr>
              <w:ind w:left="160"/>
              <w:spacing w:after="0" w:line="128" w:lineRule="exact"/>
              <w:rPr>
                <w:sz w:val="20"/>
                <w:szCs w:val="20"/>
                <w:color w:val="auto"/>
              </w:rPr>
            </w:pPr>
            <w:r>
              <w:rPr>
                <w:rFonts w:ascii="Times New Roman" w:cs="Times New Roman" w:eastAsia="Times New Roman" w:hAnsi="Times New Roman"/>
                <w:sz w:val="12"/>
                <w:szCs w:val="12"/>
                <w:color w:val="auto"/>
              </w:rPr>
              <w:t>in OCI for the instruments still held as of</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tcPr>
          <w:p>
            <w:pPr>
              <w:jc w:val="right"/>
              <w:ind w:right="561"/>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vMerge w:val="restart"/>
          </w:tcPr>
          <w:p>
            <w:pPr>
              <w:ind w:left="8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June 30, 2025 (7)</w:t>
            </w: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48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color w:val="auto"/>
              </w:rPr>
              <w:t>Changes in unrealized gains (losses) included</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480" w:type="dxa"/>
            <w:vAlign w:val="bottom"/>
            <w:shd w:val="clear" w:color="auto" w:fill="CCEEFF"/>
          </w:tcPr>
          <w:p>
            <w:pPr>
              <w:ind w:left="160"/>
              <w:spacing w:after="0" w:line="128" w:lineRule="exact"/>
              <w:rPr>
                <w:sz w:val="20"/>
                <w:szCs w:val="20"/>
                <w:color w:val="auto"/>
              </w:rPr>
            </w:pPr>
            <w:r>
              <w:rPr>
                <w:rFonts w:ascii="Times New Roman" w:cs="Times New Roman" w:eastAsia="Times New Roman" w:hAnsi="Times New Roman"/>
                <w:sz w:val="12"/>
                <w:szCs w:val="12"/>
                <w:color w:val="auto"/>
              </w:rPr>
              <w:t>in net income (loss) for the instruments still</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shd w:val="clear" w:color="auto" w:fill="CCEEFF"/>
          </w:tcPr>
          <w:p>
            <w:pPr>
              <w:jc w:val="right"/>
              <w:ind w:right="561"/>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held at June 30, 2024 (7)</w:t>
            </w:r>
          </w:p>
        </w:tc>
        <w:tc>
          <w:tcPr>
            <w:tcW w:w="1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 included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480" w:type="dxa"/>
            <w:vAlign w:val="bottom"/>
          </w:tcPr>
          <w:p>
            <w:pPr>
              <w:ind w:left="160"/>
              <w:spacing w:after="0" w:line="128" w:lineRule="exact"/>
              <w:rPr>
                <w:sz w:val="20"/>
                <w:szCs w:val="20"/>
                <w:color w:val="auto"/>
              </w:rPr>
            </w:pPr>
            <w:r>
              <w:rPr>
                <w:rFonts w:ascii="Times New Roman" w:cs="Times New Roman" w:eastAsia="Times New Roman" w:hAnsi="Times New Roman"/>
                <w:sz w:val="12"/>
                <w:szCs w:val="12"/>
                <w:color w:val="auto"/>
              </w:rPr>
              <w:t>in OCI for the instruments still held as of</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tcPr>
          <w:p>
            <w:pPr>
              <w:jc w:val="right"/>
              <w:ind w:right="561"/>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w w:val="82"/>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June 30, 2024 (7)</w:t>
            </w: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2"/>
                <w:szCs w:val="12"/>
                <w:b w:val="1"/>
                <w:bCs w:val="1"/>
                <w:color w:val="auto"/>
              </w:rPr>
              <w:t>Fair Value Measurements Using Significant Unobservable Inputs (Level 3)</w:t>
            </w: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left="698"/>
              <w:spacing w:after="0"/>
              <w:rPr>
                <w:sz w:val="20"/>
                <w:szCs w:val="20"/>
                <w:color w:val="auto"/>
              </w:rPr>
            </w:pPr>
            <w:r>
              <w:rPr>
                <w:rFonts w:ascii="Times New Roman" w:cs="Times New Roman" w:eastAsia="Times New Roman" w:hAnsi="Times New Roman"/>
                <w:sz w:val="12"/>
                <w:szCs w:val="12"/>
                <w:b w:val="1"/>
                <w:bCs w:val="1"/>
                <w:color w:val="auto"/>
              </w:rPr>
              <w:t>Fixed Maturity Securities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Structured</w:t>
            </w: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Foreign</w:t>
            </w:r>
          </w:p>
        </w:tc>
        <w:tc>
          <w:tcPr>
            <w:tcW w:w="140" w:type="dxa"/>
            <w:vAlign w:val="bottom"/>
          </w:tcPr>
          <w:p>
            <w:pPr>
              <w:spacing w:after="0"/>
              <w:rPr>
                <w:sz w:val="9"/>
                <w:szCs w:val="9"/>
                <w:color w:val="auto"/>
              </w:rPr>
            </w:pPr>
          </w:p>
        </w:tc>
        <w:tc>
          <w:tcPr>
            <w:tcW w:w="680" w:type="dxa"/>
            <w:vAlign w:val="bottom"/>
            <w:vMerge w:val="restart"/>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Trading</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Short-term</w:t>
            </w:r>
          </w:p>
        </w:tc>
        <w:tc>
          <w:tcPr>
            <w:tcW w:w="140" w:type="dxa"/>
            <w:vAlign w:val="bottom"/>
          </w:tcPr>
          <w:p>
            <w:pPr>
              <w:spacing w:after="0"/>
              <w:rPr>
                <w:sz w:val="9"/>
                <w:szCs w:val="9"/>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Net</w:t>
            </w:r>
          </w:p>
        </w:tc>
        <w:tc>
          <w:tcPr>
            <w:tcW w:w="1260" w:type="dxa"/>
            <w:vAlign w:val="bottom"/>
            <w:gridSpan w:val="2"/>
          </w:tcPr>
          <w:p>
            <w:pPr>
              <w:ind w:left="40"/>
              <w:spacing w:after="0" w:line="106" w:lineRule="exact"/>
              <w:rPr>
                <w:sz w:val="20"/>
                <w:szCs w:val="20"/>
                <w:color w:val="auto"/>
              </w:rPr>
            </w:pPr>
            <w:r>
              <w:rPr>
                <w:rFonts w:ascii="Times New Roman" w:cs="Times New Roman" w:eastAsia="Times New Roman" w:hAnsi="Times New Roman"/>
                <w:sz w:val="12"/>
                <w:szCs w:val="12"/>
                <w:b w:val="1"/>
                <w:bCs w:val="1"/>
                <w:color w:val="auto"/>
              </w:rPr>
              <w:t>Embedded Derivatives</w:t>
            </w: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right"/>
              <w:ind w:right="118"/>
              <w:spacing w:after="0" w:line="120" w:lineRule="exact"/>
              <w:rPr>
                <w:sz w:val="20"/>
                <w:szCs w:val="20"/>
                <w:color w:val="auto"/>
              </w:rPr>
            </w:pPr>
            <w:r>
              <w:rPr>
                <w:rFonts w:ascii="Times New Roman" w:cs="Times New Roman" w:eastAsia="Times New Roman" w:hAnsi="Times New Roman"/>
                <w:sz w:val="12"/>
                <w:szCs w:val="12"/>
                <w:b w:val="1"/>
                <w:bCs w:val="1"/>
                <w:color w:val="auto"/>
              </w:rPr>
              <w:t>on Index-Linked</w:t>
            </w:r>
          </w:p>
        </w:tc>
        <w:tc>
          <w:tcPr>
            <w:tcW w:w="0" w:type="dxa"/>
            <w:vAlign w:val="bottom"/>
          </w:tcPr>
          <w:p>
            <w:pPr>
              <w:spacing w:after="0"/>
              <w:rPr>
                <w:sz w:val="1"/>
                <w:szCs w:val="1"/>
                <w:color w:val="auto"/>
              </w:rPr>
            </w:pPr>
          </w:p>
        </w:tc>
      </w:tr>
      <w:tr>
        <w:trPr>
          <w:trHeight w:val="179"/>
        </w:trPr>
        <w:tc>
          <w:tcPr>
            <w:tcW w:w="2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 (1)</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Government</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Derivatives (2)</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0" w:type="dxa"/>
            <w:vAlign w:val="bottom"/>
          </w:tcPr>
          <w:p>
            <w:pPr>
              <w:spacing w:after="0"/>
              <w:rPr>
                <w:sz w:val="1"/>
                <w:szCs w:val="1"/>
                <w:color w:val="auto"/>
              </w:rPr>
            </w:pPr>
          </w:p>
        </w:tc>
      </w:tr>
      <w:tr>
        <w:trPr>
          <w:trHeight w:val="167"/>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3"/>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Six Months Ended June 30, 2025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15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(11,493)</w:t>
            </w:r>
          </w:p>
        </w:tc>
        <w:tc>
          <w:tcPr>
            <w:tcW w:w="0" w:type="dxa"/>
            <w:vAlign w:val="bottom"/>
          </w:tcPr>
          <w:p>
            <w:pPr>
              <w:spacing w:after="0"/>
              <w:rPr>
                <w:sz w:val="1"/>
                <w:szCs w:val="1"/>
                <w:color w:val="auto"/>
              </w:rPr>
            </w:pPr>
          </w:p>
        </w:tc>
      </w:tr>
      <w:tr>
        <w:trPr>
          <w:trHeight w:val="125"/>
        </w:trPr>
        <w:tc>
          <w:tcPr>
            <w:tcW w:w="254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Total realized/unrealized gains (losses) included</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 net income (loss) (3) (4)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(984)</w:t>
            </w:r>
          </w:p>
        </w:tc>
        <w:tc>
          <w:tcPr>
            <w:tcW w:w="0" w:type="dxa"/>
            <w:vAlign w:val="bottom"/>
          </w:tcPr>
          <w:p>
            <w:pPr>
              <w:spacing w:after="0"/>
              <w:rPr>
                <w:sz w:val="1"/>
                <w:szCs w:val="1"/>
                <w:color w:val="auto"/>
              </w:rPr>
            </w:pPr>
          </w:p>
        </w:tc>
      </w:tr>
      <w:tr>
        <w:trPr>
          <w:trHeight w:val="119"/>
        </w:trPr>
        <w:tc>
          <w:tcPr>
            <w:tcW w:w="254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5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7"/>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2"/>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(8,186)</w:t>
            </w:r>
          </w:p>
        </w:tc>
        <w:tc>
          <w:tcPr>
            <w:tcW w:w="0" w:type="dxa"/>
            <w:vAlign w:val="bottom"/>
          </w:tcPr>
          <w:p>
            <w:pPr>
              <w:spacing w:after="0"/>
              <w:rPr>
                <w:sz w:val="1"/>
                <w:szCs w:val="1"/>
                <w:color w:val="auto"/>
              </w:rPr>
            </w:pPr>
          </w:p>
        </w:tc>
      </w:tr>
      <w:tr>
        <w:trPr>
          <w:trHeight w:val="119"/>
        </w:trPr>
        <w:tc>
          <w:tcPr>
            <w:tcW w:w="254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 included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5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 net income (loss) (3) (4)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(2,600)</w:t>
            </w:r>
          </w:p>
        </w:tc>
        <w:tc>
          <w:tcPr>
            <w:tcW w:w="0" w:type="dxa"/>
            <w:vAlign w:val="bottom"/>
          </w:tcPr>
          <w:p>
            <w:pPr>
              <w:spacing w:after="0"/>
              <w:rPr>
                <w:sz w:val="1"/>
                <w:szCs w:val="1"/>
                <w:color w:val="auto"/>
              </w:rPr>
            </w:pPr>
          </w:p>
        </w:tc>
      </w:tr>
      <w:tr>
        <w:trPr>
          <w:trHeight w:val="128"/>
        </w:trPr>
        <w:tc>
          <w:tcPr>
            <w:tcW w:w="25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2"/>
              </w:rPr>
              <w:t>24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(10,583)</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54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 included in</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54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net income (loss) for the instruments still</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(1,480)</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held at June 30, 2025 (7)</w:t>
            </w:r>
          </w:p>
        </w:tc>
        <w:tc>
          <w:tcPr>
            <w:tcW w:w="1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 included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54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OCI for the instruments still held as of</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5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June 30, 2025 (7)</w:t>
            </w: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54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 included in</w:t>
            </w: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54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net income (loss) for the instruments still</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(2,921)</w:t>
            </w: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held at June 30, 2024 (7)</w:t>
            </w:r>
          </w:p>
        </w:tc>
        <w:tc>
          <w:tcPr>
            <w:tcW w:w="10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 included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54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OCI for the instruments still held as of</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5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June 30, 2024 (7)</w:t>
            </w:r>
          </w:p>
        </w:tc>
        <w:tc>
          <w:tcPr>
            <w:tcW w:w="1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U.S. and foreign corporate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Freestanding derivative assets and liabilities are reported net for purposes of the rollforward.</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4" w:lineRule="exact"/>
        <w:rPr>
          <w:sz w:val="20"/>
          <w:szCs w:val="20"/>
          <w:color w:val="auto"/>
        </w:rPr>
      </w:pPr>
    </w:p>
    <w:p>
      <w:pPr>
        <w:ind w:left="320" w:hanging="314"/>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dividend accruals, as well as cash interest coupons and dividends received, are excluded from the rollforward.</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purchased/issued and then sold/settled in the same period are excluded from the rollforward. Fees attributed to embedded derivatives are included in settlements.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net income (loss) and OCI, are calculated assuming transfers into and/or out of Level 3 occurred at the beginning of the period. Items transferred into and out of Level 3 in the same period are excluded from the rollforward.</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Carried at Other Than Fair Value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24"/>
                <w:szCs w:val="24"/>
                <w:color w:val="auto"/>
              </w:rPr>
            </w:pPr>
          </w:p>
        </w:tc>
        <w:tc>
          <w:tcPr>
            <w:tcW w:w="1160" w:type="dxa"/>
            <w:vAlign w:val="bottom"/>
            <w:vMerge w:val="restart"/>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24"/>
                <w:szCs w:val="24"/>
                <w:color w:val="auto"/>
              </w:rPr>
            </w:pPr>
          </w:p>
        </w:tc>
        <w:tc>
          <w:tcPr>
            <w:tcW w:w="98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22,993</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21,587</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1,425</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543</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228</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8,781</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68</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9,868</w:t>
            </w:r>
          </w:p>
        </w:tc>
        <w:tc>
          <w:tcPr>
            <w:tcW w:w="0" w:type="dxa"/>
            <w:vAlign w:val="bottom"/>
          </w:tcPr>
          <w:p>
            <w:pPr>
              <w:spacing w:after="0"/>
              <w:rPr>
                <w:sz w:val="1"/>
                <w:szCs w:val="1"/>
                <w:color w:val="auto"/>
              </w:rPr>
            </w:pPr>
          </w:p>
        </w:tc>
      </w:tr>
      <w:tr>
        <w:trPr>
          <w:trHeight w:val="21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31,034</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30,763</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3,155</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2,726</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1,670</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1,041</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1,243</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1,243</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4"/>
                <w:szCs w:val="24"/>
                <w:color w:val="auto"/>
              </w:rPr>
            </w:pPr>
          </w:p>
        </w:tc>
        <w:tc>
          <w:tcPr>
            <w:tcW w:w="114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24"/>
                <w:szCs w:val="24"/>
                <w:color w:val="auto"/>
              </w:rPr>
            </w:pPr>
          </w:p>
        </w:tc>
        <w:tc>
          <w:tcPr>
            <w:tcW w:w="98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24"/>
                <w:szCs w:val="24"/>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23,286</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21,373</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1,161</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233</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222</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8,527</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w:t>
            </w:r>
          </w:p>
        </w:tc>
        <w:tc>
          <w:tcPr>
            <w:tcW w:w="0" w:type="dxa"/>
            <w:vAlign w:val="bottom"/>
          </w:tcPr>
          <w:p>
            <w:pPr>
              <w:spacing w:after="0"/>
              <w:rPr>
                <w:sz w:val="1"/>
                <w:szCs w:val="1"/>
                <w:color w:val="auto"/>
              </w:rPr>
            </w:pPr>
          </w:p>
        </w:tc>
      </w:tr>
      <w:tr>
        <w:trPr>
          <w:trHeight w:val="21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31,928</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31,563</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3,155</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2,787</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1,338</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691</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0" w:type="dxa"/>
            <w:vAlign w:val="bottom"/>
          </w:tcPr>
          <w:p>
            <w:pPr>
              <w:spacing w:after="0"/>
              <w:rPr>
                <w:sz w:val="1"/>
                <w:szCs w:val="1"/>
                <w:color w:val="auto"/>
              </w:rPr>
            </w:pPr>
          </w:p>
        </w:tc>
      </w:tr>
      <w:tr>
        <w:trPr>
          <w:trHeight w:val="20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1,246</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1,246</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Preferred stock shares authorized, issued and outstanding were as follows at both June 30, 2025 and December 31,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18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18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7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Shares Outstanding</w:t>
            </w:r>
          </w:p>
        </w:tc>
      </w:tr>
      <w:tr>
        <w:trPr>
          <w:trHeight w:val="24"/>
        </w:trPr>
        <w:tc>
          <w:tcPr>
            <w:tcW w:w="58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6.600% Non-Cumulative Preferred Stock, Series A</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17,000</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6.750% Non-Cumulative Preferred Stock, Series B</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16,100</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5.375% Non-Cumulative Preferred Stock, Series C</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23,000</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r>
      <w:tr>
        <w:trPr>
          <w:trHeight w:val="421"/>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4.625% Non-Cumulative Preferred Stock, Series 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00" w:type="dxa"/>
            <w:vAlign w:val="bottom"/>
          </w:tcPr>
          <w:p>
            <w:pPr>
              <w:spacing w:after="0"/>
              <w:rPr>
                <w:sz w:val="24"/>
                <w:szCs w:val="24"/>
                <w:color w:val="auto"/>
              </w:rPr>
            </w:pPr>
          </w:p>
        </w:tc>
        <w:tc>
          <w:tcPr>
            <w:tcW w:w="1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14,000</w:t>
            </w:r>
          </w:p>
        </w:tc>
        <w:tc>
          <w:tcPr>
            <w:tcW w:w="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 designated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99,929,900</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70,100</w:t>
            </w:r>
          </w:p>
        </w:tc>
        <w:tc>
          <w:tcPr>
            <w:tcW w:w="8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70,100</w:t>
            </w:r>
          </w:p>
        </w:tc>
      </w:tr>
      <w:tr>
        <w:trPr>
          <w:trHeight w:val="20"/>
        </w:trPr>
        <w:tc>
          <w:tcPr>
            <w:tcW w:w="58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per share and aggregate dividends declared for BHF’s preferred stock by series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4"/>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6"/>
                <w:szCs w:val="16"/>
                <w:color w:val="auto"/>
              </w:rPr>
            </w:pPr>
          </w:p>
        </w:tc>
      </w:tr>
      <w:tr>
        <w:trPr>
          <w:trHeight w:val="192"/>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40" w:type="dxa"/>
            <w:vAlign w:val="bottom"/>
          </w:tcPr>
          <w:p>
            <w:pPr>
              <w:spacing w:after="0"/>
              <w:rPr>
                <w:sz w:val="16"/>
                <w:szCs w:val="16"/>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6"/>
                <w:szCs w:val="16"/>
                <w:color w:val="auto"/>
              </w:rPr>
            </w:pPr>
          </w:p>
        </w:tc>
        <w:tc>
          <w:tcPr>
            <w:tcW w:w="82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6"/>
                <w:szCs w:val="16"/>
                <w:color w:val="auto"/>
              </w:rPr>
            </w:pPr>
          </w:p>
        </w:tc>
        <w:tc>
          <w:tcPr>
            <w:tcW w:w="8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92"/>
        </w:trPr>
        <w:tc>
          <w:tcPr>
            <w:tcW w:w="2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18"/>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412.50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825.00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825.00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421.88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843.76</w:t>
            </w:r>
          </w:p>
        </w:tc>
        <w:tc>
          <w:tcPr>
            <w:tcW w:w="14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843.76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4"/>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335.94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671.88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671.88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0"/>
        </w:trPr>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289.06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6"/>
                <w:szCs w:val="16"/>
                <w:color w:val="auto"/>
              </w:rPr>
              <w:t>289.06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tcPr>
          <w:p>
            <w:pPr>
              <w:jc w:val="right"/>
              <w:ind w:right="103"/>
              <w:spacing w:after="0"/>
              <w:rPr>
                <w:sz w:val="20"/>
                <w:szCs w:val="20"/>
                <w:color w:val="auto"/>
              </w:rPr>
            </w:pPr>
            <w:r>
              <w:rPr>
                <w:rFonts w:ascii="Times New Roman" w:cs="Times New Roman" w:eastAsia="Times New Roman" w:hAnsi="Times New Roman"/>
                <w:sz w:val="16"/>
                <w:szCs w:val="16"/>
                <w:color w:val="auto"/>
              </w:rPr>
              <w:t>578.12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tcPr>
          <w:p>
            <w:pPr>
              <w:jc w:val="right"/>
              <w:ind w:right="83"/>
              <w:spacing w:after="0"/>
              <w:rPr>
                <w:sz w:val="20"/>
                <w:szCs w:val="20"/>
                <w:color w:val="auto"/>
              </w:rPr>
            </w:pPr>
            <w:r>
              <w:rPr>
                <w:rFonts w:ascii="Times New Roman" w:cs="Times New Roman" w:eastAsia="Times New Roman" w:hAnsi="Times New Roman"/>
                <w:sz w:val="16"/>
                <w:szCs w:val="16"/>
                <w:color w:val="auto"/>
              </w:rPr>
              <w:t>578.12</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32"/>
        </w:trPr>
        <w:tc>
          <w:tcPr>
            <w:tcW w:w="2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six months ended June 30, 2025 and 2024, BHF repurchased 1,844,396 and 2,634,041 shares, respectively, of its common stock through open market purchases, pursuant to Rule 10b5-1 plans, for $102 million and $126 million, respectively. At June 30, 2025, BHF had $441 million remaining under its common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changes in the balances of each component of AOCI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Three Months Ended June 30, 2025</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22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Discount Rates on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18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Investment Gains</w:t>
            </w:r>
          </w:p>
        </w:tc>
        <w:tc>
          <w:tcPr>
            <w:tcW w:w="1200" w:type="dxa"/>
            <w:vAlign w:val="bottom"/>
            <w:gridSpan w:val="3"/>
            <w:vMerge w:val="continue"/>
          </w:tcPr>
          <w:p>
            <w:pPr>
              <w:spacing w:after="0"/>
              <w:rPr>
                <w:sz w:val="10"/>
                <w:szCs w:val="10"/>
                <w:color w:val="auto"/>
              </w:rPr>
            </w:pPr>
          </w:p>
        </w:tc>
        <w:tc>
          <w:tcPr>
            <w:tcW w:w="136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Nonperformance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the Liability for</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(Losses), Net of</w:t>
            </w: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(Losses) on</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on Market Risk</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Future Policy</w:t>
            </w:r>
          </w:p>
        </w:tc>
        <w:tc>
          <w:tcPr>
            <w:tcW w:w="180" w:type="dxa"/>
            <w:vAlign w:val="bottom"/>
          </w:tcPr>
          <w:p>
            <w:pPr>
              <w:spacing w:after="0"/>
              <w:rPr>
                <w:sz w:val="11"/>
                <w:szCs w:val="11"/>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260" w:type="dxa"/>
            <w:vAlign w:val="bottom"/>
          </w:tcPr>
          <w:p>
            <w:pPr>
              <w:spacing w:after="0"/>
              <w:rPr>
                <w:sz w:val="11"/>
                <w:szCs w:val="11"/>
                <w:color w:val="auto"/>
              </w:rPr>
            </w:pPr>
          </w:p>
        </w:tc>
        <w:tc>
          <w:tcPr>
            <w:tcW w:w="820" w:type="dxa"/>
            <w:vAlign w:val="bottom"/>
            <w:vMerge w:val="restart"/>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0" w:type="dxa"/>
            <w:vAlign w:val="bottom"/>
          </w:tcPr>
          <w:p>
            <w:pPr>
              <w:spacing w:after="0"/>
              <w:rPr>
                <w:sz w:val="1"/>
                <w:szCs w:val="1"/>
                <w:color w:val="auto"/>
              </w:rPr>
            </w:pPr>
          </w:p>
        </w:tc>
      </w:tr>
      <w:tr>
        <w:trPr>
          <w:trHeight w:val="19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85"/>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(4,264)</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4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7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Three Months Ended June 30, 2024</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22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Discount Rates on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18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Investment Gains</w:t>
            </w:r>
          </w:p>
        </w:tc>
        <w:tc>
          <w:tcPr>
            <w:tcW w:w="1200" w:type="dxa"/>
            <w:vAlign w:val="bottom"/>
            <w:gridSpan w:val="3"/>
            <w:vMerge w:val="continue"/>
          </w:tcPr>
          <w:p>
            <w:pPr>
              <w:spacing w:after="0"/>
              <w:rPr>
                <w:sz w:val="10"/>
                <w:szCs w:val="10"/>
                <w:color w:val="auto"/>
              </w:rPr>
            </w:pPr>
          </w:p>
        </w:tc>
        <w:tc>
          <w:tcPr>
            <w:tcW w:w="136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Nonperformance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the Liability for</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(Losses), Net of</w:t>
            </w: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2"/>
                <w:szCs w:val="12"/>
                <w:b w:val="1"/>
                <w:bCs w:val="1"/>
                <w:color w:val="auto"/>
              </w:rPr>
              <w:t>(Losses) on</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2"/>
                <w:szCs w:val="12"/>
                <w:b w:val="1"/>
                <w:bCs w:val="1"/>
                <w:color w:val="auto"/>
              </w:rPr>
              <w:t>on Market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Future Policy</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(5,413)</w:t>
            </w:r>
          </w:p>
        </w:tc>
        <w:tc>
          <w:tcPr>
            <w:tcW w:w="0" w:type="dxa"/>
            <w:vAlign w:val="bottom"/>
          </w:tcPr>
          <w:p>
            <w:pPr>
              <w:spacing w:after="0"/>
              <w:rPr>
                <w:sz w:val="1"/>
                <w:szCs w:val="1"/>
                <w:color w:val="auto"/>
              </w:rPr>
            </w:pPr>
          </w:p>
        </w:tc>
      </w:tr>
      <w:tr>
        <w:trPr>
          <w:trHeight w:val="19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5"/>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(5,484)</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2"/>
        </w:trPr>
        <w:tc>
          <w:tcPr>
            <w:tcW w:w="4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4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Six Months Ended June 30, 2025</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22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Discount Rates on</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18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Investment Gains</w:t>
            </w:r>
          </w:p>
        </w:tc>
        <w:tc>
          <w:tcPr>
            <w:tcW w:w="120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Unrealized Gains</w:t>
            </w:r>
          </w:p>
        </w:tc>
        <w:tc>
          <w:tcPr>
            <w:tcW w:w="136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Nonperformance Risk</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the Liability for</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(Losses), Net of</w:t>
            </w: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2"/>
                <w:szCs w:val="12"/>
                <w:b w:val="1"/>
                <w:bCs w:val="1"/>
                <w:color w:val="auto"/>
              </w:rPr>
              <w:t>(Losses) on</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2"/>
                <w:szCs w:val="12"/>
                <w:b w:val="1"/>
                <w:bCs w:val="1"/>
                <w:color w:val="auto"/>
              </w:rPr>
              <w:t>on Market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Future Policy</w:t>
            </w:r>
          </w:p>
        </w:tc>
        <w:tc>
          <w:tcPr>
            <w:tcW w:w="18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260" w:type="dxa"/>
            <w:vAlign w:val="bottom"/>
          </w:tcPr>
          <w:p>
            <w:pPr>
              <w:spacing w:after="0"/>
              <w:rPr>
                <w:sz w:val="10"/>
                <w:szCs w:val="10"/>
                <w:color w:val="auto"/>
              </w:rPr>
            </w:pPr>
          </w:p>
        </w:tc>
        <w:tc>
          <w:tcPr>
            <w:tcW w:w="820" w:type="dxa"/>
            <w:vAlign w:val="bottom"/>
            <w:vMerge w:val="restart"/>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w:t>
            </w:r>
          </w:p>
        </w:tc>
        <w:tc>
          <w:tcPr>
            <w:tcW w:w="0" w:type="dxa"/>
            <w:vAlign w:val="bottom"/>
          </w:tcPr>
          <w:p>
            <w:pPr>
              <w:spacing w:after="0"/>
              <w:rPr>
                <w:sz w:val="1"/>
                <w:szCs w:val="1"/>
                <w:color w:val="auto"/>
              </w:rPr>
            </w:pPr>
          </w:p>
        </w:tc>
      </w:tr>
      <w:tr>
        <w:trPr>
          <w:trHeight w:val="19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85"/>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2"/>
        </w:trPr>
        <w:tc>
          <w:tcPr>
            <w:tcW w:w="4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37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22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Discount Rates on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18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Investment Gains</w:t>
            </w:r>
          </w:p>
        </w:tc>
        <w:tc>
          <w:tcPr>
            <w:tcW w:w="1200" w:type="dxa"/>
            <w:vAlign w:val="bottom"/>
            <w:gridSpan w:val="3"/>
            <w:vMerge w:val="continue"/>
          </w:tcPr>
          <w:p>
            <w:pPr>
              <w:spacing w:after="0"/>
              <w:rPr>
                <w:sz w:val="10"/>
                <w:szCs w:val="10"/>
                <w:color w:val="auto"/>
              </w:rPr>
            </w:pPr>
          </w:p>
        </w:tc>
        <w:tc>
          <w:tcPr>
            <w:tcW w:w="136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Nonperformance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the Liability for</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(Losses), Net of</w:t>
            </w: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(Losses) on</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on Market Risk</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Future Policy</w:t>
            </w:r>
          </w:p>
        </w:tc>
        <w:tc>
          <w:tcPr>
            <w:tcW w:w="180" w:type="dxa"/>
            <w:vAlign w:val="bottom"/>
          </w:tcPr>
          <w:p>
            <w:pPr>
              <w:spacing w:after="0"/>
              <w:rPr>
                <w:sz w:val="11"/>
                <w:szCs w:val="11"/>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260" w:type="dxa"/>
            <w:vAlign w:val="bottom"/>
          </w:tcPr>
          <w:p>
            <w:pPr>
              <w:spacing w:after="0"/>
              <w:rPr>
                <w:sz w:val="11"/>
                <w:szCs w:val="11"/>
                <w:color w:val="auto"/>
              </w:rPr>
            </w:pPr>
          </w:p>
        </w:tc>
        <w:tc>
          <w:tcPr>
            <w:tcW w:w="820" w:type="dxa"/>
            <w:vAlign w:val="bottom"/>
            <w:vMerge w:val="restart"/>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6"/>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0" w:type="dxa"/>
            <w:vAlign w:val="bottom"/>
          </w:tcPr>
          <w:p>
            <w:pPr>
              <w:spacing w:after="0"/>
              <w:rPr>
                <w:sz w:val="1"/>
                <w:szCs w:val="1"/>
                <w:color w:val="auto"/>
              </w:rPr>
            </w:pPr>
          </w:p>
        </w:tc>
      </w:tr>
      <w:tr>
        <w:trPr>
          <w:trHeight w:val="19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5"/>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(5,512)</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2"/>
        </w:trPr>
        <w:tc>
          <w:tcPr>
            <w:tcW w:w="4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37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(5,245)</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7 for information on offsets to investments related to future policy benefits.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OCI related to foreign currency translation and defined benefit plan gains and losses.</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 on amounts recorded to AOCI are also recognized in AOCI. These income tax effects are released from AOCI when the related activity is reclassified into results from operations.</w:t>
      </w:r>
    </w:p>
    <w:p>
      <w:pPr>
        <w:spacing w:after="0" w:line="57"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amounts reclassified out of each component of AOCI was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w:t>
            </w:r>
          </w:p>
        </w:tc>
        <w:tc>
          <w:tcPr>
            <w:tcW w:w="0" w:type="dxa"/>
            <w:vAlign w:val="bottom"/>
          </w:tcPr>
          <w:p>
            <w:pPr>
              <w:spacing w:after="0"/>
              <w:rPr>
                <w:sz w:val="1"/>
                <w:szCs w:val="1"/>
                <w:color w:val="auto"/>
              </w:rPr>
            </w:pPr>
          </w:p>
        </w:tc>
      </w:tr>
      <w:tr>
        <w:trPr>
          <w:trHeight w:val="126"/>
        </w:trPr>
        <w:tc>
          <w:tcPr>
            <w:tcW w:w="466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2"/>
                <w:szCs w:val="12"/>
                <w:b w:val="1"/>
                <w:bCs w:val="1"/>
                <w:color w:val="auto"/>
              </w:rPr>
              <w:t>AOCI Components</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Amounts Reclassified from AOCI</w:t>
            </w: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Operations and Comprehensive Income</w:t>
            </w:r>
          </w:p>
        </w:tc>
        <w:tc>
          <w:tcPr>
            <w:tcW w:w="0" w:type="dxa"/>
            <w:vAlign w:val="bottom"/>
          </w:tcPr>
          <w:p>
            <w:pPr>
              <w:spacing w:after="0"/>
              <w:rPr>
                <w:sz w:val="1"/>
                <w:szCs w:val="1"/>
                <w:color w:val="auto"/>
              </w:rPr>
            </w:pPr>
          </w:p>
        </w:tc>
      </w:tr>
      <w:tr>
        <w:trPr>
          <w:trHeight w:val="167"/>
        </w:trPr>
        <w:tc>
          <w:tcPr>
            <w:tcW w:w="466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(Loss) Locations</w:t>
            </w:r>
          </w:p>
        </w:tc>
        <w:tc>
          <w:tcPr>
            <w:tcW w:w="0" w:type="dxa"/>
            <w:vAlign w:val="bottom"/>
          </w:tcPr>
          <w:p>
            <w:pPr>
              <w:spacing w:after="0"/>
              <w:rPr>
                <w:sz w:val="1"/>
                <w:szCs w:val="1"/>
                <w:color w:val="auto"/>
              </w:rPr>
            </w:pPr>
          </w:p>
        </w:tc>
      </w:tr>
      <w:tr>
        <w:trPr>
          <w:trHeight w:val="124"/>
        </w:trPr>
        <w:tc>
          <w:tcPr>
            <w:tcW w:w="4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tcBorders>
              <w:top w:val="single" w:sz="8" w:color="auto"/>
            </w:tcBorders>
            <w:gridSpan w:val="4"/>
          </w:tcPr>
          <w:p>
            <w:pPr>
              <w:jc w:val="right"/>
              <w:ind w:right="74"/>
              <w:spacing w:after="0" w:line="124"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4"/>
          </w:tcPr>
          <w:p>
            <w:pPr>
              <w:jc w:val="right"/>
              <w:ind w:right="470"/>
              <w:spacing w:after="0" w:line="124" w:lineRule="exact"/>
              <w:rPr>
                <w:sz w:val="20"/>
                <w:szCs w:val="20"/>
                <w:color w:val="auto"/>
              </w:rPr>
            </w:pPr>
            <w:r>
              <w:rPr>
                <w:rFonts w:ascii="Times New Roman" w:cs="Times New Roman" w:eastAsia="Times New Roman" w:hAnsi="Times New Roman"/>
                <w:sz w:val="12"/>
                <w:szCs w:val="12"/>
                <w:b w:val="1"/>
                <w:bCs w:val="1"/>
                <w:color w:val="auto"/>
              </w:rPr>
              <w:t>Six Months Ended</w:t>
            </w:r>
          </w:p>
        </w:tc>
        <w:tc>
          <w:tcPr>
            <w:tcW w:w="100" w:type="dxa"/>
            <w:vAlign w:val="bottom"/>
          </w:tcPr>
          <w:p>
            <w:pPr>
              <w:spacing w:after="0"/>
              <w:rPr>
                <w:sz w:val="10"/>
                <w:szCs w:val="10"/>
                <w:color w:val="auto"/>
              </w:rPr>
            </w:pPr>
          </w:p>
        </w:tc>
        <w:tc>
          <w:tcPr>
            <w:tcW w:w="2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60" w:type="dxa"/>
            <w:vAlign w:val="bottom"/>
          </w:tcPr>
          <w:p>
            <w:pPr>
              <w:jc w:val="right"/>
              <w:ind w:right="51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66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(112)</w:t>
            </w: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gains (losses)</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w:t>
            </w: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derivative gains (losses)</w:t>
            </w:r>
          </w:p>
        </w:tc>
        <w:tc>
          <w:tcPr>
            <w:tcW w:w="0" w:type="dxa"/>
            <w:vAlign w:val="bottom"/>
          </w:tcPr>
          <w:p>
            <w:pPr>
              <w:spacing w:after="0"/>
              <w:rPr>
                <w:sz w:val="1"/>
                <w:szCs w:val="1"/>
                <w:color w:val="auto"/>
              </w:rPr>
            </w:pPr>
          </w:p>
        </w:tc>
      </w:tr>
      <w:tr>
        <w:trPr>
          <w:trHeight w:val="185"/>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unrealized investment gains (losses), before income tax</w:t>
            </w: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Net unrealized investment gains (losses), net of income tax</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gains (losses) on derivatives - cash flow hedges:</w:t>
            </w: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6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derivative gains (losses)</w:t>
            </w: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6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0" w:type="dxa"/>
            <w:vAlign w:val="bottom"/>
          </w:tcPr>
          <w:p>
            <w:pPr>
              <w:spacing w:after="0"/>
              <w:rPr>
                <w:sz w:val="1"/>
                <w:szCs w:val="1"/>
                <w:color w:val="auto"/>
              </w:rPr>
            </w:pPr>
          </w:p>
        </w:tc>
      </w:tr>
      <w:tr>
        <w:trPr>
          <w:trHeight w:val="192"/>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6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derivative gains (losses)</w:t>
            </w:r>
          </w:p>
        </w:tc>
        <w:tc>
          <w:tcPr>
            <w:tcW w:w="0" w:type="dxa"/>
            <w:vAlign w:val="bottom"/>
          </w:tcPr>
          <w:p>
            <w:pPr>
              <w:spacing w:after="0"/>
              <w:rPr>
                <w:sz w:val="1"/>
                <w:szCs w:val="1"/>
                <w:color w:val="auto"/>
              </w:rPr>
            </w:pPr>
          </w:p>
        </w:tc>
      </w:tr>
      <w:tr>
        <w:trPr>
          <w:trHeight w:val="199"/>
        </w:trPr>
        <w:tc>
          <w:tcPr>
            <w:tcW w:w="46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cash flow hedges, before income tax</w:t>
            </w: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cash flow hedges, net of income tax</w:t>
            </w: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Defined benefit plans adjustment:</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gains (losses)</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Amortization of defined benefit plans, before income tax</w:t>
            </w: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Amortization of defined benefit plans, net of income tax</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reclassifications, net of income tax</w:t>
            </w:r>
          </w:p>
        </w:tc>
        <w:tc>
          <w:tcPr>
            <w:tcW w:w="66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Revenues and Other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which are included in other revenues,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revenues included 12b-1 fees of $64 million and $129 million for the three months and six months ended June 30, 2025, respectively, and $69 million and $136 million for the three months and six months ended June 30, 2024, respectively, of which substantially all were reported in the Annuities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on other expenses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20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6"/>
        </w:trPr>
        <w:tc>
          <w:tcPr>
            <w:tcW w:w="6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3"/>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6"/>
                <w:szCs w:val="16"/>
                <w:color w:val="auto"/>
              </w:rPr>
            </w:pPr>
          </w:p>
        </w:tc>
      </w:tr>
      <w:tr>
        <w:trPr>
          <w:trHeight w:val="38"/>
        </w:trPr>
        <w:tc>
          <w:tcPr>
            <w:tcW w:w="63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6"/>
        </w:trPr>
        <w:tc>
          <w:tcPr>
            <w:tcW w:w="63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780" w:type="dxa"/>
            <w:vAlign w:val="bottom"/>
            <w:shd w:val="clear" w:color="auto" w:fill="CCEEFF"/>
          </w:tcPr>
          <w:p>
            <w:pPr>
              <w:jc w:val="right"/>
              <w:ind w:right="60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Contracted services and other labor costs</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services agreements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 and other taxes, licenses and fees</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fees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Volume related costs, excluding compensation, net of DAC capitalization</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32"/>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other expenses</w:t>
            </w:r>
          </w:p>
        </w:tc>
        <w:tc>
          <w:tcPr>
            <w:tcW w:w="780" w:type="dxa"/>
            <w:vAlign w:val="bottom"/>
            <w:tcBorders>
              <w:bottom w:val="single" w:sz="8" w:color="auto"/>
            </w:tcBorders>
            <w:shd w:val="clear" w:color="auto" w:fill="CCEEFF"/>
          </w:tcPr>
          <w:p>
            <w:pPr>
              <w:jc w:val="right"/>
              <w:ind w:right="60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DAC</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6 for additional information on the capitalization of DAC.</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Common Share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calculation of earnings per common share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8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6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80" w:type="dxa"/>
            <w:vAlign w:val="bottom"/>
            <w:gridSpan w:val="9"/>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860" w:type="dxa"/>
            <w:vAlign w:val="bottom"/>
          </w:tcPr>
          <w:p>
            <w:pPr>
              <w:spacing w:after="0"/>
              <w:rPr>
                <w:sz w:val="16"/>
                <w:szCs w:val="16"/>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46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57,411,289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61,956,829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57,832,368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62,496,801</w:t>
            </w: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effect of share-based awards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57,734,170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62,255,330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57,832,368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62,496,801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46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three months ended June 30, 2025, weighted average shares used for calculating diluted earnings per common share includes 166,769 shares underlying in-the-money stock options. For the three months ended June 30, 2024, weighted average shares used for calculating diluted earnings per common share excludes 187,371 shares underlying out-of-the-money stock options, as the inclusion of such shares would be antidilutive under the treasury stock method to the earnings per common share calculation due to the average share price for the three months ended June 30, 2024.</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both the six months ended June 30, 2025 and 2024, basic loss per common share equaled diluted loss per common share. The diluted shares were not included in the per share calculation for these periods as the inclusion of such shares would have an antidilutive effect.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Litigation</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81"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The Company also receives and responds to subpoenas or other inquiries seeking a broad range of information from various state and federal regulators, agencies and officials. The issues involved in information requests and regulatory matters vary widely and can include inquiries or investigations concerning the Company’s compliance with applicable insurance and other laws and regulations. The Company cooperates in these inquiries.</w:t>
      </w:r>
    </w:p>
    <w:p>
      <w:pPr>
        <w:spacing w:after="0" w:line="53"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 (continued)</w:t>
      </w:r>
    </w:p>
    <w:p>
      <w:pPr>
        <w:spacing w:after="0" w:line="200" w:lineRule="exact"/>
        <w:rPr>
          <w:sz w:val="20"/>
          <w:szCs w:val="20"/>
          <w:color w:val="auto"/>
        </w:rPr>
      </w:pPr>
    </w:p>
    <w:p>
      <w:pPr>
        <w:spacing w:after="0" w:line="36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June 30, 2025.</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 Be Made</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June 30, 2025, the Company estimates the aggregate range of reasonably possible losses to be up to approximately $10 million.</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Cannot Be Made</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Sales Practices Claims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Cost of Insurance Class Actions</w:t>
      </w:r>
    </w:p>
    <w:p>
      <w:pPr>
        <w:spacing w:after="0" w:line="98" w:lineRule="exact"/>
        <w:rPr>
          <w:sz w:val="20"/>
          <w:szCs w:val="20"/>
          <w:color w:val="auto"/>
        </w:rPr>
      </w:pPr>
    </w:p>
    <w:p>
      <w:pPr>
        <w:jc w:val="both"/>
        <w:ind w:left="320" w:firstLine="318"/>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Richard A. Newton v. Brighthouse Life Insurance Company </w:t>
      </w:r>
      <w:r>
        <w:rPr>
          <w:rFonts w:ascii="Times New Roman" w:cs="Times New Roman" w:eastAsia="Times New Roman" w:hAnsi="Times New Roman"/>
          <w:sz w:val="17"/>
          <w:szCs w:val="17"/>
          <w:color w:val="auto"/>
        </w:rPr>
        <w:t>(U.S. District Court, Northern District of Georgia, Atlanta Division, filed May 8,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Plaintiff has filed a purported class action lawsuit against Brighthouse Life Insurance Company.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also alleges that cost of insurance charges were based on improper factors and should have decreased over time due to improving mortality but did not. 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who own or owned policies issued in Georgia. The motion was granted on January 23, 2023, and the third amended class action complaint was filed on January 23, 2023. The Company intends to vigorously defend this matter.</w:t>
      </w:r>
    </w:p>
    <w:p>
      <w:pPr>
        <w:spacing w:after="0" w:line="87"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Lawrence Martin v. Brighthouse Life Insurance Company </w:t>
      </w:r>
      <w:r>
        <w:rPr>
          <w:rFonts w:ascii="Times New Roman" w:cs="Times New Roman" w:eastAsia="Times New Roman" w:hAnsi="Times New Roman"/>
          <w:sz w:val="18"/>
          <w:szCs w:val="18"/>
          <w:color w:val="auto"/>
        </w:rPr>
        <w:t>(U.S. District Court, Southern District of New York, filed April 6, 2021). Plaintiff has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purported class action lawsuit against Brighthouse Life Insurance Company.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were based on improper factors and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Brighthouse Life Insurance Company of NY, was initially named as a defendant when the lawsuit was filed, but was dismissed as a defendant, without prejudice, in April 2022. The Company intends to vigorously defend this matter.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MOVEit Data Security Incident Litigation</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Kennedy v. Progress Software Corporation, et al</w:t>
      </w:r>
      <w:r>
        <w:rPr>
          <w:rFonts w:ascii="Times New Roman" w:cs="Times New Roman" w:eastAsia="Times New Roman" w:hAnsi="Times New Roman"/>
          <w:sz w:val="18"/>
          <w:szCs w:val="18"/>
          <w:color w:val="auto"/>
        </w:rPr>
        <w:t>. (U.S. District Court, District of Massachusetts, filed October 3, 2023). BHF has been named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relation to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The court dismissed claims for injunctive relief against BHF, but denied the remainder of a motion to dismiss based on plaintiff’s lack of standing. BHF intends to vigorously defend this matter.</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74"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Loss Contingencies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spacing w:after="0" w:line="84"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Company’s tax-related matters have involved disputes with taxing authorities, ongoing audits, evaluation of filing positions and any potential assessments related thereto. 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June 30, 2025, the Company estimates the range of reasonably possible losses in excess of the amounts accrued for certain other loss contingencies to be from zero up to approximately $100 million relating to certain tax matters, as described above. For certain other matters, the Company may not currently be able to estimate the reasonably possible loss or estimated range of loss until developments in such matters have provided sufficient information to support an assessment of such loss.</w:t>
      </w:r>
    </w:p>
    <w:p>
      <w:pPr>
        <w:spacing w:after="0" w:line="8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During the first quarter of 2024, an arbitration panel ruled in favor of a reinsurer seeking a premium rate increase retroactive to September 2019 resulting in a $187 million loss, of which $167 million was reported in universal life and investment product-type policy fees and $20 million was reported in other expenses.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 Commitments</w:t>
      </w:r>
    </w:p>
    <w:p>
      <w:pPr>
        <w:spacing w:after="0" w:line="115" w:lineRule="exact"/>
        <w:rPr>
          <w:sz w:val="20"/>
          <w:szCs w:val="20"/>
          <w:color w:val="auto"/>
        </w:rPr>
      </w:pPr>
    </w:p>
    <w:p>
      <w:pPr>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lend funds under mortgage loan commitments. The amounts of these mortgage loan commitments were $182 million and $271 million at June 30, 2025 and December 31, 2024,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Commitments to Fund Partnership Investments, Bank Credit Facilities and Private Corporate Bond Investments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fund partnership investments and to lend funds under bank credit facilities and private corporate bond investments. The amounts of these unfunded commitments were $1.6 billion and $1.7 billion at June 30, 2025 and December 31, 2024, respectively.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normal course of its business, the Company has provided certain indemnities, guarantees and commitments to third parties such that it may be required to make payments now or in the future. In the context of reinsurance,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$82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did not have any liabilities recorded for indemnities, guarantees and commitments at both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8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Index to Management’s Discussion and Analysis of Financial Condition and Results of Operations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9"/>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000" w:type="dxa"/>
            <w:vAlign w:val="bottom"/>
            <w:gridSpan w:val="4"/>
          </w:tcPr>
          <w:p>
            <w:pPr>
              <w:jc w:val="center"/>
              <w:ind w:left="552"/>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5"/>
        </w:trPr>
        <w:tc>
          <w:tcPr>
            <w:tcW w:w="88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6"/>
              </w:rPr>
              <w:t>Introduction</w:t>
            </w:r>
          </w:p>
        </w:tc>
        <w:tc>
          <w:tcPr>
            <w:tcW w:w="906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58</w:t>
            </w:r>
          </w:p>
        </w:tc>
        <w:tc>
          <w:tcPr>
            <w:tcW w:w="100" w:type="dxa"/>
            <w:vAlign w:val="bottom"/>
            <w:tcBorders>
              <w:top w:val="single" w:sz="8" w:color="auto"/>
            </w:tcBorders>
          </w:tcPr>
          <w:p>
            <w:pPr>
              <w:spacing w:after="0"/>
              <w:rPr>
                <w:sz w:val="17"/>
                <w:szCs w:val="17"/>
                <w:color w:val="auto"/>
              </w:rPr>
            </w:pPr>
          </w:p>
        </w:tc>
      </w:tr>
      <w:tr>
        <w:trPr>
          <w:trHeight w:val="205"/>
        </w:trPr>
        <w:tc>
          <w:tcPr>
            <w:tcW w:w="99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Executive Summary</w:t>
            </w:r>
          </w:p>
        </w:tc>
        <w:tc>
          <w:tcPr>
            <w:tcW w:w="900" w:type="dxa"/>
            <w:vAlign w:val="bottom"/>
            <w:gridSpan w:val="3"/>
          </w:tcPr>
          <w:p>
            <w:pPr>
              <w:jc w:val="center"/>
              <w:ind w:left="632"/>
              <w:spacing w:after="0" w:line="205" w:lineRule="exact"/>
              <w:rPr>
                <w:sz w:val="20"/>
                <w:szCs w:val="20"/>
                <w:color w:val="auto"/>
              </w:rPr>
            </w:pPr>
            <w:r>
              <w:rPr>
                <w:rFonts w:ascii="Times New Roman" w:cs="Times New Roman" w:eastAsia="Times New Roman" w:hAnsi="Times New Roman"/>
                <w:sz w:val="18"/>
                <w:szCs w:val="18"/>
                <w:color w:val="0000FF"/>
                <w:w w:val="99"/>
              </w:rPr>
              <w:t>58</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Industry Trends and Uncertainties</w:t>
            </w:r>
          </w:p>
        </w:tc>
        <w:tc>
          <w:tcPr>
            <w:tcW w:w="900" w:type="dxa"/>
            <w:vAlign w:val="bottom"/>
            <w:gridSpan w:val="3"/>
          </w:tcPr>
          <w:p>
            <w:pPr>
              <w:jc w:val="center"/>
              <w:ind w:left="632"/>
              <w:spacing w:after="0" w:line="205" w:lineRule="exact"/>
              <w:rPr>
                <w:sz w:val="20"/>
                <w:szCs w:val="20"/>
                <w:color w:val="auto"/>
              </w:rPr>
            </w:pPr>
            <w:r>
              <w:rPr>
                <w:rFonts w:ascii="Times New Roman" w:cs="Times New Roman" w:eastAsia="Times New Roman" w:hAnsi="Times New Roman"/>
                <w:sz w:val="18"/>
                <w:szCs w:val="18"/>
                <w:color w:val="0000FF"/>
                <w:w w:val="99"/>
              </w:rPr>
              <w:t>59</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306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Summary of Critical Accounting Estimates</w:t>
            </w:r>
          </w:p>
        </w:tc>
        <w:tc>
          <w:tcPr>
            <w:tcW w:w="6880" w:type="dxa"/>
            <w:vAlign w:val="bottom"/>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61</w:t>
            </w:r>
          </w:p>
        </w:tc>
        <w:tc>
          <w:tcPr>
            <w:tcW w:w="100" w:type="dxa"/>
            <w:vAlign w:val="bottom"/>
          </w:tcPr>
          <w:p>
            <w:pPr>
              <w:spacing w:after="0"/>
              <w:rPr>
                <w:sz w:val="17"/>
                <w:szCs w:val="17"/>
                <w:color w:val="auto"/>
              </w:rPr>
            </w:pPr>
          </w:p>
        </w:tc>
      </w:tr>
      <w:tr>
        <w:trPr>
          <w:trHeight w:val="205"/>
        </w:trPr>
        <w:tc>
          <w:tcPr>
            <w:tcW w:w="2420" w:type="dxa"/>
            <w:vAlign w:val="bottom"/>
            <w:tcBorders>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Non-GAAP Financial Disclosures</w:t>
            </w:r>
          </w:p>
        </w:tc>
        <w:tc>
          <w:tcPr>
            <w:tcW w:w="7520" w:type="dxa"/>
            <w:vAlign w:val="bottom"/>
            <w:gridSpan w:val="3"/>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61</w:t>
            </w:r>
          </w:p>
        </w:tc>
        <w:tc>
          <w:tcPr>
            <w:tcW w:w="100" w:type="dxa"/>
            <w:vAlign w:val="bottom"/>
          </w:tcPr>
          <w:p>
            <w:pPr>
              <w:spacing w:after="0"/>
              <w:rPr>
                <w:sz w:val="17"/>
                <w:szCs w:val="17"/>
                <w:color w:val="auto"/>
              </w:rPr>
            </w:pPr>
          </w:p>
        </w:tc>
      </w:tr>
      <w:tr>
        <w:trPr>
          <w:trHeight w:val="205"/>
        </w:trPr>
        <w:tc>
          <w:tcPr>
            <w:tcW w:w="154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Results of Operations</w:t>
            </w:r>
          </w:p>
        </w:tc>
        <w:tc>
          <w:tcPr>
            <w:tcW w:w="8400" w:type="dxa"/>
            <w:vAlign w:val="bottom"/>
            <w:gridSpan w:val="7"/>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63</w:t>
            </w:r>
          </w:p>
        </w:tc>
        <w:tc>
          <w:tcPr>
            <w:tcW w:w="100" w:type="dxa"/>
            <w:vAlign w:val="bottom"/>
          </w:tcPr>
          <w:p>
            <w:pPr>
              <w:spacing w:after="0"/>
              <w:rPr>
                <w:sz w:val="17"/>
                <w:szCs w:val="17"/>
                <w:color w:val="auto"/>
              </w:rPr>
            </w:pPr>
          </w:p>
        </w:tc>
      </w:tr>
      <w:tr>
        <w:trPr>
          <w:trHeight w:val="205"/>
        </w:trPr>
        <w:tc>
          <w:tcPr>
            <w:tcW w:w="86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6"/>
              </w:rPr>
              <w:t>Investments</w:t>
            </w:r>
          </w:p>
        </w:tc>
        <w:tc>
          <w:tcPr>
            <w:tcW w:w="9080" w:type="dxa"/>
            <w:vAlign w:val="bottom"/>
            <w:gridSpan w:val="10"/>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75</w:t>
            </w:r>
          </w:p>
        </w:tc>
        <w:tc>
          <w:tcPr>
            <w:tcW w:w="100" w:type="dxa"/>
            <w:vAlign w:val="bottom"/>
          </w:tcPr>
          <w:p>
            <w:pPr>
              <w:spacing w:after="0"/>
              <w:rPr>
                <w:sz w:val="17"/>
                <w:szCs w:val="17"/>
                <w:color w:val="auto"/>
              </w:rPr>
            </w:pPr>
          </w:p>
        </w:tc>
      </w:tr>
      <w:tr>
        <w:trPr>
          <w:trHeight w:val="205"/>
        </w:trPr>
        <w:tc>
          <w:tcPr>
            <w:tcW w:w="82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6"/>
              </w:rPr>
              <w:t>Derivatives</w:t>
            </w:r>
          </w:p>
        </w:tc>
        <w:tc>
          <w:tcPr>
            <w:tcW w:w="9120" w:type="dxa"/>
            <w:vAlign w:val="bottom"/>
            <w:gridSpan w:val="11"/>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84</w:t>
            </w:r>
          </w:p>
        </w:tc>
        <w:tc>
          <w:tcPr>
            <w:tcW w:w="100" w:type="dxa"/>
            <w:vAlign w:val="bottom"/>
          </w:tcPr>
          <w:p>
            <w:pPr>
              <w:spacing w:after="0"/>
              <w:rPr>
                <w:sz w:val="17"/>
                <w:szCs w:val="17"/>
                <w:color w:val="auto"/>
              </w:rPr>
            </w:pPr>
          </w:p>
        </w:tc>
      </w:tr>
      <w:tr>
        <w:trPr>
          <w:trHeight w:val="205"/>
        </w:trPr>
        <w:tc>
          <w:tcPr>
            <w:tcW w:w="99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Policyholder Liabilities</w:t>
            </w:r>
          </w:p>
        </w:tc>
        <w:tc>
          <w:tcPr>
            <w:tcW w:w="900" w:type="dxa"/>
            <w:vAlign w:val="bottom"/>
            <w:gridSpan w:val="3"/>
          </w:tcPr>
          <w:p>
            <w:pPr>
              <w:jc w:val="center"/>
              <w:ind w:left="632"/>
              <w:spacing w:after="0" w:line="205" w:lineRule="exact"/>
              <w:rPr>
                <w:sz w:val="20"/>
                <w:szCs w:val="20"/>
                <w:color w:val="auto"/>
              </w:rPr>
            </w:pPr>
            <w:r>
              <w:rPr>
                <w:rFonts w:ascii="Times New Roman" w:cs="Times New Roman" w:eastAsia="Times New Roman" w:hAnsi="Times New Roman"/>
                <w:sz w:val="18"/>
                <w:szCs w:val="18"/>
                <w:color w:val="0000FF"/>
                <w:w w:val="99"/>
              </w:rPr>
              <w:t>85</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900" w:type="dxa"/>
            <w:vAlign w:val="bottom"/>
            <w:gridSpan w:val="3"/>
          </w:tcPr>
          <w:p>
            <w:pPr>
              <w:jc w:val="center"/>
              <w:ind w:left="632"/>
              <w:spacing w:after="0" w:line="205" w:lineRule="exact"/>
              <w:rPr>
                <w:sz w:val="20"/>
                <w:szCs w:val="20"/>
                <w:color w:val="auto"/>
              </w:rPr>
            </w:pPr>
            <w:r>
              <w:rPr>
                <w:rFonts w:ascii="Times New Roman" w:cs="Times New Roman" w:eastAsia="Times New Roman" w:hAnsi="Times New Roman"/>
                <w:sz w:val="18"/>
                <w:szCs w:val="18"/>
                <w:color w:val="0000FF"/>
                <w:w w:val="99"/>
              </w:rPr>
              <w:t>87</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Note Regarding Forward-Looking Statements</w:t>
            </w:r>
          </w:p>
        </w:tc>
        <w:tc>
          <w:tcPr>
            <w:tcW w:w="900" w:type="dxa"/>
            <w:vAlign w:val="bottom"/>
            <w:gridSpan w:val="3"/>
          </w:tcPr>
          <w:p>
            <w:pPr>
              <w:jc w:val="center"/>
              <w:ind w:left="632"/>
              <w:spacing w:after="0" w:line="205" w:lineRule="exact"/>
              <w:rPr>
                <w:sz w:val="20"/>
                <w:szCs w:val="20"/>
                <w:color w:val="auto"/>
              </w:rPr>
            </w:pPr>
            <w:r>
              <w:rPr>
                <w:rFonts w:ascii="Times New Roman" w:cs="Times New Roman" w:eastAsia="Times New Roman" w:hAnsi="Times New Roman"/>
                <w:sz w:val="18"/>
                <w:szCs w:val="18"/>
                <w:color w:val="0000FF"/>
                <w:w w:val="99"/>
              </w:rPr>
              <w:t>95</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60"/>
          </w:cols>
          <w:pgMar w:left="320" w:top="230" w:right="6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For purposes of this discussion, “Brighthouse Financial,” the “Company,” “we,” “our” and “us” refer to Brighthouse Financial, Inc. and its subsidiaries, and “BHF” refers solely to Brighthouse Financial, Inc., the ultimate holding company for all of our subsidiaries, and not to any of its subsidiaries.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2024 (the “2024 Annual Report”) filed with the U.S. Securities and Exchange Commission (“SEC”) on February 28, 2025; (iii) our Quarterly Report on Form 10-Q for the quarter ended March 31, 2025 (the “First Quarter Form 10-Q”) filed with the SEC on May 9, 2025; and (iv) our current reports on Form 8-K filed in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intended to help the reader understand the results of operations, financial condition and cash flows of Brighthouse Financial for the periods indicated. 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spacing w:after="0" w:line="74"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 provides summarized information regarding our business, segments and financial results.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Uncertainties” discusses updates and changes to a number of trends and uncertainties included in our 2024 Annual Report that we believe may materially affect our future financial condition, results of operations or cash flows.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Critical Accounting Estimates” explains what we believe to be the most critical estimates and judgments applied in determining our results in accordance with accounting principles generally accepted in the United States of America (“GAAP”).</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but different, from the line items presented in the GAAP statements of operations. This section also refers to certain other terms used to describe our insurance business and financial and operating metrics but is not intended to be exhaustive.</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Results of Operations discussion and analysis presents a review for the three months and six months ended June 30, 2025 and 2024 and period-over-period, as well as year-over-year, comparisons between these periods.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66"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We are one of the largest providers of annuity and life insurance products in the U.S. through multiple independent distribution channels and marketing arrangements with a diverse network of distribution partners. We are organized into the following reportable segments: Annuities; Life; Run-off; and Corporate &amp; Other. See “Business — Segment Information” and “Management’s Discussion and Analysis of Financial Condition and Results of Operations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Executive Summary” included in our 2024 Annual Report, as well as Note 2 of the Notes to the Interim Condensed Consolidated Financial Statements for further information regarding our segments.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income (loss) available to shareholders and adjusted earnings (loss), a non-GAAP financial measure,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20" w:type="dxa"/>
            <w:vAlign w:val="bottom"/>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78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3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 (1)</w:t>
            </w: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3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780" w:type="dxa"/>
            <w:vAlign w:val="bottom"/>
            <w:vMerge w:val="restart"/>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preferred stock dividends (1)</w:t>
            </w:r>
          </w:p>
        </w:tc>
        <w:tc>
          <w:tcPr>
            <w:tcW w:w="7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40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 (1)</w:t>
            </w: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32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term “net income (loss) available to shareholders” to refer to “net income (loss) available to Brighthouse Financial, Inc.’s common shareholders” and “adjusted loss” to refer to negative adjusted earnings values throughout the results of operations discussions.</w:t>
      </w:r>
    </w:p>
    <w:p>
      <w:pPr>
        <w:spacing w:after="0" w:line="1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the three months ended June 30, 2025, we had net income available to shareholders of $60 million and adjusted earnings of $198 million compared to net income available to shareholders of $9 million and adjusted earnings of $346 million for the three months ended June 30, 2024. Net income available to shareholders for the three months ended June 30, 2025 primarily reflects favorable pre-tax adjusted earnings and net favorable changes in the estimated fair value of our variable annuity guaranteed benefit riders due to market factors. The favorable impacts were partially offset by an unfavorable change in the estimated fair value of freestanding interest rate derivatives we use to hedge our universal life with secondary guarantees (“ULSG”) business resulting from increasing long-term interest rates, the weakening of the U.S. dollar unfavorably impacting foreign currency forwards and swaps, net investment losses on mortgage loans and net investment losses on sales of fixed maturity securities.</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six months ended June 30, 2025, we had a net loss available to shareholders of $234 million and adjusted earnings of $433 million compared to a net loss available to shareholders of $510 million and adjusted earnings of $248 million for the six months ended June 30, 2024. The net loss available to shareholders for the six months ended June 30, 2025 primarily reflects net unfavorable changes in the estimated fair value of our variable annuity guaranteed benefit riders due to market factors, an unfavorable change in the estimated fair value of freestanding interest rate derivatives we use to hedge our ULSG business, the weakening of the U.S. dollar unfavorably impacting foreign currency forwards and swaps, net investment losses on mortgage loans and net investment losses on sales of fixed maturity securities. These unfavorable impacts were partially offset by favorable pre-tax adjusted earnings.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 Non-GAAP Financial Disclosures.” See “— Results of Operations” for a detailed discussion of our results.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 and Uncertainties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2024 Annual Report, as amended or supplemented by our First Quarter Form 10-Q and herein, for a comprehensive discussion of some of the key general trends and uncertainties that have influenced the development of our business and our historical financial performance and that we believe will continue to influence our business and results of operations in the future.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Economic Environment</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7"/>
          <w:szCs w:val="17"/>
          <w:color w:val="auto"/>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Shield</w:t>
      </w:r>
      <w:r>
        <w:rPr>
          <w:rFonts w:ascii="Times New Roman" w:cs="Times New Roman" w:eastAsia="Times New Roman" w:hAnsi="Times New Roman"/>
          <w:sz w:val="21"/>
          <w:szCs w:val="21"/>
          <w:b w:val="1"/>
          <w:bCs w:val="1"/>
          <w:color w:val="auto"/>
          <w:vertAlign w:val="superscript"/>
        </w:rPr>
        <w:t>®</w:t>
      </w:r>
      <w:r>
        <w:rPr>
          <w:rFonts w:ascii="Times New Roman" w:cs="Times New Roman" w:eastAsia="Times New Roman" w:hAnsi="Times New Roman"/>
          <w:sz w:val="17"/>
          <w:szCs w:val="17"/>
          <w:color w:val="auto"/>
        </w:rPr>
        <w:t xml:space="preserve"> Level Annuities (“Shield” and “Shield Annuity”) and other separate account products as a result of the effects it has on product demand, revenues, expenses, reserves and our risk management effectiveness. In September, November and December 2024, the Federal Reserve Board (the “Federal Reserve”) decreased the target range for the federal funds rate, and any additional future decrease may negatively impact our business in certain respects, including our investment portfolio, by lowering the level of long-term interest rates and changing the shape of the yield curve.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 defaults, nonperformance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above factors affect our expectations regarding future margins. We review our long-term assumptions about capital markets returns and interest rates, along with other assumptions such as contract holder behavior, as part of our annual actuarial review. As additional company specific or industry information on contract holder behavior becomes available, related assumptions may change and may potentially have a material impact on liability valuations and net income.</w:t>
      </w:r>
    </w:p>
    <w:p>
      <w:pPr>
        <w:spacing w:after="0" w:line="74"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We continue to closely monitor political and economic conditions that might contribute to market volatility and their impact on our business operations, investment portfolio and derivatives, such as global inflation, tariffs imposed or threatened by the U.S. or foreign governments, uncertainty and instability in certain asset classes (including commercial real estate), supply chain disruptions and recent geopolitical conflicts, including in Europe and the Middle East. See “— Investments — Current Environment” herein, as well as “Risk Factors — Economic Environment and Capital Markets-Related Risks,” “Risk Factors</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Risks Related to Our Investment Portfolio,” “Management’s Discussion and Analysis of Financial Condition and Results of Operations — Risk Management Strategies,” “Management’s Discussion and Analysis of Financial Condition and Results of Operations — Industry Trends and Uncertainties” and “Management’s Discussion and Analysis of Financial Condition and Results of Operations —Investments” included in our 2024 Annual Report for a detailed discussion of financial and economic impacts on our business, including the potential impacts of interest rate risk and inflation risk on our investments and overall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insurance subsidiaries and Brighthouse Reinsurance Company of Delaware (“BRCD”) are primarily regulated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2024 Annual Report, as amended or supplemented by our quarterly reports under the heading “Management’s Discussion and Analysis of Financial Condition and Results of Operations — Industry Trends and Uncertainties — Regulatory Developments.”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66"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and make estimates and assumptions that affect amounts reported on the Interim Condensed Consolidated Financial Statements.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future policy benefits;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market risk benefits (“MRB”);</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freestanding derivatives and the recognition and estimated fair value of embedded derivatives requiring bifurcation;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income taxes and the valuation of deferred tax assets.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above critical accounting estimates are described in “Management’s Discussion and Analysis of Financial Condition and Results of Operations — Summary of Critical Accounting Estimates” and Note 1 of the Notes to the Consolidated Financial Statements included in our 2024 Annual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Disclosures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present certain measures of our performance that are not calculated in accordance with GAAP. Our definitions of non-GAAP financial measures may differ from those used by other companies.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Earnings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7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Adjusted earnings, which may be positive or negative, focuses on our primary businesses by excluding the impact of market volatility, which could distort trends. Adjusted earnings was updated during the first quarter of 2025 in connection with the establishment of a trading portfolio comprised of certain fixed income securities (classified as “trading securities” under GAAP). The Company did not have trading securities prior to the first quarter of 2025.</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MRBs;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Adjusted Earnings</w:t>
            </w:r>
          </w:p>
        </w:tc>
        <w:tc>
          <w:tcPr>
            <w:tcW w:w="7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How Derived from GAAP (1)</w:t>
            </w:r>
          </w:p>
        </w:tc>
      </w:tr>
      <w:tr>
        <w:trPr>
          <w:trHeight w:val="225"/>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 income</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xml:space="preserve">Universal life and investment-type product policy fees </w:t>
            </w:r>
            <w:r>
              <w:rPr>
                <w:rFonts w:ascii="Times New Roman" w:cs="Times New Roman" w:eastAsia="Times New Roman" w:hAnsi="Times New Roman"/>
                <w:sz w:val="18"/>
                <w:szCs w:val="18"/>
                <w:color w:val="auto"/>
              </w:rPr>
              <w:t>plus</w:t>
            </w:r>
            <w:r>
              <w:rPr>
                <w:rFonts w:ascii="Times New Roman" w:cs="Times New Roman" w:eastAsia="Times New Roman" w:hAnsi="Times New Roman"/>
                <w:sz w:val="18"/>
                <w:szCs w:val="18"/>
                <w:i w:val="1"/>
                <w:iCs w:val="1"/>
                <w:color w:val="auto"/>
              </w:rPr>
              <w:t xml:space="preserve"> Other revenues</w:t>
            </w:r>
            <w:r>
              <w:rPr>
                <w:rFonts w:ascii="Times New Roman" w:cs="Times New Roman" w:eastAsia="Times New Roman" w:hAnsi="Times New Roman"/>
                <w:sz w:val="18"/>
                <w:szCs w:val="18"/>
                <w:color w:val="auto"/>
              </w:rPr>
              <w:t>.</w:t>
            </w:r>
          </w:p>
        </w:tc>
      </w:tr>
      <w:tr>
        <w:trPr>
          <w:trHeight w:val="172"/>
        </w:trPr>
        <w:tc>
          <w:tcPr>
            <w:tcW w:w="3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(ii)</w:t>
            </w:r>
          </w:p>
        </w:tc>
        <w:tc>
          <w:tcPr>
            <w:tcW w:w="368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Net investment spread</w:t>
            </w:r>
          </w:p>
        </w:tc>
        <w:tc>
          <w:tcPr>
            <w:tcW w:w="920" w:type="dxa"/>
            <w:vAlign w:val="bottom"/>
            <w:shd w:val="clear" w:color="auto" w:fill="CCEEFF"/>
          </w:tcPr>
          <w:p>
            <w:pPr>
              <w:ind w:left="560"/>
              <w:spacing w:after="0" w:line="172" w:lineRule="exact"/>
              <w:rPr>
                <w:sz w:val="20"/>
                <w:szCs w:val="20"/>
                <w:color w:val="auto"/>
              </w:rPr>
            </w:pPr>
            <w:r>
              <w:rPr>
                <w:rFonts w:ascii="Times New Roman" w:cs="Times New Roman" w:eastAsia="Times New Roman" w:hAnsi="Times New Roman"/>
                <w:sz w:val="18"/>
                <w:szCs w:val="18"/>
                <w:color w:val="auto"/>
              </w:rPr>
              <w:t>(ii)</w:t>
            </w:r>
          </w:p>
        </w:tc>
        <w:tc>
          <w:tcPr>
            <w:tcW w:w="62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i w:val="1"/>
                <w:iCs w:val="1"/>
                <w:color w:val="auto"/>
                <w:w w:val="98"/>
              </w:rPr>
              <w:t xml:space="preserve">Net investment income </w:t>
            </w:r>
            <w:r>
              <w:rPr>
                <w:rFonts w:ascii="Times New Roman" w:cs="Times New Roman" w:eastAsia="Times New Roman" w:hAnsi="Times New Roman"/>
                <w:sz w:val="18"/>
                <w:szCs w:val="18"/>
                <w:color w:val="auto"/>
                <w:w w:val="98"/>
              </w:rPr>
              <w:t>(excluding investment gains (losses) on trading securities) plus</w:t>
            </w:r>
          </w:p>
        </w:tc>
      </w:tr>
      <w:tr>
        <w:trPr>
          <w:trHeight w:val="178"/>
        </w:trPr>
        <w:tc>
          <w:tcPr>
            <w:tcW w:w="38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6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8"/>
                <w:szCs w:val="18"/>
                <w:color w:val="auto"/>
              </w:rPr>
              <w:t xml:space="preserve">Investment Hedge Adjustments reduced by </w:t>
            </w:r>
            <w:r>
              <w:rPr>
                <w:rFonts w:ascii="Times New Roman" w:cs="Times New Roman" w:eastAsia="Times New Roman" w:hAnsi="Times New Roman"/>
                <w:sz w:val="18"/>
                <w:szCs w:val="18"/>
                <w:i w:val="1"/>
                <w:iCs w:val="1"/>
                <w:color w:val="auto"/>
              </w:rPr>
              <w:t>Interest credited to policyholder account</w:t>
            </w:r>
          </w:p>
        </w:tc>
      </w:tr>
      <w:tr>
        <w:trPr>
          <w:trHeight w:val="232"/>
        </w:trPr>
        <w:tc>
          <w:tcPr>
            <w:tcW w:w="3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w w:val="98"/>
              </w:rPr>
              <w:t xml:space="preserve">balances </w:t>
            </w:r>
            <w:r>
              <w:rPr>
                <w:rFonts w:ascii="Times New Roman" w:cs="Times New Roman" w:eastAsia="Times New Roman" w:hAnsi="Times New Roman"/>
                <w:sz w:val="18"/>
                <w:szCs w:val="18"/>
                <w:color w:val="auto"/>
                <w:w w:val="98"/>
              </w:rPr>
              <w:t>(excluding Market Value Adjustments) and interest on future policy benefits.</w:t>
            </w:r>
          </w:p>
        </w:tc>
      </w:tr>
      <w:tr>
        <w:trPr>
          <w:trHeight w:val="172"/>
        </w:trPr>
        <w:tc>
          <w:tcPr>
            <w:tcW w:w="3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(iii)</w:t>
            </w:r>
          </w:p>
        </w:tc>
        <w:tc>
          <w:tcPr>
            <w:tcW w:w="368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color w:val="auto"/>
              </w:rPr>
              <w:t>Insurance-related activities</w:t>
            </w:r>
          </w:p>
        </w:tc>
        <w:tc>
          <w:tcPr>
            <w:tcW w:w="920" w:type="dxa"/>
            <w:vAlign w:val="bottom"/>
          </w:tcPr>
          <w:p>
            <w:pPr>
              <w:ind w:left="560"/>
              <w:spacing w:after="0" w:line="172" w:lineRule="exact"/>
              <w:rPr>
                <w:sz w:val="20"/>
                <w:szCs w:val="20"/>
                <w:color w:val="auto"/>
              </w:rPr>
            </w:pPr>
            <w:r>
              <w:rPr>
                <w:rFonts w:ascii="Times New Roman" w:cs="Times New Roman" w:eastAsia="Times New Roman" w:hAnsi="Times New Roman"/>
                <w:sz w:val="18"/>
                <w:szCs w:val="18"/>
                <w:color w:val="auto"/>
              </w:rPr>
              <w:t>(iii)</w:t>
            </w:r>
          </w:p>
        </w:tc>
        <w:tc>
          <w:tcPr>
            <w:tcW w:w="626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i w:val="1"/>
                <w:iCs w:val="1"/>
                <w:color w:val="auto"/>
              </w:rPr>
              <w:t xml:space="preserve">Premiums </w:t>
            </w:r>
            <w:r>
              <w:rPr>
                <w:rFonts w:ascii="Times New Roman" w:cs="Times New Roman" w:eastAsia="Times New Roman" w:hAnsi="Times New Roman"/>
                <w:sz w:val="18"/>
                <w:szCs w:val="18"/>
                <w:color w:val="auto"/>
              </w:rPr>
              <w:t>less</w:t>
            </w:r>
            <w:r>
              <w:rPr>
                <w:rFonts w:ascii="Times New Roman" w:cs="Times New Roman" w:eastAsia="Times New Roman" w:hAnsi="Times New Roman"/>
                <w:sz w:val="18"/>
                <w:szCs w:val="18"/>
                <w:i w:val="1"/>
                <w:iCs w:val="1"/>
                <w:color w:val="auto"/>
              </w:rPr>
              <w:t xml:space="preserve"> Policyholder benefits and claims</w:t>
            </w:r>
            <w:r>
              <w:rPr>
                <w:rFonts w:ascii="Times New Roman" w:cs="Times New Roman" w:eastAsia="Times New Roman" w:hAnsi="Times New Roman"/>
                <w:sz w:val="18"/>
                <w:szCs w:val="18"/>
                <w:color w:val="auto"/>
              </w:rPr>
              <w:t>, excluding interest on future policy</w:t>
            </w:r>
          </w:p>
        </w:tc>
      </w:tr>
      <w:tr>
        <w:trPr>
          <w:trHeight w:val="235"/>
        </w:trPr>
        <w:tc>
          <w:tcPr>
            <w:tcW w:w="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w:t>
            </w:r>
          </w:p>
        </w:tc>
      </w:tr>
      <w:tr>
        <w:trPr>
          <w:trHeight w:val="176"/>
        </w:trPr>
        <w:tc>
          <w:tcPr>
            <w:tcW w:w="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(iv)</w:t>
            </w:r>
          </w:p>
        </w:tc>
        <w:tc>
          <w:tcPr>
            <w:tcW w:w="36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Amortization of DAC and VOBA</w:t>
            </w:r>
          </w:p>
        </w:tc>
        <w:tc>
          <w:tcPr>
            <w:tcW w:w="92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(iv)</w:t>
            </w:r>
          </w:p>
        </w:tc>
        <w:tc>
          <w:tcPr>
            <w:tcW w:w="62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i w:val="1"/>
                <w:iCs w:val="1"/>
                <w:color w:val="auto"/>
              </w:rPr>
              <w:t>Amortization of deferred policy acquisition costs (“DAC”) and value of business</w:t>
            </w:r>
          </w:p>
        </w:tc>
      </w:tr>
      <w:tr>
        <w:trPr>
          <w:trHeight w:val="238"/>
        </w:trPr>
        <w:tc>
          <w:tcPr>
            <w:tcW w:w="3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acquired (“VOBA”)</w:t>
            </w:r>
            <w:r>
              <w:rPr>
                <w:rFonts w:ascii="Times New Roman" w:cs="Times New Roman" w:eastAsia="Times New Roman" w:hAnsi="Times New Roman"/>
                <w:sz w:val="18"/>
                <w:szCs w:val="18"/>
                <w:color w:val="auto"/>
              </w:rPr>
              <w:t>.</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expenses</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Other expenses.</w:t>
            </w:r>
          </w:p>
        </w:tc>
      </w:tr>
      <w:tr>
        <w:trPr>
          <w:trHeight w:val="192"/>
        </w:trPr>
        <w:tc>
          <w:tcPr>
            <w:tcW w:w="3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(vi)</w:t>
            </w:r>
          </w:p>
        </w:tc>
        <w:tc>
          <w:tcPr>
            <w:tcW w:w="3680" w:type="dxa"/>
            <w:vAlign w:val="bottom"/>
          </w:tcPr>
          <w:p>
            <w:pPr>
              <w:ind w:left="100"/>
              <w:spacing w:after="0" w:line="192" w:lineRule="exact"/>
              <w:rPr>
                <w:sz w:val="20"/>
                <w:szCs w:val="20"/>
                <w:color w:val="auto"/>
              </w:rPr>
            </w:pPr>
            <w:r>
              <w:rPr>
                <w:rFonts w:ascii="Times New Roman" w:cs="Times New Roman" w:eastAsia="Times New Roman" w:hAnsi="Times New Roman"/>
                <w:sz w:val="18"/>
                <w:szCs w:val="18"/>
                <w:color w:val="auto"/>
              </w:rPr>
              <w:t>Provision for income tax expense (benefit)</w:t>
            </w:r>
          </w:p>
        </w:tc>
        <w:tc>
          <w:tcPr>
            <w:tcW w:w="920" w:type="dxa"/>
            <w:vAlign w:val="bottom"/>
          </w:tcPr>
          <w:p>
            <w:pPr>
              <w:ind w:left="560"/>
              <w:spacing w:after="0" w:line="192" w:lineRule="exact"/>
              <w:rPr>
                <w:sz w:val="20"/>
                <w:szCs w:val="20"/>
                <w:color w:val="auto"/>
              </w:rPr>
            </w:pPr>
            <w:r>
              <w:rPr>
                <w:rFonts w:ascii="Times New Roman" w:cs="Times New Roman" w:eastAsia="Times New Roman" w:hAnsi="Times New Roman"/>
                <w:sz w:val="18"/>
                <w:szCs w:val="18"/>
                <w:color w:val="auto"/>
              </w:rPr>
              <w:t>(vi)</w:t>
            </w:r>
          </w:p>
        </w:tc>
        <w:tc>
          <w:tcPr>
            <w:tcW w:w="6260" w:type="dxa"/>
            <w:vAlign w:val="bottom"/>
          </w:tcPr>
          <w:p>
            <w:pPr>
              <w:ind w:left="100"/>
              <w:spacing w:after="0" w:line="192" w:lineRule="exact"/>
              <w:rPr>
                <w:sz w:val="20"/>
                <w:szCs w:val="20"/>
                <w:color w:val="auto"/>
              </w:rPr>
            </w:pPr>
            <w:r>
              <w:rPr>
                <w:rFonts w:ascii="Times New Roman" w:cs="Times New Roman" w:eastAsia="Times New Roman" w:hAnsi="Times New Roman"/>
                <w:sz w:val="18"/>
                <w:szCs w:val="18"/>
                <w:color w:val="auto"/>
              </w:rPr>
              <w:t>Tax impact of the above items, calculated using the statutory tax rate of 21%, net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860" cy="3702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370205"/>
                    </a:xfrm>
                    <a:prstGeom prst="rect">
                      <a:avLst/>
                    </a:prstGeom>
                    <a:noFill/>
                  </pic:spPr>
                </pic:pic>
              </a:graphicData>
            </a:graphic>
          </wp:anchor>
        </w:drawing>
      </w:r>
    </w:p>
    <w:p>
      <w:pPr>
        <w:ind w:left="5080" w:right="20"/>
        <w:spacing w:after="0" w:line="230" w:lineRule="auto"/>
        <w:rPr>
          <w:sz w:val="20"/>
          <w:szCs w:val="20"/>
          <w:color w:val="auto"/>
        </w:rPr>
      </w:pPr>
      <w:r>
        <w:rPr>
          <w:rFonts w:ascii="Times New Roman" w:cs="Times New Roman" w:eastAsia="Times New Roman" w:hAnsi="Times New Roman"/>
          <w:sz w:val="18"/>
          <w:szCs w:val="18"/>
          <w:color w:val="auto"/>
        </w:rPr>
        <w:t>impacts related to the dividends received deduction, tax credits and current period non-recurring items.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Italicized items indicate GAAP statements of operations line items.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Investment Income</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net investment income is used by management to measure our performance, and we believe it enhances the understanding of our investment portfolio results. Adjusted net investment income represents GAAP net investment income plus Investment Hedge Adjustments less investment gains (losses) on trading securities. For a reconciliation of adjusted net investment income to net investment income, the most directly comparable GAAP measure, see table note (3) to the summary yield table located in “— Investments — Current Environment — Investment Portfolio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Investment Income Yield</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Similar to adjusted net investment income, adjusted net investment income yield is used by management as a performance measure that we believe enhances the understanding of our investment portfolio results. Adjusted net investment income yield represents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 For a reconciliation of adjusted net investment income yield to net investment income, the most directly comparable GAAP measure, see the summary yield table located in “— Investments — Current Environment — Investment Portfolio Results.”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Three Months and Six Months Ended June 30, 2025 and 2024</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Unless otherwise noted, all amounts in the following discussions of our results of operations are stated before income tax except for adjusted earnings, which are presented net of income tax.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3"/>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5"/>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gridSpan w:val="3"/>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720" w:type="dxa"/>
            <w:vAlign w:val="bottom"/>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18"/>
                <w:szCs w:val="18"/>
                <w:color w:val="auto"/>
              </w:rPr>
            </w:pPr>
          </w:p>
        </w:tc>
        <w:tc>
          <w:tcPr>
            <w:tcW w:w="720" w:type="dxa"/>
            <w:vAlign w:val="bottom"/>
          </w:tcPr>
          <w:p>
            <w:pPr>
              <w:jc w:val="right"/>
              <w:ind w:right="565"/>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1,096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1,307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2,582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1,427</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3,261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63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$0, $0, $0</w:t>
            </w: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4"/>
              </w:rPr>
              <w:t>1,360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0" w:type="dxa"/>
            <w:vAlign w:val="bottom"/>
          </w:tcPr>
          <w:p>
            <w:pPr>
              <w:spacing w:after="0"/>
              <w:rPr>
                <w:sz w:val="1"/>
                <w:szCs w:val="1"/>
                <w:color w:val="auto"/>
              </w:rPr>
            </w:pPr>
          </w:p>
        </w:tc>
      </w:tr>
      <w:tr>
        <w:trPr>
          <w:trHeight w:val="210"/>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and $0, respectively)</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1,098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03"/>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1,413</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3,522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6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32"/>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income (loss) available to shareholders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0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5"/>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gridSpan w:val="3"/>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720" w:type="dxa"/>
            <w:vAlign w:val="bottom"/>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1,101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59"/>
        </w:trPr>
        <w:tc>
          <w:tcPr>
            <w:tcW w:w="63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and preferred stock dividends</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405"/>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720" w:type="dxa"/>
            <w:vAlign w:val="bottom"/>
            <w:tcBorders>
              <w:bottom w:val="single" w:sz="8" w:color="auto"/>
            </w:tcBorders>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2025 Compared with the Three Months Ended June 30, 2024</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Income available to shareholders before provision for income tax was $68 million ($60 million, net of income tax), an increase of $79 million ($51 million, net of income tax) from loss available to shareholders before provision for income tax of $11 million ($9 million, net of income tax) in the prior period.</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increase in income before provision for income tax was driven by the following favorable items:</w:t>
      </w:r>
    </w:p>
    <w:p>
      <w:pPr>
        <w:spacing w:after="0" w:line="111" w:lineRule="exact"/>
        <w:rPr>
          <w:sz w:val="20"/>
          <w:szCs w:val="20"/>
          <w:color w:val="auto"/>
        </w:rPr>
      </w:pPr>
    </w:p>
    <w:p>
      <w:pPr>
        <w:ind w:left="800" w:hanging="317"/>
        <w:spacing w:after="0" w:line="274" w:lineRule="auto"/>
        <w:tabs>
          <w:tab w:leader="none" w:pos="7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from variable annuity guaranteed benefit riders, see “— Annuity Guaranteed Benefits and Shield Annuity Liabilities for the Three Months and Six Months Ended June 30, 2025 and 2024”; and</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 reflecting lower net losses on sales of fixed maturity securities.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increase in income before provision for income taxes was partially offset by the following unfavorable items:</w:t>
      </w:r>
    </w:p>
    <w:p>
      <w:pPr>
        <w:spacing w:after="0" w:line="111" w:lineRule="exact"/>
        <w:rPr>
          <w:sz w:val="20"/>
          <w:szCs w:val="20"/>
          <w:color w:val="auto"/>
        </w:rPr>
      </w:pPr>
    </w:p>
    <w:p>
      <w:pPr>
        <w:ind w:left="800" w:hanging="317"/>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pre-tax adjusted earnings, as discussed in greater detail below;</w:t>
      </w:r>
    </w:p>
    <w:p>
      <w:pPr>
        <w:spacing w:after="0" w:line="111" w:lineRule="exact"/>
        <w:rPr>
          <w:rFonts w:ascii="Times New Roman" w:cs="Times New Roman" w:eastAsia="Times New Roman" w:hAnsi="Times New Roman"/>
          <w:sz w:val="18"/>
          <w:szCs w:val="18"/>
          <w:color w:val="auto"/>
        </w:rPr>
      </w:pPr>
    </w:p>
    <w:p>
      <w:pPr>
        <w:jc w:val="both"/>
        <w:ind w:left="800" w:hanging="317"/>
        <w:spacing w:after="0" w:line="259" w:lineRule="auto"/>
        <w:tabs>
          <w:tab w:leader="none" w:pos="7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long-term interest rates on interest rate derivatives used to manage interest rate exposure in our ULSG business, as the long-term interest rate increased in the current period, resulting in a loss of $154 million, and increased in the prior period, resulting in a loss of $97 million; and</w:t>
      </w:r>
    </w:p>
    <w:p>
      <w:pPr>
        <w:spacing w:after="0" w:line="7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weakening of the U.S. dollar more in the current period than the prior period, unfavorably impacting foreign currency forwards and swaps.</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expressed as a percentage of income (loss) before provision for income tax, resulted in a higher effective tax rate in the current period compared to the prior period. Our effective tax rate differs from the statutory tax rate primarily due to the impacts of the dividends received deduction and tax credits.</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2025 Compared with the Six Months Ended June 30, 2024</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loss available to shareholders before provision for income tax was $314 million ($234 million, net of income tax), a lower loss of $339 million ($276 million, net of income tax) from loss available to shareholders before provision for income tax of $653 million ($510 million, net of income tax) in the prior period.</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lower loss before provision for income tax was driven by the following favorable items:</w:t>
      </w:r>
    </w:p>
    <w:p>
      <w:pPr>
        <w:spacing w:after="0" w:line="111" w:lineRule="exact"/>
        <w:rPr>
          <w:sz w:val="20"/>
          <w:szCs w:val="20"/>
          <w:color w:val="auto"/>
        </w:rPr>
      </w:pPr>
    </w:p>
    <w:p>
      <w:pPr>
        <w:ind w:left="800" w:hanging="317"/>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pre-tax adjusted earnings, as discussed in greater detail below;</w:t>
      </w:r>
    </w:p>
    <w:p>
      <w:pPr>
        <w:spacing w:after="0" w:line="111" w:lineRule="exact"/>
        <w:rPr>
          <w:rFonts w:ascii="Times New Roman" w:cs="Times New Roman" w:eastAsia="Times New Roman" w:hAnsi="Times New Roman"/>
          <w:sz w:val="18"/>
          <w:szCs w:val="18"/>
          <w:color w:val="auto"/>
        </w:rPr>
      </w:pPr>
    </w:p>
    <w:p>
      <w:pPr>
        <w:jc w:val="both"/>
        <w:ind w:left="800" w:hanging="317"/>
        <w:spacing w:after="0" w:line="259" w:lineRule="auto"/>
        <w:tabs>
          <w:tab w:leader="none" w:pos="7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long-term interest rates on interest rate derivatives used to manage interest rate exposure in our ULSG business, as the long-term interest rate decreased in the current period, resulting in a loss of $132 million, and increased in the prior period, resulting in a loss of $309 million; and</w:t>
      </w:r>
    </w:p>
    <w:p>
      <w:pPr>
        <w:spacing w:after="0" w:line="7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 reflecting lower net losses on sales of fixed maturity securities, partially offset by higher net losses on mortgage loans due to an increase in the allowance for credit losses.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lower loss before provision for income tax was partially offset by the following unfavorable items:</w:t>
      </w:r>
    </w:p>
    <w:p>
      <w:pPr>
        <w:spacing w:after="0" w:line="111" w:lineRule="exact"/>
        <w:rPr>
          <w:sz w:val="20"/>
          <w:szCs w:val="20"/>
          <w:color w:val="auto"/>
        </w:rPr>
      </w:pPr>
    </w:p>
    <w:p>
      <w:pPr>
        <w:ind w:left="800" w:hanging="317"/>
        <w:spacing w:after="0" w:line="274" w:lineRule="auto"/>
        <w:tabs>
          <w:tab w:leader="none" w:pos="7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weakening of the U.S. dollar in the current period and strengthening in the prior period, unfavorably impacting foreign currency forwards and swaps; and</w:t>
      </w:r>
    </w:p>
    <w:p>
      <w:pPr>
        <w:spacing w:after="0" w:line="57"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losses from variable annuity guaranteed benefit riders, see “— Annuity Guaranteed Benefits and Shield Annuity Liabilities for the Three Months and Six Months Ended June 30, 2025 and 2024.”</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income (loss) before provision for income tax, resulted in an effective tax rate of 31% in the current period compared to 24% in the prior period. Our effective tax rate differs from the statutory tax rate primarily due to the impacts of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Available to Shareholders to Adjusted Earnings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reconciliation of net income (loss) available to shareholders to adjusted earnings (loss) was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$1</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41"/>
        </w:trPr>
        <w:tc>
          <w:tcPr>
            <w:tcW w:w="55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3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0"/>
                <w:szCs w:val="10"/>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10"/>
                <w:szCs w:val="10"/>
                <w:color w:val="auto"/>
              </w:rPr>
            </w:pPr>
          </w:p>
        </w:tc>
        <w:tc>
          <w:tcPr>
            <w:tcW w:w="82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41"/>
        </w:trPr>
        <w:tc>
          <w:tcPr>
            <w:tcW w:w="55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3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$1</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41"/>
        </w:trPr>
        <w:tc>
          <w:tcPr>
            <w:tcW w:w="55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3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07"/>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$22</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41"/>
        </w:trPr>
        <w:tc>
          <w:tcPr>
            <w:tcW w:w="55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32"/>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Three Months and Six Months Ended June 30, 2025 and 2024 — Adjusted Earnings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00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6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0" w:type="dxa"/>
            <w:vAlign w:val="bottom"/>
          </w:tcPr>
          <w:p>
            <w:pPr>
              <w:spacing w:after="0"/>
              <w:rPr>
                <w:sz w:val="1"/>
                <w:szCs w:val="1"/>
                <w:color w:val="auto"/>
              </w:rPr>
            </w:pP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0" w:type="dxa"/>
            <w:vAlign w:val="bottom"/>
          </w:tcPr>
          <w:p>
            <w:pPr>
              <w:spacing w:after="0"/>
              <w:rPr>
                <w:sz w:val="1"/>
                <w:szCs w:val="1"/>
                <w:color w:val="auto"/>
              </w:rPr>
            </w:pP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 dividends</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41"/>
        </w:trPr>
        <w:tc>
          <w:tcPr>
            <w:tcW w:w="634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74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preferred stock dividends</w:t>
            </w:r>
          </w:p>
        </w:tc>
        <w:tc>
          <w:tcPr>
            <w:tcW w:w="74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32"/>
        </w:trPr>
        <w:tc>
          <w:tcPr>
            <w:tcW w:w="6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740" w:type="dxa"/>
            <w:vAlign w:val="bottom"/>
            <w:tcBorders>
              <w:bottom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2025 Compared with the Three Months Ended June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$198 million in the current period, a decrease of $148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800" w:right="5360" w:firstLine="1"/>
        <w:spacing w:after="0" w:line="368" w:lineRule="auto"/>
        <w:tabs>
          <w:tab w:leader="none" w:pos="111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claims, net of reinsurance in our Life and Run-off segments; partially offset by</w:t>
      </w:r>
    </w:p>
    <w:p>
      <w:pPr>
        <w:spacing w:after="0" w:line="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annuity underwriting margins;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credited to policyholders due to higher account balances;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on real estate limited partnerships and limited liability companies (“LLC”);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assets resulting from positive net flows in the general account;</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fee income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is offset in other expenses;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net cost of insurance fees driven by the aging in-force business in our Run-off segment;</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ceded cost of insurance fees consistent with favorable equity market returns in our Life segment, which is offset in other expenses; and</w:t>
      </w:r>
    </w:p>
    <w:p>
      <w:pPr>
        <w:spacing w:after="0" w:line="122" w:lineRule="exact"/>
        <w:rPr>
          <w:rFonts w:ascii="Times New Roman" w:cs="Times New Roman" w:eastAsia="Times New Roman" w:hAnsi="Times New Roman"/>
          <w:sz w:val="17"/>
          <w:szCs w:val="17"/>
          <w:color w:val="auto"/>
        </w:rPr>
      </w:pPr>
    </w:p>
    <w:p>
      <w:pPr>
        <w:ind w:left="800" w:hanging="317"/>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ceded cost of insurance expenses consistent with favorable equity market returns in our Life segment, which is offset in fee income; and</w:t>
      </w:r>
    </w:p>
    <w:p>
      <w:pPr>
        <w:spacing w:after="0" w:line="122" w:lineRule="exact"/>
        <w:rPr>
          <w:rFonts w:ascii="Times New Roman" w:cs="Times New Roman" w:eastAsia="Times New Roman" w:hAnsi="Times New Roman"/>
          <w:sz w:val="17"/>
          <w:szCs w:val="17"/>
          <w:color w:val="auto"/>
        </w:rPr>
      </w:pPr>
    </w:p>
    <w:p>
      <w:pPr>
        <w:ind w:left="1120" w:hanging="319"/>
        <w:spacing w:after="0"/>
        <w:tabs>
          <w:tab w:leader="none" w:pos="11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deferred compensation and operational expenses;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20" w:hanging="319"/>
        <w:spacing w:after="0"/>
        <w:tabs>
          <w:tab w:leader="none" w:pos="11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asset-based variable annuity expenses resulting from lower average separate account balances, a portion of which is offset in fee income.</w:t>
      </w:r>
    </w:p>
    <w:p>
      <w:pPr>
        <w:spacing w:after="0" w:line="123"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expressed as a percentage of pre-tax adjusted earnings (loss), resulted in an effective tax rate of 17% in the current period compared to 16% in the prior period. Our effective tax rate differs from the statutory tax rate primarily due to the impacts of the dividends received deduction and tax credits.</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2025 Compared with the Six Months Ended June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$433 million in the current period, an increase of $185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liability balances in our Run-off segment resulting from a reinsurance premium rate increase associated with the conclusion of a reinsurance arbitration in the prior period;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annuity underwriting margins;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claims, net of reinsurance, in our Life segment;</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fee income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ceded cost of insurance fees in our Life and Run-off segments related to the conclusion of the aforementioned reinsurance arbitration in the prior period;</w:t>
      </w:r>
    </w:p>
    <w:p>
      <w:pPr>
        <w:spacing w:after="0" w:line="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is offset in other expenses;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net cost of insurance fees driven by the aging in-force business in our Run-off segment;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aforementioned reinsurance arbitration in our Life and Run-off segments in the prior period;</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a portion of which is offset in fee income;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transition services agreement expenses;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expenses.</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key unfavorable impact was a lower net investment spread due to higher interest credited to policyholders due to higher account balances and actuarial modeling improvements in our Annuities segment.</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17% in both the current period and the prior period. Our effective tax rate differs from the statutory tax rate primarily due to the impacts of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for the Three Months and Six Months Ended June 30, 2025 and 2024 — Adjusted Earnings (Loss)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for our Annuities segment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00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0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Pre-tax adjusted earnings</w:t>
            </w:r>
          </w:p>
        </w:tc>
        <w:tc>
          <w:tcPr>
            <w:tcW w:w="740" w:type="dxa"/>
            <w:vAlign w:val="bottom"/>
          </w:tcPr>
          <w:p>
            <w:pPr>
              <w:spacing w:after="0"/>
              <w:rPr>
                <w:sz w:val="17"/>
                <w:szCs w:val="17"/>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07"/>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332</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0"/>
        </w:trPr>
        <w:tc>
          <w:tcPr>
            <w:tcW w:w="6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significant portion of our adjusted earnings is driven by separate account balances related to our variable annuity business, as these balances determine asset-based fee income and commissions. The changes in our variable annuities separate account balances are presented in Note 5 of the Notes to the Interim Condensed Consolidated Financial Statements.</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2025 Compared with the Three Months Ended June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$332 million in the current and prior period.</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assets resulting from positive net flows in the general account;</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on real estate limited partnerships and LLCs; and</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investment yields on our fixed income portfolio, as proceeds from maturing investments and the growth in the investment portfolio were invested at higher yields than the portfolio average;</w:t>
      </w:r>
    </w:p>
    <w:p>
      <w:pPr>
        <w:spacing w:after="0" w:line="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credited to policyholders due to higher account balances; and</w:t>
      </w:r>
    </w:p>
    <w:p>
      <w:pPr>
        <w:spacing w:after="0" w:line="111" w:lineRule="exact"/>
        <w:rPr>
          <w:rFonts w:ascii="Times New Roman" w:cs="Times New Roman" w:eastAsia="Times New Roman" w:hAnsi="Times New Roman"/>
          <w:sz w:val="18"/>
          <w:szCs w:val="18"/>
          <w:color w:val="auto"/>
        </w:rPr>
      </w:pPr>
    </w:p>
    <w:p>
      <w:pPr>
        <w:ind w:left="480" w:right="2080" w:firstLine="3"/>
        <w:spacing w:after="0" w:line="368" w:lineRule="auto"/>
        <w:tabs>
          <w:tab w:leader="none" w:pos="7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costs associated with insurance-related activities due to an increase in income annuity underwriting margins. Key net unfavorable impacts were:</w:t>
      </w:r>
    </w:p>
    <w:p>
      <w:pPr>
        <w:spacing w:after="0" w:line="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 lower asset-based fees resulting from lower average separate account balances, a portion of which is offset in other expenses; and</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deferred compensation and operational expenses;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asset-based variable annuity expenses resulting from lower average separate account balances, a portion of which is offset in fee income.</w:t>
      </w:r>
    </w:p>
    <w:p>
      <w:pPr>
        <w:spacing w:after="0" w:line="123"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resulted in an effective tax rate of 19% in both the current period and the prior period. Our effective tax rate differs from the statutory tax rate primarily due to the impacts of the dividends received deduction.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2025 Compared with the Six Months Ended June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$646 million in the current period, an increase of $1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assets resulting from positive net flows in the general account;</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on real estate limited partnerships and LLCs; and</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investment yields on our fixed income portfolio, as proceeds from maturing investments and the growth in the investment portfolio were invested at higher yields than the portfolio average;</w:t>
      </w:r>
    </w:p>
    <w:p>
      <w:pPr>
        <w:spacing w:after="0" w:line="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credited to policyholders due to higher account balances and actuarial modeling improvements; and</w:t>
      </w:r>
    </w:p>
    <w:p>
      <w:pPr>
        <w:spacing w:after="0" w:line="111" w:lineRule="exact"/>
        <w:rPr>
          <w:rFonts w:ascii="Times New Roman" w:cs="Times New Roman" w:eastAsia="Times New Roman" w:hAnsi="Times New Roman"/>
          <w:sz w:val="18"/>
          <w:szCs w:val="18"/>
          <w:color w:val="auto"/>
        </w:rPr>
      </w:pPr>
    </w:p>
    <w:p>
      <w:pPr>
        <w:ind w:left="480" w:right="2080" w:firstLine="3"/>
        <w:spacing w:after="0" w:line="368" w:lineRule="auto"/>
        <w:tabs>
          <w:tab w:leader="none" w:pos="79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costs associated with insurance-related activities due to an increase in income annuity underwriting margins. Key net unfavorable impacts were:</w:t>
      </w:r>
    </w:p>
    <w:p>
      <w:pPr>
        <w:spacing w:after="0" w:line="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 lower asset-based fees resulting from lower average separate account balances, a portion of which is offset in other expenses; and</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expenses;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line="274" w:lineRule="auto"/>
        <w:tabs>
          <w:tab w:leader="none" w:pos="111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a portion of which is offset in fee income;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transition services agreement expenses.</w:t>
      </w:r>
    </w:p>
    <w:p>
      <w:pPr>
        <w:spacing w:after="0" w:line="1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resulted in an effective tax rate of 19% in both the current period and the prior period. Our effective tax rate differs from the statutory tax rate primarily due to the impact of the dividends received deduction.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for our Life segment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0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63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63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80" w:type="dxa"/>
            <w:vAlign w:val="bottom"/>
            <w:shd w:val="clear" w:color="auto" w:fill="CCEEFF"/>
          </w:tcPr>
          <w:p>
            <w:pPr>
              <w:jc w:val="right"/>
              <w:ind w:right="60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80" w:type="dxa"/>
            <w:vAlign w:val="bottom"/>
          </w:tcPr>
          <w:p>
            <w:pPr>
              <w:spacing w:after="0"/>
              <w:rPr>
                <w:sz w:val="18"/>
                <w:szCs w:val="18"/>
                <w:color w:val="auto"/>
              </w:rPr>
            </w:pP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Pre-tax adjusted earnings (loss)</w:t>
            </w:r>
          </w:p>
        </w:tc>
        <w:tc>
          <w:tcPr>
            <w:tcW w:w="7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78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6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2025 Compared with the Three Months Ended June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loss was $26 million in the current period, a decrease of $68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insurance-related activities due to higher claims, net of reinsurance;</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0" w:hanging="317"/>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due to lower returns on other limited partnerships;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ceded cost of insurance expenses consistent with favorable equity market returns, which is offset in fee income;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expenses.</w:t>
      </w:r>
    </w:p>
    <w:p>
      <w:pPr>
        <w:spacing w:after="0" w:line="111"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key favorable impact was higher fee income due to lower ceded cost of insurance fees consistent with favorable equity market returns, which is offset in other expenses.</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21% in the current period compared to 19% in the prior period. Our effective tax rate may differ from the statutory tax rate primarily due to the impact of the dividends received deduction.</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2025 Compared with the Six Months Ended June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loss was $17 million in the current period, a decrease of $23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 higher claims, net of reinsurance;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due to lower returns on other limited partnerships.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line="274" w:lineRule="auto"/>
        <w:tabs>
          <w:tab w:leader="none" w:pos="7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fee income due to lower ceded cost of insurance fees related to the conclusion of the aforementioned reinsurance arbitration in the prior period; and</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conclusion of the aforementioned reinsurance arbitration in the prior period;</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expenses.</w:t>
      </w:r>
    </w:p>
    <w:p>
      <w:pPr>
        <w:spacing w:after="0" w:line="111" w:lineRule="exact"/>
        <w:rPr>
          <w:sz w:val="20"/>
          <w:szCs w:val="20"/>
          <w:color w:val="auto"/>
        </w:rPr>
      </w:pPr>
    </w:p>
    <w:p>
      <w:pPr>
        <w:ind w:left="160" w:firstLine="318"/>
        <w:spacing w:after="0" w:line="304" w:lineRule="auto"/>
        <w:rPr>
          <w:sz w:val="20"/>
          <w:szCs w:val="20"/>
          <w:color w:val="auto"/>
        </w:rPr>
      </w:pPr>
      <w:r>
        <w:rPr>
          <w:rFonts w:ascii="Times New Roman" w:cs="Times New Roman" w:eastAsia="Times New Roman" w:hAnsi="Times New Roman"/>
          <w:sz w:val="17"/>
          <w:szCs w:val="17"/>
          <w:color w:val="auto"/>
        </w:rPr>
        <w:t>The provision for income tax, calculated as a percentage of pre-tax adjusted earnings (loss), resulted in a higher effective tax rate in the current period compared to the prior period. Our effective tax rate differs from the statutory tax rate primarily due to the impact of the dividends received deduction.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Run-off</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for our Run-off segment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00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Pre-tax adjusted earnings (loss)</w:t>
            </w: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7"/>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0"/>
        </w:trPr>
        <w:tc>
          <w:tcPr>
            <w:tcW w:w="6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2025 Compared with the Three Months Ended June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loss was $83 million in the current period, a higher loss of $53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long-term assets;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 higher claims, net of reinsurance;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 a decline in the net cost of insurance fees driven by the aging in-force business.</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21% in the current period compared to 19% in the prior period. Our effective tax rate differs from the statutory tax rate primarily due to the impact of the dividends received deduction.</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2025 Compared with the Six Months Ended June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loss was $147 million in the current period, a lower loss of $224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4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liability balances resulting from a reinsurance premium rate increase associated with the conclusion of the aforementioned reinsurance arbitration in the prior period;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claims, net of reinsurance;</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fee income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ceded cost of insurance fees related to the conclusion of the aforementioned reinsurance arbitration in the prior period;</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net cost of insurance fees driven by the aging in-force business;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800" w:right="4480" w:firstLine="1"/>
        <w:spacing w:after="0" w:line="368" w:lineRule="auto"/>
        <w:tabs>
          <w:tab w:leader="none" w:pos="111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aforementioned reinsurance arbitration in the prior period; partially offset by</w:t>
      </w:r>
    </w:p>
    <w:p>
      <w:pPr>
        <w:spacing w:after="0" w:line="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expenses.</w:t>
      </w:r>
    </w:p>
    <w:p>
      <w:pPr>
        <w:spacing w:after="0" w:line="200" w:lineRule="exact"/>
        <w:rPr>
          <w:sz w:val="20"/>
          <w:szCs w:val="20"/>
          <w:color w:val="auto"/>
        </w:rPr>
      </w:pPr>
    </w:p>
    <w:p>
      <w:pPr>
        <w:spacing w:after="0" w:line="229" w:lineRule="exact"/>
        <w:rPr>
          <w:sz w:val="20"/>
          <w:szCs w:val="20"/>
          <w:color w:val="auto"/>
        </w:rPr>
      </w:pPr>
    </w:p>
    <w:p>
      <w:pPr>
        <w:ind w:left="1120" w:hanging="319"/>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long-term assets.</w:t>
      </w:r>
    </w:p>
    <w:p>
      <w:pPr>
        <w:spacing w:after="0" w:line="1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21% in both the current period and the prior period.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for our Corporate &amp; Other segment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4"/>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80" w:type="dxa"/>
            <w:vAlign w:val="bottom"/>
            <w:shd w:val="clear" w:color="auto" w:fill="CCEEFF"/>
          </w:tcPr>
          <w:p>
            <w:pPr>
              <w:jc w:val="right"/>
              <w:ind w:right="60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 dividends</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41"/>
        </w:trPr>
        <w:tc>
          <w:tcPr>
            <w:tcW w:w="632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7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preferred stock dividends</w:t>
            </w:r>
          </w:p>
        </w:tc>
        <w:tc>
          <w:tcPr>
            <w:tcW w:w="7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2"/>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780" w:type="dxa"/>
            <w:vAlign w:val="bottom"/>
            <w:tcBorders>
              <w:bottom w:val="single" w:sz="8" w:color="auto"/>
            </w:tcBorders>
            <w:shd w:val="clear" w:color="auto" w:fill="CCEEFF"/>
          </w:tcPr>
          <w:p>
            <w:pPr>
              <w:jc w:val="right"/>
              <w:ind w:right="60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2025 Compared with the Three Months Ended June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loss was $25 million in the current period, a decrease of $27 million.</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key unfavorable impact was a lower net investment spread due to lower average invested long-term assets on our institutional spread margin business.</w:t>
      </w:r>
    </w:p>
    <w:p>
      <w:pPr>
        <w:spacing w:after="0" w:line="57"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 lower effective tax rate in the current period compared to the prior period. Our effective tax rate differs from the statutory tax rate primarily due to the impacts of the dividends received deduction and tax credits. We believe the effective tax rate for the Corporate &amp; Other segment is not generally meaningful, neither on a standalone basis nor for comparison to prior periods, since taxes for the Corporate &amp; Other segment are derived from the difference between the overall consolidated effective tax rate and total taxes for the combined operating segments.</w:t>
      </w:r>
    </w:p>
    <w:p>
      <w:pPr>
        <w:spacing w:after="0" w:line="128" w:lineRule="exact"/>
        <w:rPr>
          <w:sz w:val="20"/>
          <w:szCs w:val="20"/>
          <w:color w:val="auto"/>
        </w:rPr>
      </w:pPr>
    </w:p>
    <w:p>
      <w:pPr>
        <w:jc w:val="center"/>
        <w:ind w:right="46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2025 Compared with the Six Months Ended June 30, 2024</w:t>
      </w:r>
    </w:p>
    <w:p>
      <w:pPr>
        <w:spacing w:after="0" w:line="115" w:lineRule="exact"/>
        <w:rPr>
          <w:sz w:val="20"/>
          <w:szCs w:val="20"/>
          <w:color w:val="auto"/>
        </w:rPr>
      </w:pPr>
    </w:p>
    <w:p>
      <w:pPr>
        <w:jc w:val="center"/>
        <w:ind w:right="4580"/>
        <w:spacing w:after="0"/>
        <w:rPr>
          <w:sz w:val="20"/>
          <w:szCs w:val="20"/>
          <w:color w:val="auto"/>
        </w:rPr>
      </w:pPr>
      <w:r>
        <w:rPr>
          <w:rFonts w:ascii="Times New Roman" w:cs="Times New Roman" w:eastAsia="Times New Roman" w:hAnsi="Times New Roman"/>
          <w:sz w:val="18"/>
          <w:szCs w:val="18"/>
          <w:color w:val="auto"/>
        </w:rPr>
        <w:t>Adjusted loss was $49 million in the current period, a higher loss of $17 million.</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key unfavorable impact was a lower net investment spread due to lower average invested long-term assets on our institutional spread margin business.</w:t>
      </w:r>
    </w:p>
    <w:p>
      <w:pPr>
        <w:spacing w:after="0" w:line="57"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 higher effective tax rate in the current period compared to the prior period. Our effective tax rate differs from the statutory tax rate primarily due to the impacts of the dividends received deduction, tax credits and current period non-recurring items. We believe the effective tax rate for the Corporate &amp; Other segment is not generally meaningful, neither on a standalone basis nor for comparison to prior periods, since taxes for the Corporate &amp; Other segment are derived from the difference between the overall consolidated effective tax rate and total taxes for the other operating segments.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Annuity Guaranteed Benefits and Shield Annuity Liabilities for the Three Months and Six Months Ended June 30, 2025 and 2024</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overall impact on income (loss) available to shareholders before provision for income tax from the performance of annuity guaranteed benefits and Shield Annuity liabilities, which includes (i) changes in the fair value of liabilities and related reinsurance, (ii) fees net of claims and (iii) the mark-to-market of hedges,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160" w:type="dxa"/>
            <w:vAlign w:val="bottom"/>
            <w:gridSpan w:val="4"/>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60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60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gridSpan w:val="3"/>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 mark-to-market</w:t>
            </w:r>
          </w:p>
        </w:tc>
        <w:tc>
          <w:tcPr>
            <w:tcW w:w="76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Annuity guaranteed benefit rider fees, net of claims</w:t>
            </w:r>
          </w:p>
        </w:tc>
        <w:tc>
          <w:tcPr>
            <w:tcW w:w="760" w:type="dxa"/>
            <w:vAlign w:val="bottom"/>
          </w:tcPr>
          <w:p>
            <w:pPr>
              <w:spacing w:after="0"/>
              <w:rPr>
                <w:sz w:val="18"/>
                <w:szCs w:val="18"/>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Ceded reinsurance</w:t>
            </w:r>
          </w:p>
        </w:tc>
        <w:tc>
          <w:tcPr>
            <w:tcW w:w="7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404"/>
        </w:trPr>
        <w:tc>
          <w:tcPr>
            <w:tcW w:w="6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changes attributable to annuity guaranteed benefits</w:t>
            </w:r>
          </w:p>
        </w:tc>
        <w:tc>
          <w:tcPr>
            <w:tcW w:w="760" w:type="dxa"/>
            <w:vAlign w:val="bottom"/>
          </w:tcPr>
          <w:p>
            <w:pPr>
              <w:spacing w:after="0"/>
              <w:rPr>
                <w:sz w:val="24"/>
                <w:szCs w:val="24"/>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r>
      <w:tr>
        <w:trPr>
          <w:trHeight w:val="215"/>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annuity hedges</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1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Shield embedded derivatives</w:t>
            </w: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(2,103)</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(2,514)</w:t>
            </w:r>
          </w:p>
        </w:tc>
      </w:tr>
      <w:tr>
        <w:trPr>
          <w:trHeight w:val="232"/>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Annuity guaranteed benefits and Shield Annuity liabilities performance was favorable for the three months ended June 30, 2025, primarily driven by:</w:t>
      </w:r>
    </w:p>
    <w:p>
      <w:pPr>
        <w:spacing w:after="0" w:line="123" w:lineRule="exact"/>
        <w:rPr>
          <w:sz w:val="20"/>
          <w:szCs w:val="20"/>
          <w:color w:val="auto"/>
        </w:rPr>
      </w:pPr>
    </w:p>
    <w:p>
      <w:pPr>
        <w:ind w:left="800" w:hanging="317"/>
        <w:spacing w:after="0"/>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decreases in annuity guaranteed benefits liabilities due to increasing equity markets and interest rates;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hedges due to increasing equity markets, partially offset by increasing long-term interest rates;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Annuity guaranteed benefits and Shield Annuity liabilities performance was unfavorable for the three months ended June 30, 2024, primarily driven by:</w:t>
      </w:r>
    </w:p>
    <w:p>
      <w:pPr>
        <w:spacing w:after="0" w:line="123" w:lineRule="exact"/>
        <w:rPr>
          <w:sz w:val="20"/>
          <w:szCs w:val="20"/>
          <w:color w:val="auto"/>
        </w:rPr>
      </w:pPr>
    </w:p>
    <w:p>
      <w:pPr>
        <w:ind w:left="800" w:hanging="317"/>
        <w:spacing w:after="0"/>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decreases in annuity guaranteed benefits liabilities due to increasing interest rates;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hedges due to increasing equity markets, partially offset by increasing long-term interest rates;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Annuity guaranteed benefits and Shield Annuity liabilities performance was unfavorable for the six months ended June 30, 2025, primarily driven by:</w:t>
      </w:r>
    </w:p>
    <w:p>
      <w:pPr>
        <w:spacing w:after="0" w:line="123" w:lineRule="exact"/>
        <w:rPr>
          <w:sz w:val="20"/>
          <w:szCs w:val="20"/>
          <w:color w:val="auto"/>
        </w:rPr>
      </w:pPr>
    </w:p>
    <w:p>
      <w:pPr>
        <w:ind w:left="800" w:hanging="317"/>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decreases in annuity guaranteed benefits liabilities due to increasing equity markets, partially offset by decreasing interest rates;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hedges due to decreasing long-term interest rates and increasing equity markets;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Annuity guaranteed benefits and Shield Annuity liabilities performance was unfavorable for the six months ended June 30, 2024, primarily driven by:</w:t>
      </w:r>
    </w:p>
    <w:p>
      <w:pPr>
        <w:spacing w:after="0" w:line="123" w:lineRule="exact"/>
        <w:rPr>
          <w:sz w:val="20"/>
          <w:szCs w:val="20"/>
          <w:color w:val="auto"/>
        </w:rPr>
      </w:pPr>
    </w:p>
    <w:p>
      <w:pPr>
        <w:ind w:left="800" w:hanging="317"/>
        <w:spacing w:after="0"/>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decreases in annuity guaranteed benefits liabilities due to increasing interest rates and equity markets;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hedges due to increasing equity markets, partially offset by increasing long-term interest rates; 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0" w:hanging="317"/>
        <w:spacing w:after="0"/>
        <w:tabs>
          <w:tab w:leader="none" w:pos="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 Management Strategy</w:t>
      </w:r>
    </w:p>
    <w:p>
      <w:pPr>
        <w:spacing w:after="0" w:line="11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manage the risks related to our investment portfolio through asset-type allocation as well as industry and issuer diversification. We also use risk limits to promote diversification by asset sector, avoid concentrations in any single issuer and limit overall aggregate credit and equity risk exposure. We manage real estate risk through geographic, property type and product type diversification and asset allocation. Interest rate risk is managed as part of our Asset Liability Management (“ALM”) strategies. We also utilize product design to manage interest rate risk (e.g., market value adjustment features and surrender charges). These ALM strategies include maintaining an investment portfolio that targets a weighted average duration that reflects the duration of our estimated liability cash flow profile. For certain of our liability portfolios, it is not possible to invest assets for the full liability duration, thereby creating some asset/liability mismatch. We also use certain derivatives in the management of credit, interest rate, equity market and foreign currency exchange rate risks.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Environment</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capital markets and the economy, generally. As a U.S. insurance company, we are affected by the monetary policy of the Federal Reserve in the U.S. In 2024, the Federal Reserve decreased the target range for the federal funds rate three times — from between 5.25% and 5.50% to between 4.25% and 4.50%.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 See “— Industry Trends and Uncertainties — Financial and Economic Environment.”</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rate increases have contributed to the net unrealized loss position in our investment portfolio. As a result of increases in interest rates, the unrealized losses on our fixed maturity securities exceeded the unrealized gains as of June 30, 2025.</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Selected Sector Investments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Market volatility has affected the performance of various asset classes.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“Risk Factors — Risks Related to Our Investment Portfolio — Ongoing military actions, the continued threat of terrorism, climate change as well as other catastrophic events may adversely affect the value of our investment portfolio and the level of claim losses we incur” included in our 2024 Annual Report.</w:t>
      </w:r>
    </w:p>
    <w:p>
      <w:pPr>
        <w:spacing w:after="0" w:line="79"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There has been a continued market focus on commercial real estate, including office properties, as a result of hybrid work arrangements and the resulting impact on the demand for office space.</w:t>
      </w:r>
    </w:p>
    <w:p>
      <w:pPr>
        <w:spacing w:after="0" w:line="57"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We have direct commercial real estate exposure through mortgage loans and certain structured securities, which include residential mortgage-backed securities (“RMBS”), commercial mortgage-backed securities (“CMBS”) and asset-backed securities (“ABS”) (collectively, “Structured Securities”). In addition, we have direct and indirect exposure through certain financial industry corporate fixed maturity securities. See “— Investments — Mortgage Loans” and Note 7 of the Notes to the Interim Condensed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60"/>
        <w:spacing w:after="0" w:line="274" w:lineRule="auto"/>
        <w:rPr>
          <w:sz w:val="20"/>
          <w:szCs w:val="20"/>
          <w:color w:val="auto"/>
        </w:rPr>
      </w:pPr>
      <w:r>
        <w:rPr>
          <w:rFonts w:ascii="Times New Roman" w:cs="Times New Roman" w:eastAsia="Times New Roman" w:hAnsi="Times New Roman"/>
          <w:sz w:val="18"/>
          <w:szCs w:val="18"/>
          <w:color w:val="auto"/>
        </w:rPr>
        <w:t>security type, risk profile and ratings profile as well as “— Investments — Fixed Maturity Securities Available-For-Sale — U.S. and Foreign Corporate Fixed Maturity Securities” for our exposure to the finance industry.</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Portfolio Results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statements of operations. This summary yield table presentation is consistent with how we measure our investment performance for management purposes, and we believe it enhances understanding of our investment portfolio results.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6"/>
        </w:trPr>
        <w:tc>
          <w:tcPr>
            <w:tcW w:w="3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center"/>
              <w:ind w:left="40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
        </w:trPr>
        <w:tc>
          <w:tcPr>
            <w:tcW w:w="3200" w:type="dxa"/>
            <w:vAlign w:val="bottom"/>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6"/>
        </w:trPr>
        <w:tc>
          <w:tcPr>
            <w:tcW w:w="3200" w:type="dxa"/>
            <w:vAlign w:val="bottom"/>
          </w:tcPr>
          <w:p>
            <w:pPr>
              <w:spacing w:after="0"/>
              <w:rPr>
                <w:sz w:val="16"/>
                <w:szCs w:val="16"/>
                <w:color w:val="auto"/>
              </w:rPr>
            </w:pPr>
          </w:p>
        </w:tc>
        <w:tc>
          <w:tcPr>
            <w:tcW w:w="120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r>
      <w:tr>
        <w:trPr>
          <w:trHeight w:val="192"/>
        </w:trPr>
        <w:tc>
          <w:tcPr>
            <w:tcW w:w="3200" w:type="dxa"/>
            <w:vAlign w:val="bottom"/>
          </w:tcPr>
          <w:p>
            <w:pPr>
              <w:spacing w:after="0"/>
              <w:rPr>
                <w:sz w:val="16"/>
                <w:szCs w:val="16"/>
                <w:color w:val="auto"/>
              </w:rPr>
            </w:pPr>
          </w:p>
        </w:tc>
        <w:tc>
          <w:tcPr>
            <w:tcW w:w="10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2"/>
        </w:trPr>
        <w:tc>
          <w:tcPr>
            <w:tcW w:w="3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 (1)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r>
      <w:tr>
        <w:trPr>
          <w:trHeight w:val="21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fees and expenses (2)</w:t>
            </w:r>
          </w:p>
        </w:tc>
        <w:tc>
          <w:tcPr>
            <w:tcW w:w="9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2"/>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investment income (3)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4.31 %</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jc w:val="both"/>
        <w:ind w:left="320" w:hanging="314"/>
        <w:spacing w:after="0" w:line="255" w:lineRule="auto"/>
        <w:tabs>
          <w:tab w:leader="none" w:pos="3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yields are calculated as investment income as a percentage of average quarterly asset carrying values. Investment income excludes recognized gains and losses and reflects the adjustments discussed in table 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74" w:lineRule="exact"/>
        <w:rPr>
          <w:rFonts w:ascii="Times New Roman" w:cs="Times New Roman" w:eastAsia="Times New Roman" w:hAnsi="Times New Roman"/>
          <w:sz w:val="18"/>
          <w:szCs w:val="18"/>
          <w:color w:val="auto"/>
        </w:rPr>
      </w:pPr>
    </w:p>
    <w:p>
      <w:pPr>
        <w:jc w:val="both"/>
        <w:ind w:left="320" w:hanging="314"/>
        <w:spacing w:after="0" w:line="304" w:lineRule="auto"/>
        <w:tabs>
          <w:tab w:leader="none" w:pos="31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presented in the yield table varies from the most directly comparable GAAP measure due to certain reclassifications, as presented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98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72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1,285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1,307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r>
      <w:tr>
        <w:trPr>
          <w:trHeight w:val="42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Investment hedge adjustments</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42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investment income — in the above yield table</w:t>
            </w:r>
          </w:p>
        </w:tc>
        <w:tc>
          <w:tcPr>
            <w:tcW w:w="72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1,292</w:t>
            </w:r>
          </w:p>
        </w:tc>
        <w:tc>
          <w:tcPr>
            <w:tcW w:w="1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1,316</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2,583</w:t>
            </w:r>
          </w:p>
        </w:tc>
      </w:tr>
      <w:tr>
        <w:trPr>
          <w:trHeight w:val="20"/>
        </w:trPr>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See “— Results of Operations — Consolidated Results for the Three Months and Six Months Ended June 30, 2025 and 2024” for an analysis of the period-over-period changes in net investment income.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Fixed maturity securities held by type (public or private)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3"/>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5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4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6"/>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59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gridSpan w:val="5"/>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Publicly-traded</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66,653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66,402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82.9 %</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Privately-placed</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14,182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13,653</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32"/>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80,835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80,055</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Percentage of cash and invested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64.0 %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65.4 %</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See Note 9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3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Notes 1 and 7 of the Notes to the Interim Condensed Consolidated Financial Statements for further information about fixed maturity securities by sector, contractual maturities, continuous gross unrealized losses and the allowance for credit losses.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Credit Quality — Ratings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Investments — Fixed Maturity Securities Available-For-Sale — Fixed Maturity Securities Credit Quality — Ratings” included in our 2024 Annual Report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methodologies adopted by the NAIC for certain Structured Securities.</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NAIC</w:t>
            </w: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NRSRO Rating</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Allowance for</w:t>
            </w:r>
          </w:p>
        </w:tc>
        <w:tc>
          <w:tcPr>
            <w:tcW w:w="10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3"/>
              </w:rPr>
              <w:t>Unrealized</w:t>
            </w: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Estimated Fair</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tcPr>
          <w:p>
            <w:pPr>
              <w:spacing w:after="0"/>
              <w:rPr>
                <w:sz w:val="24"/>
                <w:szCs w:val="24"/>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4"/>
              </w:rPr>
              <w:t>Allowance for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Unrealized</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Estimated Fair</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Designation</w:t>
            </w:r>
          </w:p>
        </w:tc>
        <w:tc>
          <w:tcPr>
            <w:tcW w:w="1280" w:type="dxa"/>
            <w:vAlign w:val="bottom"/>
            <w:gridSpan w:val="2"/>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Credit Losses</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Gain (Loss)</w:t>
            </w:r>
          </w:p>
        </w:tc>
        <w:tc>
          <w:tcPr>
            <w:tcW w:w="180" w:type="dxa"/>
            <w:vAlign w:val="bottom"/>
          </w:tcPr>
          <w:p>
            <w:pPr>
              <w:spacing w:after="0"/>
              <w:rPr>
                <w:sz w:val="13"/>
                <w:szCs w:val="13"/>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87"/>
              </w:rPr>
              <w:t>Value</w:t>
            </w: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3"/>
              </w:rPr>
              <w:t>Credit Losses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Gain (Loss)</w:t>
            </w:r>
          </w:p>
        </w:tc>
        <w:tc>
          <w:tcPr>
            <w:tcW w:w="16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6"/>
          </w:tcPr>
          <w:p>
            <w:pPr>
              <w:ind w:left="40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Aaa/Aa/A</w:t>
            </w: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53,196</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51,976</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64.9 %</w:t>
            </w:r>
          </w:p>
        </w:tc>
        <w:tc>
          <w:tcPr>
            <w:tcW w:w="0" w:type="dxa"/>
            <w:vAlign w:val="bottom"/>
          </w:tcPr>
          <w:p>
            <w:pPr>
              <w:spacing w:after="0"/>
              <w:rPr>
                <w:sz w:val="1"/>
                <w:szCs w:val="1"/>
                <w:color w:val="auto"/>
              </w:rPr>
            </w:pPr>
          </w:p>
        </w:tc>
      </w:tr>
      <w:tr>
        <w:trPr>
          <w:trHeight w:val="166"/>
        </w:trPr>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Baa</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25,339</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25,806</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Subtotal investment grade</w:t>
            </w:r>
          </w:p>
        </w:tc>
        <w:tc>
          <w:tcPr>
            <w:tcW w:w="2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84,302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78,535</w:t>
            </w:r>
          </w:p>
        </w:tc>
        <w:tc>
          <w:tcPr>
            <w:tcW w:w="1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85,107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(7,320)</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77,782</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66"/>
        </w:trPr>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1,843</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1,787</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Caa and lower</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 or near default</w:t>
            </w:r>
          </w:p>
        </w:tc>
        <w:tc>
          <w:tcPr>
            <w:tcW w:w="2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2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1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2"/>
                <w:szCs w:val="12"/>
                <w:color w:val="auto"/>
              </w:rPr>
              <w:t>Subtotal below investment grade</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2,300</w:t>
            </w:r>
          </w:p>
        </w:tc>
        <w:tc>
          <w:tcPr>
            <w:tcW w:w="1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2,496</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2,273</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fixed maturity securities</w:t>
            </w: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86,762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80,835</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87,603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80,055</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0" w:type="dxa"/>
            <w:vAlign w:val="bottom"/>
            <w:gridSpan w:val="1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Fixed Maturity Securities — by Sector &amp; Credit Quality Rating</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85"/>
              </w:rPr>
              <w:t>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85"/>
              </w:rPr>
              <w:t>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85"/>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Caa and</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or Near</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26"/>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40" w:type="dxa"/>
            <w:vAlign w:val="bottom"/>
          </w:tcPr>
          <w:p>
            <w:pPr>
              <w:spacing w:after="0"/>
              <w:rPr>
                <w:sz w:val="2"/>
                <w:szCs w:val="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Aaa/Aa/A</w:t>
            </w:r>
          </w:p>
        </w:tc>
        <w:tc>
          <w:tcPr>
            <w:tcW w:w="240" w:type="dxa"/>
            <w:vAlign w:val="bottom"/>
          </w:tcPr>
          <w:p>
            <w:pPr>
              <w:spacing w:after="0"/>
              <w:rPr>
                <w:sz w:val="2"/>
                <w:szCs w:val="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Baa</w:t>
            </w:r>
          </w:p>
        </w:tc>
        <w:tc>
          <w:tcPr>
            <w:tcW w:w="260" w:type="dxa"/>
            <w:vAlign w:val="bottom"/>
          </w:tcPr>
          <w:p>
            <w:pPr>
              <w:spacing w:after="0"/>
              <w:rPr>
                <w:sz w:val="2"/>
                <w:szCs w:val="2"/>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Ba</w:t>
            </w:r>
          </w:p>
        </w:tc>
        <w:tc>
          <w:tcPr>
            <w:tcW w:w="120" w:type="dxa"/>
            <w:vAlign w:val="bottom"/>
          </w:tcPr>
          <w:p>
            <w:pPr>
              <w:spacing w:after="0"/>
              <w:rPr>
                <w:sz w:val="2"/>
                <w:szCs w:val="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2"/>
                <w:szCs w:val="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Lower</w:t>
            </w: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7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18,047</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37,573</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11,769</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7,835</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0" w:type="dxa"/>
            <w:vAlign w:val="bottom"/>
          </w:tcPr>
          <w:p>
            <w:pPr>
              <w:spacing w:after="0"/>
              <w:rPr>
                <w:sz w:val="1"/>
                <w:szCs w:val="1"/>
                <w:color w:val="auto"/>
              </w:rPr>
            </w:pPr>
          </w:p>
        </w:tc>
      </w:tr>
      <w:tr>
        <w:trPr>
          <w:trHeight w:val="207"/>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53,196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25,339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80,835</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7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37,123</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11,830</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7,287</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0" w:type="dxa"/>
            <w:vAlign w:val="bottom"/>
          </w:tcPr>
          <w:p>
            <w:pPr>
              <w:spacing w:after="0"/>
              <w:rPr>
                <w:sz w:val="1"/>
                <w:szCs w:val="1"/>
                <w:color w:val="auto"/>
              </w:rPr>
            </w:pPr>
          </w:p>
        </w:tc>
      </w:tr>
      <w:tr>
        <w:trPr>
          <w:trHeight w:val="207"/>
        </w:trPr>
        <w:tc>
          <w:tcPr>
            <w:tcW w:w="3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51,976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25,806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80,055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and Foreign Corporate Fixed Maturity Securities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maintain a diversified portfolio of corporate fixed maturity securities across industries and issuers. Our portfolio does not have any exposure to any single issuer in excess of 1% of total investments and the top ten holdings in aggregate comprise 1% total investments at both June 30, 2025 and December 31, 2024. Our U.S. and foreign corporate fixed maturity securities holdings by industry were as follows at: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6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4"/>
        </w:trPr>
        <w:tc>
          <w:tcPr>
            <w:tcW w:w="6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3"/>
          </w:tcPr>
          <w:p>
            <w:pPr>
              <w:ind w:left="100"/>
              <w:spacing w:after="0" w:line="15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92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3"/>
                <w:szCs w:val="13"/>
                <w:color w:val="auto"/>
              </w:rPr>
            </w:pPr>
          </w:p>
        </w:tc>
        <w:tc>
          <w:tcPr>
            <w:tcW w:w="1060" w:type="dxa"/>
            <w:vAlign w:val="bottom"/>
            <w:gridSpan w:val="2"/>
          </w:tcPr>
          <w:p>
            <w:pPr>
              <w:ind w:left="100"/>
              <w:spacing w:after="0" w:line="15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60" w:type="dxa"/>
            <w:vAlign w:val="bottom"/>
          </w:tcPr>
          <w:p>
            <w:pPr>
              <w:jc w:val="right"/>
              <w:ind w:right="403"/>
              <w:spacing w:after="0" w:line="154"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51"/>
        </w:trPr>
        <w:tc>
          <w:tcPr>
            <w:tcW w:w="61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5"/>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86"/>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60" w:type="dxa"/>
            <w:vAlign w:val="bottom"/>
          </w:tcPr>
          <w:p>
            <w:pPr>
              <w:spacing w:after="0"/>
              <w:rPr>
                <w:sz w:val="16"/>
                <w:szCs w:val="16"/>
                <w:color w:val="auto"/>
              </w:rPr>
            </w:pPr>
          </w:p>
        </w:tc>
      </w:tr>
      <w:tr>
        <w:trPr>
          <w:trHeight w:val="21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15,448</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31.6 %</w:t>
            </w: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13,279</w:t>
            </w:r>
          </w:p>
        </w:tc>
        <w:tc>
          <w:tcPr>
            <w:tcW w:w="80" w:type="dxa"/>
            <w:vAlign w:val="bottom"/>
          </w:tcPr>
          <w:p>
            <w:pPr>
              <w:spacing w:after="0"/>
              <w:rPr>
                <w:sz w:val="18"/>
                <w:szCs w:val="18"/>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27.1</w:t>
            </w:r>
          </w:p>
        </w:tc>
      </w:tr>
      <w:tr>
        <w:trPr>
          <w:trHeight w:val="21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11,155</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22.8</w:t>
            </w: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6,405</w:t>
            </w:r>
          </w:p>
        </w:tc>
        <w:tc>
          <w:tcPr>
            <w:tcW w:w="80" w:type="dxa"/>
            <w:vAlign w:val="bottom"/>
          </w:tcPr>
          <w:p>
            <w:pPr>
              <w:spacing w:after="0"/>
              <w:rPr>
                <w:sz w:val="18"/>
                <w:szCs w:val="18"/>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13.1</w:t>
            </w: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2,666</w:t>
            </w:r>
          </w:p>
        </w:tc>
        <w:tc>
          <w:tcPr>
            <w:tcW w:w="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5.4</w:t>
            </w:r>
          </w:p>
        </w:tc>
      </w:tr>
      <w:tr>
        <w:trPr>
          <w:trHeight w:val="380"/>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49,342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48,953</w:t>
            </w:r>
          </w:p>
        </w:tc>
        <w:tc>
          <w:tcPr>
            <w:tcW w:w="8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Structured Securities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We held $20.4 billion and $20.0 billion of Structured Securities, at estimated fair value, at June 30, 2025 and December 31, 2024, respectively, as presented in the RMBS, CMBS and ABS sections below.</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RMBS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RMBS holdings are diversified by security type, risk profile and ratings profile, which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60" w:type="dxa"/>
            <w:vAlign w:val="bottom"/>
          </w:tcPr>
          <w:p>
            <w:pPr>
              <w:spacing w:after="0"/>
              <w:rPr>
                <w:sz w:val="16"/>
                <w:szCs w:val="16"/>
                <w:color w:val="auto"/>
              </w:rPr>
            </w:pPr>
          </w:p>
        </w:tc>
      </w:tr>
      <w:tr>
        <w:trPr>
          <w:trHeight w:val="24"/>
        </w:trPr>
        <w:tc>
          <w:tcPr>
            <w:tcW w:w="3900" w:type="dxa"/>
            <w:vAlign w:val="bottom"/>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7"/>
        </w:trPr>
        <w:tc>
          <w:tcPr>
            <w:tcW w:w="390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4"/>
                <w:szCs w:val="14"/>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Net Unrealized</w:t>
            </w:r>
          </w:p>
        </w:tc>
      </w:tr>
      <w:tr>
        <w:trPr>
          <w:trHeight w:val="186"/>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38"/>
        </w:trPr>
        <w:tc>
          <w:tcPr>
            <w:tcW w:w="3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5"/>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type: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Pass-through securities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07"/>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RMBS</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7,835</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7,287</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9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Risk profile:</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Agency</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Alt-A</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Sub-prime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RMBS</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7,835</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7,287</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9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Ratings profile:</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Rated Aaa</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Designated NAIC 1</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3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CMBS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CMBS holdings are diversified by vintage year, which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5"/>
          </w:tcPr>
          <w:p>
            <w:pPr>
              <w:ind w:left="1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60" w:type="dxa"/>
            <w:vAlign w:val="bottom"/>
          </w:tcPr>
          <w:p>
            <w:pPr>
              <w:spacing w:after="0"/>
              <w:rPr>
                <w:sz w:val="16"/>
                <w:szCs w:val="16"/>
                <w:color w:val="auto"/>
              </w:rPr>
            </w:pPr>
          </w:p>
        </w:tc>
        <w:tc>
          <w:tcPr>
            <w:tcW w:w="3300" w:type="dxa"/>
            <w:vAlign w:val="bottom"/>
            <w:gridSpan w:val="4"/>
          </w:tcPr>
          <w:p>
            <w:pPr>
              <w:jc w:val="right"/>
              <w:ind w:right="118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6"/>
        </w:trPr>
        <w:tc>
          <w:tcPr>
            <w:tcW w:w="38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2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192"/>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2005 - 2011</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2012</w:t>
            </w:r>
          </w:p>
        </w:tc>
        <w:tc>
          <w:tcPr>
            <w:tcW w:w="2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w:t>
            </w: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1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1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6,356</w:t>
            </w: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 of CMBS rated Aaa using rating agency ratings was $4.2 billion, or 66.2% of total CMBS, and designated NAIC 1 was $6.0 billion, or 94.0% of total CMBS, at June 30, 2025. The estimated fair value of CMBS rated Aaa using rating agency ratings was $4.3 billion, or 67.7% of total CMBS, and designated NAIC 1 was $6.0 billion, or 94.2% of total CMBS, at December 31, 2024.</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ABS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ABS holdings are diversified by both collateral type and issuer. Our ABS holdings by collateral type and ratings profile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35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4"/>
        </w:trPr>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320" w:type="dxa"/>
            <w:vAlign w:val="bottom"/>
            <w:gridSpan w:val="2"/>
          </w:tcPr>
          <w:p>
            <w:pPr>
              <w:ind w:left="460"/>
              <w:spacing w:after="0" w:line="154"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3"/>
                <w:szCs w:val="13"/>
                <w:color w:val="auto"/>
              </w:rPr>
            </w:pPr>
          </w:p>
        </w:tc>
        <w:tc>
          <w:tcPr>
            <w:tcW w:w="124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340" w:type="dxa"/>
            <w:vAlign w:val="bottom"/>
            <w:gridSpan w:val="2"/>
          </w:tcPr>
          <w:p>
            <w:pPr>
              <w:ind w:left="460"/>
              <w:spacing w:after="0" w:line="154"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3"/>
                <w:szCs w:val="13"/>
                <w:color w:val="auto"/>
              </w:rPr>
            </w:pPr>
          </w:p>
        </w:tc>
        <w:tc>
          <w:tcPr>
            <w:tcW w:w="1160" w:type="dxa"/>
            <w:vAlign w:val="bottom"/>
          </w:tcPr>
          <w:p>
            <w:pPr>
              <w:jc w:val="right"/>
              <w:ind w:right="122"/>
              <w:spacing w:after="0" w:line="154" w:lineRule="exact"/>
              <w:rPr>
                <w:sz w:val="20"/>
                <w:szCs w:val="20"/>
                <w:color w:val="auto"/>
              </w:rPr>
            </w:pPr>
            <w:r>
              <w:rPr>
                <w:rFonts w:ascii="Times New Roman" w:cs="Times New Roman" w:eastAsia="Times New Roman" w:hAnsi="Times New Roman"/>
                <w:sz w:val="14"/>
                <w:szCs w:val="14"/>
                <w:b w:val="1"/>
                <w:bCs w:val="1"/>
                <w:color w:val="auto"/>
              </w:rPr>
              <w:t>Net Unrealized</w:t>
            </w:r>
          </w:p>
        </w:tc>
      </w:tr>
      <w:tr>
        <w:trPr>
          <w:trHeight w:val="186"/>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51"/>
        </w:trPr>
        <w:tc>
          <w:tcPr>
            <w:tcW w:w="35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gridSpan w:val="5"/>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6"/>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 type:</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obligations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Automobile loans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Student loans</w:t>
            </w:r>
          </w:p>
        </w:tc>
        <w:tc>
          <w:tcPr>
            <w:tcW w:w="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 loans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loans</w:t>
            </w:r>
          </w:p>
        </w:tc>
        <w:tc>
          <w:tcPr>
            <w:tcW w:w="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loans</w:t>
            </w: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7"/>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6,186</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5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Ratings profile:</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Rated Aaa</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3,874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Designated NAIC 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5,795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Fixed Maturity Securities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7 of the Notes to the Interim Condensed Consolidated Financial Statements for information about the evaluation of fixed maturity securities for an allowance for credit losses or write-offs due to uncollectibility.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8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See “— Liquidity and Capital Resources — The Company — Primary Uses of Liquidity and Capital — Securities Lending” and Note 7 of the Notes to the Interim Condensed Consolidated Financial Statements for information regarding our securities lending program.</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mortgage loans are principally collateralized by commercial, agricultural and residential properties. Information regarding mortgage loans by portfolio segment is summarized as follows at: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2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7"/>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Amortized</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of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Amortized</w:t>
            </w:r>
          </w:p>
        </w:tc>
      </w:tr>
      <w:tr>
        <w:trPr>
          <w:trHeight w:val="186"/>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2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Cost</w:t>
            </w:r>
          </w:p>
        </w:tc>
      </w:tr>
      <w:tr>
        <w:trPr>
          <w:trHeight w:val="38"/>
        </w:trPr>
        <w:tc>
          <w:tcPr>
            <w:tcW w:w="23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4"/>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8"/>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10"/>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120" w:type="dxa"/>
            <w:vAlign w:val="bottom"/>
          </w:tcPr>
          <w:p>
            <w:pPr>
              <w:spacing w:after="0"/>
              <w:rPr>
                <w:sz w:val="18"/>
                <w:szCs w:val="18"/>
                <w:color w:val="auto"/>
              </w:rPr>
            </w:pPr>
          </w:p>
        </w:tc>
        <w:tc>
          <w:tcPr>
            <w:tcW w:w="106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00" w:type="dxa"/>
            <w:vAlign w:val="bottom"/>
          </w:tcPr>
          <w:p>
            <w:pPr>
              <w:spacing w:after="0"/>
              <w:rPr>
                <w:sz w:val="18"/>
                <w:szCs w:val="18"/>
                <w:color w:val="auto"/>
              </w:rPr>
            </w:pP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2"/>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7"/>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23,202</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23,464</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mortgage loan portfolio is diversified by both geographic region and property type to reduce the risk of concentration. The percentage of our commercial and agricultural mortgage loan portfolios collateralized by properties located in the U.S. was 98% at both June 30, 2025 and December 31, 2024. The remainder was collateralized by properties located outside of the U.S. At June 30, 2025, the carrying value as a percentage of total commercial and agricultural mortgage loans for the top three states in the U.S. was 17% for California, 11% for Texas and 8% for New York. Additionally, we manage risk when originating commercial and agricultural mortgage loans by generally lending up to 75% of the estimated fair value of the underlying real estate collateral.</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residential mortgage loan portfolio is managed in a similar manner to reduce risk of concentration. All residential mortgage loans were collateralized by properties located in the U.S. at both June 30, 2025 and December 31, 2024. At June 30, 2025, the carrying value as a percentage of total residential mortgage loans for the top three states in the U.S. was 37% for California, 10% for Florida and 6% for New York.</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Commercial Mortgage Loans by Geographic Region and Property Type</w:t>
      </w:r>
      <w:r>
        <w:rPr>
          <w:rFonts w:ascii="Times New Roman" w:cs="Times New Roman" w:eastAsia="Times New Roman" w:hAnsi="Times New Roman"/>
          <w:sz w:val="18"/>
          <w:szCs w:val="18"/>
          <w:color w:val="auto"/>
        </w:rPr>
        <w:t>. Commercial mortgage loans are the largest component of the mortgage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asset class. The diversification across geographic regions and property types of commercial mortgage loans was as follows at: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230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0"/>
        </w:trPr>
        <w:tc>
          <w:tcPr>
            <w:tcW w:w="6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Pr>
          <w:p>
            <w:pPr>
              <w:spacing w:after="0"/>
              <w:rPr>
                <w:sz w:val="24"/>
                <w:szCs w:val="24"/>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4"/>
                <w:szCs w:val="24"/>
                <w:color w:val="auto"/>
              </w:rPr>
            </w:pPr>
          </w:p>
        </w:tc>
        <w:tc>
          <w:tcPr>
            <w:tcW w:w="12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Geographic region: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Atlantic</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Pacific</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Atlantic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 South Central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Mountain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42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North Central</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422"/>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England</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42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South Central</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422"/>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West North Central</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42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422"/>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Multi-region and Other</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3"/>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2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Carrying value, net of allowance for credit losses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12,770</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13,224</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Property type: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Apartment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Hotel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5"/>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12,916</w:t>
            </w:r>
          </w:p>
        </w:tc>
        <w:tc>
          <w:tcPr>
            <w:tcW w:w="1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Carrying value, net of allowance for credit losses</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Mortgage Loan Credit Quality — Monitoring Process. </w:t>
      </w:r>
      <w:r>
        <w:rPr>
          <w:rFonts w:ascii="Times New Roman" w:cs="Times New Roman" w:eastAsia="Times New Roman" w:hAnsi="Times New Roman"/>
          <w:sz w:val="18"/>
          <w:szCs w:val="18"/>
          <w:color w:val="auto"/>
        </w:rPr>
        <w:t>Our mortgage loan investments are monitored on an ongoing basis, including a review of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current, past due, restructured and under foreclosure. Quarterly, we conduct a formal review of the portfolio with our investment managers. See Note 7 of the Notes to the Interim Condensed Consolidated Financial Statements for information on mortgage loans by credit quality indicator, past due status, nonaccrual status and modified mortgage loans.</w:t>
      </w:r>
    </w:p>
    <w:p>
      <w:pPr>
        <w:spacing w:after="0" w:line="7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7 of the Notes to the Interim Condensed Consolidated Financial Statements for information on our evaluation of residential mortgage loans and related measurement of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68% and 69% at June 30, 2025 and December 31, 2024, respectively, and our average debt-service coverage ratio was 2.2x and 2.3x at June 30, 2025 and December 31, 2024, respectively.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46% and 48% at June 30, 2025 and December 31, 2024, respectively. The values utilized in calculating the agricultural mortgage loan loan-to-value ratio are developed in connection with the ongoing review of the agricultural loan portfolio and are routinely updated.</w:t>
      </w:r>
    </w:p>
    <w:p>
      <w:pPr>
        <w:spacing w:after="0" w:line="6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Mortgage Loan Allowance for Credit Losses</w:t>
      </w:r>
      <w:r>
        <w:rPr>
          <w:rFonts w:ascii="Times New Roman" w:cs="Times New Roman" w:eastAsia="Times New Roman" w:hAnsi="Times New Roman"/>
          <w:sz w:val="18"/>
          <w:szCs w:val="18"/>
          <w:color w:val="auto"/>
        </w:rPr>
        <w:t>. See Note 7 of the Notes to the Interim Condensed Consolidated Financial Statements for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the allowance for credit losses is established and monitored, as well as activity in and balances of the allowance for credit losses for the six months ended June 30, 2025 and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Partnerships and Limited Liability Companies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our limited partnerships and LLCs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limited partnerships</w:t>
            </w:r>
          </w:p>
        </w:tc>
        <w:tc>
          <w:tcPr>
            <w:tcW w:w="1240" w:type="dxa"/>
            <w:vAlign w:val="bottom"/>
            <w:shd w:val="clear" w:color="auto" w:fill="CCEEFF"/>
          </w:tcPr>
          <w:p>
            <w:pPr>
              <w:jc w:val="right"/>
              <w:ind w:right="10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4,127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r>
      <w:tr>
        <w:trPr>
          <w:trHeight w:val="21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Real estate limited partnerships and LLCs (1)</w:t>
            </w:r>
          </w:p>
        </w:tc>
        <w:tc>
          <w:tcPr>
            <w:tcW w:w="1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32"/>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auto"/>
            </w:tcBorders>
            <w:shd w:val="clear" w:color="auto" w:fill="CCEEFF"/>
          </w:tcPr>
          <w:p>
            <w:pPr>
              <w:jc w:val="right"/>
              <w:ind w:right="10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4,798</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of real estate limited partnerships and LLCs was $746 million and $836 million at June 30, 2025 and December 31, 2024, respectively.</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 of our other invested assets by type was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6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1"/>
        </w:trPr>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99"/>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60" w:type="dxa"/>
            <w:vAlign w:val="bottom"/>
          </w:tcPr>
          <w:p>
            <w:pPr>
              <w:spacing w:after="0"/>
              <w:rPr>
                <w:sz w:val="16"/>
                <w:szCs w:val="16"/>
                <w:color w:val="auto"/>
              </w:rPr>
            </w:pPr>
          </w:p>
        </w:tc>
      </w:tr>
      <w:tr>
        <w:trPr>
          <w:trHeight w:val="4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Freestanding derivatives with positive estimated fair values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87.4 %</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78.8 %</w:t>
            </w:r>
          </w:p>
        </w:tc>
      </w:tr>
      <w:tr>
        <w:trPr>
          <w:trHeight w:val="21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14.7</w:t>
            </w:r>
          </w:p>
        </w:tc>
      </w:tr>
      <w:tr>
        <w:trPr>
          <w:trHeight w:val="21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 stock</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w:t>
            </w:r>
          </w:p>
        </w:tc>
      </w:tr>
      <w:tr>
        <w:trPr>
          <w:trHeight w:val="421"/>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Leveraged leases, net of non-recourse debt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4"/>
                <w:szCs w:val="24"/>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r>
      <w:tr>
        <w:trPr>
          <w:trHeight w:val="42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 and renewable energy partnerships</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0.9</w:t>
            </w:r>
          </w:p>
        </w:tc>
      </w:tr>
      <w:tr>
        <w:trPr>
          <w:trHeight w:val="21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0.3</w:t>
            </w:r>
          </w:p>
        </w:tc>
      </w:tr>
      <w:tr>
        <w:trPr>
          <w:trHeight w:val="232"/>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Risks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exposed to various risks relating to our ongoing business operations, including interest rate, foreign currency exchange rate, credit and equity market risks. We use a variety of strategies to manage these risks, including the use of derivatives. See Note 8 of the Notes to the Interim Condensed Consolidated Financial Statements for:</w:t>
      </w:r>
    </w:p>
    <w:p>
      <w:pPr>
        <w:spacing w:after="0" w:line="72" w:lineRule="exact"/>
        <w:rPr>
          <w:sz w:val="20"/>
          <w:szCs w:val="20"/>
          <w:color w:val="auto"/>
        </w:rPr>
      </w:pPr>
    </w:p>
    <w:p>
      <w:pPr>
        <w:ind w:left="640" w:hanging="316"/>
        <w:spacing w:after="0" w:line="274" w:lineRule="auto"/>
        <w:tabs>
          <w:tab w:leader="none" w:pos="6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gross notional amount, estimated fair value, and primary underlying risk exposure of our derivatives by type of hedge designation, excluding embedded derivatives held at June 30, 2025 and December 31, 2024;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derivatives in cash flow, fair value, or non-qualifying hedge relationships on the statements of operations for the six months ended June 30, 2025 and 2024.</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Risk Management Strategies” included in our 2024 Annual Report for more information about our hedging strategies. In addition, see “Management’s Discussion and Analysis of Financial Condition and Results of Operations — Results of Operations — Annual Actuarial Review”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9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Derivatives categorized as Level 3 at June 30, 2025 include: credit default swaps priced using unobservable credit spreads, or that are priced through independent broker quotations; and foreign currency swaps with certain unobservable inputs.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See Note 8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policy is not to offset the fair value amounts recognized for derivatives executed with the same counterparty under the same master netting agreement. This policy applies to the recognition of derivatives on the balance sheet and does not affect our legal right of offset.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Derivatives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notional amount and estimated fair value of credit default swaps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80" w:type="dxa"/>
            <w:vAlign w:val="bottom"/>
          </w:tcPr>
          <w:p>
            <w:pPr>
              <w:spacing w:after="0"/>
              <w:rPr>
                <w:sz w:val="16"/>
                <w:szCs w:val="16"/>
                <w:color w:val="auto"/>
              </w:rPr>
            </w:pPr>
          </w:p>
        </w:tc>
        <w:tc>
          <w:tcPr>
            <w:tcW w:w="2540" w:type="dxa"/>
            <w:vAlign w:val="bottom"/>
            <w:gridSpan w:val="3"/>
          </w:tcPr>
          <w:p>
            <w:pPr>
              <w:jc w:val="right"/>
              <w:ind w:right="96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47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80"/>
        </w:trPr>
        <w:tc>
          <w:tcPr>
            <w:tcW w:w="4700" w:type="dxa"/>
            <w:vAlign w:val="bottom"/>
          </w:tcPr>
          <w:p>
            <w:pPr>
              <w:spacing w:after="0"/>
              <w:rPr>
                <w:sz w:val="24"/>
                <w:szCs w:val="24"/>
                <w:color w:val="auto"/>
              </w:rPr>
            </w:pPr>
          </w:p>
        </w:tc>
        <w:tc>
          <w:tcPr>
            <w:tcW w:w="160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Gross Notional Amount</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58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Gross Notional Amount</w:t>
            </w:r>
          </w:p>
        </w:tc>
        <w:tc>
          <w:tcPr>
            <w:tcW w:w="200" w:type="dxa"/>
            <w:vAlign w:val="bottom"/>
          </w:tcPr>
          <w:p>
            <w:pPr>
              <w:spacing w:after="0"/>
              <w:rPr>
                <w:sz w:val="24"/>
                <w:szCs w:val="24"/>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r>
      <w:tr>
        <w:trPr>
          <w:trHeight w:val="24"/>
        </w:trPr>
        <w:tc>
          <w:tcPr>
            <w:tcW w:w="47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6"/>
        </w:trPr>
        <w:tc>
          <w:tcPr>
            <w:tcW w:w="4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3"/>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Written</w:t>
            </w:r>
          </w:p>
        </w:tc>
        <w:tc>
          <w:tcPr>
            <w:tcW w:w="620" w:type="dxa"/>
            <w:vAlign w:val="bottom"/>
            <w:shd w:val="clear" w:color="auto" w:fill="CCEEFF"/>
          </w:tcPr>
          <w:p>
            <w:pPr>
              <w:jc w:val="right"/>
              <w:ind w:right="445"/>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1,230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780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bl>
    <w:p>
      <w:pPr>
        <w:spacing w:after="0" w:line="23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9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Summary of Critical Accounting Estimates — Derivatives” included in our 2024 Annual Report for additional information on the estimates and assumptions that affect embedded derivatives.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Policyholder Liabilities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“Management’s Discussion and Analysis of Financial Condition and Results of Operations — Summary of Critical Accounting Estimates” and “Management’s Discussion and Analysis of Financial Condition and Results of Operations — Policyholder Liabilities” included in our 2024 Annual Report for more details on policyholder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Policy Benefits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establish liabilities for future amounts payable under insurance policies. See Note 3 of the Notes to the Interim Condensed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Policyholder account balance liabilities are established for products with an explicit account value and generally equal to the balance accrued to the contract holder, which includes accrued interest credited, but excludes the impact of any applicable charge that may be incurred upon surrender. See Note 3 of the Notes to the Interim Condensed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Benefits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issue certain variable annuity products with guaranteed minimum benefits (“GMxB”) that provide the policyholder a minimum return based on their initial deposit (i.e., the Benefit Base) less withdrawals. In some cases, the Benefit Base may be increased by additional deposits, bonus amounts, accruals or optional market value step-ups. Variable annuity guaranteed benefits are classified as MRBs and measured at fair value. Certain index-linked annuity products may also have GMxBs classified as MRBs. See Note 4 of the Notes to the Interim Condensed Consolidated Financial Statements and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60" w:firstLine="318"/>
        <w:spacing w:after="0" w:line="368" w:lineRule="auto"/>
        <w:rPr>
          <w:sz w:val="20"/>
          <w:szCs w:val="20"/>
          <w:color w:val="auto"/>
        </w:rPr>
      </w:pPr>
      <w:r>
        <w:rPr>
          <w:rFonts w:ascii="Times New Roman" w:cs="Times New Roman" w:eastAsia="Times New Roman" w:hAnsi="Times New Roman"/>
          <w:sz w:val="18"/>
          <w:szCs w:val="18"/>
          <w:color w:val="auto"/>
        </w:rPr>
        <w:t xml:space="preserve">Select information that management considers relevant to understanding our variable annuity risk management strategy has been included below. </w:t>
      </w:r>
      <w:r>
        <w:rPr>
          <w:rFonts w:ascii="Times New Roman" w:cs="Times New Roman" w:eastAsia="Times New Roman" w:hAnsi="Times New Roman"/>
          <w:sz w:val="18"/>
          <w:szCs w:val="18"/>
          <w:b w:val="1"/>
          <w:bCs w:val="1"/>
          <w:i w:val="1"/>
          <w:iCs w:val="1"/>
          <w:color w:val="auto"/>
        </w:rPr>
        <w:t>Net Amount at Risk</w:t>
      </w:r>
    </w:p>
    <w:p>
      <w:pPr>
        <w:spacing w:after="0" w:line="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net amount at risk (“NAR”) for the guaranteed minimum income benefits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NAR for the guaranteed minimum withdrawal benefits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NAR for the guaranteed minimum accumulation benefits (“GMAB”) is the amount of guaranteed benefits in excess of the account values (if any) as of the balance sheet date and assumes utilization of benefits by all contract holders as of the balance sheet. The NAR for the GMAB is not available until the GMAB maturity date.</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NAR for the guaranteed minimum death benefits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variable annuity account value and NAR by type of GMxB were as follows at:</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80" w:type="dxa"/>
            <w:vAlign w:val="bottom"/>
          </w:tcPr>
          <w:p>
            <w:pPr>
              <w:spacing w:after="0"/>
              <w:rPr>
                <w:sz w:val="11"/>
                <w:szCs w:val="11"/>
                <w:color w:val="auto"/>
              </w:rPr>
            </w:pPr>
          </w:p>
        </w:tc>
        <w:tc>
          <w:tcPr>
            <w:tcW w:w="78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Death</w:t>
            </w:r>
          </w:p>
        </w:tc>
        <w:tc>
          <w:tcPr>
            <w:tcW w:w="180" w:type="dxa"/>
            <w:vAlign w:val="bottom"/>
          </w:tcPr>
          <w:p>
            <w:pPr>
              <w:spacing w:after="0"/>
              <w:rPr>
                <w:sz w:val="11"/>
                <w:szCs w:val="11"/>
                <w:color w:val="auto"/>
              </w:rPr>
            </w:pPr>
          </w:p>
        </w:tc>
        <w:tc>
          <w:tcPr>
            <w:tcW w:w="700" w:type="dxa"/>
            <w:vAlign w:val="bottom"/>
          </w:tcPr>
          <w:p>
            <w:pPr>
              <w:jc w:val="center"/>
              <w:ind w:right="102"/>
              <w:spacing w:after="0" w:line="128" w:lineRule="exact"/>
              <w:rPr>
                <w:sz w:val="20"/>
                <w:szCs w:val="20"/>
                <w:color w:val="auto"/>
              </w:rPr>
            </w:pPr>
            <w:r>
              <w:rPr>
                <w:rFonts w:ascii="Times New Roman" w:cs="Times New Roman" w:eastAsia="Times New Roman" w:hAnsi="Times New Roman"/>
                <w:sz w:val="14"/>
                <w:szCs w:val="14"/>
                <w:b w:val="1"/>
                <w:bCs w:val="1"/>
                <w:color w:val="auto"/>
              </w:rPr>
              <w:t>Living</w:t>
            </w:r>
          </w:p>
        </w:tc>
        <w:tc>
          <w:tcPr>
            <w:tcW w:w="1640" w:type="dxa"/>
            <w:vAlign w:val="bottom"/>
            <w:gridSpan w:val="3"/>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 of Account Value</w:t>
            </w: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Death Benefit</w:t>
            </w:r>
          </w:p>
        </w:tc>
        <w:tc>
          <w:tcPr>
            <w:tcW w:w="180" w:type="dxa"/>
            <w:vAlign w:val="bottom"/>
          </w:tcPr>
          <w:p>
            <w:pPr>
              <w:spacing w:after="0"/>
              <w:rPr>
                <w:sz w:val="11"/>
                <w:szCs w:val="11"/>
                <w:color w:val="auto"/>
              </w:rPr>
            </w:pPr>
          </w:p>
        </w:tc>
        <w:tc>
          <w:tcPr>
            <w:tcW w:w="700" w:type="dxa"/>
            <w:vAlign w:val="bottom"/>
          </w:tcPr>
          <w:p>
            <w:pPr>
              <w:jc w:val="center"/>
              <w:ind w:right="102"/>
              <w:spacing w:after="0" w:line="128" w:lineRule="exact"/>
              <w:rPr>
                <w:sz w:val="20"/>
                <w:szCs w:val="20"/>
                <w:color w:val="auto"/>
              </w:rPr>
            </w:pPr>
            <w:r>
              <w:rPr>
                <w:rFonts w:ascii="Times New Roman" w:cs="Times New Roman" w:eastAsia="Times New Roman" w:hAnsi="Times New Roman"/>
                <w:sz w:val="14"/>
                <w:szCs w:val="14"/>
                <w:b w:val="1"/>
                <w:bCs w:val="1"/>
                <w:color w:val="auto"/>
              </w:rPr>
              <w:t>Living</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 Account Value</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8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Benefit NAR</w:t>
            </w:r>
          </w:p>
        </w:tc>
        <w:tc>
          <w:tcPr>
            <w:tcW w:w="164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Benefit NAR</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640" w:type="dxa"/>
            <w:vAlign w:val="bottom"/>
            <w:tcBorders>
              <w:bottom w:val="single" w:sz="8" w:color="auto"/>
            </w:tcBorders>
            <w:gridSpan w:val="3"/>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In-the-Money (2)</w:t>
            </w: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NAR (1)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3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In-the-Money (2)</w:t>
            </w: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6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3,644</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28.7 %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4,085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GMIB Max with EDB (3)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857</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875</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 Max without EDB (3)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197</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276</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GMAB</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GMDB only (other than EDB) (3)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3"/>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EDB only (3)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3"/>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5"/>
        </w:trPr>
        <w:tc>
          <w:tcPr>
            <w:tcW w:w="274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80,407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4,934</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80,984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5,484</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8" w:lineRule="exact"/>
        <w:rPr>
          <w:sz w:val="20"/>
          <w:szCs w:val="20"/>
          <w:color w:val="auto"/>
        </w:rPr>
      </w:pPr>
    </w:p>
    <w:p>
      <w:pPr>
        <w:ind w:left="320" w:hanging="314"/>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Benefit NAR” and “Living Benefit NAR” are not additive at the contract level.</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In-the-money is defined as any contract with a living benefit NAR in excess of zero.</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Death Benefit (“EDB”).</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Under GAAP, variable annuity guarantees are classified as MRBs, measured at estimated fair value, and are reported in market risk benefit assets and liabilities on the consolidated balance sheets, with changes reported in change in market risk benefits on the consolidated statements of operations, except for changes related to nonperformance risk, which are reported in other comprehensive income on the consolidated statements of comprehensive income (loss). Additionally, the index protection and accumulation features of Shield Annuities are accounted for as embedded derivatives, measured at estimated fair value, and are reported in policyholder account balances on the consolidated balance sheets, with changes reported in net derivative gains (losses) on the consolidated statements of operations. The Shield embedded derivative liabilities were valued at $10.5 billion at June 30, 2025.</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variable annuity MRBs by type of GMxB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6"/>
                <w:szCs w:val="16"/>
                <w:color w:val="auto"/>
              </w:rPr>
            </w:pP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1240" w:type="dxa"/>
            <w:vAlign w:val="bottom"/>
            <w:shd w:val="clear" w:color="auto" w:fill="CCEEFF"/>
          </w:tcPr>
          <w:p>
            <w:pPr>
              <w:jc w:val="right"/>
              <w:ind w:right="10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7,282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7,560</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1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GMDB</w:t>
            </w:r>
          </w:p>
        </w:tc>
        <w:tc>
          <w:tcPr>
            <w:tcW w:w="1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207"/>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auto"/>
            </w:tcBorders>
          </w:tcPr>
          <w:p>
            <w:pPr>
              <w:jc w:val="right"/>
              <w:ind w:right="10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8,029</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8,307</w:t>
            </w:r>
          </w:p>
        </w:tc>
      </w:tr>
      <w:tr>
        <w:trPr>
          <w:trHeight w:val="20"/>
        </w:trPr>
        <w:tc>
          <w:tcPr>
            <w:tcW w:w="7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estimated fair value of these guarantees can change significantly due to changes in interest rates, equity indices, market volatility and variations in actuarial assumptions, including policyholder behavior, mortality and risk margins related to non-capital markets inputs, as well as changes in nonperformance risk. See “Risk Factors — Risks Related to Our Business — Differences between actual experience and actuarial assumptions may adversely affect our financial results, capitalization and financial condition” and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2024 Annual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 Financial and Economic Environment,” as well as “Risk Factors — Economic Environment and Capital Markets-Related Risks” and “Risk Factors — Risks Related to Our Investment Portfolio” included in our 2024 Annual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Management</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Based upon our capitalization, expectations regarding maintaining our business mix, ratings and funding sources available to us, we believe we have sufficient liquidity to meet business requirements in current market conditions and certain stress scenarios. BHF’s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maintain a substantial short-term liquidity position, which was $4.6 billion and $5.2 billion at June 30, 2025 and December 31, 2024,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 integral part of our liquidity management includes managing our level of liquid assets, which was $48.9 billion and $48.1 billion at June 30, 2025 and December 31, 2024,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w:t>
      </w:r>
    </w:p>
    <w:p>
      <w:pPr>
        <w:spacing w:after="0" w:line="115" w:lineRule="exact"/>
        <w:rPr>
          <w:sz w:val="20"/>
          <w:szCs w:val="20"/>
          <w:color w:val="auto"/>
        </w:rPr>
      </w:pPr>
    </w:p>
    <w:p>
      <w:pPr>
        <w:jc w:val="both"/>
        <w:ind w:left="160" w:firstLine="318"/>
        <w:spacing w:after="0" w:line="248" w:lineRule="auto"/>
        <w:rPr>
          <w:sz w:val="20"/>
          <w:szCs w:val="20"/>
          <w:color w:val="auto"/>
        </w:rPr>
      </w:pPr>
      <w:r>
        <w:rPr>
          <w:rFonts w:ascii="Times New Roman" w:cs="Times New Roman" w:eastAsia="Times New Roman" w:hAnsi="Times New Roman"/>
          <w:sz w:val="18"/>
          <w:szCs w:val="18"/>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reflects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8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 in our 2024 Annual Report.</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manage our capital position to maintain our financial strength and credit ratings. Our capital position is supported by our ability to generate cash flows within our insurance subsidiaries, our ability to effectively manage the risks of our businesses and our expected ability to borrow funds and raise additional capital to meet operating and growth needs under a variety of market and economic conditions.</w:t>
      </w:r>
    </w:p>
    <w:p>
      <w:pPr>
        <w:spacing w:after="0" w:line="72"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We monitor our debt-to-capital ratio using an average of our key leverage ratios as calculated by A.M. Best, Fitch, Moody’s and S&amp;P, and we aim to maintain a ratio commensurate with our financial strength and credit ratings. As such, we may opportunistically look to pursue additional financing over time, which may include borrowings under credit facilities, the issuance of debt, equity or hybrid securities, the incurrence of term loans, or the refinancing or extinguishment of existing indebtedness. There can be no assurance that we will be able to complete any such financing transactions on terms and conditions favorable to us or at all.</w:t>
      </w:r>
    </w:p>
    <w:p>
      <w:pPr>
        <w:spacing w:after="0" w:line="79"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In support of our target combined risk-based capital (“RBC”) ratio of 400% to 450% in normal market conditions, we expect to continue to maintain a capital and risk management strategy that targets total assets supporting our variable annuity and Shield Annuity contracts at or above the average of the worst two percent of a set of capital markets scenarios over the life of the contracts level in normal market conditions. With our risk management focus on the core drivers of our combined RBC ratio, we believe we can better manage our RBC in stressed market scenarios.</w:t>
      </w:r>
    </w:p>
    <w:p>
      <w:pPr>
        <w:spacing w:after="0" w:line="74"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In November 2023, we authorized a $750 million share repurchase program under which repurchases may be made through open market purchases, including pursuant to Rule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79"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We currently have no plans to declare and pay dividends on our common stock. Any future declaration and payment of dividends or other distributions or returns of capital will be at the discretion of BHF’s Board of Directors and will depend on and be subject to our financial condition, results of operations, cash needs, regulatory and other constraints, capital requirements (including capital requirements of our insurance subsidiaries), contractual restrictions and any other factors that BHF’s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Rating Agencies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Rating agencies may continue to review and adjust our ratings. For example, in July 2025, S&amp;P revised the long-term issuer credit ratings for BHF and Brighthouse Holdings, LLC (“BH Holdings”) to BBB from BBB+. In addition, S&amp;P revised the financial strength ratings for certain of its subsidiaries to A from A+, among other revisions. See “Risk Factors — Risks Related to Our Business — A downgrade or a potential downgrade in our financial strength or credit ratings could result in a loss of business and materially adversely affect our financial condition and results of operations” included in our 2024 Annual Report for a description of the potential impact of a ratings downgrade.</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Sources and Uses of Liquidity and Capital</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primary sources and uses of liquidity and capital were as follows at:</w:t>
      </w:r>
    </w:p>
    <w:p>
      <w:pPr>
        <w:spacing w:after="0" w:line="264"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5"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6"/>
                <w:szCs w:val="16"/>
                <w:color w:val="auto"/>
              </w:rPr>
            </w:pPr>
          </w:p>
        </w:tc>
      </w:tr>
      <w:tr>
        <w:trPr>
          <w:trHeight w:val="2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Sources:</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 net</w:t>
            </w: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 net</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2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policyholder account balances, net</w:t>
            </w:r>
          </w:p>
        </w:tc>
        <w:tc>
          <w:tcPr>
            <w:tcW w:w="106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w:t>
            </w:r>
          </w:p>
        </w:tc>
      </w:tr>
      <w:tr>
        <w:trPr>
          <w:trHeight w:val="42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payables for collateral under securities loaned and other transactions, net</w:t>
            </w:r>
          </w:p>
        </w:tc>
        <w:tc>
          <w:tcPr>
            <w:tcW w:w="10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03"/>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sources</w:t>
            </w:r>
          </w:p>
        </w:tc>
        <w:tc>
          <w:tcPr>
            <w:tcW w:w="10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2,859</w:t>
            </w:r>
          </w:p>
        </w:tc>
      </w:tr>
      <w:tr>
        <w:trPr>
          <w:trHeight w:val="19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Uses:</w:t>
            </w:r>
          </w:p>
        </w:tc>
        <w:tc>
          <w:tcPr>
            <w:tcW w:w="10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 net</w:t>
            </w:r>
          </w:p>
        </w:tc>
        <w:tc>
          <w:tcPr>
            <w:tcW w:w="10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 net</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w:t>
            </w:r>
          </w:p>
        </w:tc>
      </w:tr>
      <w:tr>
        <w:trPr>
          <w:trHeight w:val="422"/>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policyholder account balances, net</w:t>
            </w:r>
          </w:p>
        </w:tc>
        <w:tc>
          <w:tcPr>
            <w:tcW w:w="1060" w:type="dxa"/>
            <w:vAlign w:val="bottom"/>
          </w:tcPr>
          <w:p>
            <w:pPr>
              <w:spacing w:after="0"/>
              <w:rPr>
                <w:sz w:val="24"/>
                <w:szCs w:val="24"/>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repaid</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22"/>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1060" w:type="dxa"/>
            <w:vAlign w:val="bottom"/>
          </w:tcPr>
          <w:p>
            <w:pPr>
              <w:spacing w:after="0"/>
              <w:rPr>
                <w:sz w:val="24"/>
                <w:szCs w:val="24"/>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acquired in connection with share repurchases</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42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1060" w:type="dxa"/>
            <w:vAlign w:val="bottom"/>
          </w:tcPr>
          <w:p>
            <w:pPr>
              <w:spacing w:after="0"/>
              <w:rPr>
                <w:sz w:val="24"/>
                <w:szCs w:val="24"/>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uses</w:t>
            </w:r>
          </w:p>
        </w:tc>
        <w:tc>
          <w:tcPr>
            <w:tcW w:w="10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w:t>
            </w:r>
          </w:p>
        </w:tc>
      </w:tr>
      <w:tr>
        <w:trPr>
          <w:trHeight w:val="232"/>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Sources of Liquidity and Capital</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Sources</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111" w:lineRule="exact"/>
        <w:rPr>
          <w:sz w:val="20"/>
          <w:szCs w:val="20"/>
          <w:color w:val="auto"/>
        </w:rPr>
      </w:pPr>
    </w:p>
    <w:p>
      <w:pPr>
        <w:jc w:val="both"/>
        <w:ind w:left="480" w:firstLine="318"/>
        <w:spacing w:after="0" w:line="274" w:lineRule="auto"/>
        <w:rPr>
          <w:sz w:val="20"/>
          <w:szCs w:val="20"/>
          <w:color w:val="auto"/>
        </w:rPr>
      </w:pPr>
      <w:r>
        <w:rPr>
          <w:rFonts w:ascii="Times New Roman" w:cs="Times New Roman" w:eastAsia="Times New Roman" w:hAnsi="Times New Roman"/>
          <w:sz w:val="18"/>
          <w:szCs w:val="18"/>
          <w:color w:val="auto"/>
        </w:rPr>
        <w:t>See Note 10 of the Notes to the Interim Condensed Consolidated Financial Statements and Note 12 of the Notes to the Consolidated Financial Statements included in our 2024 Annual Report for information on preferred stock issuances.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Funding Agreements</w:t>
      </w:r>
    </w:p>
    <w:p>
      <w:pPr>
        <w:spacing w:after="0" w:line="111" w:lineRule="exact"/>
        <w:rPr>
          <w:sz w:val="20"/>
          <w:szCs w:val="20"/>
          <w:color w:val="auto"/>
        </w:rPr>
      </w:pPr>
    </w:p>
    <w:p>
      <w:pPr>
        <w:jc w:val="both"/>
        <w:ind w:left="480" w:firstLine="318"/>
        <w:spacing w:after="0" w:line="252" w:lineRule="auto"/>
        <w:rPr>
          <w:sz w:val="20"/>
          <w:szCs w:val="20"/>
          <w:color w:val="auto"/>
        </w:rPr>
      </w:pPr>
      <w:r>
        <w:rPr>
          <w:rFonts w:ascii="Times New Roman" w:cs="Times New Roman" w:eastAsia="Times New Roman" w:hAnsi="Times New Roman"/>
          <w:sz w:val="18"/>
          <w:szCs w:val="18"/>
          <w:color w:val="auto"/>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is reported in the Corporate &amp; Other segment. See Note 3 of the Notes to the Consolidated Financial Statements included in our 2024 Annual Report for additional information on funding agreements.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Repurchase Agreement Program</w:t>
      </w:r>
    </w:p>
    <w:p>
      <w:pPr>
        <w:spacing w:after="0" w:line="113" w:lineRule="exact"/>
        <w:rPr>
          <w:sz w:val="20"/>
          <w:szCs w:val="20"/>
          <w:color w:val="auto"/>
        </w:rPr>
      </w:pPr>
    </w:p>
    <w:p>
      <w:pPr>
        <w:jc w:val="both"/>
        <w:ind w:left="640" w:firstLine="318"/>
        <w:spacing w:after="0" w:line="255" w:lineRule="auto"/>
        <w:rPr>
          <w:sz w:val="20"/>
          <w:szCs w:val="20"/>
          <w:color w:val="auto"/>
        </w:rPr>
      </w:pPr>
      <w:r>
        <w:rPr>
          <w:rFonts w:ascii="Times New Roman" w:cs="Times New Roman" w:eastAsia="Times New Roman" w:hAnsi="Times New Roman"/>
          <w:sz w:val="18"/>
          <w:szCs w:val="18"/>
          <w:color w:val="auto"/>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Commercial Paper Program</w:t>
      </w:r>
    </w:p>
    <w:p>
      <w:pPr>
        <w:spacing w:after="0" w:line="113" w:lineRule="exact"/>
        <w:rPr>
          <w:sz w:val="20"/>
          <w:szCs w:val="20"/>
          <w:color w:val="auto"/>
        </w:rPr>
      </w:pPr>
    </w:p>
    <w:p>
      <w:pPr>
        <w:jc w:val="both"/>
        <w:ind w:left="640" w:firstLine="318"/>
        <w:spacing w:after="0" w:line="255" w:lineRule="auto"/>
        <w:rPr>
          <w:sz w:val="20"/>
          <w:szCs w:val="20"/>
          <w:color w:val="auto"/>
        </w:rPr>
      </w:pPr>
      <w:r>
        <w:rPr>
          <w:rFonts w:ascii="Times New Roman" w:cs="Times New Roman" w:eastAsia="Times New Roman" w:hAnsi="Times New Roman"/>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Notes Program</w:t>
      </w:r>
    </w:p>
    <w:p>
      <w:pPr>
        <w:spacing w:after="0" w:line="113"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Federal Home Loan Bank Funding Agreements</w:t>
      </w:r>
    </w:p>
    <w:p>
      <w:pPr>
        <w:spacing w:after="0" w:line="113" w:lineRule="exact"/>
        <w:rPr>
          <w:sz w:val="20"/>
          <w:szCs w:val="20"/>
          <w:color w:val="auto"/>
        </w:rPr>
      </w:pPr>
    </w:p>
    <w:p>
      <w:pPr>
        <w:jc w:val="both"/>
        <w:ind w:left="640" w:firstLine="318"/>
        <w:spacing w:after="0" w:line="274" w:lineRule="auto"/>
        <w:rPr>
          <w:sz w:val="20"/>
          <w:szCs w:val="20"/>
          <w:color w:val="auto"/>
        </w:rPr>
      </w:pPr>
      <w:r>
        <w:rPr>
          <w:rFonts w:ascii="Times New Roman" w:cs="Times New Roman" w:eastAsia="Times New Roman" w:hAnsi="Times New Roman"/>
          <w:sz w:val="18"/>
          <w:szCs w:val="18"/>
          <w:color w:val="auto"/>
        </w:rPr>
        <w:t>Brighthouse Life Insurance Company is a member of the Federal Home Loan Bank (“FHLB”) of Atlanta, where it maintains a secured funding agreement program, under which funding agreements may be issued.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Farmer Mac Funding Agreements</w:t>
      </w:r>
    </w:p>
    <w:p>
      <w:pPr>
        <w:spacing w:after="0" w:line="113"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spacing w:after="0" w:line="7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Information regarding funding agreements issued for spread lending purposes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20" w:type="dxa"/>
            <w:vAlign w:val="bottom"/>
            <w:gridSpan w:val="5"/>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Aggregate Principal Amount</w:t>
            </w:r>
          </w:p>
        </w:tc>
        <w:tc>
          <w:tcPr>
            <w:tcW w:w="2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gridSpan w:val="5"/>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FABR Program</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FABCP Program</w:t>
            </w:r>
          </w:p>
        </w:tc>
        <w:tc>
          <w:tcPr>
            <w:tcW w:w="26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8,045</w:t>
            </w: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FABN Program</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Funding Agreements</w:t>
            </w:r>
          </w:p>
        </w:tc>
        <w:tc>
          <w:tcPr>
            <w:tcW w:w="26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Farmer Mac Funding Agreements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10,150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4,610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Debt Issuances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Note 11 of the Notes to the Consolidated Financial Statements included in our 2024 Annual Report for information on debt issuances.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Credit and Committed Facilities</w:t>
      </w:r>
    </w:p>
    <w:p>
      <w:pPr>
        <w:spacing w:after="0" w:line="111" w:lineRule="exact"/>
        <w:rPr>
          <w:sz w:val="20"/>
          <w:szCs w:val="20"/>
          <w:color w:val="auto"/>
        </w:rPr>
      </w:pPr>
    </w:p>
    <w:p>
      <w:pPr>
        <w:jc w:val="both"/>
        <w:ind w:left="480" w:firstLine="318"/>
        <w:spacing w:after="0" w:line="274" w:lineRule="auto"/>
        <w:rPr>
          <w:sz w:val="20"/>
          <w:szCs w:val="20"/>
          <w:color w:val="auto"/>
        </w:rPr>
      </w:pPr>
      <w:r>
        <w:rPr>
          <w:rFonts w:ascii="Times New Roman" w:cs="Times New Roman" w:eastAsia="Times New Roman" w:hAnsi="Times New Roman"/>
          <w:sz w:val="18"/>
          <w:szCs w:val="18"/>
          <w:color w:val="auto"/>
        </w:rPr>
        <w:t>See Notes 11 and 12 of the Notes to the Consolidated Financial Statements included in our 2024 Annual Report for information regarding our credit and committed facilities.</w:t>
      </w:r>
    </w:p>
    <w:p>
      <w:pPr>
        <w:spacing w:after="0" w:line="57" w:lineRule="exact"/>
        <w:rPr>
          <w:sz w:val="20"/>
          <w:szCs w:val="20"/>
          <w:color w:val="auto"/>
        </w:rPr>
      </w:pPr>
    </w:p>
    <w:p>
      <w:pPr>
        <w:jc w:val="both"/>
        <w:ind w:left="480" w:firstLine="318"/>
        <w:spacing w:after="0" w:line="259" w:lineRule="auto"/>
        <w:rPr>
          <w:sz w:val="20"/>
          <w:szCs w:val="20"/>
          <w:color w:val="auto"/>
        </w:rPr>
      </w:pPr>
      <w:r>
        <w:rPr>
          <w:rFonts w:ascii="Times New Roman" w:cs="Times New Roman" w:eastAsia="Times New Roman" w:hAnsi="Times New Roman"/>
          <w:sz w:val="18"/>
          <w:szCs w:val="18"/>
          <w:color w:val="auto"/>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spacing w:after="0" w:line="72" w:lineRule="exact"/>
        <w:rPr>
          <w:sz w:val="20"/>
          <w:szCs w:val="20"/>
          <w:color w:val="auto"/>
        </w:rPr>
      </w:pPr>
    </w:p>
    <w:p>
      <w:pPr>
        <w:jc w:val="both"/>
        <w:ind w:left="480" w:firstLine="318"/>
        <w:spacing w:after="0" w:line="255" w:lineRule="auto"/>
        <w:rPr>
          <w:sz w:val="20"/>
          <w:szCs w:val="20"/>
          <w:color w:val="auto"/>
        </w:rPr>
      </w:pPr>
      <w:r>
        <w:rPr>
          <w:rFonts w:ascii="Times New Roman" w:cs="Times New Roman" w:eastAsia="Times New Roman" w:hAnsi="Times New Roman"/>
          <w:sz w:val="18"/>
          <w:szCs w:val="18"/>
          <w:color w:val="auto"/>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June 30, 2025, we were in compliance with these financial covenants.</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Uses of Liquidity and Capital</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Repurchases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See Note 10 of the Notes to the Interim Condensed Consolidated Financial Statements for information relating to authorizations to repurchase BHF common stock, amounts of common stock repurchased pursuant to such authorizations and the amount remaining under such authorizations at June 30, 2025.</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 Dividends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10 of the Notes to the Interim Condensed Consolidated Financial Statements for information relating to dividends declared and paid on our preferred stock.</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“Dividend Stopper” Provisions in BHF’s Preferred Stock and Junior Subordinated Debentures</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if any,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contain restrictions on our ability to repurchase our common stock or pay dividends thereon if we have not fulfilled our dividend obligations under such preferred stock or other preferred securities. In addition, the terms of the agreements governing any preferred stock, debt or other financial instruments that we may issue in the future, may limit or prohibit the payment of dividends on our common stock or preferred stock, or the payment of interest on our junior subordinated debentures.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Debt Repayments, Repurchases, Redemptions and Exchanges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11 of the Notes to the Consolidated Financial Statements included in our 2024 Annual Report for information on debt repayments and repurchases, as well as debt maturities and the terms of our outstanding long-term debt.</w:t>
      </w:r>
    </w:p>
    <w:p>
      <w:pPr>
        <w:spacing w:after="0" w:line="57"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Insurance Liabilities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Liabilities arising from our insurance activities primarily relate to benefit payments under various annuity and life insurance products, as well as payments for policy surrenders, withdrawals and loans. See “— Primary Sources of Liquidity and Capital — Funding Sources — Funding Agreements” for additional information regarding our institutional spread margin business.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Pledged Collateral</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We enter into derivatives to manage various risks relating to our ongoing business operations. We pledge collateral to, and have collateral pledged to us by, counterparties in connection with our derivatives. At June 30, 2025, we pledged less than $1 million of cash collateral to counterparties. At December 31, 2024, we did not pledge any cash collateral to counterparties. At June 30, 2025 and December 31, 2024, we were obligated to return cash collateral pledged to us by counterparties of $907 million and $812 million, respectively. The timing of the return of the derivatives collateral is uncertain. We also pledge collateral from time to time in connection with certain funding agreements.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We receive non-cash collateral from counterparties for derivatives, which can be sold or re-pledged subject to certain constraints, and which is not recorded on our consolidated balance sheets. The amount of this non-cash collateral at estimated fair value was $1.8 billion and $2.3 billion at June 30, 2025 and December 31, 2024, respectively.</w:t>
      </w:r>
    </w:p>
    <w:p>
      <w:pPr>
        <w:spacing w:after="0" w:line="72" w:lineRule="exact"/>
        <w:rPr>
          <w:sz w:val="20"/>
          <w:szCs w:val="20"/>
          <w:color w:val="auto"/>
        </w:rPr>
      </w:pPr>
    </w:p>
    <w:p>
      <w:pPr>
        <w:ind w:left="320" w:right="640" w:firstLine="318"/>
        <w:spacing w:after="0" w:line="368" w:lineRule="auto"/>
        <w:rPr>
          <w:sz w:val="20"/>
          <w:szCs w:val="20"/>
          <w:color w:val="auto"/>
        </w:rPr>
      </w:pPr>
      <w:r>
        <w:rPr>
          <w:rFonts w:ascii="Times New Roman" w:cs="Times New Roman" w:eastAsia="Times New Roman" w:hAnsi="Times New Roman"/>
          <w:sz w:val="18"/>
          <w:szCs w:val="18"/>
          <w:color w:val="auto"/>
        </w:rPr>
        <w:t xml:space="preserve">See Note 8 of the Notes to the Interim Condensed Consolidated Financial Statements for additional information regarding pledged collateral. </w:t>
      </w:r>
      <w:r>
        <w:rPr>
          <w:rFonts w:ascii="Times New Roman" w:cs="Times New Roman" w:eastAsia="Times New Roman" w:hAnsi="Times New Roman"/>
          <w:sz w:val="18"/>
          <w:szCs w:val="18"/>
          <w:i w:val="1"/>
          <w:iCs w:val="1"/>
          <w:u w:val="single" w:color="auto"/>
          <w:color w:val="auto"/>
        </w:rPr>
        <w:t>Securities Lending</w:t>
      </w:r>
    </w:p>
    <w:p>
      <w:pPr>
        <w:spacing w:after="0" w:line="1"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$3.3 billion and $3.2 billion at June 30, 2025 and December 31, 2024, respectively.</w:t>
      </w:r>
    </w:p>
    <w:p>
      <w:pPr>
        <w:spacing w:after="0" w:line="74"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We receive non-cash collateral for securities lending from counterparties, which cannot be sold or re-pledged, and which is not recorded on our consolidated balance sheets. There was no non-cash collateral at both June 30, 2025 and December 31, 2024.</w:t>
      </w:r>
    </w:p>
    <w:p>
      <w:pPr>
        <w:spacing w:after="0" w:line="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 7 of the Notes to the Interim Condensed Consolidated Financial Statements for further discussion of our securities lending program.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Contingencies, Commitments and Guarantees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We establish liabilities for litigation, regulatory and other loss contingencies when it is probable that a loss has been incurred and the amount of the loss can be reasonably estimated. See Note 13 of the Notes to the Interim Condensed Consolidated Financial Statements for additional information regarding contingencies.</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Notes 7 and 13 of the Notes to the Interim Condensed Consolidated Financial Statements for additional information regarding commitments.</w:t>
      </w:r>
    </w:p>
    <w:p>
      <w:pPr>
        <w:spacing w:after="0" w:line="74"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In the normal course of our business, we have provided certain indemnities, guarantees and commitments to third parties such that we may be required to make payments now or in the future. See Note 13 of the Notes to the Interim Condensed Consolidated Financial Statements for additional information regarding guarantees.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Parent Company</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Liquidity and Liquid Assets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At June 30, 2025 and December 31, 2024, BHF and certain of its non-insurance subsidiaries had short-term liquidity of $803 million and $912 million, respectively. Short-term liquidity is comprised of cash and cash equivalents and short-term investments, excluding assets that are pledged or otherwise committed. Assets pledged or otherwise committed include assets held in trust.</w:t>
      </w:r>
    </w:p>
    <w:p>
      <w:pPr>
        <w:spacing w:after="0" w:line="72"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7"/>
          <w:szCs w:val="17"/>
          <w:color w:val="auto"/>
        </w:rPr>
        <w:t>At June 30, 2025 and December 31, 2024, BHF and certain of its non-insurance subsidiaries had liquid assets of $941 million and $1.1 billion, respectively, of which $901 million and $1.1 billion, respectively, was held by BHF. Liquid assets are comprised of cash and cash equivalents, short-term investments and publicly-traded securities, excluding assets that are pledged or otherwise committed. Assets pledged or otherwise committed include assets held in trust. On February 11, 2025, Brighthouse Life Insurance Company received a $100 million capital contribution from BH Holdings.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Statutory Capital and Dividends</w:t>
      </w:r>
    </w:p>
    <w:p>
      <w:pPr>
        <w:spacing w:after="0" w:line="113" w:lineRule="exact"/>
        <w:rPr>
          <w:sz w:val="20"/>
          <w:szCs w:val="20"/>
          <w:color w:val="auto"/>
        </w:rPr>
      </w:pPr>
    </w:p>
    <w:p>
      <w:pPr>
        <w:jc w:val="both"/>
        <w:ind w:left="320" w:firstLine="318"/>
        <w:spacing w:after="0" w:line="266" w:lineRule="auto"/>
        <w:rPr>
          <w:sz w:val="20"/>
          <w:szCs w:val="20"/>
          <w:color w:val="auto"/>
        </w:rPr>
      </w:pPr>
      <w:r>
        <w:rPr>
          <w:rFonts w:ascii="Times New Roman" w:cs="Times New Roman" w:eastAsia="Times New Roman" w:hAnsi="Times New Roman"/>
          <w:sz w:val="17"/>
          <w:szCs w:val="17"/>
          <w:color w:val="auto"/>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the amounts required to attain certain RBC levels. As of the date of the most recent annual statutory financial statements filed with insurance regulators, the TAC of each of our insurance subsidiaries subject to these requirements was in excess of the amounts required to attain each of those RBC levels.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the insurance laws and regulations of the states where they are domiciled. Any payment of dividends by Brighthouse Life Insurance Company in 2025 would be subject to Delaware Department of Insurance approval. See Note 12 of the Notes to the Consolidated Financial Statements included in our 2024 Annual Report for additional information regarding the applicable dividend restrictions and certain of our subsidiaries’ ordinary dividend capacity, as well as the circumstances under which regulatory approval would be required.</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Sources and Uses of Liquidity and Capital</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principal sources of funds available to BHF include distributions from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74"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primary uses of liquidity of BHF include debt-service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addition to the liquidity and capital sources discussed in “— The Company — Primary Sources of Liquidity and Capital” and “— The Company —</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Primary Uses of Liquidity and Capital,” the following additional information is provided regarding BHF’s primary sources and uses of liquidity and capital:</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Distributions from and Capital Contributions to BH Holdings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During both the six months ended June 30, 2025 and 2024, BHF did not receive any cash distributions from BH Holdings and did not make any cash capital contributions to BH Holdings.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Intercompany Loans</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six months ended June 30, 2025 and 2024, BHF borrowed $398 million and $290 million, respectively, from certain of its non-insurance subsidiaries and repaid $386 million and $85 million of such borrowings during the six months ended June 30, 2025 and 2024, respectively. At June 30, 2025 and December 31, 2024, BHF had total obligations outstanding of $594 million and $582 million, respectively, under such agreements.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Intercompany Liquidity Facilities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of up to 364 days, depending on the agreement. During both the six months ended June 30, 2025 and 2024, there were no borrowings or repayments by BHF under these facilities and, at both June 30, 2025 and December 31, 2024, BHF had no obligations outstanding under such facilities.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3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62" w:lineRule="exact"/>
        <w:rPr>
          <w:sz w:val="20"/>
          <w:szCs w:val="20"/>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experience and actuarial assumptions and the effectiveness of our actuarial models;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risk management costs and exposure to increased market risk due to guarantees within certain of our products;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strategy and the impacts of such strategy on volatility in our profitability measures and the negative effects on our statutory capital;</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differences between actual outcomes and the sensitivities calculated under certain scenarios that we may utilize in connection with our risk management strategies;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rates on our future ULSG policyholder obligations and net income volatility;</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adverse effect of changes in accounting standards, practices or policies applicable to us, including changes in the accounting for long-duration contracts;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business and other negative impacts resulting from a downgrade or a potential downgrade in our financial strength or credit ratings;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reinsurance and the ability of the counterparties to our reinsurance or indemnification arrangements to perform their obligations thereunder;</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with respect to service, product features, product mix, scale, price, actual or perceived financial strength, claims-paying ratings, credit ratings, e-business capabilities and name recognition;</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distribute our products through distribution channels and maintain relationships with key distribution partners;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subsidiaries to pay dividends to us, and our ability to pay dividends to our shareholders and repurchase our common stock;</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climate change;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public health crises, extreme mortality events or similar occurrences on our business and the economy in general;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capital and credit market conditions, including with respect to our ability to meet liquidity needs and access capital;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40" w:hanging="316"/>
        <w:spacing w:after="0" w:line="259" w:lineRule="auto"/>
        <w:tabs>
          <w:tab w:leader="none" w:pos="6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 the capital markets and the U.S. and global economy, as well as geopolitical events, tariffs imposed or threatened by the U.S. or foreign governments, military actions or catastrophic events, on our profitability measures as well as our investment portfolio, including on realized and unrealized losses and impairments, net investment spread and net investment income;</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risks that our investment portfolio is subject to, including credit risk, interest rate risk, inflation risk, market valuation risk, liquidity risk, real estate risk, derivatives risk, and other factors outside our control;</w:t>
      </w:r>
    </w:p>
    <w:p>
      <w:pPr>
        <w:spacing w:after="0" w:line="5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regulation and in supervisory and enforcement policies or interpretations thereof on our insurance business or other operations;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negative tax impact of potential future tax legislation that could make some of our products less attractive to consumers or increase our tax liability;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procedures and processes in managing risk;</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any portion of the tax consequences of our separation from MetLife, Inc. (together with its subsidiaries and affiliates, “MetLife”) are not as expected, leading to material additional taxes or material adverse consequences to tax attributes that impact us;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report and from time to time in documents that we file with the SEC.</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2024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routinely use our Investor Relations website to provide presentations, press releases, our insurance subsidiaries’ statutory filings, and other information that may be deemed important or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make filings with the SEC.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exposure to market risk through our insurance operations and general account investment activities. For purposes of this discussion, “market risk” is defined as changes in estimated fair value resulting from changes in interest rates, equity market prices, credit spreads and foreign currency exchange rates. We regularly analyze our market risk exposure. As a result of that analysis, we have determined that the estimated fair values of certain assets and liabilities are significantly exposed to changes in interest rates, and to a lesser extent, to changes in equity market prices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2024 Annual Report.</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material changes to our market risk exposures from the market risk exposures previously disclosed in our 2024 Annual Report.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June 30, 2025.</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than as noted above, there were no changes to the Company’s internal control over financial reporting (as defined in Rules 13a-15(f) and 15d-15(f) under the Exchange Act) that occurred during the quarter ended June 30, 2025 that have materially affected, or are reasonably likely to materially affect, these internal controls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13 of the Notes to the Interim Condensed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discuss in this report, in our 2024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2024 Annual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Purchases of BHF common stock made by or on behalf of BHF or its affiliates during the three months ended June 30, 2025 are set forth below:</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3"/>
                <w:szCs w:val="13"/>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4"/>
        </w:trPr>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65"/>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 that May Yet Be</w:t>
            </w:r>
          </w:p>
        </w:tc>
        <w:tc>
          <w:tcPr>
            <w:tcW w:w="0" w:type="dxa"/>
            <w:vAlign w:val="bottom"/>
          </w:tcPr>
          <w:p>
            <w:pPr>
              <w:spacing w:after="0"/>
              <w:rPr>
                <w:sz w:val="1"/>
                <w:szCs w:val="1"/>
                <w:color w:val="auto"/>
              </w:rPr>
            </w:pPr>
          </w:p>
        </w:tc>
      </w:tr>
      <w:tr>
        <w:trPr>
          <w:trHeight w:val="146"/>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00" w:type="dxa"/>
            <w:vAlign w:val="bottom"/>
          </w:tcPr>
          <w:p>
            <w:pPr>
              <w:spacing w:after="0"/>
              <w:rPr>
                <w:sz w:val="12"/>
                <w:szCs w:val="12"/>
                <w:color w:val="auto"/>
              </w:rPr>
            </w:pPr>
          </w:p>
        </w:tc>
        <w:tc>
          <w:tcPr>
            <w:tcW w:w="18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3"/>
        </w:trPr>
        <w:tc>
          <w:tcPr>
            <w:tcW w:w="3760" w:type="dxa"/>
            <w:vAlign w:val="bottom"/>
            <w:gridSpan w:val="2"/>
            <w:vMerge w:val="continue"/>
          </w:tcPr>
          <w:p>
            <w:pPr>
              <w:spacing w:after="0"/>
              <w:rPr>
                <w:sz w:val="16"/>
                <w:szCs w:val="16"/>
                <w:color w:val="auto"/>
              </w:rPr>
            </w:pPr>
          </w:p>
        </w:tc>
        <w:tc>
          <w:tcPr>
            <w:tcW w:w="178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Programs (1)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or Programs (1)</w:t>
            </w:r>
          </w:p>
        </w:tc>
        <w:tc>
          <w:tcPr>
            <w:tcW w:w="0" w:type="dxa"/>
            <w:vAlign w:val="bottom"/>
          </w:tcPr>
          <w:p>
            <w:pPr>
              <w:spacing w:after="0"/>
              <w:rPr>
                <w:sz w:val="1"/>
                <w:szCs w:val="1"/>
                <w:color w:val="auto"/>
              </w:rPr>
            </w:pPr>
          </w:p>
        </w:tc>
      </w:tr>
      <w:tr>
        <w:trPr>
          <w:trHeight w:val="191"/>
        </w:trPr>
        <w:tc>
          <w:tcPr>
            <w:tcW w:w="3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8"/>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 April 30, 2025</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410,200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1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1 — May 31, 2025</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59.14</w:t>
            </w:r>
          </w:p>
        </w:tc>
        <w:tc>
          <w:tcPr>
            <w:tcW w:w="120" w:type="dxa"/>
            <w:vAlign w:val="bottom"/>
          </w:tcPr>
          <w:p>
            <w:pPr>
              <w:spacing w:after="0"/>
              <w:rPr>
                <w:sz w:val="18"/>
                <w:szCs w:val="18"/>
                <w:color w:val="auto"/>
              </w:rPr>
            </w:pPr>
          </w:p>
        </w:tc>
        <w:tc>
          <w:tcPr>
            <w:tcW w:w="18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356,400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 June 30,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12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15,200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207"/>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781,800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781,800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8" w:lineRule="exact"/>
        <w:rPr>
          <w:sz w:val="20"/>
          <w:szCs w:val="20"/>
          <w:color w:val="auto"/>
        </w:rPr>
      </w:pPr>
    </w:p>
    <w:p>
      <w:pPr>
        <w:jc w:val="both"/>
        <w:ind w:left="320" w:hanging="314"/>
        <w:spacing w:after="0" w:line="255" w:lineRule="auto"/>
        <w:tabs>
          <w:tab w:leader="none" w:pos="31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16, 2023, we authorized the repurchase of up to $750 million of our common stock, which does not have an expiration date. See “Management’s Discussion and Analysis of Financial Condition and Results of Operations — Liquidity and Capital Resources — The Company — Primary Uses of Liquidity and Capital — Common Stock Repurchases” and Note 10 of the Notes to the Interim Condensed Consolidated Financial Statements for more information on common stock repurchases.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Rule 10b5-1 Plans</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June 30, 2025,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6" w:lineRule="exact"/>
        <w:rPr>
          <w:sz w:val="20"/>
          <w:szCs w:val="20"/>
          <w:color w:val="auto"/>
        </w:rPr>
      </w:pPr>
    </w:p>
    <w:p>
      <w:pPr>
        <w:jc w:val="both"/>
        <w:ind w:firstLine="159"/>
        <w:spacing w:after="0" w:line="24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Note Regarding Reliance on Statements in Our Contracts:</w:t>
      </w:r>
      <w:r>
        <w:rPr>
          <w:rFonts w:ascii="Times New Roman" w:cs="Times New Roman" w:eastAsia="Times New Roman" w:hAnsi="Times New Roman"/>
          <w:sz w:val="18"/>
          <w:szCs w:val="18"/>
          <w:i w:val="1"/>
          <w:iCs w:val="1"/>
          <w:color w:val="auto"/>
        </w:rPr>
        <w:t xml:space="preserve"> 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in Brighthouse Financial, Inc.’s other public filings, which are available without charge through the U.S. Securities and Exchange Commission website at www.sec.gov.)</w:t>
      </w:r>
    </w:p>
    <w:p>
      <w:pPr>
        <w:spacing w:after="0" w:line="200" w:lineRule="exact"/>
        <w:rPr>
          <w:sz w:val="20"/>
          <w:szCs w:val="20"/>
          <w:color w:val="auto"/>
        </w:rPr>
      </w:pP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108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0060" w:type="dxa"/>
            <w:vAlign w:val="bottom"/>
            <w:gridSpan w:val="5"/>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6"/>
        </w:trPr>
        <w:tc>
          <w:tcPr>
            <w:tcW w:w="1080" w:type="dxa"/>
            <w:vAlign w:val="bottom"/>
            <w:vMerge w:val="restart"/>
          </w:tcPr>
          <w:p>
            <w:pPr>
              <w:jc w:val="center"/>
              <w:ind w:right="112"/>
              <w:spacing w:after="0"/>
              <w:rPr>
                <w:sz w:val="20"/>
                <w:szCs w:val="20"/>
                <w:color w:val="auto"/>
              </w:rPr>
            </w:pPr>
            <w:r>
              <w:rPr>
                <w:rFonts w:ascii="Times New Roman" w:cs="Times New Roman" w:eastAsia="Times New Roman" w:hAnsi="Times New Roman"/>
                <w:sz w:val="18"/>
                <w:szCs w:val="18"/>
                <w:color w:val="auto"/>
              </w:rPr>
              <w:t>10.1</w:t>
            </w:r>
          </w:p>
        </w:tc>
        <w:tc>
          <w:tcPr>
            <w:tcW w:w="6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080" w:type="dxa"/>
            <w:vAlign w:val="bottom"/>
            <w:vMerge w:val="continue"/>
          </w:tcPr>
          <w:p>
            <w:pPr>
              <w:spacing w:after="0"/>
              <w:rPr>
                <w:sz w:val="15"/>
                <w:szCs w:val="15"/>
                <w:color w:val="auto"/>
              </w:rPr>
            </w:pPr>
          </w:p>
        </w:tc>
        <w:tc>
          <w:tcPr>
            <w:tcW w:w="10060" w:type="dxa"/>
            <w:vAlign w:val="bottom"/>
            <w:gridSpan w:val="5"/>
          </w:tcPr>
          <w:p>
            <w:pPr>
              <w:spacing w:after="0" w:line="179" w:lineRule="exact"/>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Amended and Restated Brighthouse Financial, Inc. 2017 Stock and Incentive Compensation Plan (Effective March 27, 2025), is incorporated</w:t>
              </w:r>
            </w:hyperlink>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10000" w:type="dxa"/>
            <w:vAlign w:val="bottom"/>
            <w:tcBorders>
              <w:top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by reference to Exhibit 10.1 to our Current Report on Form 8-K, filed on June 16, 2025.</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31.1*</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5"/>
        </w:trPr>
        <w:tc>
          <w:tcPr>
            <w:tcW w:w="1080" w:type="dxa"/>
            <w:vAlign w:val="bottom"/>
          </w:tcPr>
          <w:p>
            <w:pPr>
              <w:jc w:val="center"/>
              <w:ind w:right="112"/>
              <w:spacing w:after="0" w:line="205" w:lineRule="exact"/>
              <w:rPr>
                <w:sz w:val="20"/>
                <w:szCs w:val="20"/>
                <w:color w:val="auto"/>
              </w:rPr>
            </w:pPr>
            <w:r>
              <w:rPr>
                <w:rFonts w:ascii="Times New Roman" w:cs="Times New Roman" w:eastAsia="Times New Roman" w:hAnsi="Times New Roman"/>
                <w:sz w:val="18"/>
                <w:szCs w:val="18"/>
                <w:color w:val="auto"/>
                <w:w w:val="98"/>
              </w:rPr>
              <w:t>31.2*</w:t>
            </w:r>
          </w:p>
        </w:tc>
        <w:tc>
          <w:tcPr>
            <w:tcW w:w="706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302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80" w:type="dxa"/>
            <w:vAlign w:val="bottom"/>
          </w:tcPr>
          <w:p>
            <w:pPr>
              <w:jc w:val="center"/>
              <w:ind w:right="112"/>
              <w:spacing w:after="0" w:line="205" w:lineRule="exact"/>
              <w:rPr>
                <w:sz w:val="20"/>
                <w:szCs w:val="20"/>
                <w:color w:val="auto"/>
              </w:rPr>
            </w:pPr>
            <w:r>
              <w:rPr>
                <w:rFonts w:ascii="Times New Roman" w:cs="Times New Roman" w:eastAsia="Times New Roman" w:hAnsi="Times New Roman"/>
                <w:sz w:val="18"/>
                <w:szCs w:val="18"/>
                <w:color w:val="auto"/>
                <w:w w:val="96"/>
              </w:rPr>
              <w:t>32.1**</w:t>
            </w:r>
          </w:p>
        </w:tc>
        <w:tc>
          <w:tcPr>
            <w:tcW w:w="1006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5"/>
        </w:trPr>
        <w:tc>
          <w:tcPr>
            <w:tcW w:w="1080" w:type="dxa"/>
            <w:vAlign w:val="bottom"/>
          </w:tcPr>
          <w:p>
            <w:pPr>
              <w:jc w:val="center"/>
              <w:ind w:right="112"/>
              <w:spacing w:after="0" w:line="205" w:lineRule="exact"/>
              <w:rPr>
                <w:sz w:val="20"/>
                <w:szCs w:val="20"/>
                <w:color w:val="auto"/>
              </w:rPr>
            </w:pPr>
            <w:r>
              <w:rPr>
                <w:rFonts w:ascii="Times New Roman" w:cs="Times New Roman" w:eastAsia="Times New Roman" w:hAnsi="Times New Roman"/>
                <w:sz w:val="18"/>
                <w:szCs w:val="18"/>
                <w:color w:val="auto"/>
                <w:w w:val="96"/>
              </w:rPr>
              <w:t>32.2**</w:t>
            </w:r>
          </w:p>
        </w:tc>
        <w:tc>
          <w:tcPr>
            <w:tcW w:w="706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906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080" w:type="dxa"/>
            <w:vAlign w:val="bottom"/>
          </w:tcPr>
          <w:p>
            <w:pPr>
              <w:jc w:val="center"/>
              <w:ind w:right="112"/>
              <w:spacing w:after="0" w:line="192" w:lineRule="exact"/>
              <w:rPr>
                <w:sz w:val="20"/>
                <w:szCs w:val="20"/>
                <w:color w:val="auto"/>
              </w:rPr>
            </w:pPr>
            <w:r>
              <w:rPr>
                <w:rFonts w:ascii="Times New Roman" w:cs="Times New Roman" w:eastAsia="Times New Roman" w:hAnsi="Times New Roman"/>
                <w:sz w:val="18"/>
                <w:szCs w:val="18"/>
                <w:color w:val="auto"/>
                <w:w w:val="97"/>
              </w:rPr>
              <w:t>101.INS*</w:t>
            </w:r>
          </w:p>
        </w:tc>
        <w:tc>
          <w:tcPr>
            <w:tcW w:w="1006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1"/>
        </w:trPr>
        <w:tc>
          <w:tcPr>
            <w:tcW w:w="1080" w:type="dxa"/>
            <w:vAlign w:val="bottom"/>
          </w:tcPr>
          <w:p>
            <w:pPr>
              <w:spacing w:after="0"/>
              <w:rPr>
                <w:sz w:val="20"/>
                <w:szCs w:val="20"/>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27"/>
        </w:trPr>
        <w:tc>
          <w:tcPr>
            <w:tcW w:w="10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101.SCH*</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5"/>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101.CAL*</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5"/>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101.LAB*</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5"/>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101.PRE*</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5"/>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101.DEF*</w:t>
            </w: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77"/>
        </w:trPr>
        <w:tc>
          <w:tcPr>
            <w:tcW w:w="1080" w:type="dxa"/>
            <w:vAlign w:val="bottom"/>
          </w:tcPr>
          <w:p>
            <w:pPr>
              <w:jc w:val="center"/>
              <w:ind w:right="112"/>
              <w:spacing w:after="0" w:line="177" w:lineRule="exact"/>
              <w:rPr>
                <w:sz w:val="20"/>
                <w:szCs w:val="20"/>
                <w:color w:val="auto"/>
              </w:rPr>
            </w:pPr>
            <w:r>
              <w:rPr>
                <w:rFonts w:ascii="Times New Roman" w:cs="Times New Roman" w:eastAsia="Times New Roman" w:hAnsi="Times New Roman"/>
                <w:sz w:val="18"/>
                <w:szCs w:val="18"/>
                <w:color w:val="auto"/>
                <w:w w:val="99"/>
              </w:rPr>
              <w:t>104*</w:t>
            </w:r>
          </w:p>
        </w:tc>
        <w:tc>
          <w:tcPr>
            <w:tcW w:w="10060" w:type="dxa"/>
            <w:vAlign w:val="bottom"/>
            <w:gridSpan w:val="5"/>
          </w:tcPr>
          <w:p>
            <w:pPr>
              <w:spacing w:after="0" w:line="177" w:lineRule="exact"/>
              <w:rPr>
                <w:sz w:val="20"/>
                <w:szCs w:val="20"/>
                <w:color w:val="auto"/>
              </w:rPr>
            </w:pPr>
            <w:r>
              <w:rPr>
                <w:rFonts w:ascii="Times New Roman" w:cs="Times New Roman" w:eastAsia="Times New Roman" w:hAnsi="Times New Roman"/>
                <w:sz w:val="18"/>
                <w:szCs w:val="18"/>
                <w:color w:val="auto"/>
              </w:rPr>
              <w:t>The cover page of Brighthouse Financial, Inc.’s Quarterly Report on Form 10-Q for the quarter ended June 30, 2025, formatted in Inline</w:t>
            </w:r>
          </w:p>
        </w:tc>
        <w:tc>
          <w:tcPr>
            <w:tcW w:w="0" w:type="dxa"/>
            <w:vAlign w:val="bottom"/>
          </w:tcPr>
          <w:p>
            <w:pPr>
              <w:spacing w:after="0"/>
              <w:rPr>
                <w:sz w:val="1"/>
                <w:szCs w:val="1"/>
                <w:color w:val="auto"/>
              </w:rPr>
            </w:pPr>
          </w:p>
        </w:tc>
      </w:tr>
      <w:tr>
        <w:trPr>
          <w:trHeight w:val="231"/>
        </w:trPr>
        <w:tc>
          <w:tcPr>
            <w:tcW w:w="1080" w:type="dxa"/>
            <w:vAlign w:val="bottom"/>
          </w:tcPr>
          <w:p>
            <w:pPr>
              <w:spacing w:after="0"/>
              <w:rPr>
                <w:sz w:val="20"/>
                <w:szCs w:val="20"/>
                <w:color w:val="auto"/>
              </w:rPr>
            </w:pPr>
          </w:p>
        </w:tc>
        <w:tc>
          <w:tcPr>
            <w:tcW w:w="10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(included within the Exhibit 101 attachments).</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BRIGHTHOUSE FINANCIAL, INC.</w:t>
      </w:r>
    </w:p>
    <w:p>
      <w:pPr>
        <w:spacing w:after="0" w:line="111" w:lineRule="exact"/>
        <w:rPr>
          <w:sz w:val="20"/>
          <w:szCs w:val="20"/>
          <w:color w:val="auto"/>
        </w:rPr>
      </w:pPr>
    </w:p>
    <w:p>
      <w:pPr>
        <w:ind w:left="3000"/>
        <w:spacing w:after="0"/>
        <w:tabs>
          <w:tab w:leader="none" w:pos="3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14605</wp:posOffset>
            </wp:positionV>
            <wp:extent cx="31889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5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Edward A. Spehar</w:t>
      </w:r>
    </w:p>
    <w:p>
      <w:pPr>
        <w:spacing w:after="0" w:line="36" w:lineRule="exact"/>
        <w:rPr>
          <w:sz w:val="20"/>
          <w:szCs w:val="20"/>
          <w:color w:val="auto"/>
        </w:rPr>
      </w:pPr>
    </w:p>
    <w:p>
      <w:pPr>
        <w:sectPr>
          <w:pgSz w:w="11900" w:h="16838" w:orient="portrait"/>
          <w:cols w:equalWidth="0" w:num="2">
            <w:col w:w="3880" w:space="360"/>
            <w:col w:w="7000"/>
          </w:cols>
          <w:pgMar w:left="320" w:top="230" w:right="339" w:bottom="1440" w:gutter="0" w:footer="0" w:header="0"/>
          <w:type w:val="continuous"/>
        </w:sectPr>
      </w:pPr>
    </w:p>
    <w:p>
      <w:pPr>
        <w:ind w:left="34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70" w:lineRule="exact"/>
        <w:rPr>
          <w:sz w:val="20"/>
          <w:szCs w:val="20"/>
          <w:color w:val="auto"/>
        </w:rPr>
      </w:pPr>
    </w:p>
    <w:p>
      <w:pPr>
        <w:sectPr>
          <w:pgSz w:w="11900" w:h="16838" w:orient="portrait"/>
          <w:cols w:equalWidth="0" w:num="2">
            <w:col w:w="3800" w:space="440"/>
            <w:col w:w="7000"/>
          </w:cols>
          <w:pgMar w:left="320" w:top="230" w:right="339" w:bottom="1440" w:gutter="0" w:footer="0" w:header="0"/>
          <w:type w:val="continuous"/>
        </w:sectPr>
      </w:pPr>
    </w:p>
    <w:p>
      <w:pPr>
        <w:ind w:left="4240"/>
        <w:spacing w:after="0"/>
        <w:rPr>
          <w:sz w:val="20"/>
          <w:szCs w:val="20"/>
          <w:color w:val="auto"/>
        </w:rPr>
      </w:pPr>
      <w:r>
        <w:rPr>
          <w:rFonts w:ascii="Times New Roman" w:cs="Times New Roman" w:eastAsia="Times New Roman" w:hAnsi="Times New Roman"/>
          <w:sz w:val="17"/>
          <w:szCs w:val="17"/>
          <w:color w:val="auto"/>
        </w:rPr>
        <w:t>(Duly Authorized Officer and Principal Financial Officer)</w:t>
      </w:r>
    </w:p>
    <w:p>
      <w:pPr>
        <w:sectPr>
          <w:pgSz w:w="11900" w:h="16838" w:orient="portrait"/>
          <w:cols w:equalWidth="0" w:num="1">
            <w:col w:w="11240"/>
          </w:cols>
          <w:pgMar w:left="320" w:top="230" w:right="339" w:bottom="1440" w:gutter="0" w:footer="0" w:header="0"/>
          <w:type w:val="continuous"/>
        </w:sectPr>
      </w:pP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230" w:right="339" w:bottom="1440" w:gutter="0" w:footer="0" w:header="0"/>
          <w:type w:val="continuous"/>
        </w:sectPr>
      </w:pPr>
    </w:p>
    <w:bookmarkStart w:id="100" w:name="page101"/>
    <w:bookmarkEnd w:id="10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T. Steigerwalt, certify that:</w:t>
      </w:r>
    </w:p>
    <w:p>
      <w:pPr>
        <w:spacing w:after="0" w:line="85" w:lineRule="exact"/>
        <w:rPr>
          <w:sz w:val="20"/>
          <w:szCs w:val="20"/>
          <w:color w:val="auto"/>
        </w:rPr>
      </w:pPr>
    </w:p>
    <w:p>
      <w:pPr>
        <w:ind w:left="180" w:hanging="174"/>
        <w:spacing w:after="0"/>
        <w:tabs>
          <w:tab w:leader="none" w:pos="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Financial, Inc.;</w:t>
      </w:r>
    </w:p>
    <w:p>
      <w:pPr>
        <w:spacing w:after="0" w:line="9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8"/>
          <w:szCs w:val="18"/>
          <w:color w:val="auto"/>
        </w:rPr>
      </w:pPr>
    </w:p>
    <w:p>
      <w:pPr>
        <w:jc w:val="both"/>
        <w:ind w:firstLine="6"/>
        <w:spacing w:after="0" w:line="259" w:lineRule="auto"/>
        <w:tabs>
          <w:tab w:leader="none" w:pos="17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firstLine="6"/>
        <w:spacing w:after="0" w:line="274" w:lineRule="auto"/>
        <w:tabs>
          <w:tab w:leader="none" w:pos="19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7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14605</wp:posOffset>
            </wp:positionV>
            <wp:extent cx="30035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2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58" w:right="339" w:bottom="1440" w:gutter="0" w:footer="0" w:header="0"/>
        </w:sectPr>
      </w:pPr>
    </w:p>
    <w:bookmarkStart w:id="101" w:name="page102"/>
    <w:bookmarkEnd w:id="101"/>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A. Spehar, certify that:</w:t>
      </w:r>
    </w:p>
    <w:p>
      <w:pPr>
        <w:spacing w:after="0" w:line="85" w:lineRule="exact"/>
        <w:rPr>
          <w:sz w:val="20"/>
          <w:szCs w:val="20"/>
          <w:color w:val="auto"/>
        </w:rPr>
      </w:pPr>
    </w:p>
    <w:p>
      <w:pPr>
        <w:ind w:left="180" w:hanging="174"/>
        <w:spacing w:after="0"/>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Financial, Inc.;</w:t>
      </w:r>
    </w:p>
    <w:p>
      <w:pPr>
        <w:spacing w:after="0" w:line="9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8"/>
          <w:szCs w:val="18"/>
          <w:color w:val="auto"/>
        </w:rPr>
      </w:pPr>
    </w:p>
    <w:p>
      <w:pPr>
        <w:jc w:val="both"/>
        <w:ind w:firstLine="6"/>
        <w:spacing w:after="0" w:line="259" w:lineRule="auto"/>
        <w:tabs>
          <w:tab w:leader="none" w:pos="1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firstLine="6"/>
        <w:spacing w:after="0" w:line="274" w:lineRule="auto"/>
        <w:tabs>
          <w:tab w:leader="none" w:pos="19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70"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14605</wp:posOffset>
            </wp:positionV>
            <wp:extent cx="32226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Edward A. Spehar</w:t>
      </w:r>
    </w:p>
    <w:p>
      <w:pPr>
        <w:spacing w:after="0" w:line="2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358"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259" w:lineRule="auto"/>
        <w:rPr>
          <w:sz w:val="20"/>
          <w:szCs w:val="20"/>
          <w:color w:val="auto"/>
        </w:rPr>
      </w:pPr>
      <w:r>
        <w:rPr>
          <w:rFonts w:ascii="Times New Roman" w:cs="Times New Roman" w:eastAsia="Times New Roman" w:hAnsi="Times New Roman"/>
          <w:sz w:val="18"/>
          <w:szCs w:val="18"/>
          <w:color w:val="auto"/>
        </w:rPr>
        <w:t>I, Eric T. Steigerwalt, certify that, to my knowledge, (i) Brighthouse Financial, Inc.’s Quarterly Report on Form 10-Q for the quarter ended June 30, 2025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00" w:lineRule="exact"/>
        <w:rPr>
          <w:sz w:val="20"/>
          <w:szCs w:val="20"/>
          <w:color w:val="auto"/>
        </w:rPr>
      </w:pPr>
    </w:p>
    <w:p>
      <w:pPr>
        <w:spacing w:after="0" w:line="28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14605</wp:posOffset>
            </wp:positionV>
            <wp:extent cx="30035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2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11"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58"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259" w:lineRule="auto"/>
        <w:rPr>
          <w:sz w:val="20"/>
          <w:szCs w:val="20"/>
          <w:color w:val="auto"/>
        </w:rPr>
      </w:pPr>
      <w:r>
        <w:rPr>
          <w:rFonts w:ascii="Times New Roman" w:cs="Times New Roman" w:eastAsia="Times New Roman" w:hAnsi="Times New Roman"/>
          <w:sz w:val="18"/>
          <w:szCs w:val="18"/>
          <w:color w:val="auto"/>
        </w:rPr>
        <w:t>I, Edward A. Spehar, certify that, to my knowledge, (i) Brighthouse Financial, Inc.’s Quarterly Report on Form 10-Q for the quarter ended June 30, 2025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00" w:lineRule="exact"/>
        <w:rPr>
          <w:sz w:val="20"/>
          <w:szCs w:val="20"/>
          <w:color w:val="auto"/>
        </w:rPr>
      </w:pPr>
    </w:p>
    <w:p>
      <w:pPr>
        <w:spacing w:after="0" w:line="28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14605</wp:posOffset>
            </wp:positionV>
            <wp:extent cx="32226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Edward A. Spehar</w:t>
      </w:r>
    </w:p>
    <w:p>
      <w:pPr>
        <w:spacing w:after="0" w:line="2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11"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1."/>
      <w:numFmt w:val="decimal"/>
      <w:start w:val="7"/>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1)"/>
      <w:numFmt w:val="decimal"/>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lowerRoman"/>
      <w:start w:val="2"/>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lowerRoman"/>
      <w:start w:val="2"/>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1)"/>
      <w:numFmt w:val="decimal"/>
      <w:start w:val="4"/>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1)"/>
      <w:numFmt w:val="decimal"/>
      <w:start w:val="4"/>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emdash "/>
      <w:numFmt w:val="bullet"/>
      <w:start w:val="1"/>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emdash "/>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lvl w:ilvl="1">
      <w:lvlJc w:val="left"/>
      <w:lvlText w:val="◦"/>
      <w:numFmt w:val="bullet"/>
      <w:start w:val="1"/>
    </w:lvl>
  </w:abstractNum>
  <w:abstractNum w:abstractNumId="41">
    <w:nsid w:val="15B5AF5C"/>
    <w:multiLevelType w:val="hybridMultilevel"/>
    <w:lvl w:ilvl="0">
      <w:lvlJc w:val="left"/>
      <w:lvlText w:val="•"/>
      <w:numFmt w:val="bullet"/>
      <w:start w:val="1"/>
    </w:lvl>
    <w:lvl w:ilvl="1">
      <w:lvlJc w:val="left"/>
      <w:lvlText w:val="◦"/>
      <w:numFmt w:val="bullet"/>
      <w:start w:val="1"/>
    </w:lvl>
  </w:abstractNum>
  <w:abstractNum w:abstractNumId="42">
    <w:nsid w:val="741226BB"/>
    <w:multiLevelType w:val="hybridMultilevel"/>
    <w:lvl w:ilvl="0">
      <w:lvlJc w:val="left"/>
      <w:lvlText w:val="•"/>
      <w:numFmt w:val="bullet"/>
      <w:start w:val="1"/>
    </w:lvl>
    <w:lvl w:ilvl="1">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lvl w:ilvl="1">
      <w:lvlJc w:val="left"/>
      <w:lvlText w:val="◦"/>
      <w:numFmt w:val="bullet"/>
      <w:start w:val="1"/>
    </w:lvl>
  </w:abstractNum>
  <w:abstractNum w:abstractNumId="45">
    <w:nsid w:val="3F6AB60F"/>
    <w:multiLevelType w:val="hybridMultilevel"/>
    <w:lvl w:ilvl="0">
      <w:lvlJc w:val="left"/>
      <w:lvlText w:val="•"/>
      <w:numFmt w:val="bullet"/>
      <w:start w:val="1"/>
    </w:lvl>
    <w:lvl w:ilvl="1">
      <w:lvlJc w:val="left"/>
      <w:lvlText w:val="◦"/>
      <w:numFmt w:val="bullet"/>
      <w:start w:val="1"/>
    </w:lvl>
  </w:abstractNum>
  <w:abstractNum w:abstractNumId="46">
    <w:nsid w:val="61574095"/>
    <w:multiLevelType w:val="hybridMultilevel"/>
    <w:lvl w:ilvl="0">
      <w:lvlJc w:val="left"/>
      <w:lvlText w:val="•"/>
      <w:numFmt w:val="bullet"/>
      <w:start w:val="1"/>
    </w:lvl>
    <w:lvl w:ilvl="1">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lvl w:ilvl="1">
      <w:lvlJc w:val="left"/>
      <w:lvlText w:val="◦"/>
      <w:numFmt w:val="bullet"/>
      <w:start w:val="1"/>
    </w:lvl>
  </w:abstractNum>
  <w:abstractNum w:abstractNumId="49">
    <w:nsid w:val="579BE4F1"/>
    <w:multiLevelType w:val="hybridMultilevel"/>
    <w:lvl w:ilvl="0">
      <w:lvlJc w:val="left"/>
      <w:lvlText w:val="•"/>
      <w:numFmt w:val="bullet"/>
      <w:start w:val="1"/>
    </w:lvl>
    <w:lvl w:ilvl="1">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lvl w:ilvl="1">
      <w:lvlJc w:val="left"/>
      <w:lvlText w:val="◦"/>
      <w:numFmt w:val="bullet"/>
      <w:start w:val="1"/>
    </w:lvl>
  </w:abstractNum>
  <w:abstractNum w:abstractNumId="52">
    <w:nsid w:val="2F305DEF"/>
    <w:multiLevelType w:val="hybridMultilevel"/>
    <w:lvl w:ilvl="0">
      <w:lvlJc w:val="left"/>
      <w:lvlText w:val="•"/>
      <w:numFmt w:val="bullet"/>
      <w:start w:val="1"/>
    </w:lvl>
    <w:lvl w:ilvl="1">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lvl w:ilvl="1">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lvl w:ilvl="1">
      <w:lvlJc w:val="left"/>
      <w:lvlText w:val="◦"/>
      <w:numFmt w:val="bullet"/>
      <w:start w:val="1"/>
    </w:lvl>
  </w:abstractNum>
  <w:abstractNum w:abstractNumId="60">
    <w:nsid w:val="6590700B"/>
    <w:multiLevelType w:val="hybridMultilevel"/>
    <w:lvl w:ilvl="0">
      <w:lvlJc w:val="left"/>
      <w:lvlText w:val="•"/>
      <w:numFmt w:val="bullet"/>
      <w:start w:val="1"/>
    </w:lvl>
    <w:lvl w:ilvl="1">
      <w:lvlJc w:val="left"/>
      <w:lvlText w:val="◦"/>
      <w:numFmt w:val="bullet"/>
      <w:start w:val="1"/>
    </w:lvl>
  </w:abstractNum>
  <w:abstractNum w:abstractNumId="61">
    <w:nsid w:val="15014ACB"/>
    <w:multiLevelType w:val="hybridMultilevel"/>
    <w:lvl w:ilvl="0">
      <w:lvlJc w:val="left"/>
      <w:lvlText w:val="•"/>
      <w:numFmt w:val="bullet"/>
      <w:start w:val="1"/>
    </w:lvl>
    <w:lvl w:ilvl="1">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1)"/>
      <w:numFmt w:val="decimal"/>
      <w:start w:val="1"/>
    </w:lvl>
  </w:abstractNum>
  <w:abstractNum w:abstractNumId="69">
    <w:nsid w:val="661E3F1E"/>
    <w:multiLevelType w:val="hybridMultilevel"/>
    <w:lvl w:ilvl="0">
      <w:lvlJc w:val="left"/>
      <w:lvlText w:val="(%1)"/>
      <w:numFmt w:val="decimal"/>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1)"/>
      <w:numFmt w:val="decimal"/>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54" Type="http://schemas.openxmlformats.org/officeDocument/2006/relationships/hyperlink" Target="https://www.sec.gov/Archives/edgar/data/1685040/000168504025000038/exhibit101-brighthousefin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2025-08-08T15:22:24Z</dcterms:created>
  <dcterms:modified xsi:type="dcterms:W3CDTF">2025-08-08T15:22:24Z</dcterms:modified>
</cp:coreProperties>
</file>