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07642.xml.htm"/>
      <w:bookmarkStart w:id="1" w:name="kswkform4_17806076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Wetzel Paul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11225 N COMMUNITY HOUSE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Brighthouse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23,663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held by spouse</w:t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6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contingent right to receive one share of Brighthouse Financial, Inc. ("BHF")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for service as a Board member pursuant to the Brighthouse Financial, Inc. 2017 Non-Management Director Stock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the date of the 2026 annual meeting of stockholders of BHF.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will vest on the earlier of the first anniversary of the grant date or the date of the 2027 annual meeting of stockholders of BHF.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Alexander V. Ulianov, Attorney-in-Fact, on behalf of Paul M. Wetzel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9824" TargetMode="External"/><Relationship Id="rId5" Type="http://schemas.openxmlformats.org/officeDocument/2006/relationships/hyperlink" Target="http://www.sec.gov/cgi-bin/browse-edgar?action=getcompany&amp;CIK=0001685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689</Words>
  <Characters>3666</Characters>
  <CharactersWithSpaces>4272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