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60"/>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2024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 to 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001-37905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drawing>
          <wp:inline distT="0" distB="0" distL="0" distR="0">
            <wp:extent cx="23336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33400"/>
                    </a:xfrm>
                    <a:prstGeom prst="rect">
                      <a:avLst/>
                    </a:prstGeom>
                  </pic:spPr>
                </pic:pic>
              </a:graphicData>
            </a:graphic>
          </wp:inline>
        </w:drawing>
      </w:r>
    </w:p>
    <w:p>
      <w:pPr>
        <w:pStyle w:val="TextBody"/>
        <w:bidi w:val="0"/>
        <w:spacing w:lineRule="auto" w:line="216"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Brighthouse Financial, Inc. </w:t>
      </w:r>
    </w:p>
    <w:p>
      <w:pPr>
        <w:pStyle w:val="TextBody"/>
        <w:bidi w:val="0"/>
        <w:spacing w:lineRule="auto" w:line="288" w:before="60" w:after="283"/>
        <w:ind w:left="0" w:right="0" w:firstLine="36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81-3846992</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(980) 365-7100 </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94"/>
        <w:gridCol w:w="2112"/>
        <w:gridCol w:w="370"/>
        <w:gridCol w:w="370"/>
        <w:gridCol w:w="372"/>
        <w:gridCol w:w="714"/>
        <w:gridCol w:w="714"/>
        <w:gridCol w:w="1017"/>
      </w:tblGrid>
      <w:tr>
        <w:trPr/>
        <w:tc>
          <w:tcPr>
            <w:tcW w:w="24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Title of each class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Trading symbol(s)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Name of each exchange on which registered</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par value $0.01 per share</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6.600% Non-Cumulative Preferred Stock, Series A</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BHFAP</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6.750% Non-Cumulative Preferred Stock, Series B</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BHFAO</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5.375% Non-Cumulative Preferred Stock, Series C</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4.625% Non-Cumulative Preferred Stock, Series D</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BHFAM</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6.250% Junior Subordinated Debentures due 2058</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BHFAL</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bl>
    <w:p>
      <w:pPr>
        <w:pStyle w:val="TextBody"/>
        <w:bidi w:val="0"/>
        <w:spacing w:lineRule="auto" w:line="288" w:before="20" w:after="283"/>
        <w:jc w:val="both"/>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4"/>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As of May 3, 2024, 62,111,288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160"/>
        <w:ind w:left="0" w:right="0" w:firstLine="36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89"/>
        <w:gridCol w:w="340"/>
        <w:gridCol w:w="340"/>
        <w:gridCol w:w="3136"/>
        <w:gridCol w:w="2726"/>
        <w:gridCol w:w="2700"/>
        <w:gridCol w:w="167"/>
        <w:gridCol w:w="167"/>
        <w:gridCol w:w="240"/>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10">
              <w:r>
                <w:rPr>
                  <w:rStyle w:val="InternetLink"/>
                  <w:rFonts w:ascii="Times New Roman;sans-serif" w:hAnsi="Times New Roman;sans-serif"/>
                  <w:b/>
                  <w:color w:val="0000FF"/>
                  <w:sz w:val="20"/>
                  <w:u w:val="single"/>
                </w:rPr>
                <w:t>Part I —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(at March 31, 2024 (Unaudited) and December 31, 2023 and for the Three Months Ended March 31, 2024 and 2023 (Unaudited)):</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ec082df13d74f48815e1bb5b1ec5129_16">
              <w:r>
                <w:rPr>
                  <w:rStyle w:val="InternetLink"/>
                  <w:rFonts w:ascii="Times New Roman;sans-serif" w:hAnsi="Times New Roman;sans-serif"/>
                  <w:b w:val="false"/>
                  <w:color w:val="0000FF"/>
                  <w:sz w:val="20"/>
                  <w:u w:val="single"/>
                </w:rPr>
                <w:t>Interim 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16">
              <w:r>
                <w:rPr>
                  <w:rStyle w:val="InternetLink"/>
                  <w:rFonts w:ascii="Times New Roman;sans-serif" w:hAnsi="Times New Roman;sans-serif"/>
                  <w:b w:val="false"/>
                  <w:color w:val="0000FF"/>
                  <w:sz w:val="20"/>
                  <w:u w:val="single"/>
                </w:rPr>
                <w:t>2</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ec082df13d74f48815e1bb5b1ec5129_19">
              <w:r>
                <w:rPr>
                  <w:rStyle w:val="InternetLink"/>
                  <w:rFonts w:ascii="Times New Roman;sans-serif" w:hAnsi="Times New Roman;sans-serif"/>
                  <w:b w:val="false"/>
                  <w:color w:val="0000FF"/>
                  <w:sz w:val="20"/>
                  <w:u w:val="single"/>
                </w:rPr>
                <w:t>Interim Condensed Consolidated Statements of Operations and Comprehensive Income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19">
              <w:r>
                <w:rPr>
                  <w:rStyle w:val="InternetLink"/>
                  <w:rFonts w:ascii="Times New Roman;sans-serif" w:hAnsi="Times New Roman;sans-serif"/>
                  <w:b w:val="false"/>
                  <w:color w:val="0000FF"/>
                  <w:sz w:val="20"/>
                  <w:u w:val="single"/>
                </w:rPr>
                <w:t>3</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ec082df13d74f48815e1bb5b1ec5129_25">
              <w:r>
                <w:rPr>
                  <w:rStyle w:val="InternetLink"/>
                  <w:rFonts w:ascii="Times New Roman;sans-serif" w:hAnsi="Times New Roman;sans-serif"/>
                  <w:b w:val="false"/>
                  <w:color w:val="0000FF"/>
                  <w:sz w:val="20"/>
                  <w:u w:val="single"/>
                </w:rPr>
                <w:t>Interim Condensed Consolidated Statements of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5">
              <w:r>
                <w:rPr>
                  <w:rStyle w:val="InternetLink"/>
                  <w:rFonts w:ascii="Times New Roman;sans-serif" w:hAnsi="Times New Roman;sans-serif"/>
                  <w:b w:val="false"/>
                  <w:color w:val="0000FF"/>
                  <w:sz w:val="20"/>
                  <w:u w:val="single"/>
                </w:rPr>
                <w:t>4</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ec082df13d74f48815e1bb5b1ec5129_28">
              <w:r>
                <w:rPr>
                  <w:rStyle w:val="InternetLink"/>
                  <w:rFonts w:ascii="Times New Roman;sans-serif" w:hAnsi="Times New Roman;sans-serif"/>
                  <w:b w:val="false"/>
                  <w:color w:val="0000FF"/>
                  <w:sz w:val="20"/>
                  <w:u w:val="single"/>
                </w:rPr>
                <w:t>Interim 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8">
              <w:r>
                <w:rPr>
                  <w:rStyle w:val="InternetLink"/>
                  <w:rFonts w:ascii="Times New Roman;sans-serif" w:hAnsi="Times New Roman;sans-serif"/>
                  <w:b w:val="false"/>
                  <w:color w:val="0000FF"/>
                  <w:sz w:val="20"/>
                  <w:u w:val="single"/>
                </w:rPr>
                <w:t>5</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3ec082df13d74f48815e1bb5b1ec5129_31">
              <w:r>
                <w:rPr>
                  <w:rStyle w:val="InternetLink"/>
                  <w:rFonts w:ascii="Times New Roman;sans-serif" w:hAnsi="Times New Roman;sans-serif"/>
                  <w:b w:val="false"/>
                  <w:color w:val="0000FF"/>
                  <w:sz w:val="20"/>
                  <w:u w:val="single"/>
                </w:rPr>
                <w:t>Notes to the Interim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31">
              <w:r>
                <w:rPr>
                  <w:rStyle w:val="InternetLink"/>
                  <w:rFonts w:ascii="Times New Roman;sans-serif" w:hAnsi="Times New Roman;sans-serif"/>
                  <w:b w:val="false"/>
                  <w:color w:val="0000FF"/>
                  <w:sz w:val="20"/>
                  <w:u w:val="single"/>
                </w:rPr>
                <w:t>Note 1 — Business, Basis of Presentation and Summary of Significant Accounting Policies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31">
              <w:r>
                <w:rPr>
                  <w:rStyle w:val="InternetLink"/>
                  <w:rFonts w:ascii="Times New Roman;sans-serif" w:hAnsi="Times New Roman;sans-serif"/>
                  <w:b w:val="false"/>
                  <w:color w:val="0000FF"/>
                  <w:sz w:val="20"/>
                  <w:u w:val="single"/>
                </w:rPr>
                <w:t>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46">
              <w:r>
                <w:rPr>
                  <w:rStyle w:val="InternetLink"/>
                  <w:rFonts w:ascii="Times New Roman;sans-serif" w:hAnsi="Times New Roman;sans-serif"/>
                  <w:b w:val="false"/>
                  <w:color w:val="0000FF"/>
                  <w:sz w:val="20"/>
                  <w:u w:val="single"/>
                </w:rPr>
                <w:t>Note 2 — Segment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6">
              <w:r>
                <w:rPr>
                  <w:rStyle w:val="InternetLink"/>
                  <w:rFonts w:ascii="Times New Roman;sans-serif" w:hAnsi="Times New Roman;sans-serif"/>
                  <w:b w:val="false"/>
                  <w:color w:val="0000FF"/>
                  <w:sz w:val="20"/>
                  <w:u w:val="single"/>
                </w:rPr>
                <w:t>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58">
              <w:r>
                <w:rPr>
                  <w:rStyle w:val="InternetLink"/>
                  <w:rFonts w:ascii="Times New Roman;sans-serif" w:hAnsi="Times New Roman;sans-serif"/>
                  <w:b w:val="false"/>
                  <w:color w:val="0000FF"/>
                  <w:sz w:val="20"/>
                  <w:u w:val="single"/>
                </w:rPr>
                <w:t>Note 3 — Insurance Liabilities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58">
              <w:r>
                <w:rPr>
                  <w:rStyle w:val="InternetLink"/>
                  <w:rFonts w:ascii="Times New Roman;sans-serif" w:hAnsi="Times New Roman;sans-serif"/>
                  <w:b w:val="false"/>
                  <w:color w:val="0000FF"/>
                  <w:sz w:val="20"/>
                  <w:u w:val="single"/>
                </w:rPr>
                <w:t>10</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70">
              <w:r>
                <w:rPr>
                  <w:rStyle w:val="InternetLink"/>
                  <w:rFonts w:ascii="Times New Roman;sans-serif" w:hAnsi="Times New Roman;sans-serif"/>
                  <w:b w:val="false"/>
                  <w:color w:val="0000FF"/>
                  <w:sz w:val="20"/>
                  <w:u w:val="single"/>
                </w:rPr>
                <w:t>Note 4 — Market Risk Benefits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70">
              <w:r>
                <w:rPr>
                  <w:rStyle w:val="InternetLink"/>
                  <w:rFonts w:ascii="Times New Roman;sans-serif" w:hAnsi="Times New Roman;sans-serif"/>
                  <w:b w:val="false"/>
                  <w:color w:val="0000FF"/>
                  <w:sz w:val="20"/>
                  <w:u w:val="single"/>
                </w:rPr>
                <w:t>14</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4339">
              <w:r>
                <w:rPr>
                  <w:rStyle w:val="InternetLink"/>
                  <w:rFonts w:ascii="Times New Roman;sans-serif" w:hAnsi="Times New Roman;sans-serif"/>
                  <w:b w:val="false"/>
                  <w:color w:val="0000FF"/>
                  <w:sz w:val="20"/>
                  <w:u w:val="single"/>
                </w:rPr>
                <w:t>Note 5 — Separate Accounts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339">
              <w:r>
                <w:rPr>
                  <w:rStyle w:val="InternetLink"/>
                  <w:rFonts w:ascii="Times New Roman;sans-serif" w:hAnsi="Times New Roman;sans-serif"/>
                  <w:b w:val="false"/>
                  <w:color w:val="0000FF"/>
                  <w:sz w:val="20"/>
                  <w:u w:val="single"/>
                </w:rPr>
                <w:t>14</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79">
              <w:r>
                <w:rPr>
                  <w:rStyle w:val="InternetLink"/>
                  <w:rFonts w:ascii="Times New Roman;sans-serif" w:hAnsi="Times New Roman;sans-serif"/>
                  <w:b w:val="false"/>
                  <w:color w:val="0000FF"/>
                  <w:sz w:val="20"/>
                  <w:u w:val="single"/>
                </w:rPr>
                <w:t>Note 6 — Deferred Policy Acquisition Costs, Value of Business Acquired and Other Intangibles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79">
              <w:r>
                <w:rPr>
                  <w:rStyle w:val="InternetLink"/>
                  <w:rFonts w:ascii="Times New Roman;sans-serif" w:hAnsi="Times New Roman;sans-serif"/>
                  <w:b w:val="false"/>
                  <w:color w:val="0000FF"/>
                  <w:sz w:val="20"/>
                  <w:u w:val="single"/>
                </w:rPr>
                <w:t>16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94">
              <w:r>
                <w:rPr>
                  <w:rStyle w:val="InternetLink"/>
                  <w:rFonts w:ascii="Times New Roman;sans-serif" w:hAnsi="Times New Roman;sans-serif"/>
                  <w:b w:val="false"/>
                  <w:color w:val="0000FF"/>
                  <w:sz w:val="20"/>
                  <w:u w:val="single"/>
                </w:rPr>
                <w:t>Note 7 — Investments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94">
              <w:r>
                <w:rPr>
                  <w:rStyle w:val="InternetLink"/>
                  <w:rFonts w:ascii="Times New Roman;sans-serif" w:hAnsi="Times New Roman;sans-serif"/>
                  <w:b w:val="false"/>
                  <w:color w:val="0000FF"/>
                  <w:sz w:val="20"/>
                  <w:u w:val="single"/>
                </w:rPr>
                <w:t>17</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157">
              <w:r>
                <w:rPr>
                  <w:rStyle w:val="InternetLink"/>
                  <w:rFonts w:ascii="Times New Roman;sans-serif" w:hAnsi="Times New Roman;sans-serif"/>
                  <w:b w:val="false"/>
                  <w:color w:val="0000FF"/>
                  <w:sz w:val="20"/>
                  <w:u w:val="single"/>
                </w:rPr>
                <w:t>Note 8 — Derivatives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157">
              <w:r>
                <w:rPr>
                  <w:rStyle w:val="InternetLink"/>
                  <w:rFonts w:ascii="Times New Roman;sans-serif" w:hAnsi="Times New Roman;sans-serif"/>
                  <w:b w:val="false"/>
                  <w:color w:val="0000FF"/>
                  <w:sz w:val="20"/>
                  <w:u w:val="single"/>
                </w:rPr>
                <w:t>29</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184">
              <w:r>
                <w:rPr>
                  <w:rStyle w:val="InternetLink"/>
                  <w:rFonts w:ascii="Times New Roman;sans-serif" w:hAnsi="Times New Roman;sans-serif"/>
                  <w:b w:val="false"/>
                  <w:color w:val="0000FF"/>
                  <w:sz w:val="20"/>
                  <w:u w:val="single"/>
                </w:rPr>
                <w:t>Note 9 — Fair Value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184">
              <w:r>
                <w:rPr>
                  <w:rStyle w:val="InternetLink"/>
                  <w:rFonts w:ascii="Times New Roman;sans-serif" w:hAnsi="Times New Roman;sans-serif"/>
                  <w:b w:val="false"/>
                  <w:color w:val="0000FF"/>
                  <w:sz w:val="20"/>
                  <w:u w:val="single"/>
                </w:rPr>
                <w:t>34</w:t>
              </w:r>
            </w:hyperlink>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856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220">
              <w:r>
                <w:rPr>
                  <w:rStyle w:val="InternetLink"/>
                  <w:rFonts w:ascii="Times New Roman;sans-serif" w:hAnsi="Times New Roman;sans-serif"/>
                  <w:b w:val="false"/>
                  <w:color w:val="0000FF"/>
                  <w:sz w:val="20"/>
                  <w:u w:val="single"/>
                </w:rPr>
                <w:t>Note 10 —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20">
              <w:r>
                <w:rPr>
                  <w:rStyle w:val="InternetLink"/>
                  <w:rFonts w:ascii="Times New Roman;sans-serif" w:hAnsi="Times New Roman;sans-serif"/>
                  <w:b w:val="false"/>
                  <w:color w:val="0000FF"/>
                  <w:sz w:val="20"/>
                  <w:u w:val="single"/>
                </w:rPr>
                <w:t>43</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232">
              <w:r>
                <w:rPr>
                  <w:rStyle w:val="InternetLink"/>
                  <w:rFonts w:ascii="Times New Roman;sans-serif" w:hAnsi="Times New Roman;sans-serif"/>
                  <w:b w:val="false"/>
                  <w:color w:val="0000FF"/>
                  <w:sz w:val="20"/>
                  <w:u w:val="single"/>
                </w:rPr>
                <w:t>Note 11 — Other Revenues and Other Expenses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32">
              <w:r>
                <w:rPr>
                  <w:rStyle w:val="InternetLink"/>
                  <w:rFonts w:ascii="Times New Roman;sans-serif" w:hAnsi="Times New Roman;sans-serif"/>
                  <w:b w:val="false"/>
                  <w:color w:val="0000FF"/>
                  <w:sz w:val="20"/>
                  <w:u w:val="single"/>
                </w:rPr>
                <w:t>45</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241">
              <w:r>
                <w:rPr>
                  <w:rStyle w:val="InternetLink"/>
                  <w:rFonts w:ascii="Times New Roman;sans-serif" w:hAnsi="Times New Roman;sans-serif"/>
                  <w:b w:val="false"/>
                  <w:color w:val="0000FF"/>
                  <w:sz w:val="20"/>
                  <w:u w:val="single"/>
                </w:rPr>
                <w:t>Note 12 — Earnings Per Common Share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41">
              <w:r>
                <w:rPr>
                  <w:rStyle w:val="InternetLink"/>
                  <w:rFonts w:ascii="Times New Roman;sans-serif" w:hAnsi="Times New Roman;sans-serif"/>
                  <w:b w:val="false"/>
                  <w:color w:val="0000FF"/>
                  <w:sz w:val="20"/>
                  <w:u w:val="single"/>
                </w:rPr>
                <w:t>46</w:t>
              </w:r>
            </w:hyperlink>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3ec082df13d74f48815e1bb5b1ec5129_247">
              <w:r>
                <w:rPr>
                  <w:rStyle w:val="InternetLink"/>
                  <w:rFonts w:ascii="Times New Roman;sans-serif" w:hAnsi="Times New Roman;sans-serif"/>
                  <w:b w:val="false"/>
                  <w:color w:val="0000FF"/>
                  <w:sz w:val="20"/>
                  <w:u w:val="single"/>
                </w:rPr>
                <w:t>Note 13 — Contingencies, Commitments and Guarantees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47">
              <w:r>
                <w:rPr>
                  <w:rStyle w:val="InternetLink"/>
                  <w:rFonts w:ascii="Times New Roman;sans-serif" w:hAnsi="Times New Roman;sans-serif"/>
                  <w:b w:val="false"/>
                  <w:color w:val="0000FF"/>
                  <w:sz w:val="20"/>
                  <w:u w:val="single"/>
                </w:rPr>
                <w:t>47</w:t>
              </w:r>
            </w:hyperlink>
          </w:p>
        </w:tc>
      </w:tr>
      <w:tr>
        <w:trPr/>
        <w:tc>
          <w:tcPr>
            <w:tcW w:w="1069" w:type="dxa"/>
            <w:gridSpan w:val="3"/>
            <w:tcBorders/>
            <w:vAlign w:val="center"/>
          </w:tcPr>
          <w:p>
            <w:pPr>
              <w:pStyle w:val="TableContents"/>
              <w:bidi w:val="0"/>
              <w:spacing w:before="0" w:after="283"/>
              <w:jc w:val="left"/>
              <w:rPr>
                <w:sz w:val="4"/>
                <w:szCs w:val="4"/>
              </w:rPr>
            </w:pPr>
            <w:r>
              <w:rPr>
                <w:sz w:val="4"/>
                <w:szCs w:val="4"/>
              </w:rPr>
            </w:r>
          </w:p>
        </w:tc>
        <w:tc>
          <w:tcPr>
            <w:tcW w:w="8562"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62">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3ec082df13d74f48815e1bb5b1ec5129_262">
              <w:r>
                <w:rPr>
                  <w:rStyle w:val="InternetLink"/>
                  <w:rFonts w:ascii="Times New Roman;sans-serif" w:hAnsi="Times New Roman;sans-serif"/>
                  <w:b w:val="false"/>
                  <w:color w:val="0000FF"/>
                  <w:sz w:val="20"/>
                  <w:u w:val="single"/>
                </w:rPr>
                <w:t>51</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78">
              <w:r>
                <w:rPr>
                  <w:rStyle w:val="InternetLink"/>
                  <w:rFonts w:ascii="Times New Roman;sans-serif" w:hAnsi="Times New Roman;sans-serif"/>
                  <w:b/>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3ec082df13d74f48815e1bb5b1ec5129_478">
              <w:r>
                <w:rPr>
                  <w:rStyle w:val="InternetLink"/>
                  <w:rFonts w:ascii="Times New Roman;sans-serif" w:hAnsi="Times New Roman;sans-serif"/>
                  <w:b w:val="false"/>
                  <w:color w:val="0000FF"/>
                  <w:sz w:val="20"/>
                  <w:u w:val="single"/>
                </w:rPr>
                <w:t>87</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93">
              <w:r>
                <w:rPr>
                  <w:rStyle w:val="InternetLink"/>
                  <w:rFonts w:ascii="Times New Roman;sans-serif" w:hAnsi="Times New Roman;sans-serif"/>
                  <w:b/>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93">
              <w:r>
                <w:rPr>
                  <w:rStyle w:val="InternetLink"/>
                  <w:rFonts w:ascii="Times New Roman;sans-serif" w:hAnsi="Times New Roman;sans-serif"/>
                  <w:b w:val="false"/>
                  <w:color w:val="0000FF"/>
                  <w:sz w:val="20"/>
                  <w:u w:val="single"/>
                </w:rPr>
                <w:t>87</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96">
              <w:r>
                <w:rPr>
                  <w:rStyle w:val="InternetLink"/>
                  <w:rFonts w:ascii="Times New Roman;sans-serif" w:hAnsi="Times New Roman;sans-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99">
              <w:r>
                <w:rPr>
                  <w:rStyle w:val="InternetLink"/>
                  <w:rFonts w:ascii="Times New Roman;sans-serif" w:hAnsi="Times New Roman;sans-serif"/>
                  <w:b/>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3ec082df13d74f48815e1bb5b1ec5129_499">
              <w:r>
                <w:rPr>
                  <w:rStyle w:val="InternetLink"/>
                  <w:rFonts w:ascii="Times New Roman;sans-serif" w:hAnsi="Times New Roman;sans-serif"/>
                  <w:b w:val="false"/>
                  <w:color w:val="0000FF"/>
                  <w:sz w:val="20"/>
                  <w:u w:val="single"/>
                </w:rPr>
                <w:t>88</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502">
              <w:r>
                <w:rPr>
                  <w:rStyle w:val="InternetLink"/>
                  <w:rFonts w:ascii="Times New Roman;sans-serif" w:hAnsi="Times New Roman;sans-serif"/>
                  <w:b/>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3ec082df13d74f48815e1bb5b1ec5129_502">
              <w:r>
                <w:rPr>
                  <w:rStyle w:val="InternetLink"/>
                  <w:rFonts w:ascii="Times New Roman;sans-serif" w:hAnsi="Times New Roman;sans-serif"/>
                  <w:b w:val="false"/>
                  <w:color w:val="0000FF"/>
                  <w:sz w:val="20"/>
                  <w:u w:val="single"/>
                </w:rPr>
                <w:t>88</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505">
              <w:r>
                <w:rPr>
                  <w:rStyle w:val="InternetLink"/>
                  <w:rFonts w:ascii="Times New Roman;sans-serif" w:hAnsi="Times New Roman;sans-serif"/>
                  <w:b/>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505">
              <w:r>
                <w:rPr>
                  <w:rStyle w:val="InternetLink"/>
                  <w:rFonts w:ascii="Times New Roman;sans-serif" w:hAnsi="Times New Roman;sans-serif"/>
                  <w:b w:val="false"/>
                  <w:color w:val="0000FF"/>
                  <w:sz w:val="20"/>
                  <w:u w:val="single"/>
                </w:rPr>
                <w:t>88</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511">
              <w:r>
                <w:rPr>
                  <w:rStyle w:val="InternetLink"/>
                  <w:rFonts w:ascii="Times New Roman;sans-serif" w:hAnsi="Times New Roman;sans-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3ec082df13d74f48815e1bb5b1ec5129_511">
              <w:r>
                <w:rPr>
                  <w:rStyle w:val="InternetLink"/>
                  <w:rFonts w:ascii="Times New Roman;sans-serif" w:hAnsi="Times New Roman;sans-serif"/>
                  <w:b w:val="false"/>
                  <w:color w:val="0000FF"/>
                  <w:sz w:val="20"/>
                  <w:u w:val="single"/>
                </w:rPr>
                <w:t>89</w:t>
              </w:r>
            </w:hyperlink>
          </w:p>
        </w:tc>
      </w:tr>
      <w:tr>
        <w:trPr/>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w:t>
            </w:r>
          </w:p>
        </w:tc>
        <w:tc>
          <w:tcPr>
            <w:tcW w:w="85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517">
              <w:r>
                <w:rPr>
                  <w:rStyle w:val="InternetLink"/>
                  <w:rFonts w:ascii="Times New Roman;sans-serif" w:hAnsi="Times New Roman;sans-serif"/>
                  <w:b/>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517">
              <w:r>
                <w:rPr>
                  <w:rStyle w:val="InternetLink"/>
                  <w:rFonts w:ascii="Times New Roman;sans-serif" w:hAnsi="Times New Roman;sans-serif"/>
                  <w:b w:val="false"/>
                  <w:color w:val="0000FF"/>
                  <w:sz w:val="20"/>
                  <w:u w:val="single"/>
                </w:rPr>
                <w:t>90</w:t>
              </w:r>
            </w:hyperlink>
          </w:p>
        </w:tc>
      </w:tr>
      <w:tr>
        <w:trPr/>
        <w:tc>
          <w:tcPr>
            <w:tcW w:w="96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520">
              <w:r>
                <w:rPr>
                  <w:rStyle w:val="InternetLink"/>
                  <w:rFonts w:ascii="Times New Roman;sans-serif" w:hAnsi="Times New Roman;sans-serif"/>
                  <w:b/>
                  <w:color w:val="0000FF"/>
                  <w:sz w:val="20"/>
                  <w:u w:val="single"/>
                </w:rPr>
                <w:t>Signature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520">
              <w:r>
                <w:rPr>
                  <w:rStyle w:val="InternetLink"/>
                  <w:rFonts w:ascii="Times New Roman;sans-serif" w:hAnsi="Times New Roman;sans-serif"/>
                  <w:b w:val="false"/>
                  <w:color w:val="0000FF"/>
                  <w:sz w:val="20"/>
                  <w:u w:val="singl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 (Unaudited) and December 31,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529"/>
        <w:gridCol w:w="2233"/>
        <w:gridCol w:w="2262"/>
        <w:gridCol w:w="109"/>
        <w:gridCol w:w="109"/>
        <w:gridCol w:w="109"/>
        <w:gridCol w:w="215"/>
        <w:gridCol w:w="807"/>
        <w:gridCol w:w="119"/>
        <w:gridCol w:w="109"/>
        <w:gridCol w:w="109"/>
        <w:gridCol w:w="109"/>
        <w:gridCol w:w="217"/>
        <w:gridCol w:w="819"/>
        <w:gridCol w:w="350"/>
      </w:tblGrid>
      <w:tr>
        <w:trPr/>
        <w:tc>
          <w:tcPr>
            <w:tcW w:w="252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 available-for-sale, at estimated fair value (amortized cost: $87,555 and $87,131, respectively; allowance for credit losses of $27 and $21,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(net of allowance for credit losses of $142 and $137,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 principally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invested assets, principally at estimated fair value (net of allowance for credit losses of $12 and $13,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115,456 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Premiums, reinsurance and other receivables (net of allowance for credit losses of $3 and $3,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policy acquisition costs and value of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income tax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236,340 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81,068 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policy-related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for collateral under securities loaned and other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231,332 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Contingencies, Commitments and Guarantees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Brighthouse Financial, Inc.’s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$0.01 per share; $1,753 aggregate liquidation preference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 1,000,000,000 shares authorized; 123,398,227 and 122,818,568 shares issued, respectively; 62,595,426 and 63,503,355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60,802,801 and 59,315,213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Brighthouse Financial, Inc.’s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239,688 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236,340 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667"/>
        <w:gridCol w:w="2335"/>
        <w:gridCol w:w="2365"/>
        <w:gridCol w:w="109"/>
        <w:gridCol w:w="166"/>
        <w:gridCol w:w="166"/>
        <w:gridCol w:w="300"/>
        <w:gridCol w:w="757"/>
        <w:gridCol w:w="166"/>
        <w:gridCol w:w="109"/>
        <w:gridCol w:w="109"/>
        <w:gridCol w:w="109"/>
        <w:gridCol w:w="196"/>
        <w:gridCol w:w="491"/>
        <w:gridCol w:w="160"/>
      </w:tblGrid>
      <w:tr>
        <w:trPr/>
        <w:tc>
          <w:tcPr>
            <w:tcW w:w="266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174" w:type="dxa"/>
            <w:gridSpan w:val="6"/>
            <w:tcBorders/>
          </w:tcPr>
          <w:p>
            <w:pPr>
              <w:pStyle w:val="TableContents"/>
              <w:bidi w:val="0"/>
              <w:spacing w:before="0" w:after="283"/>
              <w:jc w:val="left"/>
              <w:rPr>
                <w:sz w:val="4"/>
                <w:szCs w:val="4"/>
              </w:rPr>
            </w:pPr>
            <w:r>
              <w:rPr>
                <w:sz w:val="4"/>
                <w:szCs w:val="4"/>
              </w:rPr>
            </w:r>
          </w:p>
        </w:tc>
      </w:tr>
      <w:tr>
        <w:trPr/>
        <w:tc>
          <w:tcPr>
            <w:tcW w:w="7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$0 and $0,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policy acquisition costs and value of business acquired</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Brighthouse Financial, Inc.</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86" w:type="dxa"/>
        <w:jc w:val="center"/>
        <w:tblInd w:w="0" w:type="dxa"/>
        <w:tblLayout w:type="fixed"/>
        <w:tblCellMar>
          <w:top w:w="28" w:type="dxa"/>
          <w:left w:w="28" w:type="dxa"/>
          <w:bottom w:w="28" w:type="dxa"/>
          <w:right w:w="28" w:type="dxa"/>
        </w:tblCellMar>
      </w:tblPr>
      <w:tblGrid>
        <w:gridCol w:w="831"/>
        <w:gridCol w:w="731"/>
        <w:gridCol w:w="733"/>
        <w:gridCol w:w="109"/>
        <w:gridCol w:w="109"/>
        <w:gridCol w:w="109"/>
        <w:gridCol w:w="196"/>
        <w:gridCol w:w="541"/>
        <w:gridCol w:w="109"/>
        <w:gridCol w:w="109"/>
        <w:gridCol w:w="109"/>
        <w:gridCol w:w="109"/>
        <w:gridCol w:w="196"/>
        <w:gridCol w:w="54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tbl>
      <w:tblPr>
        <w:tblW w:w="11858" w:type="dxa"/>
        <w:jc w:val="center"/>
        <w:tblInd w:w="0" w:type="dxa"/>
        <w:tblLayout w:type="fixed"/>
        <w:tblCellMar>
          <w:top w:w="28" w:type="dxa"/>
          <w:left w:w="28" w:type="dxa"/>
          <w:bottom w:w="28" w:type="dxa"/>
          <w:right w:w="28" w:type="dxa"/>
        </w:tblCellMar>
      </w:tblPr>
      <w:tblGrid>
        <w:gridCol w:w="464"/>
        <w:gridCol w:w="263"/>
        <w:gridCol w:w="264"/>
        <w:gridCol w:w="109"/>
        <w:gridCol w:w="109"/>
        <w:gridCol w:w="109"/>
        <w:gridCol w:w="196"/>
        <w:gridCol w:w="406"/>
        <w:gridCol w:w="109"/>
        <w:gridCol w:w="109"/>
        <w:gridCol w:w="109"/>
        <w:gridCol w:w="109"/>
        <w:gridCol w:w="226"/>
        <w:gridCol w:w="278"/>
        <w:gridCol w:w="127"/>
        <w:gridCol w:w="109"/>
        <w:gridCol w:w="109"/>
        <w:gridCol w:w="109"/>
        <w:gridCol w:w="196"/>
        <w:gridCol w:w="646"/>
        <w:gridCol w:w="109"/>
        <w:gridCol w:w="109"/>
        <w:gridCol w:w="109"/>
        <w:gridCol w:w="109"/>
        <w:gridCol w:w="196"/>
        <w:gridCol w:w="571"/>
        <w:gridCol w:w="109"/>
        <w:gridCol w:w="109"/>
        <w:gridCol w:w="109"/>
        <w:gridCol w:w="109"/>
        <w:gridCol w:w="196"/>
        <w:gridCol w:w="571"/>
        <w:gridCol w:w="109"/>
        <w:gridCol w:w="109"/>
        <w:gridCol w:w="109"/>
        <w:gridCol w:w="109"/>
        <w:gridCol w:w="228"/>
        <w:gridCol w:w="665"/>
        <w:gridCol w:w="128"/>
        <w:gridCol w:w="109"/>
        <w:gridCol w:w="109"/>
        <w:gridCol w:w="109"/>
        <w:gridCol w:w="211"/>
        <w:gridCol w:w="601"/>
        <w:gridCol w:w="119"/>
        <w:gridCol w:w="109"/>
        <w:gridCol w:w="109"/>
        <w:gridCol w:w="109"/>
        <w:gridCol w:w="314"/>
        <w:gridCol w:w="531"/>
        <w:gridCol w:w="176"/>
        <w:gridCol w:w="109"/>
        <w:gridCol w:w="109"/>
        <w:gridCol w:w="109"/>
        <w:gridCol w:w="196"/>
        <w:gridCol w:w="556"/>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(5,413)</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03" w:type="dxa"/>
        <w:jc w:val="center"/>
        <w:tblInd w:w="0" w:type="dxa"/>
        <w:tblLayout w:type="fixed"/>
        <w:tblCellMar>
          <w:top w:w="28" w:type="dxa"/>
          <w:left w:w="28" w:type="dxa"/>
          <w:bottom w:w="28" w:type="dxa"/>
          <w:right w:w="28" w:type="dxa"/>
        </w:tblCellMar>
      </w:tblPr>
      <w:tblGrid>
        <w:gridCol w:w="644"/>
        <w:gridCol w:w="263"/>
        <w:gridCol w:w="264"/>
        <w:gridCol w:w="109"/>
        <w:gridCol w:w="109"/>
        <w:gridCol w:w="109"/>
        <w:gridCol w:w="196"/>
        <w:gridCol w:w="406"/>
        <w:gridCol w:w="109"/>
        <w:gridCol w:w="109"/>
        <w:gridCol w:w="109"/>
        <w:gridCol w:w="109"/>
        <w:gridCol w:w="226"/>
        <w:gridCol w:w="278"/>
        <w:gridCol w:w="127"/>
        <w:gridCol w:w="109"/>
        <w:gridCol w:w="109"/>
        <w:gridCol w:w="109"/>
        <w:gridCol w:w="196"/>
        <w:gridCol w:w="646"/>
        <w:gridCol w:w="109"/>
        <w:gridCol w:w="109"/>
        <w:gridCol w:w="109"/>
        <w:gridCol w:w="109"/>
        <w:gridCol w:w="196"/>
        <w:gridCol w:w="436"/>
        <w:gridCol w:w="109"/>
        <w:gridCol w:w="109"/>
        <w:gridCol w:w="109"/>
        <w:gridCol w:w="109"/>
        <w:gridCol w:w="196"/>
        <w:gridCol w:w="571"/>
        <w:gridCol w:w="109"/>
        <w:gridCol w:w="109"/>
        <w:gridCol w:w="109"/>
        <w:gridCol w:w="109"/>
        <w:gridCol w:w="228"/>
        <w:gridCol w:w="665"/>
        <w:gridCol w:w="128"/>
        <w:gridCol w:w="109"/>
        <w:gridCol w:w="109"/>
        <w:gridCol w:w="109"/>
        <w:gridCol w:w="211"/>
        <w:gridCol w:w="601"/>
        <w:gridCol w:w="119"/>
        <w:gridCol w:w="109"/>
        <w:gridCol w:w="109"/>
        <w:gridCol w:w="109"/>
        <w:gridCol w:w="314"/>
        <w:gridCol w:w="531"/>
        <w:gridCol w:w="176"/>
        <w:gridCol w:w="109"/>
        <w:gridCol w:w="109"/>
        <w:gridCol w:w="109"/>
        <w:gridCol w:w="196"/>
        <w:gridCol w:w="556"/>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Withdrawals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payables for collateral under securities loaned and other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 in connection with share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paid (received)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Consolidation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2023 consolidated balance sheet data was derived from audited consolidated financial statements included in Brighthouse Financial, Inc.’s Annual Report on Form 10-K for the year ended December 31, 2023 (the “2023 Annual Report”), which include all disclosures required by GAAP. Therefore, these interim condensed consolidated financial statements should be read in conjunction with the consolidated financial statements of the Company included in the 2023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Adoption of 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March 31, 2024.</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 December 2023, the FASB issued new guidance on Income Tax Disclosures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ASU updates the required income tax disclosures to include disclosure of income taxes paid disaggregated by jurisdiction and greater disaggregation of information in the required rate reconciliation. This ASU is effective for fiscal years starting January 1, 2025, and will be applied on a prospective basis. The Company is currently evaluating the impact of this guidance on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November 2023, the FASB issued new guidance on Segment Reporting Disclosures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This ASU updates reportable segment disclosures primarily through enhanced disclosures about significant segment expenses. This ASU does not change how a company identifies its operating segments, aggregates those operating segments, or applies the quantitative thresholds to determine its reportable segments. This ASU is effective for fiscal years starting January 1, 2024, and for interim periods starting January 1, 2025, and will be applied on a retrospective basis.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three segments: Annuities; Life; and Run-off. In addition, the Company reports certain of its results of operations in Corporate &amp; Other.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business reinsured through 100% quota share reinsurance agreements and activities related to funding agreements associated with the Company’s institutional spread margin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Measures and Segment Accounting Policies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the Company’s primary businesses by excluding the impact of market volatility, which could distort trends. The Company uses the term “adjusted loss” throughout this report to refer to negative adjusted earnings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(“Market Value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by segment, as well as Corporate &amp; Other,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55"/>
        <w:gridCol w:w="1255"/>
        <w:gridCol w:w="1261"/>
        <w:gridCol w:w="109"/>
        <w:gridCol w:w="109"/>
        <w:gridCol w:w="109"/>
        <w:gridCol w:w="210"/>
        <w:gridCol w:w="452"/>
        <w:gridCol w:w="119"/>
        <w:gridCol w:w="109"/>
        <w:gridCol w:w="109"/>
        <w:gridCol w:w="109"/>
        <w:gridCol w:w="196"/>
        <w:gridCol w:w="421"/>
        <w:gridCol w:w="109"/>
        <w:gridCol w:w="109"/>
        <w:gridCol w:w="109"/>
        <w:gridCol w:w="109"/>
        <w:gridCol w:w="196"/>
        <w:gridCol w:w="473"/>
        <w:gridCol w:w="109"/>
        <w:gridCol w:w="109"/>
        <w:gridCol w:w="109"/>
        <w:gridCol w:w="109"/>
        <w:gridCol w:w="347"/>
        <w:gridCol w:w="746"/>
        <w:gridCol w:w="193"/>
        <w:gridCol w:w="109"/>
        <w:gridCol w:w="109"/>
        <w:gridCol w:w="109"/>
        <w:gridCol w:w="196"/>
        <w:gridCol w:w="473"/>
        <w:gridCol w:w="159"/>
      </w:tblGrid>
      <w:tr>
        <w:trPr/>
        <w:tc>
          <w:tcPr>
            <w:tcW w:w="16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Preferred stock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55"/>
        <w:gridCol w:w="1255"/>
        <w:gridCol w:w="1261"/>
        <w:gridCol w:w="109"/>
        <w:gridCol w:w="109"/>
        <w:gridCol w:w="109"/>
        <w:gridCol w:w="210"/>
        <w:gridCol w:w="452"/>
        <w:gridCol w:w="119"/>
        <w:gridCol w:w="109"/>
        <w:gridCol w:w="109"/>
        <w:gridCol w:w="109"/>
        <w:gridCol w:w="196"/>
        <w:gridCol w:w="421"/>
        <w:gridCol w:w="109"/>
        <w:gridCol w:w="109"/>
        <w:gridCol w:w="109"/>
        <w:gridCol w:w="109"/>
        <w:gridCol w:w="196"/>
        <w:gridCol w:w="473"/>
        <w:gridCol w:w="109"/>
        <w:gridCol w:w="109"/>
        <w:gridCol w:w="109"/>
        <w:gridCol w:w="109"/>
        <w:gridCol w:w="347"/>
        <w:gridCol w:w="746"/>
        <w:gridCol w:w="193"/>
        <w:gridCol w:w="109"/>
        <w:gridCol w:w="109"/>
        <w:gridCol w:w="109"/>
        <w:gridCol w:w="196"/>
        <w:gridCol w:w="473"/>
        <w:gridCol w:w="159"/>
      </w:tblGrid>
      <w:tr>
        <w:trPr/>
        <w:tc>
          <w:tcPr>
            <w:tcW w:w="16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Preferred stock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by segment, as well as Corporate &amp; Other, were as follows:</w:t>
      </w:r>
    </w:p>
    <w:tbl>
      <w:tblPr>
        <w:tblW w:w="4837"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109"/>
        <w:gridCol w:w="109"/>
        <w:gridCol w:w="162"/>
        <w:gridCol w:w="162"/>
        <w:gridCol w:w="291"/>
        <w:gridCol w:w="827"/>
        <w:gridCol w:w="162"/>
        <w:gridCol w:w="109"/>
        <w:gridCol w:w="109"/>
        <w:gridCol w:w="109"/>
        <w:gridCol w:w="196"/>
        <w:gridCol w:w="55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by segment, as well as Corporate &amp; Other, were as follows at:</w:t>
      </w:r>
    </w:p>
    <w:tbl>
      <w:tblPr>
        <w:tblW w:w="4914"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237"/>
        <w:gridCol w:w="891"/>
        <w:gridCol w:w="132"/>
        <w:gridCol w:w="109"/>
        <w:gridCol w:w="109"/>
        <w:gridCol w:w="109"/>
        <w:gridCol w:w="279"/>
        <w:gridCol w:w="1047"/>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160,775 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Liability for 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liability for future policy benefits (“LFPB”) for non-participating traditional and limited-payment contracts was as follows: </w:t>
      </w:r>
    </w:p>
    <w:tbl>
      <w:tblPr>
        <w:tblW w:w="10205" w:type="dxa"/>
        <w:jc w:val="left"/>
        <w:tblInd w:w="0" w:type="dxa"/>
        <w:tblLayout w:type="fixed"/>
        <w:tblCellMar>
          <w:top w:w="28" w:type="dxa"/>
          <w:left w:w="28" w:type="dxa"/>
          <w:bottom w:w="28" w:type="dxa"/>
          <w:right w:w="28" w:type="dxa"/>
        </w:tblCellMar>
      </w:tblPr>
      <w:tblGrid>
        <w:gridCol w:w="910"/>
        <w:gridCol w:w="343"/>
        <w:gridCol w:w="344"/>
        <w:gridCol w:w="109"/>
        <w:gridCol w:w="109"/>
        <w:gridCol w:w="109"/>
        <w:gridCol w:w="208"/>
        <w:gridCol w:w="591"/>
        <w:gridCol w:w="256"/>
        <w:gridCol w:w="109"/>
        <w:gridCol w:w="109"/>
        <w:gridCol w:w="109"/>
        <w:gridCol w:w="197"/>
        <w:gridCol w:w="561"/>
        <w:gridCol w:w="243"/>
        <w:gridCol w:w="109"/>
        <w:gridCol w:w="109"/>
        <w:gridCol w:w="109"/>
        <w:gridCol w:w="224"/>
        <w:gridCol w:w="740"/>
        <w:gridCol w:w="276"/>
        <w:gridCol w:w="109"/>
        <w:gridCol w:w="109"/>
        <w:gridCol w:w="109"/>
        <w:gridCol w:w="208"/>
        <w:gridCol w:w="591"/>
        <w:gridCol w:w="256"/>
        <w:gridCol w:w="109"/>
        <w:gridCol w:w="109"/>
        <w:gridCol w:w="109"/>
        <w:gridCol w:w="197"/>
        <w:gridCol w:w="561"/>
        <w:gridCol w:w="243"/>
        <w:gridCol w:w="109"/>
        <w:gridCol w:w="109"/>
        <w:gridCol w:w="109"/>
        <w:gridCol w:w="223"/>
        <w:gridCol w:w="736"/>
        <w:gridCol w:w="335"/>
      </w:tblGrid>
      <w:tr>
        <w:trPr/>
        <w:tc>
          <w:tcPr>
            <w:tcW w:w="9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7,379 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6,928 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3,717 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3,604 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6,928 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years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years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years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additional insurance liabilities for universal life-type contracts with secondary guarantees was as follows:</w:t>
      </w:r>
    </w:p>
    <w:tbl>
      <w:tblPr>
        <w:tblW w:w="7538"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200"/>
        <w:gridCol w:w="569"/>
        <w:gridCol w:w="262"/>
        <w:gridCol w:w="111"/>
        <w:gridCol w:w="111"/>
        <w:gridCol w:w="111"/>
        <w:gridCol w:w="200"/>
        <w:gridCol w:w="569"/>
        <w:gridCol w:w="308"/>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7,209 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assessments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7,294 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7,123 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additional liability,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6.7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Gross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profit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March 31, 2024 and 2023, and 41% and 39% of gross traditional life insurance premiums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972"/>
        <w:gridCol w:w="301"/>
        <w:gridCol w:w="304"/>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83"/>
        <w:gridCol w:w="609"/>
        <w:gridCol w:w="425"/>
      </w:tblGrid>
      <w:tr>
        <w:trPr/>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 (1)</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4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14,923 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0.98 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0.41 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0.94 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4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35,922 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0.84 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0.85 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0.73 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4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(2)Excludes the effects of embedded derivatives related to index-linked crediting rates.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275"/>
        <w:gridCol w:w="909"/>
        <w:gridCol w:w="155"/>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(3)Amounts are gross of policy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MRB assets and liabilities associated with variable annuities was as follows:</w:t>
      </w:r>
    </w:p>
    <w:tbl>
      <w:tblPr>
        <w:tblW w:w="9907"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09"/>
        <w:gridCol w:w="109"/>
        <w:gridCol w:w="242"/>
        <w:gridCol w:w="242"/>
        <w:gridCol w:w="436"/>
        <w:gridCol w:w="1237"/>
        <w:gridCol w:w="242"/>
        <w:gridCol w:w="109"/>
        <w:gridCol w:w="109"/>
        <w:gridCol w:w="109"/>
        <w:gridCol w:w="196"/>
        <w:gridCol w:w="64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different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fund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risk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Aging of the block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net of reinsurance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attained age of contract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represent the sum of MRB assets and MRB liabilities presented on the consolidated balance sheets at March 31, 2024 and 2023, with the exception of $8 million and $4 million, respectively, of index-linked annuities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Separate Accounts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separate account liabilities was as follows:</w:t>
      </w:r>
    </w:p>
    <w:tbl>
      <w:tblPr>
        <w:tblW w:w="10205" w:type="dxa"/>
        <w:jc w:val="left"/>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79,770 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Separate Accounts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 of assets, by major investment asset category, supporting separate accounts was as follows at:</w:t>
      </w:r>
    </w:p>
    <w:tbl>
      <w:tblPr>
        <w:tblW w:w="6727"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259"/>
        <w:gridCol w:w="856"/>
        <w:gridCol w:w="144"/>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87,999 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 and Cash Surrender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the net amount at risk and cash surrender value for insurance products was as follows at: </w:t>
      </w:r>
    </w:p>
    <w:tbl>
      <w:tblPr>
        <w:tblW w:w="10205" w:type="dxa"/>
        <w:jc w:val="left"/>
        <w:tblInd w:w="0" w:type="dxa"/>
        <w:tblLayout w:type="fixed"/>
        <w:tblCellMar>
          <w:top w:w="28" w:type="dxa"/>
          <w:left w:w="28" w:type="dxa"/>
          <w:bottom w:w="28" w:type="dxa"/>
          <w:right w:w="28" w:type="dxa"/>
        </w:tblCellMar>
      </w:tblPr>
      <w:tblGrid>
        <w:gridCol w:w="783"/>
        <w:gridCol w:w="504"/>
        <w:gridCol w:w="461"/>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5"/>
      </w:tblGrid>
      <w:tr>
        <w:trPr/>
        <w:tc>
          <w:tcPr>
            <w:tcW w:w="7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34,968 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12,269 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365"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84,537 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37,420 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3,422 </w:t>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policy acquisition costs (“DAC”) and value of business acquired (“VOBA”) was as follows:</w:t>
      </w:r>
    </w:p>
    <w:tbl>
      <w:tblPr>
        <w:tblW w:w="10205" w:type="dxa"/>
        <w:jc w:val="center"/>
        <w:tblInd w:w="0" w:type="dxa"/>
        <w:tblLayout w:type="fixed"/>
        <w:tblCellMar>
          <w:top w:w="28" w:type="dxa"/>
          <w:left w:w="28" w:type="dxa"/>
          <w:bottom w:w="28" w:type="dxa"/>
          <w:right w:w="28" w:type="dxa"/>
        </w:tblCellMar>
      </w:tblPr>
      <w:tblGrid>
        <w:gridCol w:w="840"/>
        <w:gridCol w:w="570"/>
        <w:gridCol w:w="575"/>
        <w:gridCol w:w="109"/>
        <w:gridCol w:w="109"/>
        <w:gridCol w:w="109"/>
        <w:gridCol w:w="259"/>
        <w:gridCol w:w="737"/>
        <w:gridCol w:w="144"/>
        <w:gridCol w:w="109"/>
        <w:gridCol w:w="109"/>
        <w:gridCol w:w="109"/>
        <w:gridCol w:w="316"/>
        <w:gridCol w:w="681"/>
        <w:gridCol w:w="178"/>
        <w:gridCol w:w="109"/>
        <w:gridCol w:w="109"/>
        <w:gridCol w:w="109"/>
        <w:gridCol w:w="305"/>
        <w:gridCol w:w="868"/>
        <w:gridCol w:w="170"/>
        <w:gridCol w:w="109"/>
        <w:gridCol w:w="109"/>
        <w:gridCol w:w="109"/>
        <w:gridCol w:w="419"/>
        <w:gridCol w:w="904"/>
        <w:gridCol w:w="236"/>
        <w:gridCol w:w="109"/>
        <w:gridCol w:w="109"/>
        <w:gridCol w:w="109"/>
        <w:gridCol w:w="344"/>
        <w:gridCol w:w="741"/>
        <w:gridCol w:w="283"/>
      </w:tblGrid>
      <w:tr>
        <w:trPr/>
        <w:tc>
          <w:tcPr>
            <w:tcW w:w="8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2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Sales Inducements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Consolidated Financial Statements included in the 2023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by sector were as follows at:</w:t>
      </w:r>
    </w:p>
    <w:tbl>
      <w:tblPr>
        <w:tblW w:w="12504" w:type="dxa"/>
        <w:jc w:val="left"/>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non-income producing fixed maturity securities with an estimated fair value of $51 million and $52 million at March 31,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fixed maturity securities, by contractual maturity date, were as follows at March 31, 2024:</w:t>
      </w:r>
    </w:p>
    <w:tbl>
      <w:tblPr>
        <w:tblW w:w="9723" w:type="dxa"/>
        <w:jc w:val="left"/>
        <w:tblInd w:w="0" w:type="dxa"/>
        <w:tblLayout w:type="fixed"/>
        <w:tblCellMar>
          <w:top w:w="28" w:type="dxa"/>
          <w:left w:w="28" w:type="dxa"/>
          <w:bottom w:w="28" w:type="dxa"/>
          <w:right w:w="28" w:type="dxa"/>
        </w:tblCellMar>
      </w:tblPr>
      <w:tblGrid>
        <w:gridCol w:w="548"/>
        <w:gridCol w:w="481"/>
        <w:gridCol w:w="485"/>
        <w:gridCol w:w="232"/>
        <w:gridCol w:w="659"/>
        <w:gridCol w:w="129"/>
        <w:gridCol w:w="109"/>
        <w:gridCol w:w="109"/>
        <w:gridCol w:w="109"/>
        <w:gridCol w:w="241"/>
        <w:gridCol w:w="795"/>
        <w:gridCol w:w="134"/>
        <w:gridCol w:w="109"/>
        <w:gridCol w:w="109"/>
        <w:gridCol w:w="109"/>
        <w:gridCol w:w="247"/>
        <w:gridCol w:w="815"/>
        <w:gridCol w:w="137"/>
        <w:gridCol w:w="109"/>
        <w:gridCol w:w="109"/>
        <w:gridCol w:w="109"/>
        <w:gridCol w:w="235"/>
        <w:gridCol w:w="775"/>
        <w:gridCol w:w="130"/>
        <w:gridCol w:w="109"/>
        <w:gridCol w:w="109"/>
        <w:gridCol w:w="109"/>
        <w:gridCol w:w="216"/>
        <w:gridCol w:w="713"/>
        <w:gridCol w:w="120"/>
        <w:gridCol w:w="109"/>
        <w:gridCol w:w="109"/>
        <w:gridCol w:w="109"/>
        <w:gridCol w:w="196"/>
        <w:gridCol w:w="64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in One </w:t>
              <w:br/>
              <w:t>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One</w:t>
              <w:br/>
              <w:t>Year Through</w:t>
              <w:b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Five</w:t>
              <w:br/>
              <w:t>Years Through</w:t>
              <w:br/>
              <w:t>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Ten</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Structured</w:t>
              <w:br/>
              <w:t>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Fixed</w:t>
              <w:br/>
              <w:t>Maturity</w:t>
              <w:br/>
              <w:t>Securities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553" w:type="dxa"/>
        <w:jc w:val="center"/>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01"/>
        <w:gridCol w:w="572"/>
        <w:gridCol w:w="113"/>
        <w:gridCol w:w="109"/>
        <w:gridCol w:w="109"/>
        <w:gridCol w:w="109"/>
        <w:gridCol w:w="196"/>
        <w:gridCol w:w="556"/>
        <w:gridCol w:w="109"/>
        <w:gridCol w:w="109"/>
        <w:gridCol w:w="109"/>
        <w:gridCol w:w="109"/>
        <w:gridCol w:w="239"/>
        <w:gridCol w:w="513"/>
        <w:gridCol w:w="134"/>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$709 million and $655 million at March 31, 2024 and December 31, 2023, respectively, and is included in accrued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current evaluation of its fixed maturity securities in an unrealized loss position and the current intent or requirement to sell, the Company recorded an allowance for credit losses of $27 million, relating to 23 securities at March 31, 2024.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for fixed maturity securities was $27 million and $21 million at March 31, 2024 and December 31, 2023, respectively. For both the three months ended March 31, 2024 and 2023, the change in the allowance for fixed maturity securities by sector was not significant. The Company did not record total write-offs for the three months ended March 31, 2024. The Company recorded total write-offs of $7 million for the three months ended March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Mortgage Loans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summarized as follows at:</w:t>
      </w:r>
    </w:p>
    <w:tbl>
      <w:tblPr>
        <w:tblW w:w="6640"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23"/>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(1)Purchases of mortgage loans from third parties were $161 million and $32 million for the three months ended March 31, 2024 and 2023, respectively, and were primarily comprised of residential mortgage loans.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$118 million and $123 million at March 31, 2024 and December 31,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by portfolio segment were as follows:</w:t>
      </w:r>
    </w:p>
    <w:tbl>
      <w:tblPr>
        <w:tblW w:w="7650" w:type="dxa"/>
        <w:jc w:val="left"/>
        <w:tblInd w:w="0" w:type="dxa"/>
        <w:tblLayout w:type="fixed"/>
        <w:tblCellMar>
          <w:top w:w="28" w:type="dxa"/>
          <w:left w:w="28" w:type="dxa"/>
          <w:bottom w:w="28" w:type="dxa"/>
          <w:right w:w="28" w:type="dxa"/>
        </w:tblCellMar>
      </w:tblPr>
      <w:tblGrid>
        <w:gridCol w:w="1086"/>
        <w:gridCol w:w="953"/>
        <w:gridCol w:w="961"/>
        <w:gridCol w:w="305"/>
        <w:gridCol w:w="515"/>
        <w:gridCol w:w="171"/>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49"/>
        <w:gridCol w:w="718"/>
        <w:gridCol w:w="693"/>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84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7"/>
        <w:gridCol w:w="683"/>
        <w:gridCol w:w="685"/>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commercial mortgage loans by debt-service coverage ratio was as follows at:</w:t>
      </w:r>
    </w:p>
    <w:tbl>
      <w:tblPr>
        <w:tblW w:w="7338"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268"/>
        <w:gridCol w:w="109"/>
        <w:gridCol w:w="109"/>
        <w:gridCol w:w="109"/>
        <w:gridCol w:w="256"/>
        <w:gridCol w:w="846"/>
        <w:gridCol w:w="142"/>
        <w:gridCol w:w="109"/>
        <w:gridCol w:w="109"/>
        <w:gridCol w:w="109"/>
        <w:gridCol w:w="278"/>
        <w:gridCol w:w="278"/>
        <w:gridCol w:w="31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1.00x</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high-quality, well-performing mortgage loan portfolio, with over 99% of all mortgage loans classified as performing at both March 31, 2024 and December 31, 2023.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in a nonaccrual status by portfolio segment was as follows at:</w:t>
      </w:r>
    </w:p>
    <w:tbl>
      <w:tblPr>
        <w:tblW w:w="6418" w:type="dxa"/>
        <w:jc w:val="left"/>
        <w:tblInd w:w="0" w:type="dxa"/>
        <w:tblLayout w:type="fixed"/>
        <w:tblCellMar>
          <w:top w:w="28" w:type="dxa"/>
          <w:left w:w="28" w:type="dxa"/>
          <w:bottom w:w="28" w:type="dxa"/>
          <w:right w:w="28" w:type="dxa"/>
        </w:tblCellMar>
      </w:tblPr>
      <w:tblGrid>
        <w:gridCol w:w="549"/>
        <w:gridCol w:w="481"/>
        <w:gridCol w:w="485"/>
        <w:gridCol w:w="305"/>
        <w:gridCol w:w="515"/>
        <w:gridCol w:w="171"/>
        <w:gridCol w:w="109"/>
        <w:gridCol w:w="109"/>
        <w:gridCol w:w="109"/>
        <w:gridCol w:w="277"/>
        <w:gridCol w:w="574"/>
        <w:gridCol w:w="155"/>
        <w:gridCol w:w="109"/>
        <w:gridCol w:w="109"/>
        <w:gridCol w:w="109"/>
        <w:gridCol w:w="311"/>
        <w:gridCol w:w="669"/>
        <w:gridCol w:w="174"/>
        <w:gridCol w:w="109"/>
        <w:gridCol w:w="109"/>
        <w:gridCol w:w="109"/>
        <w:gridCol w:w="196"/>
        <w:gridCol w:w="42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Company had no mortgage loans in nonaccrual status for which there was no related allowance for credit losses at both March 31, 2024 and December 31,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period investment income on mortgage loans in nonaccrual status was less than $1 million for both the three months ended March 31, 2024 and 2023.</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modifications are granted to nonperforming mortgage loans. Generally, the types of concessions may include interest rate reduction, term extension, principal forgiveness, or a combination of all three. The Company did not have a significant amount of mortgage loans modified during both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80%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tax credit and renewable energy partnerships and leveraged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Unrealized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unrealized investment gains (losses), included in AOCI, were as follows at:</w:t>
      </w:r>
    </w:p>
    <w:tbl>
      <w:tblPr>
        <w:tblW w:w="6100" w:type="dxa"/>
        <w:jc w:val="left"/>
        <w:tblInd w:w="0" w:type="dxa"/>
        <w:tblLayout w:type="fixed"/>
        <w:tblCellMar>
          <w:top w:w="28" w:type="dxa"/>
          <w:left w:w="28" w:type="dxa"/>
          <w:bottom w:w="28" w:type="dxa"/>
          <w:right w:w="28" w:type="dxa"/>
        </w:tblCellMar>
      </w:tblPr>
      <w:tblGrid>
        <w:gridCol w:w="1077"/>
        <w:gridCol w:w="942"/>
        <w:gridCol w:w="950"/>
        <w:gridCol w:w="264"/>
        <w:gridCol w:w="850"/>
        <w:gridCol w:w="146"/>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(5,766)</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allocated from:</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net unrealized investment gains (losses) were as follows:</w:t>
      </w:r>
    </w:p>
    <w:tbl>
      <w:tblPr>
        <w:tblW w:w="6823" w:type="dxa"/>
        <w:jc w:val="left"/>
        <w:tblInd w:w="0" w:type="dxa"/>
        <w:tblLayout w:type="fixed"/>
        <w:tblCellMar>
          <w:top w:w="28" w:type="dxa"/>
          <w:left w:w="28" w:type="dxa"/>
          <w:bottom w:w="28" w:type="dxa"/>
          <w:right w:w="28" w:type="dxa"/>
        </w:tblCellMar>
      </w:tblPr>
      <w:tblGrid>
        <w:gridCol w:w="1437"/>
        <w:gridCol w:w="1266"/>
        <w:gridCol w:w="1271"/>
        <w:gridCol w:w="569"/>
        <w:gridCol w:w="1833"/>
        <w:gridCol w:w="447"/>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during the period</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relating to:</w:t>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investment gains (losses)</w:t>
            </w:r>
          </w:p>
        </w:tc>
        <w:tc>
          <w:tcPr>
            <w:tcW w:w="5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w:t>
            </w:r>
          </w:p>
        </w:tc>
        <w:tc>
          <w:tcPr>
            <w:tcW w:w="4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investments in any counterparty that were greater than 10% of the Company’s equity, other than the U.S. government and its agencies, at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Elements of the securities lending program are presented below at:</w:t>
      </w:r>
    </w:p>
    <w:tbl>
      <w:tblPr>
        <w:tblW w:w="6596" w:type="dxa"/>
        <w:jc w:val="left"/>
        <w:tblInd w:w="0" w:type="dxa"/>
        <w:tblLayout w:type="fixed"/>
        <w:tblCellMar>
          <w:top w:w="28" w:type="dxa"/>
          <w:left w:w="28" w:type="dxa"/>
          <w:bottom w:w="28" w:type="dxa"/>
          <w:right w:w="28" w:type="dxa"/>
        </w:tblCellMar>
      </w:tblPr>
      <w:tblGrid>
        <w:gridCol w:w="1257"/>
        <w:gridCol w:w="1102"/>
        <w:gridCol w:w="1106"/>
        <w:gridCol w:w="287"/>
        <w:gridCol w:w="814"/>
        <w:gridCol w:w="159"/>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on loan: (1)</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collateral received from counterparties (2)</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Reinvestment portfolio — estimated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fixed maturity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payables for collateral under securities loaned and other transactions.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cash collateral liability by loaned security type and remaining tenor of the agreements were as follows at:</w:t>
      </w:r>
    </w:p>
    <w:tbl>
      <w:tblPr>
        <w:tblW w:w="10785"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related loaned security could be returned to the Company on the next business day which would require the Company to immediately return the cash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March 31, 2024 was $568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reinvestment portfolio acquired with the cash collateral consisted principally of fixed maturity securities (including agency RMBS, ABS, U.S. government and agency securities, U.S. and foreign corporate securities, non-agency RMBS and CMBS) with 54% invested in agency RMBS, U.S. government and agency securities and cash and cash equivalents at March 31, 2024.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Invested assets on deposit, held in trust and pledged as collateral at estimated fair value were as follows at:</w:t>
      </w:r>
    </w:p>
    <w:tbl>
      <w:tblPr>
        <w:tblW w:w="8186" w:type="dxa"/>
        <w:jc w:val="left"/>
        <w:tblInd w:w="0" w:type="dxa"/>
        <w:tblLayout w:type="fixed"/>
        <w:tblCellMar>
          <w:top w:w="28" w:type="dxa"/>
          <w:left w:w="28" w:type="dxa"/>
          <w:bottom w:w="28" w:type="dxa"/>
          <w:right w:w="28" w:type="dxa"/>
        </w:tblCellMar>
      </w:tblPr>
      <w:tblGrid>
        <w:gridCol w:w="1828"/>
        <w:gridCol w:w="1611"/>
        <w:gridCol w:w="1616"/>
        <w:gridCol w:w="259"/>
        <w:gridCol w:w="856"/>
        <w:gridCol w:w="144"/>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on deposit (regulatory deposits) (1)</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held in trust (reinsurance agreements) (2)</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pledged as collateral (3)</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invested assets on deposit, held in trust and pledged as collateral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assets, primarily fixed maturity securities, on deposit with governmental authorities relating to certain policyholder liabilities, of which $37 million and $102 million of the assets on deposit represents restricted cash and cash equivalents at March 31, 2024 and December 31, 2023,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has assets, primarily fixed maturity securities, held in trust relating to certain reinsurance transactions, of which $99 million and $120 million of the assets held in trust balance represents restricted cash and cash equivalents at March 31, 2024 and December 31, 2023,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pledged invested assets in connection with various agreements and transactions, including funding agreements (see Note 4 of the Notes to the Consolidated Financial Statements included in the 2023 Annual Report) and derivative transactions (see Note 8).</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Securities Lending” for information regarding securities on loan. In addition, the Company’s investment in FHLB common stock, which is considered restricted until redeemed by the issuer, was $245 million at redemption value at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VIEs for which the Company has concluded that it is the primary beneficiary at either March 31, 2024 or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maximum exposure to loss related to the VIEs for which the Company has concluded that it holds a variable interest, but is not the primary beneficiary, were as follows at:</w:t>
      </w:r>
    </w:p>
    <w:tbl>
      <w:tblPr>
        <w:tblW w:w="7155" w:type="dxa"/>
        <w:jc w:val="left"/>
        <w:tblInd w:w="0" w:type="dxa"/>
        <w:tblLayout w:type="fixed"/>
        <w:tblCellMar>
          <w:top w:w="28" w:type="dxa"/>
          <w:left w:w="28" w:type="dxa"/>
          <w:bottom w:w="28" w:type="dxa"/>
          <w:right w:w="28" w:type="dxa"/>
        </w:tblCellMar>
      </w:tblPr>
      <w:tblGrid>
        <w:gridCol w:w="843"/>
        <w:gridCol w:w="738"/>
        <w:gridCol w:w="74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w:t>
              <w:br/>
              <w:t xml:space="preserve">Exposure </w:t>
              <w:br/>
              <w:t>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w:t>
              <w:br/>
              <w:t>Exposure</w:t>
              <w:br/>
              <w:t>to Loss</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VIEs are described below.</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Limited Partnerships and LLCs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income were as follows:</w:t>
      </w:r>
    </w:p>
    <w:tbl>
      <w:tblPr>
        <w:tblW w:w="6745" w:type="dxa"/>
        <w:jc w:val="left"/>
        <w:tblInd w:w="0" w:type="dxa"/>
        <w:tblLayout w:type="fixed"/>
        <w:tblCellMar>
          <w:top w:w="28" w:type="dxa"/>
          <w:left w:w="28" w:type="dxa"/>
          <w:bottom w:w="28" w:type="dxa"/>
          <w:right w:w="28" w:type="dxa"/>
        </w:tblCellMar>
      </w:tblPr>
      <w:tblGrid>
        <w:gridCol w:w="1335"/>
        <w:gridCol w:w="1176"/>
        <w:gridCol w:w="1179"/>
        <w:gridCol w:w="109"/>
        <w:gridCol w:w="109"/>
        <w:gridCol w:w="162"/>
        <w:gridCol w:w="162"/>
        <w:gridCol w:w="291"/>
        <w:gridCol w:w="827"/>
        <w:gridCol w:w="162"/>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net investment income pertaining to other limited partnership interests of $93 million and ($1) million for the three months ended March 31, 2024 and 2023,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Gains (Losses)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gains (losses) were as follows:</w:t>
      </w:r>
    </w:p>
    <w:tbl>
      <w:tblPr>
        <w:tblW w:w="5468" w:type="dxa"/>
        <w:jc w:val="left"/>
        <w:tblInd w:w="0" w:type="dxa"/>
        <w:tblLayout w:type="fixed"/>
        <w:tblCellMar>
          <w:top w:w="28" w:type="dxa"/>
          <w:left w:w="28" w:type="dxa"/>
          <w:bottom w:w="28" w:type="dxa"/>
          <w:right w:w="28" w:type="dxa"/>
        </w:tblCellMar>
      </w:tblPr>
      <w:tblGrid>
        <w:gridCol w:w="928"/>
        <w:gridCol w:w="816"/>
        <w:gridCol w:w="820"/>
        <w:gridCol w:w="109"/>
        <w:gridCol w:w="109"/>
        <w:gridCol w:w="188"/>
        <w:gridCol w:w="188"/>
        <w:gridCol w:w="338"/>
        <w:gridCol w:w="701"/>
        <w:gridCol w:w="188"/>
        <w:gridCol w:w="109"/>
        <w:gridCol w:w="109"/>
        <w:gridCol w:w="109"/>
        <w:gridCol w:w="196"/>
        <w:gridCol w:w="40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from foreign currency transactions included within net investment gains (losses) were not significant for both the three months ended March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4028" w:type="dxa"/>
        <w:jc w:val="left"/>
        <w:tblInd w:w="0" w:type="dxa"/>
        <w:tblLayout w:type="fixed"/>
        <w:tblCellMar>
          <w:top w:w="28" w:type="dxa"/>
          <w:left w:w="28" w:type="dxa"/>
          <w:bottom w:w="28" w:type="dxa"/>
          <w:right w:w="28" w:type="dxa"/>
        </w:tblCellMar>
      </w:tblPr>
      <w:tblGrid>
        <w:gridCol w:w="797"/>
        <w:gridCol w:w="701"/>
        <w:gridCol w:w="706"/>
        <w:gridCol w:w="196"/>
        <w:gridCol w:w="421"/>
        <w:gridCol w:w="109"/>
        <w:gridCol w:w="109"/>
        <w:gridCol w:w="109"/>
        <w:gridCol w:w="109"/>
        <w:gridCol w:w="196"/>
        <w:gridCol w:w="42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gains</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Accounting for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Consolidated Financial Statements included in the 2023 Annual Report for a description of the Company’s accounting policies for derivatives and the fair value hierarchy for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overall risk management strategy that incorporates the use of derivative instruments to minimize its exposure to various market risks.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Interest rate derivatives: swaps, floors, caps, swaptions and forwards;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Equity market derivatives: options, total return swaps and hybrid options;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Credit derivatives: single and index reference credit default swaps and swaptions.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detailed information on these contracts and the related strategies, see Note 7 of the Notes to the Consolidated Financial Statements included in the 2023 Annual Report. In the first quarter of 2024, the Company entered into interest rate swaps to manage the interest rate risk in funding agreement liabilities. These interest rate swaps are qualifying hedges.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Primary Risks Managed by Derivatives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primary underlying risk exposure, gross notional amount and estimated fair value</w:t>
      </w:r>
      <w:r>
        <w:rPr>
          <w:color w:val="000000"/>
        </w:rPr>
        <w:t xml:space="preserve"> </w:t>
      </w:r>
      <w:r>
        <w:rPr>
          <w:rFonts w:ascii="Times New Roman;sans-serif" w:hAnsi="Times New Roman;sans-serif"/>
          <w:b w:val="false"/>
          <w:color w:val="000000"/>
          <w:sz w:val="20"/>
        </w:rPr>
        <w:t>of derivatives, excluding embedded derivatives, held were as follows at:</w:t>
      </w:r>
    </w:p>
    <w:tbl>
      <w:tblPr>
        <w:tblW w:w="11030" w:type="dxa"/>
        <w:jc w:val="left"/>
        <w:tblInd w:w="0" w:type="dxa"/>
        <w:tblLayout w:type="fixed"/>
        <w:tblCellMar>
          <w:top w:w="28" w:type="dxa"/>
          <w:left w:w="28" w:type="dxa"/>
          <w:bottom w:w="28" w:type="dxa"/>
          <w:right w:w="28" w:type="dxa"/>
        </w:tblCellMar>
      </w:tblPr>
      <w:tblGrid>
        <w:gridCol w:w="802"/>
        <w:gridCol w:w="191"/>
        <w:gridCol w:w="193"/>
        <w:gridCol w:w="840"/>
        <w:gridCol w:w="735"/>
        <w:gridCol w:w="736"/>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Notional</w:t>
              <w:br/>
              <w:t>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Notional</w:t>
              <w:br/>
              <w:t>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4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swaps — written</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index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total return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Hybrid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non-designated or non-qualifying derivatives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gross notional amounts, a substantial portion of the Company’s derivatives was not designated or did not qualify as part of a hedging relationship at both March 31, 2024 and December 31, 2023.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gains (losses), including earned income, recognized for derivatives and gains (losses) pertaining to hedged items reported in net derivative gains (losses) were as follows:</w:t>
      </w:r>
    </w:p>
    <w:tbl>
      <w:tblPr>
        <w:tblW w:w="10205" w:type="dxa"/>
        <w:jc w:val="left"/>
        <w:tblInd w:w="0" w:type="dxa"/>
        <w:tblLayout w:type="fixed"/>
        <w:tblCellMar>
          <w:top w:w="28" w:type="dxa"/>
          <w:left w:w="28" w:type="dxa"/>
          <w:bottom w:w="28" w:type="dxa"/>
          <w:right w:w="28" w:type="dxa"/>
        </w:tblCellMar>
      </w:tblPr>
      <w:tblGrid>
        <w:gridCol w:w="973"/>
        <w:gridCol w:w="538"/>
        <w:gridCol w:w="542"/>
        <w:gridCol w:w="336"/>
        <w:gridCol w:w="1077"/>
        <w:gridCol w:w="186"/>
        <w:gridCol w:w="109"/>
        <w:gridCol w:w="109"/>
        <w:gridCol w:w="109"/>
        <w:gridCol w:w="436"/>
        <w:gridCol w:w="904"/>
        <w:gridCol w:w="243"/>
        <w:gridCol w:w="109"/>
        <w:gridCol w:w="109"/>
        <w:gridCol w:w="109"/>
        <w:gridCol w:w="296"/>
        <w:gridCol w:w="613"/>
        <w:gridCol w:w="165"/>
        <w:gridCol w:w="109"/>
        <w:gridCol w:w="109"/>
        <w:gridCol w:w="109"/>
        <w:gridCol w:w="362"/>
        <w:gridCol w:w="751"/>
        <w:gridCol w:w="202"/>
        <w:gridCol w:w="109"/>
        <w:gridCol w:w="109"/>
        <w:gridCol w:w="109"/>
        <w:gridCol w:w="331"/>
        <w:gridCol w:w="671"/>
        <w:gridCol w:w="271"/>
      </w:tblGrid>
      <w:tr>
        <w:trPr/>
        <w:tc>
          <w:tcPr>
            <w:tcW w:w="9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 (Losses) Deferred in AOCI</w:t>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053"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053"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balance in AOCI associated with cash flow hedges was $401 million and $351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Credit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258"/>
        <w:gridCol w:w="437"/>
        <w:gridCol w:w="145"/>
        <w:gridCol w:w="109"/>
        <w:gridCol w:w="109"/>
        <w:gridCol w:w="109"/>
        <w:gridCol w:w="290"/>
        <w:gridCol w:w="823"/>
        <w:gridCol w:w="163"/>
        <w:gridCol w:w="109"/>
        <w:gridCol w:w="109"/>
        <w:gridCol w:w="109"/>
        <w:gridCol w:w="324"/>
        <w:gridCol w:w="324"/>
        <w:gridCol w:w="326"/>
        <w:gridCol w:w="109"/>
        <w:gridCol w:w="109"/>
        <w:gridCol w:w="109"/>
        <w:gridCol w:w="273"/>
        <w:gridCol w:w="461"/>
        <w:gridCol w:w="152"/>
        <w:gridCol w:w="109"/>
        <w:gridCol w:w="109"/>
        <w:gridCol w:w="109"/>
        <w:gridCol w:w="290"/>
        <w:gridCol w:w="823"/>
        <w:gridCol w:w="163"/>
        <w:gridCol w:w="109"/>
        <w:gridCol w:w="109"/>
        <w:gridCol w:w="109"/>
        <w:gridCol w:w="298"/>
        <w:gridCol w:w="298"/>
        <w:gridCol w:w="430"/>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of Credit</w:t>
              <w:br/>
              <w:t>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Amount of</w:t>
              <w:br/>
              <w:t>Future</w:t>
              <w:br/>
              <w:t>Payments under</w:t>
              <w:br/>
              <w:t>Credit 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Years to</w:t>
              <w:br/>
              <w:t>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of Credit</w:t>
              <w:br/>
              <w:t>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Amount of</w:t>
              <w:br/>
              <w:t>Future</w:t>
              <w:br/>
              <w:t>Payments under</w:t>
              <w:br/>
              <w:t>Credit 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Years to</w:t>
              <w:br/>
              <w:t>Maturity (2)</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Caa and Lower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for a description of the impact of credit risk on the valuation of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501"/>
        <w:gridCol w:w="265"/>
        <w:gridCol w:w="266"/>
        <w:gridCol w:w="109"/>
        <w:gridCol w:w="109"/>
        <w:gridCol w:w="109"/>
        <w:gridCol w:w="264"/>
        <w:gridCol w:w="751"/>
        <w:gridCol w:w="148"/>
        <w:gridCol w:w="109"/>
        <w:gridCol w:w="109"/>
        <w:gridCol w:w="109"/>
        <w:gridCol w:w="314"/>
        <w:gridCol w:w="750"/>
        <w:gridCol w:w="137"/>
        <w:gridCol w:w="137"/>
        <w:gridCol w:w="137"/>
        <w:gridCol w:w="137"/>
        <w:gridCol w:w="357"/>
        <w:gridCol w:w="660"/>
        <w:gridCol w:w="155"/>
        <w:gridCol w:w="109"/>
        <w:gridCol w:w="109"/>
        <w:gridCol w:w="109"/>
        <w:gridCol w:w="202"/>
        <w:gridCol w:w="573"/>
        <w:gridCol w:w="112"/>
        <w:gridCol w:w="109"/>
        <w:gridCol w:w="109"/>
        <w:gridCol w:w="109"/>
        <w:gridCol w:w="294"/>
        <w:gridCol w:w="900"/>
        <w:gridCol w:w="163"/>
        <w:gridCol w:w="109"/>
        <w:gridCol w:w="109"/>
        <w:gridCol w:w="109"/>
        <w:gridCol w:w="344"/>
        <w:gridCol w:w="715"/>
        <w:gridCol w:w="288"/>
      </w:tblGrid>
      <w:tr>
        <w:trPr/>
        <w:tc>
          <w:tcPr>
            <w:tcW w:w="5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(1)</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After Securities Collateral</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amounts subject to an enforceable master netting agreement or similar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7973"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287"/>
        <w:gridCol w:w="814"/>
        <w:gridCol w:w="159"/>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Considerable judgment is often required in interpreting market data to develop estimates of fair value, and the use of different assumptions or valuation methodologies may have a material effect on the estimated fair value amounts.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(2)Embedded derivative assets on index-linked annuities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2024.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Determination of Fair Value</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corporate and foreign corporate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government and agency, state and political subdivision and foreign government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Structured Securities:</w:t>
      </w:r>
      <w:r>
        <w:rPr>
          <w:color w:val="000000"/>
        </w:rPr>
        <w:t xml:space="preserve"> </w:t>
      </w:r>
      <w:r>
        <w:rPr>
          <w:rFonts w:ascii="Times New Roman;sans-serif" w:hAnsi="Times New Roman;sans-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Equity securities and short-term investments: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 </w:t>
      </w:r>
    </w:p>
    <w:tbl>
      <w:tblPr>
        <w:tblW w:w="10205" w:type="dxa"/>
        <w:jc w:val="left"/>
        <w:tblInd w:w="0" w:type="dxa"/>
        <w:tblLayout w:type="fixed"/>
        <w:tblCellMar>
          <w:top w:w="28" w:type="dxa"/>
          <w:left w:w="28" w:type="dxa"/>
          <w:bottom w:w="28" w:type="dxa"/>
          <w:right w:w="28" w:type="dxa"/>
        </w:tblCellMar>
      </w:tblPr>
      <w:tblGrid>
        <w:gridCol w:w="622"/>
        <w:gridCol w:w="479"/>
        <w:gridCol w:w="481"/>
        <w:gridCol w:w="168"/>
        <w:gridCol w:w="168"/>
        <w:gridCol w:w="168"/>
        <w:gridCol w:w="351"/>
        <w:gridCol w:w="351"/>
        <w:gridCol w:w="357"/>
        <w:gridCol w:w="109"/>
        <w:gridCol w:w="109"/>
        <w:gridCol w:w="109"/>
        <w:gridCol w:w="225"/>
        <w:gridCol w:w="225"/>
        <w:gridCol w:w="225"/>
        <w:gridCol w:w="594"/>
        <w:gridCol w:w="363"/>
        <w:gridCol w:w="361"/>
        <w:gridCol w:w="109"/>
        <w:gridCol w:w="109"/>
        <w:gridCol w:w="109"/>
        <w:gridCol w:w="163"/>
        <w:gridCol w:w="163"/>
        <w:gridCol w:w="147"/>
        <w:gridCol w:w="111"/>
        <w:gridCol w:w="111"/>
        <w:gridCol w:w="111"/>
        <w:gridCol w:w="157"/>
        <w:gridCol w:w="157"/>
        <w:gridCol w:w="158"/>
        <w:gridCol w:w="109"/>
        <w:gridCol w:w="109"/>
        <w:gridCol w:w="109"/>
        <w:gridCol w:w="164"/>
        <w:gridCol w:w="164"/>
        <w:gridCol w:w="145"/>
        <w:gridCol w:w="118"/>
        <w:gridCol w:w="118"/>
        <w:gridCol w:w="118"/>
        <w:gridCol w:w="157"/>
        <w:gridCol w:w="157"/>
        <w:gridCol w:w="158"/>
        <w:gridCol w:w="109"/>
        <w:gridCol w:w="109"/>
        <w:gridCol w:w="109"/>
        <w:gridCol w:w="343"/>
        <w:gridCol w:w="343"/>
        <w:gridCol w:w="496"/>
      </w:tblGrid>
      <w:tr>
        <w:trPr/>
        <w:tc>
          <w:tcPr>
            <w:tcW w:w="62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Impact of </w:t>
              <w:br/>
              <w:t>Increase in Input</w:t>
              <w:br/>
              <w:t xml:space="preserve">on Estimated </w:t>
              <w:br/>
              <w:t>Fair Value</w:t>
            </w:r>
          </w:p>
        </w:tc>
      </w:tr>
      <w:tr>
        <w:trPr/>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6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Variable annuity guaranteed minimum benefits</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(3)</w:t>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11.72%</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12.59%</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(5)</w:t>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0.53%</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0.76%</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r>
        <w:trPr/>
        <w:tc>
          <w:tcPr>
            <w:tcW w:w="546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Index-linked annuity crediting rates</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58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58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0.26%</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0.45%</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49"/>
        <w:gridCol w:w="552"/>
        <w:gridCol w:w="561"/>
        <w:gridCol w:w="109"/>
        <w:gridCol w:w="109"/>
        <w:gridCol w:w="109"/>
        <w:gridCol w:w="210"/>
        <w:gridCol w:w="541"/>
        <w:gridCol w:w="128"/>
        <w:gridCol w:w="109"/>
        <w:gridCol w:w="109"/>
        <w:gridCol w:w="109"/>
        <w:gridCol w:w="224"/>
        <w:gridCol w:w="503"/>
        <w:gridCol w:w="136"/>
        <w:gridCol w:w="109"/>
        <w:gridCol w:w="109"/>
        <w:gridCol w:w="109"/>
        <w:gridCol w:w="109"/>
        <w:gridCol w:w="109"/>
        <w:gridCol w:w="218"/>
        <w:gridCol w:w="490"/>
        <w:gridCol w:w="133"/>
        <w:gridCol w:w="109"/>
        <w:gridCol w:w="109"/>
        <w:gridCol w:w="109"/>
        <w:gridCol w:w="181"/>
        <w:gridCol w:w="406"/>
        <w:gridCol w:w="109"/>
        <w:gridCol w:w="109"/>
        <w:gridCol w:w="109"/>
        <w:gridCol w:w="109"/>
        <w:gridCol w:w="109"/>
        <w:gridCol w:w="109"/>
        <w:gridCol w:w="217"/>
        <w:gridCol w:w="487"/>
        <w:gridCol w:w="131"/>
        <w:gridCol w:w="109"/>
        <w:gridCol w:w="109"/>
        <w:gridCol w:w="109"/>
        <w:gridCol w:w="319"/>
        <w:gridCol w:w="849"/>
        <w:gridCol w:w="193"/>
        <w:gridCol w:w="109"/>
        <w:gridCol w:w="161"/>
      </w:tblGrid>
      <w:tr>
        <w:trPr/>
        <w:tc>
          <w:tcPr>
            <w:tcW w:w="9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Measurements Using Significant Unobservable Inputs (Level 3)</w:t>
            </w:r>
          </w:p>
        </w:tc>
        <w:tc>
          <w:tcPr>
            <w:tcW w:w="2902" w:type="dxa"/>
            <w:gridSpan w:val="12"/>
            <w:tcBorders/>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902" w:type="dxa"/>
            <w:gridSpan w:val="12"/>
            <w:tcBorders/>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March 31,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(2,040)</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March 31,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March 31, 2023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w:t>
            </w:r>
          </w:p>
        </w:tc>
        <w:tc>
          <w:tcPr>
            <w:tcW w:w="1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March 31, 2023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(4)Interest and dividend accruals, as well as cash interest coupons and dividends received, are excluded from the rollforward.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(5)Items purchased/issued and then sold/settled in the same period are excluded from the rollforward. Fees attributed to embedded derivatives are included in settlements.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for such financial instruments, and their corresponding placement in the fair value hierarchy, are summarized as follows at:</w:t>
      </w:r>
    </w:p>
    <w:tbl>
      <w:tblPr>
        <w:tblW w:w="9047" w:type="dxa"/>
        <w:jc w:val="left"/>
        <w:tblInd w:w="0" w:type="dxa"/>
        <w:tblLayout w:type="fixed"/>
        <w:tblCellMar>
          <w:top w:w="28" w:type="dxa"/>
          <w:left w:w="28" w:type="dxa"/>
          <w:bottom w:w="28" w:type="dxa"/>
          <w:right w:w="28" w:type="dxa"/>
        </w:tblCellMar>
      </w:tblPr>
      <w:tblGrid>
        <w:gridCol w:w="1181"/>
        <w:gridCol w:w="1040"/>
        <w:gridCol w:w="1048"/>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9047" w:type="dxa"/>
        <w:jc w:val="left"/>
        <w:tblInd w:w="0" w:type="dxa"/>
        <w:tblLayout w:type="fixed"/>
        <w:tblCellMar>
          <w:top w:w="28" w:type="dxa"/>
          <w:left w:w="28" w:type="dxa"/>
          <w:bottom w:w="28" w:type="dxa"/>
          <w:right w:w="28" w:type="dxa"/>
        </w:tblCellMar>
      </w:tblPr>
      <w:tblGrid>
        <w:gridCol w:w="1181"/>
        <w:gridCol w:w="1040"/>
        <w:gridCol w:w="1048"/>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shares authorized, issued and outstanding were as follows at both March 31, 2024 and December 31, 2023:</w:t>
      </w:r>
    </w:p>
    <w:tbl>
      <w:tblPr>
        <w:tblW w:w="8916" w:type="dxa"/>
        <w:jc w:val="left"/>
        <w:tblInd w:w="0" w:type="dxa"/>
        <w:tblLayout w:type="fixed"/>
        <w:tblCellMar>
          <w:top w:w="28" w:type="dxa"/>
          <w:left w:w="28" w:type="dxa"/>
          <w:bottom w:w="28" w:type="dxa"/>
          <w:right w:w="28" w:type="dxa"/>
        </w:tblCellMar>
      </w:tblPr>
      <w:tblGrid>
        <w:gridCol w:w="1364"/>
        <w:gridCol w:w="1195"/>
        <w:gridCol w:w="1205"/>
        <w:gridCol w:w="109"/>
        <w:gridCol w:w="109"/>
        <w:gridCol w:w="109"/>
        <w:gridCol w:w="554"/>
        <w:gridCol w:w="497"/>
        <w:gridCol w:w="481"/>
        <w:gridCol w:w="109"/>
        <w:gridCol w:w="109"/>
        <w:gridCol w:w="109"/>
        <w:gridCol w:w="354"/>
        <w:gridCol w:w="354"/>
        <w:gridCol w:w="356"/>
        <w:gridCol w:w="109"/>
        <w:gridCol w:w="109"/>
        <w:gridCol w:w="109"/>
        <w:gridCol w:w="460"/>
        <w:gridCol w:w="460"/>
        <w:gridCol w:w="655"/>
      </w:tblGrid>
      <w:tr>
        <w:trPr/>
        <w:tc>
          <w:tcPr>
            <w:tcW w:w="136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6.600% Non-Cumulative Preferred Stock,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6.750% Non-Cumulative Preferred Stock,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Non-Cumulative Preferred Stock,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4.625% Non-Cumulative Preferred Stock, 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99,929,900 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and aggregate dividends declared for BHF’s preferred stock by series were as follows:</w:t>
      </w:r>
    </w:p>
    <w:tbl>
      <w:tblPr>
        <w:tblW w:w="720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54"/>
        <w:gridCol w:w="154"/>
        <w:gridCol w:w="167"/>
        <w:gridCol w:w="167"/>
        <w:gridCol w:w="168"/>
        <w:gridCol w:w="154"/>
        <w:gridCol w:w="154"/>
        <w:gridCol w:w="154"/>
        <w:gridCol w:w="278"/>
        <w:gridCol w:w="917"/>
        <w:gridCol w:w="154"/>
        <w:gridCol w:w="109"/>
        <w:gridCol w:w="109"/>
        <w:gridCol w:w="109"/>
        <w:gridCol w:w="268"/>
        <w:gridCol w:w="453"/>
        <w:gridCol w:w="150"/>
        <w:gridCol w:w="109"/>
        <w:gridCol w:w="109"/>
        <w:gridCol w:w="109"/>
        <w:gridCol w:w="196"/>
        <w:gridCol w:w="646"/>
        <w:gridCol w:w="109"/>
        <w:gridCol w:w="109"/>
        <w:gridCol w:w="109"/>
        <w:gridCol w:w="109"/>
        <w:gridCol w:w="263"/>
        <w:gridCol w:w="445"/>
        <w:gridCol w:w="20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19" w:type="dxa"/>
            <w:gridSpan w:val="18"/>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521" w:type="dxa"/>
            <w:gridSpan w:val="12"/>
            <w:tcBorders/>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c>
          <w:tcPr>
            <w:tcW w:w="3719" w:type="dxa"/>
            <w:gridSpan w:val="18"/>
            <w:tcBorders/>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Repurchase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BHF repurchased 1,247,311 and 1,200,124 shares, respectively, of its common stock through open market purchases pursuant to 10b5-1 plans for $62 million for both periods. At March 31, 2024, BHF had $731 million remaining under its common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78"/>
        <w:gridCol w:w="486"/>
        <w:gridCol w:w="487"/>
        <w:gridCol w:w="109"/>
        <w:gridCol w:w="109"/>
        <w:gridCol w:w="109"/>
        <w:gridCol w:w="297"/>
        <w:gridCol w:w="909"/>
        <w:gridCol w:w="165"/>
        <w:gridCol w:w="109"/>
        <w:gridCol w:w="109"/>
        <w:gridCol w:w="109"/>
        <w:gridCol w:w="222"/>
        <w:gridCol w:w="479"/>
        <w:gridCol w:w="125"/>
        <w:gridCol w:w="109"/>
        <w:gridCol w:w="109"/>
        <w:gridCol w:w="109"/>
        <w:gridCol w:w="335"/>
        <w:gridCol w:w="977"/>
        <w:gridCol w:w="187"/>
        <w:gridCol w:w="109"/>
        <w:gridCol w:w="109"/>
        <w:gridCol w:w="109"/>
        <w:gridCol w:w="350"/>
        <w:gridCol w:w="752"/>
        <w:gridCol w:w="194"/>
        <w:gridCol w:w="109"/>
        <w:gridCol w:w="109"/>
        <w:gridCol w:w="109"/>
        <w:gridCol w:w="196"/>
        <w:gridCol w:w="355"/>
        <w:gridCol w:w="109"/>
        <w:gridCol w:w="109"/>
        <w:gridCol w:w="109"/>
        <w:gridCol w:w="109"/>
        <w:gridCol w:w="196"/>
        <w:gridCol w:w="580"/>
        <w:gridCol w:w="164"/>
      </w:tblGrid>
      <w:tr>
        <w:trPr/>
        <w:tc>
          <w:tcPr>
            <w:tcW w:w="6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 2024</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(4,937)</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(5,413)</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0"/>
        <w:gridCol w:w="478"/>
        <w:gridCol w:w="479"/>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3"/>
      </w:tblGrid>
      <w:tr>
        <w:trPr/>
        <w:tc>
          <w:tcPr>
            <w:tcW w:w="67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 2023</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(5,028)</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OCI related to foreign currency translation and defined benefit plan gains and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effects of income taxes on amounts recorded to AOCI are also recognized in AOCI. These income tax effects are released from AOCI when the related activity is reclassified into results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240"/>
        <w:gridCol w:w="971"/>
        <w:gridCol w:w="978"/>
        <w:gridCol w:w="109"/>
        <w:gridCol w:w="109"/>
        <w:gridCol w:w="109"/>
        <w:gridCol w:w="120"/>
        <w:gridCol w:w="120"/>
        <w:gridCol w:w="120"/>
        <w:gridCol w:w="120"/>
        <w:gridCol w:w="216"/>
        <w:gridCol w:w="428"/>
        <w:gridCol w:w="120"/>
        <w:gridCol w:w="109"/>
        <w:gridCol w:w="109"/>
        <w:gridCol w:w="109"/>
        <w:gridCol w:w="196"/>
        <w:gridCol w:w="385"/>
        <w:gridCol w:w="109"/>
        <w:gridCol w:w="109"/>
        <w:gridCol w:w="109"/>
        <w:gridCol w:w="109"/>
        <w:gridCol w:w="1335"/>
        <w:gridCol w:w="1142"/>
        <w:gridCol w:w="1624"/>
      </w:tblGrid>
      <w:tr>
        <w:trPr/>
        <w:tc>
          <w:tcPr>
            <w:tcW w:w="124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AOCI Components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Consolidated Statements of Operations and Comprehensive Income (Loss) Locations</w:t>
            </w:r>
          </w:p>
        </w:tc>
      </w:tr>
      <w:tr>
        <w:trPr/>
        <w:tc>
          <w:tcPr>
            <w:tcW w:w="3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6"/>
            <w:tcBorders/>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gains (losses)</w:t>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on derivatives -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1"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plans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reclassifications, net of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consisted primarily of 12b-1 fees of $67 million for both the three months ended March 31, 2024 and 2023,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Other Revenues and Other Expenses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other expenses was as follows:</w:t>
      </w:r>
    </w:p>
    <w:tbl>
      <w:tblPr>
        <w:tblW w:w="8212" w:type="dxa"/>
        <w:jc w:val="left"/>
        <w:tblInd w:w="0" w:type="dxa"/>
        <w:tblLayout w:type="fixed"/>
        <w:tblCellMar>
          <w:top w:w="28" w:type="dxa"/>
          <w:left w:w="28" w:type="dxa"/>
          <w:bottom w:w="28" w:type="dxa"/>
          <w:right w:w="28" w:type="dxa"/>
        </w:tblCellMar>
      </w:tblPr>
      <w:tblGrid>
        <w:gridCol w:w="1917"/>
        <w:gridCol w:w="1685"/>
        <w:gridCol w:w="1693"/>
        <w:gridCol w:w="109"/>
        <w:gridCol w:w="109"/>
        <w:gridCol w:w="150"/>
        <w:gridCol w:w="150"/>
        <w:gridCol w:w="150"/>
        <w:gridCol w:w="150"/>
        <w:gridCol w:w="270"/>
        <w:gridCol w:w="581"/>
        <w:gridCol w:w="150"/>
        <w:gridCol w:w="109"/>
        <w:gridCol w:w="109"/>
        <w:gridCol w:w="109"/>
        <w:gridCol w:w="196"/>
        <w:gridCol w:w="421"/>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Contracted services and other 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services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and other taxes, licenses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related costs, excluding compensation, net of DAC capitalization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Capitalization of DAC</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additional information on the capitalization of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common share was as follows:</w:t>
      </w:r>
    </w:p>
    <w:tbl>
      <w:tblPr>
        <w:tblW w:w="10205" w:type="dxa"/>
        <w:jc w:val="left"/>
        <w:tblInd w:w="0" w:type="dxa"/>
        <w:tblLayout w:type="fixed"/>
        <w:tblCellMar>
          <w:top w:w="28" w:type="dxa"/>
          <w:left w:w="28" w:type="dxa"/>
          <w:bottom w:w="28" w:type="dxa"/>
          <w:right w:w="28" w:type="dxa"/>
        </w:tblCellMar>
      </w:tblPr>
      <w:tblGrid>
        <w:gridCol w:w="2144"/>
        <w:gridCol w:w="1883"/>
        <w:gridCol w:w="1889"/>
        <w:gridCol w:w="109"/>
        <w:gridCol w:w="109"/>
        <w:gridCol w:w="109"/>
        <w:gridCol w:w="109"/>
        <w:gridCol w:w="109"/>
        <w:gridCol w:w="163"/>
        <w:gridCol w:w="163"/>
        <w:gridCol w:w="404"/>
        <w:gridCol w:w="1118"/>
        <w:gridCol w:w="224"/>
        <w:gridCol w:w="148"/>
        <w:gridCol w:w="148"/>
        <w:gridCol w:w="148"/>
        <w:gridCol w:w="268"/>
        <w:gridCol w:w="741"/>
        <w:gridCol w:w="219"/>
      </w:tblGrid>
      <w:tr>
        <w:trPr/>
        <w:tc>
          <w:tcPr>
            <w:tcW w:w="2144"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72" w:type="dxa"/>
            <w:gridSpan w:val="6"/>
            <w:tcBorders/>
          </w:tcPr>
          <w:p>
            <w:pPr>
              <w:pStyle w:val="TableContents"/>
              <w:bidi w:val="0"/>
              <w:spacing w:before="0" w:after="283"/>
              <w:jc w:val="left"/>
              <w:rPr>
                <w:sz w:val="4"/>
                <w:szCs w:val="4"/>
              </w:rPr>
            </w:pPr>
            <w:r>
              <w:rPr>
                <w:sz w:val="4"/>
                <w:szCs w:val="4"/>
              </w:rPr>
            </w:r>
          </w:p>
        </w:tc>
      </w:tr>
      <w:tr>
        <w:trPr/>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4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share and per share data)</w:t>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63,036,773 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67,873,189 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63,036,773 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67,873,189 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2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2024, basic loss per common share equaled diluted loss per common share. The diluted shares were not included in the per share calculation for these periods as the inclusion of such shares would have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Litigation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2024.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March 31, 2024,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 </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u w:val="single"/>
        </w:rPr>
        <w:t>Sales Practices Claims</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Insurance Class Actions</w:t>
      </w:r>
    </w:p>
    <w:p>
      <w:pPr>
        <w:pStyle w:val="TextBody"/>
        <w:bidi w:val="0"/>
        <w:spacing w:lineRule="auto" w:line="268" w:before="120" w:after="283"/>
        <w:ind w:left="0" w:right="0" w:firstLine="360"/>
        <w:jc w:val="both"/>
        <w:rPr/>
      </w:pPr>
      <w:r>
        <w:rPr>
          <w:rFonts w:ascii="Times New Roman;sans-serif" w:hAnsi="Times New Roman;sans-serif"/>
          <w:b w:val="false"/>
          <w:i/>
          <w:color w:val="000000"/>
          <w:sz w:val="20"/>
        </w:rPr>
        <w:t xml:space="preserve">Richard A. Newton v. Brighthouse Life Insurance Company </w:t>
      </w:r>
      <w:r>
        <w:rPr>
          <w:rFonts w:ascii="Times New Roman;sans-serif" w:hAnsi="Times New Roman;sans-serif"/>
          <w:b w:val="false"/>
          <w:color w:val="000000"/>
          <w:sz w:val="20"/>
        </w:rPr>
        <w:t>(U.S. District Court, Northern District of Georgia, Atlanta Division, filed May 8, 2020). 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w:t>
      </w:r>
      <w:r>
        <w:rPr>
          <w:rFonts w:ascii="Times New Roman;sans-serif" w:hAnsi="Times New Roman;sans-serif"/>
          <w:b w:val="false"/>
          <w:color w:val="0000FF"/>
          <w:sz w:val="24"/>
        </w:rPr>
        <w:t xml:space="preserve">. </w:t>
      </w:r>
      <w:r>
        <w:rPr>
          <w:rFonts w:ascii="Times New Roman;sans-serif" w:hAnsi="Times New Roman;sans-serif"/>
          <w:b w:val="false"/>
          <w:color w:val="000000"/>
          <w:sz w:val="20"/>
        </w:rPr>
        <w:t>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the plaintiff filed a motion on consent to amend the second amended class action complaint to narrow the scope of the class sought to those persons who own or owned life insurance policies issued in Georgia. The motion was granted on January 23, 2023, and the third amended class action complaint was filed on January 23, 2023. The Company intends to vigorously defend this matter.</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Lawrence Martin v. Brighthouse Life Insurance Company</w:t>
      </w:r>
      <w:r>
        <w:rPr>
          <w:color w:val="000000"/>
        </w:rPr>
        <w:t xml:space="preserve"> </w:t>
      </w:r>
      <w:r>
        <w:rPr>
          <w:rFonts w:ascii="Times New Roman;sans-serif" w:hAnsi="Times New Roman;sans-serif"/>
          <w:b w:val="false"/>
          <w:color w:val="000000"/>
          <w:sz w:val="20"/>
        </w:rPr>
        <w:t>(U.S. District Court, Southern District of New York, filed April 6, 2021). Plaintiff has filed 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Kennedy v. Progress Software Corporation, et al</w:t>
      </w:r>
      <w:r>
        <w:rPr>
          <w:rFonts w:ascii="Times New Roman;sans-serif" w:hAnsi="Times New Roman;sans-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connection with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BHF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Loss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ranges of loss based on such reviews.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In March 2024, an arbitration panel ruled in favor of a reinsurer seeking a premium rate increase retroactive to September 2019 resulting in a $187 million loss, of which $167 million is reported in universal life and investment product-type policy fees and $20 million is reported in other expenses. As of March 31, 2024, the Company estimates the range of reasonably possible losses in excess of the amounts accrued for certain other loss contingencies to be from zero up to approximately</w:t>
      </w:r>
      <w:r>
        <w:rPr>
          <w:color w:val="000000"/>
          <w:shd w:fill="FFFFFF" w:val="clear"/>
        </w:rPr>
        <w:t xml:space="preserve"> </w:t>
      </w:r>
      <w:r>
        <w:rPr>
          <w:rFonts w:ascii="Times New Roman;sans-serif" w:hAnsi="Times New Roman;sans-serif"/>
          <w:b w:val="false"/>
          <w:color w:val="000000"/>
          <w:sz w:val="20"/>
        </w:rPr>
        <w:t>$75 million for the aforementioned tax matters. The reduction in the estimated range of reasonably possible losses reflects the conclusion of the reinsurance arbitration described above. For certain other matters, the Company may not currently be able to estimate the reasonably possible loss or range of loss until developments in such matters have provided sufficient information to support an assessment of such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lend funds under mortgage loan commitments. The amounts of these mortgage loan commitments were $387 million and $377 million at March 31, 2024 and December 31, 2023, respectively.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Commitments to Fund Partnership Investments, Bank Credit Facilities and Private Corporate Bond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fund partnership investments and to lend funds under bank credit facilities and private corporate bond investments. The amounts of these unfunded commitments were $1.4 billion at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3ec082df13d74f48815e1bb5b1ec5129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$92 million, with a cumulative maximum of $98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recorded liabilities were $1 million at both March 31, 2024 and December 31, 2023 for indemnities, guarantees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to Management’s Discussion and Analysis of Financial Condition and Results of Operations</w:t>
      </w:r>
    </w:p>
    <w:tbl>
      <w:tblPr>
        <w:tblW w:w="4381" w:type="dxa"/>
        <w:jc w:val="center"/>
        <w:tblInd w:w="0" w:type="dxa"/>
        <w:tblLayout w:type="fixed"/>
        <w:tblCellMar>
          <w:top w:w="28" w:type="dxa"/>
          <w:left w:w="28" w:type="dxa"/>
          <w:bottom w:w="28" w:type="dxa"/>
          <w:right w:w="28" w:type="dxa"/>
        </w:tblCellMar>
      </w:tblPr>
      <w:tblGrid>
        <w:gridCol w:w="1380"/>
        <w:gridCol w:w="1212"/>
        <w:gridCol w:w="1218"/>
        <w:gridCol w:w="167"/>
        <w:gridCol w:w="167"/>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65">
              <w:r>
                <w:rPr>
                  <w:rStyle w:val="InternetLink"/>
                  <w:rFonts w:ascii="Times New Roman;sans-serif" w:hAnsi="Times New Roman;sans-serif"/>
                  <w:b w:val="false"/>
                  <w:color w:val="0000FF"/>
                  <w:sz w:val="20"/>
                  <w:u w:val="single"/>
                </w:rPr>
                <w:t>Introduction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65">
              <w:r>
                <w:rPr>
                  <w:rStyle w:val="InternetLink"/>
                  <w:rFonts w:ascii="Times New Roman;sans-serif" w:hAnsi="Times New Roman;sans-serif"/>
                  <w:b w:val="false"/>
                  <w:color w:val="0000FF"/>
                  <w:sz w:val="20"/>
                  <w:u w:val="single"/>
                </w:rPr>
                <w:t>52</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68">
              <w:r>
                <w:rPr>
                  <w:rStyle w:val="InternetLink"/>
                  <w:rFonts w:ascii="Times New Roman;sans-serif" w:hAnsi="Times New Roman;sans-serif"/>
                  <w:b w:val="false"/>
                  <w:color w:val="0000FF"/>
                  <w:sz w:val="20"/>
                  <w:u w:val="single"/>
                </w:rPr>
                <w:t>Executive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68">
              <w:r>
                <w:rPr>
                  <w:rStyle w:val="InternetLink"/>
                  <w:rFonts w:ascii="Times New Roman;sans-serif" w:hAnsi="Times New Roman;sans-serif"/>
                  <w:b w:val="false"/>
                  <w:color w:val="0000FF"/>
                  <w:sz w:val="20"/>
                  <w:u w:val="single"/>
                </w:rPr>
                <w:t>52</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80">
              <w:r>
                <w:rPr>
                  <w:rStyle w:val="InternetLink"/>
                  <w:rFonts w:ascii="Times New Roman;sans-serif" w:hAnsi="Times New Roman;sans-serif"/>
                  <w:b w:val="false"/>
                  <w:color w:val="0000FF"/>
                  <w:sz w:val="20"/>
                  <w:u w:val="single"/>
                </w:rPr>
                <w:t>Industry Trends and Uncertainties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80">
              <w:r>
                <w:rPr>
                  <w:rStyle w:val="InternetLink"/>
                  <w:rFonts w:ascii="Times New Roman;sans-serif" w:hAnsi="Times New Roman;sans-serif"/>
                  <w:b w:val="false"/>
                  <w:color w:val="0000FF"/>
                  <w:sz w:val="20"/>
                  <w:u w:val="single"/>
                </w:rPr>
                <w:t>53</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92">
              <w:r>
                <w:rPr>
                  <w:rStyle w:val="InternetLink"/>
                  <w:rFonts w:ascii="Times New Roman;sans-serif" w:hAnsi="Times New Roman;sans-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92">
              <w:r>
                <w:rPr>
                  <w:rStyle w:val="InternetLink"/>
                  <w:rFonts w:ascii="Times New Roman;sans-serif" w:hAnsi="Times New Roman;sans-serif"/>
                  <w:b w:val="false"/>
                  <w:color w:val="0000FF"/>
                  <w:sz w:val="20"/>
                  <w:u w:val="single"/>
                </w:rPr>
                <w:t>55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95">
              <w:r>
                <w:rPr>
                  <w:rStyle w:val="InternetLink"/>
                  <w:rFonts w:ascii="Times New Roman;sans-serif" w:hAnsi="Times New Roman;sans-serif"/>
                  <w:b w:val="false"/>
                  <w:color w:val="0000FF"/>
                  <w:sz w:val="20"/>
                  <w:u w:val="single"/>
                </w:rPr>
                <w:t>Non-GAAP and Other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95">
              <w:r>
                <w:rPr>
                  <w:rStyle w:val="InternetLink"/>
                  <w:rFonts w:ascii="Times New Roman;sans-serif" w:hAnsi="Times New Roman;sans-serif"/>
                  <w:b w:val="false"/>
                  <w:color w:val="0000FF"/>
                  <w:sz w:val="20"/>
                  <w:u w:val="single"/>
                </w:rPr>
                <w:t>55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298">
              <w:r>
                <w:rPr>
                  <w:rStyle w:val="InternetLink"/>
                  <w:rFonts w:ascii="Times New Roman;sans-serif" w:hAnsi="Times New Roman;sans-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298">
              <w:r>
                <w:rPr>
                  <w:rStyle w:val="InternetLink"/>
                  <w:rFonts w:ascii="Times New Roman;sans-serif" w:hAnsi="Times New Roman;sans-serif"/>
                  <w:b w:val="false"/>
                  <w:color w:val="0000FF"/>
                  <w:sz w:val="20"/>
                  <w:u w:val="single"/>
                </w:rPr>
                <w:t>57</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376">
              <w:r>
                <w:rPr>
                  <w:rStyle w:val="InternetLink"/>
                  <w:rFonts w:ascii="Times New Roman;sans-serif" w:hAnsi="Times New Roman;sans-serif"/>
                  <w:b w:val="false"/>
                  <w:color w:val="0000FF"/>
                  <w:sz w:val="20"/>
                  <w:u w:val="single"/>
                </w:rPr>
                <w:t>Investments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376">
              <w:r>
                <w:rPr>
                  <w:rStyle w:val="InternetLink"/>
                  <w:rFonts w:ascii="Times New Roman;sans-serif" w:hAnsi="Times New Roman;sans-serif"/>
                  <w:b w:val="false"/>
                  <w:color w:val="0000FF"/>
                  <w:sz w:val="20"/>
                  <w:u w:val="single"/>
                </w:rPr>
                <w:t>65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27">
              <w:r>
                <w:rPr>
                  <w:rStyle w:val="InternetLink"/>
                  <w:rFonts w:ascii="Times New Roman;sans-serif" w:hAnsi="Times New Roman;sans-serif"/>
                  <w:b w:val="false"/>
                  <w:color w:val="0000FF"/>
                  <w:sz w:val="20"/>
                  <w:u w:val="single"/>
                </w:rPr>
                <w:t>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27">
              <w:r>
                <w:rPr>
                  <w:rStyle w:val="InternetLink"/>
                  <w:rFonts w:ascii="Times New Roman;sans-serif" w:hAnsi="Times New Roman;sans-serif"/>
                  <w:b w:val="false"/>
                  <w:color w:val="0000FF"/>
                  <w:sz w:val="20"/>
                  <w:u w:val="single"/>
                </w:rPr>
                <w:t>74</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45">
              <w:r>
                <w:rPr>
                  <w:rStyle w:val="InternetLink"/>
                  <w:rFonts w:ascii="Times New Roman;sans-serif" w:hAnsi="Times New Roman;sans-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45">
              <w:r>
                <w:rPr>
                  <w:rStyle w:val="InternetLink"/>
                  <w:rFonts w:ascii="Times New Roman;sans-serif" w:hAnsi="Times New Roman;sans-serif"/>
                  <w:b w:val="false"/>
                  <w:color w:val="0000FF"/>
                  <w:sz w:val="20"/>
                  <w:u w:val="single"/>
                </w:rPr>
                <w:t>75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66">
              <w:r>
                <w:rPr>
                  <w:rStyle w:val="InternetLink"/>
                  <w:rFonts w:ascii="Times New Roman;sans-serif" w:hAnsi="Times New Roman;sans-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66">
              <w:r>
                <w:rPr>
                  <w:rStyle w:val="InternetLink"/>
                  <w:rFonts w:ascii="Times New Roman;sans-serif" w:hAnsi="Times New Roman;sans-serif"/>
                  <w:b w:val="false"/>
                  <w:color w:val="0000FF"/>
                  <w:sz w:val="20"/>
                  <w:u w:val="single"/>
                </w:rPr>
                <w:t>78</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c082df13d74f48815e1bb5b1ec5129_475">
              <w:r>
                <w:rPr>
                  <w:rStyle w:val="InternetLink"/>
                  <w:rFonts w:ascii="Times New Roman;sans-serif" w:hAnsi="Times New Roman;sans-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c082df13d74f48815e1bb5b1ec5129_475">
              <w:r>
                <w:rPr>
                  <w:rStyle w:val="InternetLink"/>
                  <w:rFonts w:ascii="Times New Roman;sans-serif" w:hAnsi="Times New Roman;sans-serif"/>
                  <w:b w:val="false"/>
                  <w:color w:val="0000FF"/>
                  <w:sz w:val="20"/>
                  <w:u w:val="singl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2023 (the “2023 Annual Report”) filed with the U.S. Securities and Exchange Commission (“SEC”) on February 22, 2024; and (iii) our current reports on Form 8-K filed in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 provides summarized information regarding our business, segments and financial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Industry Trends and Uncertainties” discusses updates and changes to a number of trends and uncertainties included in our 2023 Annual Report that we believe may materially affect our future financial condition, results of operations or cash flows.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Summary of Critical Accounting Estimates” explains the most critical estimates and judgments applied in determining our results in accordance with accounting principles generally accepted in the United States of America (“GAAP”).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discussion and analysis presents a review for the three months ended March 31, 2024 and 2023 and period-over-period comparisons between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primarily of products that are no longer actively sold and are separately managed. In addition, we report certain of our results of operations in Corporate &amp; Other. See “Business — Segments and Corporate &amp; Other” and “Management’s Discussion and Analysis of Financial Condition and Results of Operations — Executive Summary” included in our 2023 Annual Report, as well as Note 2 of the Notes to the Interim Condensed Consolidated Financial Statements for further information regarding our segments and Corporate &amp;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shareholders and adjusted earnings, a non-GAAP financial measure, were as follows:</w:t>
      </w:r>
    </w:p>
    <w:tbl>
      <w:tblPr>
        <w:tblW w:w="10205" w:type="dxa"/>
        <w:jc w:val="left"/>
        <w:tblInd w:w="0" w:type="dxa"/>
        <w:tblLayout w:type="fixed"/>
        <w:tblCellMar>
          <w:top w:w="28" w:type="dxa"/>
          <w:left w:w="28" w:type="dxa"/>
          <w:bottom w:w="28" w:type="dxa"/>
          <w:right w:w="28" w:type="dxa"/>
        </w:tblCellMar>
      </w:tblPr>
      <w:tblGrid>
        <w:gridCol w:w="2512"/>
        <w:gridCol w:w="2170"/>
        <w:gridCol w:w="2178"/>
        <w:gridCol w:w="109"/>
        <w:gridCol w:w="109"/>
        <w:gridCol w:w="109"/>
        <w:gridCol w:w="109"/>
        <w:gridCol w:w="109"/>
        <w:gridCol w:w="109"/>
        <w:gridCol w:w="109"/>
        <w:gridCol w:w="153"/>
        <w:gridCol w:w="153"/>
        <w:gridCol w:w="277"/>
        <w:gridCol w:w="685"/>
        <w:gridCol w:w="153"/>
        <w:gridCol w:w="109"/>
        <w:gridCol w:w="109"/>
        <w:gridCol w:w="109"/>
        <w:gridCol w:w="196"/>
        <w:gridCol w:w="479"/>
        <w:gridCol w:w="159"/>
      </w:tblGrid>
      <w:tr>
        <w:trPr/>
        <w:tc>
          <w:tcPr>
            <w:tcW w:w="251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61" w:type="dxa"/>
            <w:gridSpan w:val="6"/>
            <w:tcBorders/>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(1)We use the term “net income (loss) available to shareholders” to refer to “net income (loss) available to Brighthouse Financial, Inc.’s common shareholders” and “adjusted loss” to refer to negative adjusted earnings values throughout the results of operations discussions.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we had net loss available to shareholders of $519 million and an adjusted loss of $98 million compared to net loss available to shareholders of $525 million and adjusted earnings of $195 million for the three months ended March 31, 2023. Net loss available to shareholders for the three months ended March 31, 2024 primarily reflects net unfavorable changes in the estimated fair value of our variable annuity guaranteed benefit riders due to market factors, an unfavorable change in the estimated fair value of freestanding interest rate derivatives we use to hedge our universal life with secondary guarantees (“ULSG”) business resulting from increasing long-term interest rates, a pre-tax adjusted loss resulting from the conclusion of a reinsurance premium rate increase retroactive to September 2019 and the related impacts, and net investment losses on sales of fixed maturity securities.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Non-GAAP and Other Financial Disclosures.” See “— Results of Operations” for a detailed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Trends and Uncertainties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2023 Annual Report, as amended or supplemented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market downturn and could negatively impact various portions of our business, including our investment portfolio.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a restrictive fiscal and monetary policy,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political and economic conditions that might contribute to market volatility and their impact on our business operations, investment portfolio and derivatives, such as global inflation,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—Investments” included in our 2023 Annual Report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Developments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2023 Annual Report, as amended or supplemented by our subsequent quarterly reports under the heading “Management’s Discussion and Analysis of Financial Condition and Results of Operations — Industry Trends and Uncertainties — Regulatory Developments.”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 xml:space="preserve">Department of Labor Fiduciary Advice Rule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regulatory action by the Department of Labor (“DOL”) (the “Fiduciary Advice Rule”), which became effective on February 16, 2021, reinstated the text of the DOL’s 1975 investment advice regulation defining what constitutes fiduciary “investment advice” to Employee Retirement Income Security Act (“ERISA”) Plans and Individual Retirement Accounts (“IRA”) and provides guidance interpreting such regulation. Under the Fiduciary Advice Rule, individuals or entities providing investment advice would be considered fiduciaries under ERISA or the Internal Revenue Code of 1986, as amended,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23, 2024, the DOL issued a final Fiduciary Advice Rule, which was originally proposed in October 2023, that updates the definition of an “investment advice fiduciary” under ERISA and amends related administrative Prohibited Transaction Exemptions (each, a “PTE”), including PTE 2020-02 (which allows fiduciaries to receive compensation in connection with providing investment advice, including advice with respect to roll overs, that would otherwise be prohibited as a result of their fiduciary relationship to the ERISA Plan or IRA) and PTE 84-24 (which, as amended by the final Fiduciary Advice Rule, is available exclusively to independent producer fiduciaries receiving reasonable compensation for products that are not considered securities in connection with providing investment advice, including advice with respect to roll overs, that would otherwise be prohibited as a result of their fiduciary relationship to an ERISA plan or IRA). The Fiduciary Advice Rule broadens the circumstances under which financial institutions, including insurance companies, could be considered fiduciaries to ERISA plans and IRA investors. We are assessing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impacts of the Fiduciary Advice Rule and cannot currently predict whether, or the extent to which, the Fiduciary Advice Rule may impact us, including with respect to sales of our products through our independent distribution partners, changes in our compliance requirements, product offerings or compensation practices, or increase our litigation risk, any of which could adversely affect our financial condition and results of operations. We may also need to take certain additional actions to comply with, or assist our distributors in their compliance with, the Fiduciary Advice Rule. We will continue to monitor developments regarding the new rule. See “Business — Regulation — Standard of Conduct Regulation — Department of Labor Fiduciary Advice Rule” included in our 2023 Annual Report for additional information regarding the Fiduciary Advice Rule.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of Critical Accounting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measurement of income taxes and the valuation of deferred tax assets.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and Other Financial Disclosures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definitions of non-GAAP and other financial measures may differ from those used by other companies.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Disclosures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we present adjusted earnings as a measure of our performance that is not calculated in accordance with GAAP. Adjusted earnings is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our primary businesses by excluding the impact of market volatility, which could distort trends. The Company uses the term “adjusted loss” throughout this report to refer to negative adjusted earnings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(“Market Value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316"/>
        <w:gridCol w:w="277"/>
        <w:gridCol w:w="277"/>
        <w:gridCol w:w="814"/>
        <w:gridCol w:w="814"/>
        <w:gridCol w:w="562"/>
        <w:gridCol w:w="219"/>
        <w:gridCol w:w="219"/>
        <w:gridCol w:w="219"/>
        <w:gridCol w:w="1872"/>
        <w:gridCol w:w="1872"/>
        <w:gridCol w:w="2744"/>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30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Adjusted Earnings</w:t>
            </w:r>
          </w:p>
        </w:tc>
        <w:tc>
          <w:tcPr>
            <w:tcW w:w="71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How Derived from GAAP (1)</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Universal life and investment-type product policy fees</w:t>
            </w:r>
            <w:r>
              <w:rPr>
                <w:color w:val="000000"/>
              </w:rPr>
              <w:t xml:space="preserve"> </w:t>
            </w:r>
            <w:r>
              <w:rPr>
                <w:rFonts w:ascii="Times New Roman;sans-serif" w:hAnsi="Times New Roman;sans-serif"/>
                <w:b w:val="false"/>
                <w:color w:val="000000"/>
                <w:sz w:val="20"/>
              </w:rPr>
              <w:t xml:space="preserve">plus </w:t>
            </w:r>
            <w:r>
              <w:rPr>
                <w:rFonts w:ascii="Times New Roman;sans-serif" w:hAnsi="Times New Roman;sans-serif"/>
                <w:b w:val="false"/>
                <w:i/>
                <w:color w:val="000000"/>
                <w:sz w:val="20"/>
              </w:rPr>
              <w:t>Other revenues</w:t>
            </w: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spread</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Net investment income</w:t>
            </w:r>
            <w:r>
              <w:rPr>
                <w:color w:val="000000"/>
              </w:rPr>
              <w:t xml:space="preserve"> </w:t>
            </w:r>
            <w:r>
              <w:rPr>
                <w:rFonts w:ascii="Times New Roman;sans-serif" w:hAnsi="Times New Roman;sans-serif"/>
                <w:b w:val="false"/>
                <w:color w:val="000000"/>
                <w:sz w:val="20"/>
              </w:rPr>
              <w:t xml:space="preserve">plus Investment Hedge Adjustments reduced by </w:t>
            </w:r>
            <w:r>
              <w:rPr>
                <w:rFonts w:ascii="Times New Roman;sans-serif" w:hAnsi="Times New Roman;sans-serif"/>
                <w:b w:val="false"/>
                <w:i/>
                <w:color w:val="000000"/>
                <w:sz w:val="20"/>
              </w:rPr>
              <w:t xml:space="preserve">Interest credited to policyholder account balances </w:t>
            </w:r>
            <w:r>
              <w:rPr>
                <w:rFonts w:ascii="Times New Roman;sans-serif" w:hAnsi="Times New Roman;sans-serif"/>
                <w:b w:val="false"/>
                <w:color w:val="000000"/>
                <w:sz w:val="20"/>
              </w:rPr>
              <w:t>(excluding Market Value Adjustments) and interest on future policy benefits.</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Insurance-related activities</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 xml:space="preserve">Premiums </w:t>
            </w:r>
            <w:r>
              <w:rPr>
                <w:rFonts w:ascii="Times New Roman;sans-serif" w:hAnsi="Times New Roman;sans-serif"/>
                <w:b w:val="false"/>
                <w:color w:val="000000"/>
                <w:sz w:val="20"/>
              </w:rPr>
              <w:t>less</w:t>
            </w:r>
            <w:r>
              <w:rPr>
                <w:color w:val="000000"/>
              </w:rPr>
              <w:t xml:space="preserve"> </w:t>
            </w:r>
            <w:r>
              <w:rPr>
                <w:rFonts w:ascii="Times New Roman;sans-serif" w:hAnsi="Times New Roman;sans-serif"/>
                <w:b w:val="false"/>
                <w:i/>
                <w:color w:val="000000"/>
                <w:sz w:val="20"/>
              </w:rPr>
              <w:t>Policyholder benefits and claims</w:t>
            </w:r>
            <w:r>
              <w:rPr>
                <w:rFonts w:ascii="Times New Roman;sans-serif" w:hAnsi="Times New Roman;sans-serif"/>
                <w:b w:val="false"/>
                <w:color w:val="000000"/>
                <w:sz w:val="20"/>
              </w:rPr>
              <w:t>, excluding interest on future policy benefits.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DAC and VOBA</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Amortization of deferred policy acquisition costs (“DAC”) and value of business acquired (“VOBA”)</w:t>
            </w:r>
            <w:r>
              <w:rPr>
                <w:rFonts w:ascii="Times New Roman;sans-serif" w:hAnsi="Times New Roman;sans-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 (benefit)</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Adjusted 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net investment income to measure our performance for management purposes, and we believe it enhances the understanding of our investment portfolio results. Adjusted net investment income represents GAAP net investment income plus Investment Hedge Adjustments. For a reconciliation of adjusted net investment income to net investment income, the most directly comparable GAAP measure, see table note (3) to the summary yield table located in “— Investments — Current Environment — Investment Portfolio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Financial Disclosures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adjusted net investment income, we present net investment income yields as a performance measure we believe enhances the understanding of our investment portfolio results. Net investment income yields are calculated on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Consolidated Results for the Three Months Ended March 31, 2024 and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525"/>
        <w:gridCol w:w="2210"/>
        <w:gridCol w:w="2238"/>
        <w:gridCol w:w="109"/>
        <w:gridCol w:w="109"/>
        <w:gridCol w:w="109"/>
        <w:gridCol w:w="109"/>
        <w:gridCol w:w="109"/>
        <w:gridCol w:w="163"/>
        <w:gridCol w:w="163"/>
        <w:gridCol w:w="293"/>
        <w:gridCol w:w="736"/>
        <w:gridCol w:w="163"/>
        <w:gridCol w:w="109"/>
        <w:gridCol w:w="109"/>
        <w:gridCol w:w="109"/>
        <w:gridCol w:w="196"/>
        <w:gridCol w:w="488"/>
        <w:gridCol w:w="158"/>
      </w:tblGrid>
      <w:tr>
        <w:trPr/>
        <w:tc>
          <w:tcPr>
            <w:tcW w:w="252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69" w:type="dxa"/>
            <w:gridSpan w:val="6"/>
            <w:tcBorders/>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income (loss) available to shareholders were as follows:</w:t>
      </w:r>
    </w:p>
    <w:tbl>
      <w:tblPr>
        <w:tblW w:w="10205" w:type="dxa"/>
        <w:jc w:val="left"/>
        <w:tblInd w:w="0" w:type="dxa"/>
        <w:tblLayout w:type="fixed"/>
        <w:tblCellMar>
          <w:top w:w="28" w:type="dxa"/>
          <w:left w:w="28" w:type="dxa"/>
          <w:bottom w:w="28" w:type="dxa"/>
          <w:right w:w="28" w:type="dxa"/>
        </w:tblCellMar>
      </w:tblPr>
      <w:tblGrid>
        <w:gridCol w:w="2594"/>
        <w:gridCol w:w="2207"/>
        <w:gridCol w:w="2216"/>
        <w:gridCol w:w="109"/>
        <w:gridCol w:w="109"/>
        <w:gridCol w:w="109"/>
        <w:gridCol w:w="109"/>
        <w:gridCol w:w="109"/>
        <w:gridCol w:w="149"/>
        <w:gridCol w:w="149"/>
        <w:gridCol w:w="268"/>
        <w:gridCol w:w="764"/>
        <w:gridCol w:w="149"/>
        <w:gridCol w:w="109"/>
        <w:gridCol w:w="109"/>
        <w:gridCol w:w="109"/>
        <w:gridCol w:w="196"/>
        <w:gridCol w:w="482"/>
        <w:gridCol w:w="159"/>
      </w:tblGrid>
      <w:tr>
        <w:trPr/>
        <w:tc>
          <w:tcPr>
            <w:tcW w:w="2594"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64" w:type="dxa"/>
            <w:gridSpan w:val="6"/>
            <w:tcBorders/>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available to shareholders before provision for income tax was $642 million ($519 million, net of income tax), a lower loss of $39 million ($6 million, net of income tax) from loss available to shareholders before provision for income tax of $681 million ($525 million, net of income tax)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losses from variable annuity guaranteed benefit riders, see “— Annuity Guaranteed Benefits and Shield Annuity Liabilities for the Three Months Ended March 31, 2024 and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equity markets on equity options we use to hedge our non-variable annuity business, as equity markets increased more in the current period than the prior period;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reflecting lower net losses on sales of fixed maturity securities and lower net losses on mortgage loans due to a smaller increase in the allowance for credit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partially offset by the following unfavorable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long-term interest rates on interest rate derivatives used to manage interest rate exposure in our ULSG business, as the long-term interest rate increased in the current period resulting in a loss of $212 million and decreased in the prior period resulting in a gain of $141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pre-tax adjusted earnings, as discussed in greater detail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income (loss) before provision for income tax, resulted in an effective tax rate of 20% in the current period compared to 24% in the prior period. The decrease in the effective tax rate was driven by a lower loss before provision for income tax as discussed above.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Available to Shareholders to 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(loss) available to shareholders to adjusted earnings was as follows:</w:t>
      </w:r>
    </w:p>
    <w:tbl>
      <w:tblPr>
        <w:tblW w:w="10205" w:type="dxa"/>
        <w:jc w:val="left"/>
        <w:tblInd w:w="0" w:type="dxa"/>
        <w:tblLayout w:type="fixed"/>
        <w:tblCellMar>
          <w:top w:w="28" w:type="dxa"/>
          <w:left w:w="28" w:type="dxa"/>
          <w:bottom w:w="28" w:type="dxa"/>
          <w:right w:w="28" w:type="dxa"/>
        </w:tblCellMar>
      </w:tblPr>
      <w:tblGrid>
        <w:gridCol w:w="1587"/>
        <w:gridCol w:w="1393"/>
        <w:gridCol w:w="1398"/>
        <w:gridCol w:w="109"/>
        <w:gridCol w:w="109"/>
        <w:gridCol w:w="109"/>
        <w:gridCol w:w="210"/>
        <w:gridCol w:w="452"/>
        <w:gridCol w:w="119"/>
        <w:gridCol w:w="109"/>
        <w:gridCol w:w="109"/>
        <w:gridCol w:w="109"/>
        <w:gridCol w:w="196"/>
        <w:gridCol w:w="371"/>
        <w:gridCol w:w="109"/>
        <w:gridCol w:w="109"/>
        <w:gridCol w:w="109"/>
        <w:gridCol w:w="109"/>
        <w:gridCol w:w="196"/>
        <w:gridCol w:w="461"/>
        <w:gridCol w:w="109"/>
        <w:gridCol w:w="109"/>
        <w:gridCol w:w="109"/>
        <w:gridCol w:w="109"/>
        <w:gridCol w:w="304"/>
        <w:gridCol w:w="678"/>
        <w:gridCol w:w="170"/>
        <w:gridCol w:w="109"/>
        <w:gridCol w:w="109"/>
        <w:gridCol w:w="109"/>
        <w:gridCol w:w="196"/>
        <w:gridCol w:w="461"/>
        <w:gridCol w:w="160"/>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1614"/>
        <w:gridCol w:w="1416"/>
        <w:gridCol w:w="1421"/>
        <w:gridCol w:w="109"/>
        <w:gridCol w:w="109"/>
        <w:gridCol w:w="109"/>
        <w:gridCol w:w="196"/>
        <w:gridCol w:w="484"/>
        <w:gridCol w:w="109"/>
        <w:gridCol w:w="109"/>
        <w:gridCol w:w="109"/>
        <w:gridCol w:w="109"/>
        <w:gridCol w:w="196"/>
        <w:gridCol w:w="282"/>
        <w:gridCol w:w="109"/>
        <w:gridCol w:w="109"/>
        <w:gridCol w:w="109"/>
        <w:gridCol w:w="109"/>
        <w:gridCol w:w="196"/>
        <w:gridCol w:w="462"/>
        <w:gridCol w:w="109"/>
        <w:gridCol w:w="109"/>
        <w:gridCol w:w="109"/>
        <w:gridCol w:w="109"/>
        <w:gridCol w:w="348"/>
        <w:gridCol w:w="615"/>
        <w:gridCol w:w="195"/>
        <w:gridCol w:w="109"/>
        <w:gridCol w:w="109"/>
        <w:gridCol w:w="109"/>
        <w:gridCol w:w="196"/>
        <w:gridCol w:w="462"/>
        <w:gridCol w:w="160"/>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for the Three Months Ended March 31, 2024 and 2023 — 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adjusted earnings were as follows:</w:t>
      </w:r>
    </w:p>
    <w:tbl>
      <w:tblPr>
        <w:tblW w:w="10205" w:type="dxa"/>
        <w:jc w:val="left"/>
        <w:tblInd w:w="0" w:type="dxa"/>
        <w:tblLayout w:type="fixed"/>
        <w:tblCellMar>
          <w:top w:w="28" w:type="dxa"/>
          <w:left w:w="28" w:type="dxa"/>
          <w:bottom w:w="28" w:type="dxa"/>
          <w:right w:w="28" w:type="dxa"/>
        </w:tblCellMar>
      </w:tblPr>
      <w:tblGrid>
        <w:gridCol w:w="2923"/>
        <w:gridCol w:w="2567"/>
        <w:gridCol w:w="2562"/>
        <w:gridCol w:w="109"/>
        <w:gridCol w:w="109"/>
        <w:gridCol w:w="109"/>
        <w:gridCol w:w="196"/>
        <w:gridCol w:w="421"/>
        <w:gridCol w:w="109"/>
        <w:gridCol w:w="109"/>
        <w:gridCol w:w="109"/>
        <w:gridCol w:w="109"/>
        <w:gridCol w:w="196"/>
        <w:gridCol w:w="421"/>
        <w:gridCol w:w="156"/>
      </w:tblGrid>
      <w:tr>
        <w:trPr/>
        <w:tc>
          <w:tcPr>
            <w:tcW w:w="2923"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8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$98 million in the current period, a decrease of $293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liability balances in our Run-off segment resulting from a reinsurance premium rate increase associated with the conclusion of a reinsurance arbitration;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income annuity underwriting margins;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paid claims, net of reinsurance, in our Life and Run-off segments;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fees in our Life and Run-off segments related to the conclusion of the aforementioned reinsurance arbitration;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commensurate with an increase in deposit balances resulting from increased sales in our Annuity segment;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conclusion of the aforementioned reinsurance arbitration;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deferred compensation and operational expenses;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transition services agreement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 was: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other limited partnerships;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an effective tax rate of 15% in the current period compared to 14%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Segments and Corporate &amp; Other Results for the Three Months Ended March 31, 2024 and 2023 — Adjusted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Annuities segment were as follows:</w:t>
      </w:r>
    </w:p>
    <w:tbl>
      <w:tblPr>
        <w:tblW w:w="5286"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21"/>
        <w:gridCol w:w="109"/>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$313 million in the current period, a decrease of $1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 was higher costs associated with insurance-related activities due to a decrease in income annuity underwriting margins.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fee income due to higher reinsurance fees commensurate with an increase in deposit balances resulting from increased sales;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an effective tax rate of 19%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Life segment were as follows:</w:t>
      </w:r>
    </w:p>
    <w:tbl>
      <w:tblPr>
        <w:tblW w:w="5181"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06"/>
        <w:gridCol w:w="109"/>
        <w:gridCol w:w="109"/>
        <w:gridCol w:w="109"/>
        <w:gridCol w:w="109"/>
        <w:gridCol w:w="196"/>
        <w:gridCol w:w="33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$36 million in the current period, a decrease of $37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impacts were lower fee income due to higher ceded cost of insurance fees and higher other expenses, both related to the conclusion of a reinsurance arbitration.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 was lower costs associated with insurance-related activities due to lower paid claims, net of reinsurance.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 higher effective tax rate in the current period compared to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Run-off segment were as follows:</w:t>
      </w:r>
    </w:p>
    <w:tbl>
      <w:tblPr>
        <w:tblW w:w="5436"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96"/>
        <w:gridCol w:w="109"/>
        <w:gridCol w:w="109"/>
        <w:gridCol w:w="109"/>
        <w:gridCol w:w="109"/>
        <w:gridCol w:w="196"/>
        <w:gridCol w:w="49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$341 million in the current period, a higher loss of $235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liability balances resulting from a reinsurance premium rate increase associated with the conclusion of a reinsurance arbitration;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paid claims, net of reinsurance;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fee income due to higher ceded cost of insurance fees and higher other expenses, both related to the conclusion of the aforementioned reinsurance arbitration.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 was a higher net investment spread due to higher returns on other limited partnerships.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an effective tax rate of 21%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Corporate &amp; Other were as follows:</w:t>
      </w:r>
    </w:p>
    <w:tbl>
      <w:tblPr>
        <w:tblW w:w="10205" w:type="dxa"/>
        <w:jc w:val="left"/>
        <w:tblInd w:w="0" w:type="dxa"/>
        <w:tblLayout w:type="fixed"/>
        <w:tblCellMar>
          <w:top w:w="28" w:type="dxa"/>
          <w:left w:w="28" w:type="dxa"/>
          <w:bottom w:w="28" w:type="dxa"/>
          <w:right w:w="28" w:type="dxa"/>
        </w:tblCellMar>
      </w:tblPr>
      <w:tblGrid>
        <w:gridCol w:w="2937"/>
        <w:gridCol w:w="2580"/>
        <w:gridCol w:w="2577"/>
        <w:gridCol w:w="109"/>
        <w:gridCol w:w="109"/>
        <w:gridCol w:w="109"/>
        <w:gridCol w:w="196"/>
        <w:gridCol w:w="400"/>
        <w:gridCol w:w="109"/>
        <w:gridCol w:w="109"/>
        <w:gridCol w:w="109"/>
        <w:gridCol w:w="109"/>
        <w:gridCol w:w="196"/>
        <w:gridCol w:w="400"/>
        <w:gridCol w:w="156"/>
      </w:tblGrid>
      <w:tr>
        <w:trPr/>
        <w:tc>
          <w:tcPr>
            <w:tcW w:w="2937"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8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$34 million in the current period, a higher loss of $20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Annuity Guaranteed Benefits and Shield Annuity Liabilities for the Three Months Ended March 31, 2024 and 2023</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overall impact on income (loss) available to shareholders before provision for income tax from the performance of annuity guaranteed benefits and Shield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Level Annuity (“Shield” and “Shield annuity”) liabilities, which includes (i) changes in the fair value of liabilities and reinsurance, (ii) fees net of claims and (iii) the mark-to-market of hedges, was as follows:</w:t>
      </w:r>
    </w:p>
    <w:tbl>
      <w:tblPr>
        <w:tblW w:w="6441"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556"/>
        <w:gridCol w:w="109"/>
        <w:gridCol w:w="109"/>
        <w:gridCol w:w="109"/>
        <w:gridCol w:w="109"/>
        <w:gridCol w:w="196"/>
        <w:gridCol w:w="4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annuity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2024 Compared with the Three Months Ended March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March 31, 2024,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decreases in annuity guaranteed benefits liabilities due to increasing interest rates and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increasing equity markets, partially offset by increasing long-term interest rates;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unfavorable changes in Shield embedded derivatives due to increasing equity markets.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March 31, 2023,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increases in annuity guaranteed benefits liabilities due to decreasing interest rates, partially offset by increasing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decreasing long-term interest rates, partially offset by increasing equity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Risk Management Strategy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Management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Current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capital markets and the economy, generally. As a U.S. insurance company, we are affected by the monetary policy of the Federal Reserve Board (the “Federal Reserve”)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Federal Reserve increased the target range for the federal funds rate four times — from between 4.25% and 4.50% to between 5.25% and 5.50%. These target range increases have contributed to the net unrealized loss position in our investment portfolio, and any additional target increases could similarly contribute to further increases in net unrealized losses.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current period, as a result of recent increases in interest rates, the unrealized losses on our fixed maturity securities exceeded the unrealized gains. If interest rates rise further, our unrealized gains would decrease, and our unrealized losses would increase, perhaps substantially.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Selected Sector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elevated levels of market volatility have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2023 Annual Report.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increased market focus on commercial real estate, including office properties, as a result of companies shifting to hybrid work arrangements and the resulting impact on the demand for office space.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“Risk Factors — Risks Related to Our Investment Portfolio — Our investment portfolio is subject to significant financial risks both in the U.S. and global financial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 as well as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Investment Portfolio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tbl>
      <w:tblPr>
        <w:tblW w:w="8690" w:type="dxa"/>
        <w:jc w:val="left"/>
        <w:tblInd w:w="0" w:type="dxa"/>
        <w:tblLayout w:type="fixed"/>
        <w:tblCellMar>
          <w:top w:w="28" w:type="dxa"/>
          <w:left w:w="28" w:type="dxa"/>
          <w:bottom w:w="28" w:type="dxa"/>
          <w:right w:w="28" w:type="dxa"/>
        </w:tblCellMar>
      </w:tblPr>
      <w:tblGrid>
        <w:gridCol w:w="956"/>
        <w:gridCol w:w="841"/>
        <w:gridCol w:w="842"/>
        <w:gridCol w:w="109"/>
        <w:gridCol w:w="109"/>
        <w:gridCol w:w="109"/>
        <w:gridCol w:w="109"/>
        <w:gridCol w:w="109"/>
        <w:gridCol w:w="155"/>
        <w:gridCol w:w="155"/>
        <w:gridCol w:w="155"/>
        <w:gridCol w:w="155"/>
        <w:gridCol w:w="156"/>
        <w:gridCol w:w="155"/>
        <w:gridCol w:w="277"/>
        <w:gridCol w:w="263"/>
        <w:gridCol w:w="373"/>
        <w:gridCol w:w="109"/>
        <w:gridCol w:w="109"/>
        <w:gridCol w:w="109"/>
        <w:gridCol w:w="196"/>
        <w:gridCol w:w="556"/>
        <w:gridCol w:w="109"/>
        <w:gridCol w:w="109"/>
        <w:gridCol w:w="109"/>
        <w:gridCol w:w="109"/>
        <w:gridCol w:w="269"/>
        <w:gridCol w:w="271"/>
        <w:gridCol w:w="374"/>
        <w:gridCol w:w="109"/>
        <w:gridCol w:w="109"/>
        <w:gridCol w:w="109"/>
        <w:gridCol w:w="196"/>
        <w:gridCol w:w="55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662" w:type="dxa"/>
            <w:gridSpan w:val="18"/>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474" w:type="dxa"/>
            <w:gridSpan w:val="1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fees and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(3)Adjusted net investment income presented in the yield table varies from the most directly comparable GAAP measure due to certain reclassifications, as presented below.</w:t>
      </w:r>
    </w:p>
    <w:tbl>
      <w:tblPr>
        <w:tblW w:w="7657" w:type="dxa"/>
        <w:jc w:val="left"/>
        <w:tblInd w:w="0" w:type="dxa"/>
        <w:tblLayout w:type="fixed"/>
        <w:tblCellMar>
          <w:top w:w="28" w:type="dxa"/>
          <w:left w:w="28" w:type="dxa"/>
          <w:bottom w:w="28" w:type="dxa"/>
          <w:right w:w="28" w:type="dxa"/>
        </w:tblCellMar>
      </w:tblPr>
      <w:tblGrid>
        <w:gridCol w:w="1548"/>
        <w:gridCol w:w="1361"/>
        <w:gridCol w:w="1366"/>
        <w:gridCol w:w="109"/>
        <w:gridCol w:w="109"/>
        <w:gridCol w:w="109"/>
        <w:gridCol w:w="109"/>
        <w:gridCol w:w="109"/>
        <w:gridCol w:w="162"/>
        <w:gridCol w:w="162"/>
        <w:gridCol w:w="291"/>
        <w:gridCol w:w="827"/>
        <w:gridCol w:w="162"/>
        <w:gridCol w:w="109"/>
        <w:gridCol w:w="109"/>
        <w:gridCol w:w="109"/>
        <w:gridCol w:w="196"/>
        <w:gridCol w:w="55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 in the above yield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Results of Operations — Consolidated Results for the Three Months Ended March 31, 2024 and 2023” for an analysis of the period-over-period changes in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by type (public or private) were as follows at:</w:t>
      </w:r>
    </w:p>
    <w:tbl>
      <w:tblPr>
        <w:tblW w:w="8033" w:type="dxa"/>
        <w:jc w:val="left"/>
        <w:tblInd w:w="0" w:type="dxa"/>
        <w:tblLayout w:type="fixed"/>
        <w:tblCellMar>
          <w:top w:w="28" w:type="dxa"/>
          <w:left w:w="28" w:type="dxa"/>
          <w:bottom w:w="28" w:type="dxa"/>
          <w:right w:w="28" w:type="dxa"/>
        </w:tblCellMar>
      </w:tblPr>
      <w:tblGrid>
        <w:gridCol w:w="1025"/>
        <w:gridCol w:w="901"/>
        <w:gridCol w:w="908"/>
        <w:gridCol w:w="109"/>
        <w:gridCol w:w="109"/>
        <w:gridCol w:w="109"/>
        <w:gridCol w:w="196"/>
        <w:gridCol w:w="646"/>
        <w:gridCol w:w="256"/>
        <w:gridCol w:w="109"/>
        <w:gridCol w:w="109"/>
        <w:gridCol w:w="109"/>
        <w:gridCol w:w="278"/>
        <w:gridCol w:w="278"/>
        <w:gridCol w:w="268"/>
        <w:gridCol w:w="109"/>
        <w:gridCol w:w="109"/>
        <w:gridCol w:w="109"/>
        <w:gridCol w:w="196"/>
        <w:gridCol w:w="646"/>
        <w:gridCol w:w="256"/>
        <w:gridCol w:w="109"/>
        <w:gridCol w:w="109"/>
        <w:gridCol w:w="109"/>
        <w:gridCol w:w="278"/>
        <w:gridCol w:w="278"/>
        <w:gridCol w:w="315"/>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Publicly-traded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Privately-placed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cash and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7 of the Notes to the Interim Condensed Consolidated Financial Statements for further information about fixed maturity securities by sector, contractual maturities, continuous gross unrealized losses and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Investments — Fixed Maturity Securities Available-for-sale — Fixed Maturity Securities Credit Quality — Ratings” included in our 2023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2"/>
        <w:gridCol w:w="234"/>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2023</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NAIC</w:t>
              <w:b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of </w:t>
              <w:br/>
              <w:t>Total</w:t>
            </w:r>
          </w:p>
        </w:tc>
      </w:tr>
      <w:tr>
        <w:trPr/>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80,474 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tbl>
      <w:tblPr>
        <w:tblW w:w="10205" w:type="dxa"/>
        <w:jc w:val="left"/>
        <w:tblInd w:w="0" w:type="dxa"/>
        <w:tblLayout w:type="fixed"/>
        <w:tblCellMar>
          <w:top w:w="28" w:type="dxa"/>
          <w:left w:w="28" w:type="dxa"/>
          <w:bottom w:w="28" w:type="dxa"/>
          <w:right w:w="28" w:type="dxa"/>
        </w:tblCellMar>
      </w:tblPr>
      <w:tblGrid>
        <w:gridCol w:w="655"/>
        <w:gridCol w:w="576"/>
        <w:gridCol w:w="578"/>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222"/>
        <w:gridCol w:w="375"/>
        <w:gridCol w:w="123"/>
        <w:gridCol w:w="109"/>
        <w:gridCol w:w="109"/>
        <w:gridCol w:w="109"/>
        <w:gridCol w:w="276"/>
        <w:gridCol w:w="468"/>
        <w:gridCol w:w="154"/>
        <w:gridCol w:w="109"/>
        <w:gridCol w:w="109"/>
        <w:gridCol w:w="109"/>
        <w:gridCol w:w="196"/>
        <w:gridCol w:w="646"/>
        <w:gridCol w:w="158"/>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Maturity Securities — by Sector &amp; Credit Quality Rating</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Aaa/Aa/A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Caa and </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or Near </w:t>
              <w:br/>
              <w:t>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U.S. and Foreign Corporate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March 31, 2024 and December 31, 2023. Our U.S. and foreign corporate fixed maturity securities holdings by industry were as follows at:</w:t>
      </w:r>
    </w:p>
    <w:tbl>
      <w:tblPr>
        <w:tblW w:w="6226" w:type="dxa"/>
        <w:jc w:val="left"/>
        <w:tblInd w:w="0" w:type="dxa"/>
        <w:tblLayout w:type="fixed"/>
        <w:tblCellMar>
          <w:top w:w="28" w:type="dxa"/>
          <w:left w:w="28" w:type="dxa"/>
          <w:bottom w:w="28" w:type="dxa"/>
          <w:right w:w="28" w:type="dxa"/>
        </w:tblCellMar>
      </w:tblPr>
      <w:tblGrid>
        <w:gridCol w:w="476"/>
        <w:gridCol w:w="419"/>
        <w:gridCol w:w="42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held $20.4 billion and $20.2 billion of Structured Securities, at estimated fair value, at March 31, 2024 and December 31, 2023, respectively, as presented in the RMBS, CMBS and ABS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RMBS holdings are diversified by security type, risk profile and ratings profile, which were as follows at:</w:t>
      </w:r>
    </w:p>
    <w:tbl>
      <w:tblPr>
        <w:tblW w:w="10205" w:type="dxa"/>
        <w:jc w:val="left"/>
        <w:tblInd w:w="0" w:type="dxa"/>
        <w:tblLayout w:type="fixed"/>
        <w:tblCellMar>
          <w:top w:w="28" w:type="dxa"/>
          <w:left w:w="28" w:type="dxa"/>
          <w:bottom w:w="28" w:type="dxa"/>
          <w:right w:w="28" w:type="dxa"/>
        </w:tblCellMar>
      </w:tblPr>
      <w:tblGrid>
        <w:gridCol w:w="624"/>
        <w:gridCol w:w="543"/>
        <w:gridCol w:w="528"/>
        <w:gridCol w:w="109"/>
        <w:gridCol w:w="109"/>
        <w:gridCol w:w="109"/>
        <w:gridCol w:w="198"/>
        <w:gridCol w:w="562"/>
        <w:gridCol w:w="110"/>
        <w:gridCol w:w="109"/>
        <w:gridCol w:w="109"/>
        <w:gridCol w:w="109"/>
        <w:gridCol w:w="278"/>
        <w:gridCol w:w="278"/>
        <w:gridCol w:w="268"/>
        <w:gridCol w:w="109"/>
        <w:gridCol w:w="109"/>
        <w:gridCol w:w="109"/>
        <w:gridCol w:w="410"/>
        <w:gridCol w:w="916"/>
        <w:gridCol w:w="230"/>
        <w:gridCol w:w="109"/>
        <w:gridCol w:w="109"/>
        <w:gridCol w:w="109"/>
        <w:gridCol w:w="198"/>
        <w:gridCol w:w="562"/>
        <w:gridCol w:w="110"/>
        <w:gridCol w:w="109"/>
        <w:gridCol w:w="109"/>
        <w:gridCol w:w="109"/>
        <w:gridCol w:w="278"/>
        <w:gridCol w:w="278"/>
        <w:gridCol w:w="268"/>
        <w:gridCol w:w="109"/>
        <w:gridCol w:w="109"/>
        <w:gridCol w:w="109"/>
        <w:gridCol w:w="398"/>
        <w:gridCol w:w="887"/>
        <w:gridCol w:w="319"/>
      </w:tblGrid>
      <w:tr>
        <w:trPr/>
        <w:tc>
          <w:tcPr>
            <w:tcW w:w="6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Rated Aaa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2023, Fitch Ratings downgraded the U.S. credit rating from Aaa to Aa1, which resulted in a decrease in Aaa assets in our RMBS holdings.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CMBS holdings are diversified by vintage year, which were as follows at:</w:t>
      </w:r>
    </w:p>
    <w:tbl>
      <w:tblPr>
        <w:tblW w:w="812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83"/>
        <w:gridCol w:w="803"/>
        <w:gridCol w:w="158"/>
        <w:gridCol w:w="109"/>
        <w:gridCol w:w="109"/>
        <w:gridCol w:w="109"/>
        <w:gridCol w:w="375"/>
        <w:gridCol w:w="1066"/>
        <w:gridCol w:w="209"/>
        <w:gridCol w:w="109"/>
        <w:gridCol w:w="109"/>
        <w:gridCol w:w="109"/>
        <w:gridCol w:w="283"/>
        <w:gridCol w:w="803"/>
        <w:gridCol w:w="158"/>
        <w:gridCol w:w="109"/>
        <w:gridCol w:w="109"/>
        <w:gridCol w:w="109"/>
        <w:gridCol w:w="366"/>
        <w:gridCol w:w="1040"/>
        <w:gridCol w:w="28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2005 - 2011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CMBS rated Aaa using rating agency ratings was $4.4 billion, or 68.5% of total CMBS, and designated NAIC 1 was $6.1 billion, or 94.1% of total CMBS, at March 31, 2024. The estimated fair value of CMBS Aaa rating agency ratings was $4.4 billion, or 68.5% of total CMBS, and designated NAIC 1 was $6.0 billion, or 94.2% of total CMBS,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ABS holdings are diversified by both collateral type and issuer. Our ABS holdings by collateral type and ratings profile were as follows at:</w:t>
      </w:r>
    </w:p>
    <w:tbl>
      <w:tblPr>
        <w:tblW w:w="9372" w:type="dxa"/>
        <w:jc w:val="left"/>
        <w:tblInd w:w="0" w:type="dxa"/>
        <w:tblLayout w:type="fixed"/>
        <w:tblCellMar>
          <w:top w:w="28" w:type="dxa"/>
          <w:left w:w="28" w:type="dxa"/>
          <w:bottom w:w="28" w:type="dxa"/>
          <w:right w:w="28" w:type="dxa"/>
        </w:tblCellMar>
      </w:tblPr>
      <w:tblGrid>
        <w:gridCol w:w="690"/>
        <w:gridCol w:w="605"/>
        <w:gridCol w:w="610"/>
        <w:gridCol w:w="201"/>
        <w:gridCol w:w="572"/>
        <w:gridCol w:w="112"/>
        <w:gridCol w:w="109"/>
        <w:gridCol w:w="109"/>
        <w:gridCol w:w="109"/>
        <w:gridCol w:w="278"/>
        <w:gridCol w:w="278"/>
        <w:gridCol w:w="268"/>
        <w:gridCol w:w="109"/>
        <w:gridCol w:w="109"/>
        <w:gridCol w:w="109"/>
        <w:gridCol w:w="356"/>
        <w:gridCol w:w="629"/>
        <w:gridCol w:w="199"/>
        <w:gridCol w:w="109"/>
        <w:gridCol w:w="109"/>
        <w:gridCol w:w="109"/>
        <w:gridCol w:w="201"/>
        <w:gridCol w:w="572"/>
        <w:gridCol w:w="112"/>
        <w:gridCol w:w="109"/>
        <w:gridCol w:w="109"/>
        <w:gridCol w:w="109"/>
        <w:gridCol w:w="278"/>
        <w:gridCol w:w="278"/>
        <w:gridCol w:w="268"/>
        <w:gridCol w:w="109"/>
        <w:gridCol w:w="109"/>
        <w:gridCol w:w="109"/>
        <w:gridCol w:w="306"/>
        <w:gridCol w:w="682"/>
        <w:gridCol w:w="242"/>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Gains (Losses)</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6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 type: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obligations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Automobile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Student loans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Consumer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card loans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Rated Aaa</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information about the evaluation of fixed maturity securities for an allowance for credit losses or write-offs due to uncollectibility.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Securities Lending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Liquidity and Capital Resources — The Company — Primary Uses of Liquidity and Capital — Securities Lending” and Note 7 of the Notes to the Interim Condensed Consolidated Financial Statements for information regarding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loans are principally collateralized by commercial, agricultural and residential properties. Information regarding mortgage loans by portfolio segment is summarized as follows at: </w:t>
      </w:r>
    </w:p>
    <w:tbl>
      <w:tblPr>
        <w:tblW w:w="10314"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200"/>
        <w:gridCol w:w="200"/>
        <w:gridCol w:w="471"/>
        <w:gridCol w:w="109"/>
        <w:gridCol w:w="109"/>
        <w:gridCol w:w="109"/>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192"/>
        <w:gridCol w:w="192"/>
        <w:gridCol w:w="5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 portfolio is diversified by both geographic region and property type to reduce the risk of concentration. The percentage of our commercial and agricultural mortgage loan portfolios collateralized by properties located in the U.S. were 98% at both March 31, 2024 and December 31, 2023. The remainder was collateralized by properties located outside of the U.S. At March 31, 2024, the carrying value as a percentage of total commercial and agricultural mortgage loans for the top three states in the U.S. was 17% for California, 11% for Texas and 8% for New York. Additionally, we manage risk when originating commercial and agricultural mortgage loans by generally lending up to 75% of the estimated fair value of the underlying real estate collateral.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residential mortgage loan portfolio is managed in a similar manner to reduce risk of concentration. All residential mortgage loans were collateralized by properties located in the U.S. at both March 31, 2024 and December 31, 2023. At March 31, 2024, the carrying value as a percentage of total residential mortgage loans for the top three states in the U.S. was 39% for California, 11% for Florida and 7% for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Commercial Mortgage Loans by Geographic Region and Property Type</w:t>
      </w:r>
      <w:r>
        <w:rPr>
          <w:rFonts w:ascii="Times New Roman;sans-serif" w:hAnsi="Times New Roman;sans-serif"/>
          <w:b w:val="false"/>
          <w:color w:val="000000"/>
          <w:sz w:val="20"/>
        </w:rPr>
        <w:t>. Commercial mortgage loans are the largest component of the mortgage loan invested asset class. The diversification across geographic regions and property types of commercial mortgage loans was as follows at:</w:t>
      </w:r>
    </w:p>
    <w:tbl>
      <w:tblPr>
        <w:tblW w:w="8490" w:type="dxa"/>
        <w:jc w:val="left"/>
        <w:tblInd w:w="0" w:type="dxa"/>
        <w:tblLayout w:type="fixed"/>
        <w:tblCellMar>
          <w:top w:w="28" w:type="dxa"/>
          <w:left w:w="28" w:type="dxa"/>
          <w:bottom w:w="28" w:type="dxa"/>
          <w:right w:w="28" w:type="dxa"/>
        </w:tblCellMar>
      </w:tblPr>
      <w:tblGrid>
        <w:gridCol w:w="1299"/>
        <w:gridCol w:w="1140"/>
        <w:gridCol w:w="114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South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Multi-region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Mortgage Loan Credit Quality — Monitoring Process.</w:t>
      </w:r>
      <w:r>
        <w:rPr>
          <w:color w:val="000000"/>
        </w:rPr>
        <w:t> </w:t>
      </w:r>
      <w:r>
        <w:rPr>
          <w:rFonts w:ascii="Times New Roman;sans-serif" w:hAnsi="Times New Roman;sans-serif"/>
          <w:b w:val="false"/>
          <w:color w:val="000000"/>
          <w:sz w:val="20"/>
        </w:rPr>
        <w:t xml:space="preserve">Our mortgage loan investments are monitored on an ongoing basis, including a review of loans 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65% at both March 31, 2024 and December 31, 2023, and our average debt-service coverage ratio was 2.3x at both March 31, 2024 and December 31, 2023.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at both March 31, 2024 and December 31, 2023. The values utilized in calculating the agricultural mortgage loan loan-to-value ratio are developed in connection with the ongoing review of the agricultural loan portfolio and are routinely updated. </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Mortgage Loan Allowance for Credit Losses</w:t>
      </w:r>
      <w:r>
        <w:rPr>
          <w:rFonts w:ascii="Times New Roman;sans-serif" w:hAnsi="Times New Roman;sans-serif"/>
          <w:b w:val="false"/>
          <w:color w:val="000000"/>
          <w:sz w:val="20"/>
        </w:rPr>
        <w:t>. See Note 7 of the Notes to the Interim Condensed Consolidated Financial Statements for information about how the allowance for credit losses is established and monitored, as well as activity in and balances of the allowance for credit losses for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Limited Partnerships and Limited Liability Companies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limited partnerships and limited liability companies (“LLC”) were as follows at:</w:t>
      </w:r>
    </w:p>
    <w:tbl>
      <w:tblPr>
        <w:tblW w:w="6773" w:type="dxa"/>
        <w:jc w:val="left"/>
        <w:tblInd w:w="0" w:type="dxa"/>
        <w:tblLayout w:type="fixed"/>
        <w:tblCellMar>
          <w:top w:w="28" w:type="dxa"/>
          <w:left w:w="28" w:type="dxa"/>
          <w:bottom w:w="28" w:type="dxa"/>
          <w:right w:w="28" w:type="dxa"/>
        </w:tblCellMar>
      </w:tblPr>
      <w:tblGrid>
        <w:gridCol w:w="1202"/>
        <w:gridCol w:w="1053"/>
        <w:gridCol w:w="1060"/>
        <w:gridCol w:w="109"/>
        <w:gridCol w:w="109"/>
        <w:gridCol w:w="109"/>
        <w:gridCol w:w="287"/>
        <w:gridCol w:w="814"/>
        <w:gridCol w:w="159"/>
        <w:gridCol w:w="109"/>
        <w:gridCol w:w="109"/>
        <w:gridCol w:w="109"/>
        <w:gridCol w:w="334"/>
        <w:gridCol w:w="948"/>
        <w:gridCol w:w="262"/>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limited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limited partnerships and LLCs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estimated fair value of real estate limited partnerships and LLCs was $887 million and $927 million at March 31, 2024 and December 31,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Invested Assets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other invested assets by type was as follows at:</w:t>
      </w:r>
    </w:p>
    <w:tbl>
      <w:tblPr>
        <w:tblW w:w="9014" w:type="dxa"/>
        <w:jc w:val="left"/>
        <w:tblInd w:w="0" w:type="dxa"/>
        <w:tblLayout w:type="fixed"/>
        <w:tblCellMar>
          <w:top w:w="28" w:type="dxa"/>
          <w:left w:w="28" w:type="dxa"/>
          <w:bottom w:w="28" w:type="dxa"/>
          <w:right w:w="28" w:type="dxa"/>
        </w:tblCellMar>
      </w:tblPr>
      <w:tblGrid>
        <w:gridCol w:w="1553"/>
        <w:gridCol w:w="1363"/>
        <w:gridCol w:w="1373"/>
        <w:gridCol w:w="109"/>
        <w:gridCol w:w="109"/>
        <w:gridCol w:w="109"/>
        <w:gridCol w:w="196"/>
        <w:gridCol w:w="556"/>
        <w:gridCol w:w="109"/>
        <w:gridCol w:w="109"/>
        <w:gridCol w:w="109"/>
        <w:gridCol w:w="109"/>
        <w:gridCol w:w="278"/>
        <w:gridCol w:w="278"/>
        <w:gridCol w:w="268"/>
        <w:gridCol w:w="109"/>
        <w:gridCol w:w="109"/>
        <w:gridCol w:w="109"/>
        <w:gridCol w:w="196"/>
        <w:gridCol w:w="556"/>
        <w:gridCol w:w="109"/>
        <w:gridCol w:w="109"/>
        <w:gridCol w:w="109"/>
        <w:gridCol w:w="109"/>
        <w:gridCol w:w="278"/>
        <w:gridCol w:w="278"/>
        <w:gridCol w:w="31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Freestanding derivatives with positive estimated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 and renewable energy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Leveraged leases, net of non-recourse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Derivative Risks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risks relating to our ongoing business operations, including interest rate, foreign currency exchange rate, credit and equity market risks. We use a variety of strategies to manage these risks, including the use of derivatives. See Note 8 of the Notes to the Interim Condensed Consolidated Financial Statements for: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information about the gross notional amount, estimated fair value, and primary underlying risk exposure of our derivatives by type of hedge designation, excluding embedded derivatives held at March 31, 2024 and December 31,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derivatives in cash flow, fair value, or non-qualifying hedge relationships on the statements of operations for the three months ended March 31, 2024 and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“Business — Segments and Corporate &amp; Other — Annuities,” “Management’s Discussion and Analysis of Financial Condition and Results of Operations — Risk Management Strategies” included in our 2023 Annual Report for more information about our use of derivatives by major hedging programs.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Hierarchy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categorized as Level 3 at March 31, 2024 include: credit default swaps priced using unobservable credit spreads, or that are priced through independent broker quotations; equity hybrid options with unobservable volatility inputs; and foreign currency swaps with certain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Derivatives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credit default swaps were as follows at:</w:t>
      </w:r>
    </w:p>
    <w:tbl>
      <w:tblPr>
        <w:tblW w:w="6213" w:type="dxa"/>
        <w:jc w:val="left"/>
        <w:tblInd w:w="0" w:type="dxa"/>
        <w:tblLayout w:type="fixed"/>
        <w:tblCellMar>
          <w:top w:w="28" w:type="dxa"/>
          <w:left w:w="28" w:type="dxa"/>
          <w:bottom w:w="28" w:type="dxa"/>
          <w:right w:w="28" w:type="dxa"/>
        </w:tblCellMar>
      </w:tblPr>
      <w:tblGrid>
        <w:gridCol w:w="250"/>
        <w:gridCol w:w="219"/>
        <w:gridCol w:w="221"/>
        <w:gridCol w:w="109"/>
        <w:gridCol w:w="109"/>
        <w:gridCol w:w="109"/>
        <w:gridCol w:w="273"/>
        <w:gridCol w:w="775"/>
        <w:gridCol w:w="152"/>
        <w:gridCol w:w="109"/>
        <w:gridCol w:w="109"/>
        <w:gridCol w:w="109"/>
        <w:gridCol w:w="272"/>
        <w:gridCol w:w="460"/>
        <w:gridCol w:w="153"/>
        <w:gridCol w:w="109"/>
        <w:gridCol w:w="109"/>
        <w:gridCol w:w="109"/>
        <w:gridCol w:w="273"/>
        <w:gridCol w:w="775"/>
        <w:gridCol w:w="152"/>
        <w:gridCol w:w="109"/>
        <w:gridCol w:w="109"/>
        <w:gridCol w:w="109"/>
        <w:gridCol w:w="267"/>
        <w:gridCol w:w="452"/>
        <w:gridCol w:w="21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Written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Summary of Critical Accounting Estimates — Derivatives” for additional information on the estimates and assumptions that affect embedded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Policyholder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for more details on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future amounts payable under insurance policies. See Note 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Select information that management considers relevant to understanding our variable annuity risk management strategy has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account value and NAR by type of GMxB were as follows at:</w:t>
      </w:r>
    </w:p>
    <w:tbl>
      <w:tblPr>
        <w:tblW w:w="10758" w:type="dxa"/>
        <w:jc w:val="left"/>
        <w:tblInd w:w="0" w:type="dxa"/>
        <w:tblLayout w:type="fixed"/>
        <w:tblCellMar>
          <w:top w:w="28" w:type="dxa"/>
          <w:left w:w="28" w:type="dxa"/>
          <w:bottom w:w="28" w:type="dxa"/>
          <w:right w:w="28" w:type="dxa"/>
        </w:tblCellMar>
      </w:tblPr>
      <w:tblGrid>
        <w:gridCol w:w="322"/>
        <w:gridCol w:w="191"/>
        <w:gridCol w:w="19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2"/>
        <w:gridCol w:w="252"/>
        <w:gridCol w:w="59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9"/>
        <w:gridCol w:w="239"/>
        <w:gridCol w:w="663"/>
      </w:tblGrid>
      <w:tr>
        <w:trPr/>
        <w:tc>
          <w:tcPr>
            <w:tcW w:w="3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without EDB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GMAB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 only (other than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EDB only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“Death Benefit NAR” and “Living Benefit NAR” are not additive at the contract level.</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(2)In-the-money is defined as any contract with a living benefit NAR in excess of zero.</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(3)Enhanced Death Benefit (“EDB”).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These liabilities were valued at $9.4 billion at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MRBs by type of GMxB were as follows at:</w:t>
      </w:r>
    </w:p>
    <w:tbl>
      <w:tblPr>
        <w:tblW w:w="3838" w:type="dxa"/>
        <w:jc w:val="left"/>
        <w:tblInd w:w="0" w:type="dxa"/>
        <w:tblLayout w:type="fixed"/>
        <w:tblCellMar>
          <w:top w:w="28" w:type="dxa"/>
          <w:left w:w="28" w:type="dxa"/>
          <w:bottom w:w="28" w:type="dxa"/>
          <w:right w:w="28" w:type="dxa"/>
        </w:tblCellMar>
      </w:tblPr>
      <w:tblGrid>
        <w:gridCol w:w="254"/>
        <w:gridCol w:w="224"/>
        <w:gridCol w:w="228"/>
        <w:gridCol w:w="287"/>
        <w:gridCol w:w="814"/>
        <w:gridCol w:w="159"/>
        <w:gridCol w:w="109"/>
        <w:gridCol w:w="109"/>
        <w:gridCol w:w="109"/>
        <w:gridCol w:w="304"/>
        <w:gridCol w:w="1002"/>
        <w:gridCol w:w="23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these guarantees can change significantly due to changes in equity market performance, equity market volatility or interest rates. Fair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Derivatives Hedging Variable Annuity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the derivatives hedging our in-force variable annuity guarantees and ULSG business viewed in aggregate in our interest rate hedging program were as follows at:</w:t>
      </w:r>
    </w:p>
    <w:tbl>
      <w:tblPr>
        <w:tblW w:w="10205" w:type="dxa"/>
        <w:jc w:val="left"/>
        <w:tblInd w:w="0" w:type="dxa"/>
        <w:tblLayout w:type="fixed"/>
        <w:tblCellMar>
          <w:top w:w="28" w:type="dxa"/>
          <w:left w:w="28" w:type="dxa"/>
          <w:bottom w:w="28" w:type="dxa"/>
          <w:right w:w="28" w:type="dxa"/>
        </w:tblCellMar>
      </w:tblPr>
      <w:tblGrid>
        <w:gridCol w:w="524"/>
        <w:gridCol w:w="459"/>
        <w:gridCol w:w="463"/>
        <w:gridCol w:w="109"/>
        <w:gridCol w:w="109"/>
        <w:gridCol w:w="109"/>
        <w:gridCol w:w="368"/>
        <w:gridCol w:w="1215"/>
        <w:gridCol w:w="205"/>
        <w:gridCol w:w="109"/>
        <w:gridCol w:w="109"/>
        <w:gridCol w:w="109"/>
        <w:gridCol w:w="196"/>
        <w:gridCol w:w="421"/>
        <w:gridCol w:w="109"/>
        <w:gridCol w:w="109"/>
        <w:gridCol w:w="109"/>
        <w:gridCol w:w="109"/>
        <w:gridCol w:w="196"/>
        <w:gridCol w:w="556"/>
        <w:gridCol w:w="109"/>
        <w:gridCol w:w="109"/>
        <w:gridCol w:w="109"/>
        <w:gridCol w:w="109"/>
        <w:gridCol w:w="368"/>
        <w:gridCol w:w="1215"/>
        <w:gridCol w:w="205"/>
        <w:gridCol w:w="109"/>
        <w:gridCol w:w="109"/>
        <w:gridCol w:w="109"/>
        <w:gridCol w:w="196"/>
        <w:gridCol w:w="421"/>
        <w:gridCol w:w="109"/>
        <w:gridCol w:w="109"/>
        <w:gridCol w:w="109"/>
        <w:gridCol w:w="109"/>
        <w:gridCol w:w="196"/>
        <w:gridCol w:w="556"/>
        <w:gridCol w:w="156"/>
      </w:tblGrid>
      <w:tr>
        <w:trPr/>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Instrument Type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options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gross notional amounts presented do not necessarily represent the relative economic coverage provided by derivative instruments because certain positions were closed out by entering into offsetting positions that are not netted in the above table.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(2)Hybrid options have equity exposure in addition to interest rate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the derivatives held in our variable annuity hedging program were as follows at:</w:t>
      </w:r>
    </w:p>
    <w:tbl>
      <w:tblPr>
        <w:tblW w:w="10205" w:type="dxa"/>
        <w:jc w:val="left"/>
        <w:tblInd w:w="0" w:type="dxa"/>
        <w:tblLayout w:type="fixed"/>
        <w:tblCellMar>
          <w:top w:w="28" w:type="dxa"/>
          <w:left w:w="28" w:type="dxa"/>
          <w:bottom w:w="28" w:type="dxa"/>
          <w:right w:w="28" w:type="dxa"/>
        </w:tblCellMar>
      </w:tblPr>
      <w:tblGrid>
        <w:gridCol w:w="534"/>
        <w:gridCol w:w="468"/>
        <w:gridCol w:w="472"/>
        <w:gridCol w:w="109"/>
        <w:gridCol w:w="109"/>
        <w:gridCol w:w="109"/>
        <w:gridCol w:w="308"/>
        <w:gridCol w:w="1159"/>
        <w:gridCol w:w="171"/>
        <w:gridCol w:w="109"/>
        <w:gridCol w:w="109"/>
        <w:gridCol w:w="109"/>
        <w:gridCol w:w="196"/>
        <w:gridCol w:w="556"/>
        <w:gridCol w:w="109"/>
        <w:gridCol w:w="109"/>
        <w:gridCol w:w="109"/>
        <w:gridCol w:w="109"/>
        <w:gridCol w:w="196"/>
        <w:gridCol w:w="556"/>
        <w:gridCol w:w="109"/>
        <w:gridCol w:w="109"/>
        <w:gridCol w:w="109"/>
        <w:gridCol w:w="109"/>
        <w:gridCol w:w="308"/>
        <w:gridCol w:w="1159"/>
        <w:gridCol w:w="171"/>
        <w:gridCol w:w="109"/>
        <w:gridCol w:w="109"/>
        <w:gridCol w:w="109"/>
        <w:gridCol w:w="196"/>
        <w:gridCol w:w="556"/>
        <w:gridCol w:w="109"/>
        <w:gridCol w:w="109"/>
        <w:gridCol w:w="109"/>
        <w:gridCol w:w="109"/>
        <w:gridCol w:w="196"/>
        <w:gridCol w:w="556"/>
        <w:gridCol w:w="158"/>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Instrument Type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index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total return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144,469 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gross notional amounts presented do not necessarily represent the relative economic coverage provided by option instruments because certain positions were closed out by entering into offsetting positions that are not netted in the above table.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or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2023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Management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substantial short-term liquidity position, which was $4.0 billion and $3.8 billion at March 31, 2024 and December 31, 2023,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integral part of our liquidity management includes managing our level of liquid assets, which was $44.5 billion and $45.2 billion at March 31, 2024 and December 31, 2023,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2023 Annual Report.</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support of our target combined risk-based capital (“RBC”) ratio of 400% to 450% in normal market conditions, we expect to continue to maintain a capital and exposure risk management program that targets total assets supporting our variable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share repurchase program under which repurchases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and uses of liquidity and capital were as follows at:</w:t>
      </w:r>
    </w:p>
    <w:tbl>
      <w:tblPr>
        <w:tblW w:w="8978" w:type="dxa"/>
        <w:jc w:val="left"/>
        <w:tblInd w:w="0" w:type="dxa"/>
        <w:tblLayout w:type="fixed"/>
        <w:tblCellMar>
          <w:top w:w="28" w:type="dxa"/>
          <w:left w:w="28" w:type="dxa"/>
          <w:bottom w:w="28" w:type="dxa"/>
          <w:right w:w="28" w:type="dxa"/>
        </w:tblCellMar>
      </w:tblPr>
      <w:tblGrid>
        <w:gridCol w:w="2491"/>
        <w:gridCol w:w="2183"/>
        <w:gridCol w:w="2210"/>
        <w:gridCol w:w="196"/>
        <w:gridCol w:w="556"/>
        <w:gridCol w:w="109"/>
        <w:gridCol w:w="109"/>
        <w:gridCol w:w="109"/>
        <w:gridCol w:w="109"/>
        <w:gridCol w:w="196"/>
        <w:gridCol w:w="556"/>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policyholder account balances,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element on certain derivative instruments and other derivative related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sources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 in connection with 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element on certain derivative instruments and other derivative related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Funding 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and Note 13 of the Notes to the Consolidated Financial Statements included in our 2023 Annual Report for information on preferred stock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are reported in Corporate &amp; Other. See Note 4 of the Notes to the Consolidated Financial Statements included in our 2023 Annual Report for additional information on funding agreements.</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Repurchase Agreement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special-purpose entity to purchase funding agreements from Brighthouse Life Insurance Company.</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Commercial Paper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Notes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 a member of the Federal Home Loan Bank (“FHLB”) of Atlanta, where it maintains a secured funding agreement program, under which funding agreements may be issued.</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Farmer Mac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821"/>
        <w:gridCol w:w="678"/>
        <w:gridCol w:w="684"/>
        <w:gridCol w:w="109"/>
        <w:gridCol w:w="109"/>
        <w:gridCol w:w="109"/>
        <w:gridCol w:w="244"/>
        <w:gridCol w:w="809"/>
        <w:gridCol w:w="136"/>
        <w:gridCol w:w="109"/>
        <w:gridCol w:w="109"/>
        <w:gridCol w:w="109"/>
        <w:gridCol w:w="282"/>
        <w:gridCol w:w="936"/>
        <w:gridCol w:w="15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61"/>
      </w:tblGrid>
      <w:tr>
        <w:trPr/>
        <w:tc>
          <w:tcPr>
            <w:tcW w:w="8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Issuances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of the Notes to the Consolidated Financial Statements included in our 2023 Annual Report for information on debt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12 and 13 of the Notes to the Consolidated Financial Statements included in our 2023 Annual Report for information regarding our 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March 31, 2024, we were in compliance with these financial covenants.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March 31, 2024. Subsequent to March 31, 2024 and through May 3, 2024, BHF repurchased an additional 507,621 shares of its common stock through open market purchases pursuant to a 10b5-1 plan for $25 million.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for information relating to dividends declared and paid on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color w:val="000000"/>
          <w:u w:val="single"/>
        </w:rPr>
      </w:pPr>
      <w:r>
        <w:rPr>
          <w:color w:val="000000"/>
          <w:u w:val="single"/>
        </w:rPr>
        <w:t>“</w:t>
      </w:r>
      <w:r>
        <w:rPr>
          <w:rFonts w:ascii="Times New Roman;sans-serif" w:hAnsi="Times New Roman;sans-serif"/>
          <w:b w:val="false"/>
          <w:i/>
          <w:color w:val="000000"/>
          <w:sz w:val="20"/>
          <w:u w:val="single"/>
        </w:rPr>
        <w:t>Dividend Stopper” Provisions in BHF’s Preferred Stock and Junior Subordinated Debentures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Repayments, Repurchases, Redemptions and Exchanges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of the Notes to the Consolidated Financial Statements included in our 2023 Annual Report for information on debt repayments and repurchases, as well as debt maturities and the terms of our outstanding long-term debt.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Pledged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derivatives to manage various risks relating to our ongoing business operations. We pledge collateral to, and have collateral pledged to us by, counterparties in connection with our derivatives. At March 31, 2024 and December 31, 2023, we pledged $24 million and $16 million, respectively, of cash collateral to counterparties. At March 31, 2024 and December 31, 2023, we were obligated to return cash collateral pledged to us by counterparties of $483 million and $393 million, respectively. The timing of the return of the derivatives collateral is uncertain. See Note 8 of the Notes to the Interim Condensed Consolidated Financial Statements for additional information about pledged collateral. We also pledge collateral from time to time in connection with our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$2.0 billion and $2.4 billion at March 31, 2024 and December 31, 2023, respectively.</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$3.2 billion and $3.3 billion at March 31, 2024 and December 31, 2023, respectively.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for securities lending from counterparties, which cannot be sold or re-pledged, and which is not recorded on our consolidated balance sheets. There was no non-cash collateral at both March 31, 2024 and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further discussion of our securities lending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Contingencies, Commitments and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Parent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Liquidity and Liquid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both March 31, 2024 and December 31, 2023, BHF and certain of its non-insurance subsidiaries had short-term liquidity of $1.2 billion. Short-term liquidity is comprised of cash and cash equivalents and short-term investments,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both March 31, 2024 and December 31, 2023, BHF and certain of its non-insurance subsidiaries had liquid assets of $1.3 billion, of which $1.2 billion was held by BHF.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Statutory Capital and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2024 would be subject to Delaware Department of Insurance approval. See Note 13 of the Notes to the Consolidated Financial Statements included in our 2023 Annual Report for additional information regarding the applicable dividend restrictions and certain of our subsidiaries’ ordinary dividend capacity, as well as the circumstances under which regulatory approval would be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liquidity and capital sources discussed in “— The Company — Primary Sources of Liquidity and Capital” and “— The Company — Primary Uses of Liquidity and Capital,” the following additional information is provided regarding BHF’s 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Distributions from and Capital Contributions to BH Holdings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both the three months ended March 31, 2024 and 2023, BHF did not receive any cash distributions from BH Holdings and did not make any cash capital contributions to BH Holdings.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Intercompany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2024 and 2023, BHF borrowed $110 million and $217 million, respectively, from certain of its non-insurance subsidiaries and repaid $50 million and $172 million of such borrowings during the three months ended March 31, 2024 and 2023, respectively. At March 31, 2024 and December 31, 2023, BHF had total obligations outstanding of $787 million and $727 million, respectively, under such agreements.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Intercompany Liquidity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three months ended March 31, 2024 and 2023, there were no borrowings or repayments by BHF under these facilities and, at both March 31, 2024 and December 31, 2023, BHF had no obligations outstanding under such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variable annuity exposure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material differences between actual outcomes and the sensitivities calculated under certain scenarios that we may utilize in connection with our variable annuity risk management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adverse effect of changes in accounting standards, practices or policies applicable to us, including changes in the accounting for long-duration contracts;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business and other negative impacts resulting from a downgrade or a potential downgrade in our financial strength or credit ratings;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heightened competition, including with respect to service, product features, scale, price, actual or perceived financial strength, claims-paying ratings, credit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market and distribute our products through distribution channels;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subsidiaries to pay dividends to us, and our ability to pay dividends to our shareholders and repurchase our common stock;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regulation and in supervisory and enforcement policies or interpretations thereof on our insurance business or other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2023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2023 Annual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exposures from the market risk exposures previously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noted above, there were no changes to the Company’s internal control over financial reporting (as defined in Rules 13a-15(f) and 15d-15(f) under the Exchange Act) that occurred during the quarter ended March 31, 2024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in this report, in our 2023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Purchases of BHF common stock made by or on behalf of BHF or its affiliates during the three months ended March 31, 2024 are set forth below:</w:t>
      </w:r>
    </w:p>
    <w:tbl>
      <w:tblPr>
        <w:tblW w:w="10205" w:type="dxa"/>
        <w:jc w:val="left"/>
        <w:tblInd w:w="0" w:type="dxa"/>
        <w:tblLayout w:type="fixed"/>
        <w:tblCellMar>
          <w:top w:w="28" w:type="dxa"/>
          <w:left w:w="28" w:type="dxa"/>
          <w:bottom w:w="28" w:type="dxa"/>
          <w:right w:w="28" w:type="dxa"/>
        </w:tblCellMar>
      </w:tblPr>
      <w:tblGrid>
        <w:gridCol w:w="524"/>
        <w:gridCol w:w="399"/>
        <w:gridCol w:w="405"/>
        <w:gridCol w:w="109"/>
        <w:gridCol w:w="109"/>
        <w:gridCol w:w="109"/>
        <w:gridCol w:w="671"/>
        <w:gridCol w:w="438"/>
        <w:gridCol w:w="439"/>
        <w:gridCol w:w="109"/>
        <w:gridCol w:w="109"/>
        <w:gridCol w:w="109"/>
        <w:gridCol w:w="268"/>
        <w:gridCol w:w="761"/>
        <w:gridCol w:w="149"/>
        <w:gridCol w:w="109"/>
        <w:gridCol w:w="109"/>
        <w:gridCol w:w="109"/>
        <w:gridCol w:w="931"/>
        <w:gridCol w:w="729"/>
        <w:gridCol w:w="731"/>
        <w:gridCol w:w="109"/>
        <w:gridCol w:w="109"/>
        <w:gridCol w:w="109"/>
        <w:gridCol w:w="621"/>
        <w:gridCol w:w="1334"/>
        <w:gridCol w:w="497"/>
      </w:tblGrid>
      <w:tr>
        <w:trPr/>
        <w:tc>
          <w:tcPr>
            <w:tcW w:w="52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403,954 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403,954 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407,808 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407,808 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675,826 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435,549 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1,487,588 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1,247,311 </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(2)On November 16, 2023, we authorized the repurchase of up to $750 million of our common stock, which does not have an expiration date. This authorization was in addition to the $1.2 billion total repurchases authorized in 2021, which were completed in the first quarter of 2024. See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Director and Officer 10b5-1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following Rule 10b5-1 trading arrangements (as such term is defined in Item 408 of Regulation S-K of the Securities Act of 1933, as amended (the “Securities Act”)) for the sale of the Company’s common stock were adopted by certain officers of the Company (as defined in Rule 16a-1(f) of the Exchange Act):</w:t>
      </w:r>
    </w:p>
    <w:tbl>
      <w:tblPr>
        <w:tblW w:w="10205" w:type="dxa"/>
        <w:jc w:val="left"/>
        <w:tblInd w:w="0" w:type="dxa"/>
        <w:tblLayout w:type="fixed"/>
        <w:tblCellMar>
          <w:top w:w="28" w:type="dxa"/>
          <w:left w:w="28" w:type="dxa"/>
          <w:bottom w:w="28" w:type="dxa"/>
          <w:right w:w="28" w:type="dxa"/>
        </w:tblCellMar>
      </w:tblPr>
      <w:tblGrid>
        <w:gridCol w:w="1193"/>
        <w:gridCol w:w="934"/>
        <w:gridCol w:w="938"/>
        <w:gridCol w:w="691"/>
        <w:gridCol w:w="691"/>
        <w:gridCol w:w="693"/>
        <w:gridCol w:w="639"/>
        <w:gridCol w:w="639"/>
        <w:gridCol w:w="641"/>
        <w:gridCol w:w="920"/>
        <w:gridCol w:w="920"/>
        <w:gridCol w:w="1306"/>
      </w:tblGrid>
      <w:tr>
        <w:trPr/>
        <w:tc>
          <w:tcPr>
            <w:tcW w:w="119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Name and title of director or officer</w:t>
            </w:r>
          </w:p>
        </w:tc>
        <w:tc>
          <w:tcPr>
            <w:tcW w:w="207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Date of adoption of trading arrangement</w:t>
            </w:r>
          </w:p>
        </w:tc>
        <w:tc>
          <w:tcPr>
            <w:tcW w:w="191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Duration of trading arrangement (1)</w:t>
            </w:r>
          </w:p>
        </w:tc>
        <w:tc>
          <w:tcPr>
            <w:tcW w:w="314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 to be sold under trading arrangement</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Vonda R. Huss,</w:t>
              <w:br/>
              <w:t>Executive Vice President and Chief Human Resources Officer</w:t>
            </w:r>
          </w:p>
        </w:tc>
        <w:tc>
          <w:tcPr>
            <w:tcW w:w="2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 2024</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 2024 – June 30, 2025</w:t>
            </w:r>
          </w:p>
        </w:tc>
        <w:tc>
          <w:tcPr>
            <w:tcW w:w="3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15,000</w:t>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Myles J. Lambert,</w:t>
              <w:br/>
              <w:t>Executive Vice President and Chief Marketing and Distribution Officer</w:t>
            </w:r>
          </w:p>
        </w:tc>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 2024 – July 1, 2025</w:t>
            </w:r>
          </w:p>
        </w:tc>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42,000</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L. Rosenthal,</w:t>
              <w:br/>
              <w:t>Executive Vice President and Chief Investment Officer</w:t>
            </w:r>
          </w:p>
        </w:tc>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2024</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June 3, 2024 – February 4, 2025 </w:t>
            </w:r>
          </w:p>
        </w:tc>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w:t>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Edward A. Spehar,</w:t>
              <w:br/>
              <w:t>Executive Vice President and Chief Financial Officer</w:t>
            </w:r>
          </w:p>
        </w:tc>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2024</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29, 2024 – December 31, 2024</w:t>
            </w:r>
          </w:p>
        </w:tc>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21,375</w:t>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T. Steigerwalt,</w:t>
              <w:br/>
              <w:t>President, Chief Executive Officer and Director</w:t>
            </w:r>
          </w:p>
        </w:tc>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 2024 - July 1, 2025</w:t>
            </w:r>
          </w:p>
        </w:tc>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125,000</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 each case, a Rule 10b5-1 trading arrangement may also expire on such earlier date as all transactions under the Rule 10b5-1 trading arrangement are completed.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none of the Company’s other directors or officers (as defined in Rule 16a-1(f) of the Exchange Act) adopted or terminated a Rule 10b5-1 trading arrangement or non-Rule 10b5-1 trading arrangement (as such terms are defined in Item 408 of Regulation S-K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420"/>
        <w:ind w:left="0" w:right="0" w:firstLine="180"/>
        <w:jc w:val="both"/>
        <w:rPr/>
      </w:pPr>
      <w:r>
        <w:rPr>
          <w:rFonts w:ascii="Times New Roman;sans-serif" w:hAnsi="Times New Roman;sans-serif"/>
          <w:b w:val="false"/>
          <w:i/>
          <w:color w:val="000000"/>
          <w:sz w:val="20"/>
        </w:rPr>
        <w:t>(</w:t>
      </w:r>
      <w:r>
        <w:rPr>
          <w:rFonts w:ascii="Times New Roman;sans-serif" w:hAnsi="Times New Roman;sans-serif"/>
          <w:b/>
          <w:i/>
          <w:color w:val="000000"/>
          <w:sz w:val="20"/>
        </w:rPr>
        <w:t>Note Regarding Reliance on Statements in Our Contracts:</w:t>
      </w:r>
      <w:r>
        <w:rPr>
          <w:color w:val="000000"/>
        </w:rPr>
        <w:t xml:space="preserve"> </w:t>
      </w:r>
      <w:r>
        <w:rPr>
          <w:rFonts w:ascii="Times New Roman;sans-serif" w:hAnsi="Times New Roman;sans-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21"/>
        <w:gridCol w:w="283"/>
        <w:gridCol w:w="284"/>
        <w:gridCol w:w="109"/>
        <w:gridCol w:w="109"/>
        <w:gridCol w:w="109"/>
        <w:gridCol w:w="2661"/>
        <w:gridCol w:w="2608"/>
        <w:gridCol w:w="3721"/>
      </w:tblGrid>
      <w:tr>
        <w:trPr/>
        <w:tc>
          <w:tcPr>
            <w:tcW w:w="3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bhf-03312024xex101.htm">
              <w:r>
                <w:rPr>
                  <w:rStyle w:val="InternetLink"/>
                  <w:rFonts w:ascii="Times New Roman;sans-serif" w:hAnsi="Times New Roman;sans-serif"/>
                  <w:b w:val="false"/>
                  <w:color w:val="0000FF"/>
                  <w:sz w:val="20"/>
                  <w:u w:val="single"/>
                </w:rPr>
                <w:t>Form of Performance Share Unit (“PSU”) Agreement for awards granted in 2024 and subsequently under the Brighthouse Financial, Inc. 2017 Stock and Incentive Compensation Plan, as amended November 14, 2019 (the “Employee Plan”).</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4xex102.htm">
              <w:r>
                <w:rPr>
                  <w:rStyle w:val="InternetLink"/>
                  <w:rFonts w:ascii="Times New Roman;sans-serif" w:hAnsi="Times New Roman;sans-serif"/>
                  <w:b w:val="false"/>
                  <w:color w:val="000080"/>
                  <w:sz w:val="20"/>
                  <w:u w:val="single"/>
                </w:rPr>
                <w:t>A</w:t>
              </w:r>
            </w:hyperlink>
            <w:hyperlink w:anchor="bhf-03312024xex102.htm">
              <w:r>
                <w:rPr>
                  <w:rStyle w:val="InternetLink"/>
                  <w:rFonts w:ascii="Times New Roman;sans-serif" w:hAnsi="Times New Roman;sans-serif"/>
                  <w:b w:val="false"/>
                  <w:color w:val="000080"/>
                  <w:sz w:val="20"/>
                  <w:u w:val="single"/>
                </w:rPr>
                <w:t>ward Agreement Supplement (Employee Plan) f</w:t>
              </w:r>
            </w:hyperlink>
            <w:hyperlink w:anchor="bhf-03312024xex102.htm">
              <w:r>
                <w:rPr>
                  <w:rStyle w:val="InternetLink"/>
                  <w:rFonts w:ascii="Times New Roman;sans-serif" w:hAnsi="Times New Roman;sans-serif"/>
                  <w:b w:val="false"/>
                  <w:color w:val="000080"/>
                  <w:sz w:val="20"/>
                  <w:u w:val="single"/>
                </w:rPr>
                <w:t xml:space="preserve">or PSU and Restricted </w:t>
              </w:r>
            </w:hyperlink>
            <w:hyperlink w:anchor="bhf-03312024xex102.htm">
              <w:r>
                <w:rPr>
                  <w:rStyle w:val="InternetLink"/>
                  <w:rFonts w:ascii="Times New Roman;sans-serif" w:hAnsi="Times New Roman;sans-serif"/>
                  <w:b w:val="false"/>
                  <w:color w:val="000080"/>
                  <w:sz w:val="20"/>
                  <w:u w:val="single"/>
                </w:rPr>
                <w:t>Stock Unit awards granted in 2024</w:t>
              </w:r>
            </w:hyperlink>
            <w:hyperlink w:anchor="bhf-03312024xex102.htm">
              <w:r>
                <w:rPr>
                  <w:rStyle w:val="InternetLink"/>
                  <w:rFonts w:ascii="Times New Roman;sans-serif" w:hAnsi="Times New Roman;sans-serif"/>
                  <w:b w:val="false"/>
                  <w:color w:val="000080"/>
                  <w:sz w:val="20"/>
                  <w:u w:val="single"/>
                </w:rPr>
                <w:t xml:space="preserve"> and subsequently</w:t>
              </w:r>
            </w:hyperlink>
            <w:hyperlink w:anchor="bhf-03312024xex102.htm">
              <w:r>
                <w:rPr>
                  <w:rStyle w:val="InternetLink"/>
                  <w:rFonts w:ascii="Times New Roman;sans-serif" w:hAnsi="Times New Roman;sans-serif"/>
                  <w:b w:val="false"/>
                  <w:color w:val="000080"/>
                  <w:sz w:val="20"/>
                  <w:u w:val="single"/>
                </w:rPr>
                <w:t>.</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4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4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4xe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3312024xe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Brighthouse Financial, Inc.’s Quarterly Report on Form 10-Q for the quarter ended March 31, 2024, formatted in Inline XBRL (included within the Exhibit 101 attachments).</w:t>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Denotes management contracts or compensation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120" w:after="283"/>
        <w:jc w:val="both"/>
        <w:rPr/>
      </w:pPr>
      <w:hyperlink w:anchor="i3ec082df13d74f48815e1bb5b1ec5129_7">
        <w:r>
          <w:rPr>
            <w:rStyle w:val="InternetLink"/>
            <w:rFonts w:ascii="Times New Roman;sans-serif" w:hAnsi="Times New Roman;sans-serif"/>
            <w:b/>
            <w:color w:val="0000FF"/>
            <w:sz w:val="18"/>
            <w:u w:val="single"/>
          </w:rPr>
          <w:t xml:space="preserve">Table of </w:t>
        </w:r>
      </w:hyperlink>
      <w:hyperlink w:anchor="i3ec082df13d74f48815e1bb5b1ec5129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180"/>
        <w:jc w:val="both"/>
        <w:rPr/>
      </w:pPr>
      <w:r>
        <w:rPr/>
      </w:r>
    </w:p>
    <w:tbl>
      <w:tblPr>
        <w:tblW w:w="6973" w:type="dxa"/>
        <w:jc w:val="center"/>
        <w:tblInd w:w="0" w:type="dxa"/>
        <w:tblLayout w:type="fixed"/>
        <w:tblCellMar>
          <w:top w:w="28" w:type="dxa"/>
          <w:left w:w="28" w:type="dxa"/>
          <w:bottom w:w="28" w:type="dxa"/>
          <w:right w:w="28" w:type="dxa"/>
        </w:tblCellMar>
      </w:tblPr>
      <w:tblGrid>
        <w:gridCol w:w="275"/>
        <w:gridCol w:w="241"/>
        <w:gridCol w:w="241"/>
        <w:gridCol w:w="241"/>
        <w:gridCol w:w="241"/>
        <w:gridCol w:w="241"/>
        <w:gridCol w:w="241"/>
        <w:gridCol w:w="241"/>
        <w:gridCol w:w="241"/>
        <w:gridCol w:w="1366"/>
        <w:gridCol w:w="1366"/>
        <w:gridCol w:w="203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69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314" w:before="0" w:after="0"/>
        <w:jc w:val="center"/>
        <w:rPr>
          <w:rFonts w:ascii="Times New Roman;sans-serif" w:hAnsi="Times New Roman;sans-serif"/>
          <w:b/>
          <w:color w:val="000000"/>
          <w:sz w:val="20"/>
        </w:rPr>
      </w:pPr>
      <w:r>
        <w:rPr>
          <w:rFonts w:ascii="Times New Roman;sans-serif" w:hAnsi="Times New Roman;sans-serif"/>
          <w:b/>
          <w:color w:val="000000"/>
          <w:sz w:val="20"/>
        </w:rPr>
        <w:t>PERFORMANCE SHARE UNIT AGREEMENT</w:t>
      </w:r>
    </w:p>
    <w:p>
      <w:pPr>
        <w:pStyle w:val="TextBody"/>
        <w:bidi w:val="0"/>
        <w:spacing w:before="0" w:after="0"/>
        <w:jc w:val="left"/>
        <w:rPr/>
      </w:pPr>
      <w:r>
        <w:rPr/>
      </w:r>
    </w:p>
    <w:p>
      <w:pPr>
        <w:pStyle w:val="TextBody"/>
        <w:bidi w:val="0"/>
        <w:spacing w:lineRule="auto" w:line="314"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 (the “Company”) confirms that, on [grant date] (the “Grant Date”), it granted you, [name], [number] Performance Share Units (your “Performance Share Units”). Your Performance Share Units are subject to the terms and conditions of the Brighthouse Financial, Inc. 2017 Stock and Incentive Compensation Plan (the “Plan”) and this Performance Share Agreement (this “Agreement”), which includes the Award Agreement Supplement (the “Supplement”) and Exhibit A to this Agreement (including any Appendices). Please note that the Supplement includes terms for forfeiture of your Performance Share Units under some circumstances.</w:t>
      </w:r>
    </w:p>
    <w:p>
      <w:pPr>
        <w:pStyle w:val="TextBody"/>
        <w:bidi w:val="0"/>
        <w:spacing w:before="0" w:after="0"/>
        <w:jc w:val="left"/>
        <w:rPr/>
      </w:pPr>
      <w:r>
        <w:rPr/>
      </w:r>
    </w:p>
    <w:p>
      <w:pPr>
        <w:pStyle w:val="TextBody"/>
        <w:bidi w:val="0"/>
        <w:spacing w:lineRule="auto" w:line="314" w:before="0" w:after="0"/>
        <w:ind w:left="0" w:right="0" w:firstLine="720"/>
        <w:jc w:val="left"/>
        <w:rPr/>
      </w:pPr>
      <w:r>
        <w:rPr>
          <w:rFonts w:ascii="Times New Roman;sans-serif" w:hAnsi="Times New Roman;sans-serif"/>
          <w:b/>
          <w:color w:val="000000"/>
          <w:sz w:val="20"/>
          <w:u w:val="single"/>
        </w:rPr>
        <w:t>Standard Terms</w:t>
      </w:r>
      <w:r>
        <w:rPr>
          <w:rFonts w:ascii="Times New Roman;sans-serif" w:hAnsi="Times New Roman;sans-serif"/>
          <w:b/>
          <w:color w:val="000000"/>
          <w:sz w:val="20"/>
        </w:rPr>
        <w: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(a)These terms are the “Standard Terms” and will apply to your Performance Share Units except in so far as Sections S-1 (“Change of Status”), S-2 (“Change of Control”), or S-14 (“Restrictive Covenants”) apply. If Shares are delivered to you, you will receive evidence of ownership of those Shares.</w:t>
      </w:r>
    </w:p>
    <w:p>
      <w:pPr>
        <w:pStyle w:val="TextBody"/>
        <w:bidi w:val="0"/>
        <w:spacing w:before="0" w:after="0"/>
        <w:jc w:val="left"/>
        <w:rPr/>
      </w:pPr>
      <w:r>
        <w:rPr/>
      </w:r>
    </w:p>
    <w:p>
      <w:pPr>
        <w:pStyle w:val="TextBody"/>
        <w:bidi w:val="0"/>
        <w:spacing w:lineRule="auto" w:line="31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Performance Period is set forth on Exhibit A to this Agreement. After the conclusion of the Performance Period, the Committee shall certify in writing the number of Performance Share Units payable in accordance with these Standard Terms (your “Final Performance Share Units”), and your Final Performance Share Units will be converted into, and will be due and payable in, Shares at the time specified in Section S-7 (“Timing of Payment”).</w:t>
      </w:r>
    </w:p>
    <w:p>
      <w:pPr>
        <w:pStyle w:val="TextBody"/>
        <w:bidi w:val="0"/>
        <w:spacing w:before="0" w:after="0"/>
        <w:ind w:left="0" w:right="0" w:hanging="360"/>
        <w:jc w:val="left"/>
        <w:rPr/>
      </w:pPr>
      <w:r>
        <w:rPr/>
      </w:r>
    </w:p>
    <w:p>
      <w:pPr>
        <w:pStyle w:val="TextBody"/>
        <w:bidi w:val="0"/>
        <w:spacing w:lineRule="auto" w:line="31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(c)Based on the Company’s achievement of the performance metrics set forth on Exhibit A to this Agreement (including any Appendices), you may be eligible for a payment of up to the maximum number of Performance Share Units set forth on Exhibit A. Notwithstanding any other terms of this Agreement, your payment may not exceed this amount.</w:t>
      </w:r>
    </w:p>
    <w:p>
      <w:pPr>
        <w:pStyle w:val="TextBody"/>
        <w:bidi w:val="0"/>
        <w:spacing w:before="0" w:after="0"/>
        <w:jc w:val="left"/>
        <w:rPr/>
      </w:pPr>
      <w:r>
        <w:rPr/>
      </w:r>
    </w:p>
    <w:p>
      <w:pPr>
        <w:pStyle w:val="TextBody"/>
        <w:bidi w:val="0"/>
        <w:spacing w:lineRule="auto" w:line="314"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(d)If, under Section (c) of these Standard Terms, you are eligible for a payment, the Committee will determine your Final Performance Share Units by multiplying your Performance Share Units by the “Final Performance Factor.” The Final Performance Factor means a percentage within the range specified on Exhibit A as determined by the Committee. The Committee will consider the weighted average of the performance factors described in Exhibit A hereto (including any Appendices), or such other adjustments or considerations it deems appropriate.</w:t>
      </w:r>
    </w:p>
    <w:p>
      <w:pPr>
        <w:pStyle w:val="TextBody"/>
        <w:bidi w:val="0"/>
        <w:spacing w:before="0" w:after="0"/>
        <w:jc w:val="left"/>
        <w:rPr/>
      </w:pPr>
      <w:r>
        <w:rPr/>
      </w:r>
    </w:p>
    <w:p>
      <w:pPr>
        <w:pStyle w:val="TextBody"/>
        <w:bidi w:val="0"/>
        <w:spacing w:lineRule="auto" w:line="314"/>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Brighthouse Financial, Inc. has caused this Agreement to be offered to you, and you have accepted this Agreement by the electronic means made available to you.</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AWARD AGREEMENT SUPPLEMENT</w:t>
      </w:r>
    </w:p>
    <w:p>
      <w:pPr>
        <w:pStyle w:val="TextBody"/>
        <w:bidi w:val="0"/>
        <w:spacing w:before="0" w:after="0"/>
        <w:jc w:val="left"/>
        <w:rPr/>
      </w:pPr>
      <w:r>
        <w:rPr/>
      </w:r>
    </w:p>
    <w:p>
      <w:pPr>
        <w:pStyle w:val="TextBody"/>
        <w:bidi w:val="0"/>
        <w:spacing w:lineRule="auto" w:line="268" w:before="0" w:after="0"/>
        <w:ind w:left="0" w:right="0" w:firstLine="839"/>
        <w:jc w:val="left"/>
        <w:rPr>
          <w:rFonts w:ascii="Times New Roman;sans-serif" w:hAnsi="Times New Roman;sans-serif"/>
          <w:b w:val="false"/>
          <w:color w:val="000000"/>
          <w:sz w:val="20"/>
        </w:rPr>
      </w:pPr>
      <w:r>
        <w:rPr>
          <w:rFonts w:ascii="Times New Roman;sans-serif" w:hAnsi="Times New Roman;sans-serif"/>
          <w:b w:val="false"/>
          <w:color w:val="000000"/>
          <w:sz w:val="20"/>
        </w:rPr>
        <w:t>This Award Agreement Supplement (this “Supplement”) provides terms that are part of your Award Agreement (the “Agreement”) under the Brighthouse Financial, Inc. 2017 Stock and Incentive Compensation Plan (the “2017 Plan”). In this Supplement, “Award” refers to the Performance Shares, Restricted Stock Units, Stock Options, Performance Units, or Restricted Units, that are the subject of the Award Agreement. All capitalized terms used in this document that are not defined herein are defined in the 2017 Plan document.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S-1. </w:t>
      </w:r>
      <w:r>
        <w:rPr>
          <w:rFonts w:ascii="Times New Roman;sans-serif" w:hAnsi="Times New Roman;sans-serif"/>
          <w:b/>
          <w:color w:val="000000"/>
          <w:sz w:val="20"/>
          <w:u w:val="single"/>
        </w:rPr>
        <w:t>Change of Status.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terms of this Section S-1 describe how various events affect your Covered Award, subject to Sections S-14(b) (“Non-Disparagement”), S-14(c) (“Violation of Agreement to Protect”), and S-14(d) (“Restrictions Applicable to Insiders and Section 16 Officers”). “Covered Award” shall refer to:</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(1)your unexercised Stock Options;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(2)your Restricted Stock Units or Restricted Units during their Period of Restriction (Outstanding Unit Tranches during their Period of Restriction, in the case of Restricted Stock Units or Restricted Units divided into Unit Tranches); or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(3)your Performance Shares or Performance Units during their Performance</w:t>
      </w:r>
    </w:p>
    <w:p>
      <w:pPr>
        <w:pStyle w:val="TextBody"/>
        <w:bidi w:val="0"/>
        <w:spacing w:lineRule="auto" w:line="268" w:before="0" w:after="0"/>
        <w:ind w:left="0" w:right="0" w:firstLine="839"/>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(b)For purposes of this Section S-1, your transfer between the Company and an Affiliate, or among Affiliates, will not be a termination of employment, but any other termination of employment with the Company or any of its Affiliates (including the end of your employer’s status as an Affiliate) will be a termination of employment. The terms of this Section S-1 shall apply as provided, except as otherwise determined by the Committee. Any payment will be made at the time specified in Section S-7 (“Timing of Payment”).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Long-Term Disability</w:t>
      </w:r>
      <w:r>
        <w:rPr>
          <w:rFonts w:ascii="Times New Roman;sans-serif" w:hAnsi="Times New Roman;sans-serif"/>
          <w:b w:val="false"/>
          <w:color w:val="000000"/>
          <w:sz w:val="20"/>
        </w:rPr>
        <w:t>. In the event you qualify for long-term disability benefits under a plan or arrangement offered by the Company or an Affiliate for its Employees, or under another plan or under another disability insurance policy issued to you provided that you can prove the existence of such coverage and that you are receiving long-term disability payments from the carrier that issued the coverage, then the Standard Terms will continue to apply to your Covered Award. Once this Section S-1(c) applies, then none of Section S-1(d) (“Death”), Section S-1(e) (“Post-Employment Award Continuation”), Section S-1(g) (“Involuntary Termination by the Company without Cause”) or Section S-1(h) (“Other Termination of Employment”) will apply to your Covered Award, even if you subsequently return to active service. Section 2(f) (“Termination for Cause”) will continue to apply to your Covered Award, and will supersede the terms of this Section 2(c).</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Death</w:t>
      </w:r>
      <w:r>
        <w:rPr>
          <w:rFonts w:ascii="Times New Roman;sans-serif" w:hAnsi="Times New Roman;sans-serif"/>
          <w:b w:val="false"/>
          <w:color w:val="000000"/>
          <w:sz w:val="20"/>
        </w:rPr>
        <w:t>. In the event that your employment with the Company or an Affiliate terminates due to your death:</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of your Stock Options in your Covered Award will be immediately exercisable and will remain exercisable through the end of the period provided by the Standard Terms; or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(2)any other Covered Award payable in Shares under the Standard Terms will be due and payable in the form of Shares (or cash at a value equal to the number of Shares otherwise payable under the Covered Award multiplied by Closing Price on the date of your death, if so determined by the Committee), without multiplication by any Final Performance Factor that might be applicable under the Standard Terms (in the case of Performance Shares or Performance Units).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(3)any other Covered Award payable in cash under the Standard Terms will be due and payable in cash at a value equal to the number of units in the Covered Award multiplied by the Closing Price on the date of your death.</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Post-Employment Award Continuation</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(1)If your employment with the Company or an Affiliate terminates (other than for Cause) on or after your Rule of 65 Date, as defined below, then the Standard Terms will continue to apply to your Covered Award as if you remained in active employment.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(2)For this purpose:</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“Rule of 65 Date” means the date that the sum of your total completed years of age plus total Service is equal to or greater than sixty-five (65), so long as your Service (as defined below) is equal to or greater than five(5);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b.</w:t>
      </w:r>
      <w:r>
        <w:rPr>
          <w:color w:val="000000"/>
        </w:rPr>
        <w:t>“</w:t>
      </w:r>
      <w:r>
        <w:rPr>
          <w:rFonts w:ascii="Times New Roman;sans-serif" w:hAnsi="Times New Roman;sans-serif"/>
          <w:b w:val="false"/>
          <w:color w:val="000000"/>
          <w:sz w:val="20"/>
        </w:rPr>
        <w:t>Service” means the aggregate number of completed years of employment with MetLife, the Company and its Affiliates (solely during your employer’s status as an Affiliate), as conclusively determined by the Company without regard to any later determinations or findings regarding your employment status by any third party.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Termination for Cause</w:t>
      </w:r>
      <w:r>
        <w:rPr>
          <w:rFonts w:ascii="Times New Roman;sans-serif" w:hAnsi="Times New Roman;sans-serif"/>
          <w:b w:val="false"/>
          <w:color w:val="000000"/>
          <w:sz w:val="20"/>
        </w:rPr>
        <w:t>. In the event that your employment with the Company or an Affiliate terminates for Cause, your Covered Award will be forfeited immediately.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Involuntary Termination by the Company without Cause</w:t>
      </w:r>
      <w:r>
        <w:rPr>
          <w:rFonts w:ascii="Times New Roman;sans-serif" w:hAnsi="Times New Roman;sans-serif"/>
          <w:b w:val="false"/>
          <w:color w:val="000000"/>
          <w:sz w:val="20"/>
        </w:rPr>
        <w:t>. In the event that your employment with the Company or an Affiliate is involuntarily terminated by the Company or such Affiliate without Cause, provided that you execute and do not revoke a separation agreement and release as offered to you by the Company within the time period(s) specified in the separation agreement, then the Standard Terms will continue to apply to your Covered Award as if you remained in active employment.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Other Termination of Employment</w:t>
      </w:r>
      <w:r>
        <w:rPr>
          <w:rFonts w:ascii="Times New Roman;sans-serif" w:hAnsi="Times New Roman;sans-serif"/>
          <w:b w:val="false"/>
          <w:color w:val="000000"/>
          <w:sz w:val="20"/>
        </w:rPr>
        <w:t>. If none of Sections S-1(c) (“Long Term Disability”), (d) (“Death”), (e) (“Post-Employment Award Continuation”), (f) (“Termination for Cause”), or (g) (“Involuntary Termination by the Company without Cause”) applies, then: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(1)your Stock Options or Option Units in your Covered Award that are exercisable as of your date of termination will remain exercisable until the close of business on the thirtieth (30th) calendar day after the date of the termination of your employment or until they would expire under the Standard Terms, whichever period is shorter, and all of your Stock Options in your Covered Award that are not exercisable at the date of termination of your employment will be forfeited immediately upon your termination of employment;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(2)your Outstanding Unit Tranches in your Covered Award (in the case of Restricted Stock or Restricted Stock Units divided into Unit Tranches) will be forfeited immediately upon your termination of employment;</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(3)your Restricted Stock Units or Restricted Units in your Covered Award that are not divided into Outstanding Unit Tranches will be forfeited immediately upon your termination of employment; or</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(4)your Performance Shares or Performance Units in your Covered Award will be forfeited immediately upon your termination of employment.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Times New Roman;sans-serif" w:hAnsi="Times New Roman;sans-serif"/>
          <w:b/>
          <w:color w:val="000000"/>
          <w:sz w:val="20"/>
        </w:rPr>
        <w:t xml:space="preserve">S-2. </w:t>
      </w:r>
      <w:r>
        <w:rPr>
          <w:rFonts w:ascii="Times New Roman;sans-serif" w:hAnsi="Times New Roman;sans-serif"/>
          <w:b/>
          <w:color w:val="000000"/>
          <w:sz w:val="20"/>
          <w:u w:val="single"/>
        </w:rPr>
        <w:t>Change of Control.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this Section S-2 describe how a Change of Control will affect your Covered Award. If a Change of Control occurs prior to any of the events described in Section S- 1, or, unless the Change in Control does not constitute a change in ownership or effective control, or a change in the ownership of a substantial portion of the assets, of the Company for purposes of Section 409A, subsequent to the events described in Section S-1(c) (“Long Term Disability”), Section S-1(e) (“Post-Employment Award Continuation”) or Section S-1(g) (“Involuntary Termination by the Company without Cause”), this Section S-2 will supersede the terms of Section S-1. If any of the events described in the provisions of Section S-1(d) (“Death”), Section S-1(f) (“Termination for Cause”), or Section S-1(h) (“Other Termination of Employment”) occurs prior to a Change of Control, the applicable terms of Section S-1 will supersede the terms of this Section S-2.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 xml:space="preserve">(a)The terms of Section S-2(b) below will not apply to your Covered Award if the Committee reasonably determines in good faith, prior to the Change of Control, that you have been granted an Alternative Award for your Covered Award pursuant to Section 14.1 of the 2017 Plan;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 xml:space="preserve">no Alternative Award may be granted in respect of any Award (i) following the events described in Section S-1(c) (“Long Term Disability”) or Section S-1(g) (“Involuntary Termination by the Company without Cause”) or (ii) after satisfying the Rule of 65 Date set forth in Section S-1(e) (“Post-Employment Award Continuation”) if granting such Alternative Award would result in a violation of Section 409A. In the event that you receive an Alternative Award and your employment is involuntarily terminated without Cause or Constructively Terminated (as defined in the 2017 Plan) following the Change of Control, your Alternative Award shall be treated as follows: (1) all of your Stock Options in your Alternative Award will be immediately exercisable and will remain exercisable through the end of the period provided by the Standard Terms; (2) any other Alternative Award payable in Shares will be due and payable in cash at a value equal to the number of Shares otherwise payable under the Alternative Award multiplied by the Closing Price on the date of your termination of employment, without multiplication by any Final Performance Factor that might be applicable (in the case of Alternative Awards issued in respect of Performance Shares or Performance Units); and (3) any other Alternative Award payable in cash will be due and payable in cash at a value equal to the number of units in the Alternative Award multiplied by the Closing Price on the date of your termination of employment. Any such Alternative Award shall not accelerate the timing of payment or otherwise violate Code Section 409A; </w:t>
      </w:r>
      <w:r>
        <w:rPr>
          <w:rFonts w:ascii="Times New Roman;sans-serif" w:hAnsi="Times New Roman;sans-serif"/>
          <w:b w:val="false"/>
          <w:color w:val="000000"/>
          <w:sz w:val="20"/>
          <w:u w:val="single"/>
        </w:rPr>
        <w:t>provided, that</w:t>
      </w:r>
      <w:r>
        <w:rPr>
          <w:rFonts w:ascii="Times New Roman;sans-serif" w:hAnsi="Times New Roman;sans-serif"/>
          <w:b w:val="false"/>
          <w:color w:val="000000"/>
          <w:sz w:val="20"/>
        </w:rPr>
        <w:t>, in the event that your employment is involuntarily terminated without Cause or Constructively Terminated (as defined in the 2017 Plan) upon or within two (2) years following a Change of Control that is a “change of control” as defined under Code Section 409A, payment will be made at the time specified in Section S-7 (“Timing of Payment”).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(b)Except as provided in Section S-2(a) above, and unless otherwise prohibited under law or by applicable rules of a national security exchange, if a Change of Control occurs: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(1)all of your Stock Options in your Covered Award will be immediately exercisable and will remain exercisable through the end of the period provided by the Standard Terms, unless the Committee elects to redeem your Stock Options for a cash payment equal to the Change of Control Price less the Exercise Price, multiplied by the number of exercisable Stock Options that you have not yet exercised;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(2)any other Covered Award payable in Shares will be due and payable in the form of cash at a value equal to the number of Shares or units in the Covered Award multiplied by the Change of Control Price without multiplication by any Final Performance Factor that might be applicable under the Standard Terms (in the case of Performance Shares or Performance Units).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S-3. </w:t>
      </w:r>
      <w:r>
        <w:rPr>
          <w:rFonts w:ascii="Times New Roman;sans-serif" w:hAnsi="Times New Roman;sans-serif"/>
          <w:b/>
          <w:color w:val="000000"/>
          <w:sz w:val="20"/>
          <w:u w:val="single"/>
        </w:rPr>
        <w:t>Nontransferability of Award</w:t>
      </w:r>
      <w:r>
        <w:rPr>
          <w:rFonts w:ascii="Times New Roman;sans-serif" w:hAnsi="Times New Roman;sans-serif"/>
          <w:b w:val="false"/>
          <w:color w:val="000000"/>
          <w:sz w:val="20"/>
        </w:rPr>
        <w:t>. Except as provided in Section S-4, the 2017 Plan or as otherwise permitted by the Committee, you may not sell, transfer, pledge, assign or otherwise alienate or hypothecate any of your Award, and all rights with respect to your Award are exercisable during your lifetime only by you.</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Times New Roman;sans-serif" w:hAnsi="Times New Roman;sans-serif"/>
          <w:b/>
          <w:color w:val="000000"/>
          <w:sz w:val="20"/>
        </w:rPr>
        <w:t xml:space="preserve">S-4. </w:t>
      </w:r>
      <w:r>
        <w:rPr>
          <w:rFonts w:ascii="Times New Roman;sans-serif" w:hAnsi="Times New Roman;sans-serif"/>
          <w:b/>
          <w:color w:val="000000"/>
          <w:sz w:val="20"/>
          <w:u w:val="single"/>
        </w:rPr>
        <w:t>Payment to Estate or Beneficiary Designation</w:t>
      </w:r>
      <w:r>
        <w:rPr>
          <w:rFonts w:ascii="Times New Roman;sans-serif" w:hAnsi="Times New Roman;sans-serif"/>
          <w:b w:val="false"/>
          <w:color w:val="000000"/>
          <w:sz w:val="20"/>
        </w:rPr>
        <w:t>. You may name one or more beneficiary or beneficiaries who may then exercise any right under this Agreement in the event of your death. Each beneficiary designation for such purpose will revoke all such prior designations. Beneficiary designations must be properly completed on a form prescribed by the Committee and must be filed with the Company during your lifetime. If you have not designated a beneficiary at the time of your death, then the beneficiary shall be the individual named as the beneficiary for your employer provided life insurance coverage. If there is no beneficiary for employer provided life insurance coverage for any reason, then the beneficiary shall be your estate.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S-5. </w:t>
      </w:r>
      <w:r>
        <w:rPr>
          <w:rFonts w:ascii="Times New Roman;sans-serif" w:hAnsi="Times New Roman;sans-serif"/>
          <w:b/>
          <w:color w:val="000000"/>
          <w:sz w:val="20"/>
          <w:u w:val="single"/>
        </w:rPr>
        <w:t>Tax Withholding</w:t>
      </w:r>
      <w:r>
        <w:rPr>
          <w:rFonts w:ascii="Times New Roman;sans-serif" w:hAnsi="Times New Roman;sans-serif"/>
          <w:b w:val="false"/>
          <w:color w:val="000000"/>
          <w:sz w:val="20"/>
        </w:rPr>
        <w:t>. The Company or an Affiliate shall deduct or withhold, or require you to remit to the Company or any Affiliate, amounts it determines are sufficient to satisfy federal, state and local taxes, domestic or other (including your FICA or other employment tax obligations or tax penalties that can be assessed against you, including but not limited to those under Code Section 409A) that the Company or any Affiliate determines is required by law or regulation to be withheld with or respect to any taxable event arising or as a result of your Award or the application of the 2017 Plan to your Award. To satisfy these withholding requirements, the Company or an Affiliate may withhold amounts from payment made under this Agreement, or from other payments due to you to the extent permissible under law. The Company will defer payment of cash or the issuance of Shares, as applicable, until this requirement is satisfied. To the extent Shares are payable to you under your Award and you are an executive officer subject to Section 16 of the Exchange Act, you may direct the Company to satisfy the withholding requirement by withholding Shares otherwise issuable to you based on the Fair Market Value of a Share on the date the taxable event with respect to your Award occurs. To the extent Shares are payable to you under your Award and you are not an executive officer subject to Section 16, the Company may elect to satisfy the withholding requirement by withholding Shares otherwise issuable based on the Fair Market Value of a Share on the date the taxable event with respect to your Award occurs.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S-6. </w:t>
      </w:r>
      <w:r>
        <w:rPr>
          <w:rFonts w:ascii="Times New Roman;sans-serif" w:hAnsi="Times New Roman;sans-serif"/>
          <w:b/>
          <w:color w:val="000000"/>
          <w:sz w:val="20"/>
          <w:u w:val="single"/>
        </w:rPr>
        <w:t>Adjustments</w:t>
      </w:r>
      <w:r>
        <w:rPr>
          <w:rFonts w:ascii="Times New Roman;sans-serif" w:hAnsi="Times New Roman;sans-serif"/>
          <w:b w:val="false"/>
          <w:color w:val="000000"/>
          <w:sz w:val="20"/>
        </w:rPr>
        <w:t>. The Committee will make appropriate adjustments in the terms and conditions of your Award as provided in Section 4.2 of the 2017 Plan, and may make adjustments in the terms and conditions of your Award as provided in Section 15.2 of the 2017 Plan. The Committee’s determinations in this regard will be conclusive.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S-7. </w:t>
      </w:r>
      <w:r>
        <w:rPr>
          <w:rFonts w:ascii="Times New Roman;sans-serif" w:hAnsi="Times New Roman;sans-serif"/>
          <w:b/>
          <w:color w:val="000000"/>
          <w:sz w:val="20"/>
          <w:u w:val="single"/>
        </w:rPr>
        <w:t>Timing of Payment.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(a)To the extent applicable, this Agreement is intended to comply with Code Section 409A and shall be interpreted accordingly.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(b)For Awards that are Stock Options, Shares will be paid to you upon your exercise of any of your Stock Options, except where Section S-2(b) applies, the Company will pay you cash upon redemption of the Stock Options.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(c)For Awards other than Stock Options: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(1)If payment is due and payable for Awards that are Restricted Stock Units or Restricted Units (including Unit Tranches) under the Standard Terms, payment will be made on or following the date the applicable Period of Restriction ends but no later than the end of the calendar year in which the applicable Period of Restriction ends. If payment is due and payable for Awards that are Performance Shares or Performance Units, payment will be made in the calendar year following the calendar year in which the Performance Period ends.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(2)If payment is due and payable under the terms of Section S-1(d) (“Death”), it will be made upon your death.</w:t>
      </w:r>
    </w:p>
    <w:p>
      <w:pPr>
        <w:pStyle w:val="TextBody"/>
        <w:bidi w:val="0"/>
        <w:spacing w:before="0" w:after="0"/>
        <w:jc w:val="left"/>
        <w:rPr/>
      </w:pPr>
      <w:r>
        <w:rPr/>
      </w:r>
    </w:p>
    <w:p>
      <w:pPr>
        <w:pStyle w:val="TextBody"/>
        <w:bidi w:val="0"/>
        <w:spacing w:lineRule="auto" w:line="268"/>
        <w:ind w:left="0" w:right="0" w:hanging="360"/>
        <w:jc w:val="left"/>
        <w:rPr/>
      </w:pPr>
      <w:r>
        <w:rPr>
          <w:rFonts w:ascii="Times New Roman;sans-serif" w:hAnsi="Times New Roman;sans-serif"/>
          <w:b w:val="false"/>
          <w:color w:val="000000"/>
          <w:sz w:val="20"/>
        </w:rPr>
        <w:t xml:space="preserve">(3)Any Alternative Award shall not accelerate the timing of payment; </w:t>
      </w:r>
      <w:r>
        <w:rPr>
          <w:rFonts w:ascii="Times New Roman;sans-serif" w:hAnsi="Times New Roman;sans-serif"/>
          <w:b w:val="false"/>
          <w:color w:val="000000"/>
          <w:sz w:val="20"/>
          <w:u w:val="single"/>
        </w:rPr>
        <w:t>except,</w:t>
      </w:r>
      <w:r>
        <w:rPr>
          <w:color w:val="00000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xml:space="preserve">, with respect to Alternative Awards granted in respect of Restricted Stock Units or Restricted Units (including Unit Tranches), if payment is due and payable under Section S-2(a) in the event that your employment is involuntarily terminated without Cause or Constructively Terminated (as defined in the 2017 Plan) upon or within two (2) years following a Change of Control that is a “change of control” as defined under Code Section 409A, it will be made in cash within thirty (30) days of your termination of employment or, if you are a “specified employee” as defined under Code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409A, it will be made six (6) months after the termination of your employment (or, to the extent Code Section 409A applies to your Award, six (6) months after your “separation from service” under Code Section 409A, if that is a different date).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(4)If payment is due and payable under Section S-2(b):</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a.if the Change of Control that causes payment to be due and payable is a “change of control” as defined under Code Section 409A, such sum shall be paid to you within thirty (30) days after the Change of Control; or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b.if the Change of Control that causes payment to be due and payable is not a “change of control” as defined under Code Section 409A, such sum shall be paid to you at the time determined under Section S-7(c)(1) on the same basis as if the Standard Terms applied.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S-8. </w:t>
      </w:r>
      <w:r>
        <w:rPr>
          <w:rFonts w:ascii="Times New Roman;sans-serif" w:hAnsi="Times New Roman;sans-serif"/>
          <w:b/>
          <w:color w:val="000000"/>
          <w:sz w:val="20"/>
          <w:u w:val="single"/>
        </w:rPr>
        <w:t>Closing Price</w:t>
      </w:r>
      <w:r>
        <w:rPr>
          <w:rFonts w:ascii="Times New Roman;sans-serif" w:hAnsi="Times New Roman;sans-serif"/>
          <w:b w:val="false"/>
          <w:color w:val="000000"/>
          <w:sz w:val="20"/>
        </w:rPr>
        <w:t>. For purposes of this Agreement, Closing Price will mean the closing price of a Share as reported in the principal consolidated transaction reporting system for the National Association of Securities Dealers Automated Quotations (or on such other recognized quotation system on which the trading prices of the Shares are quoted at the relevant time), or in the event that there are no Share transactions reported on such tape or other system on the applicable date, the closing price on the immediately preceding date on which Share transactions were reported. Closing Price shall constitute “Fair Market Value” under the 2017 Plan for all purposes related to your Award.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S-9. </w:t>
      </w:r>
      <w:r>
        <w:rPr>
          <w:rFonts w:ascii="Times New Roman;sans-serif" w:hAnsi="Times New Roman;sans-serif"/>
          <w:b/>
          <w:color w:val="000000"/>
          <w:sz w:val="20"/>
          <w:u w:val="single"/>
        </w:rPr>
        <w:t>No Guarantee of Employment</w:t>
      </w:r>
      <w:r>
        <w:rPr>
          <w:rFonts w:ascii="Times New Roman;sans-serif" w:hAnsi="Times New Roman;sans-serif"/>
          <w:b w:val="false"/>
          <w:color w:val="000000"/>
          <w:sz w:val="20"/>
        </w:rPr>
        <w:t>. This Agreement is not a contract of employment and it is not a guarantee of employment for life or any period of time. Nothing in this Agreement interferes with or limits in any way the right of the Company or an Affiliate to terminate your employment at any time. This Agreement does not give you any right to continue in the employ of the Company or an Affiliate.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S-10. </w:t>
      </w:r>
      <w:r>
        <w:rPr>
          <w:rFonts w:ascii="Times New Roman;sans-serif" w:hAnsi="Times New Roman;sans-serif"/>
          <w:b/>
          <w:color w:val="000000"/>
          <w:sz w:val="20"/>
          <w:u w:val="single"/>
        </w:rPr>
        <w:t>Governing Law; Choice of Forum</w:t>
      </w:r>
      <w:r>
        <w:rPr>
          <w:rFonts w:ascii="Times New Roman;sans-serif" w:hAnsi="Times New Roman;sans-serif"/>
          <w:b w:val="false"/>
          <w:color w:val="000000"/>
          <w:sz w:val="20"/>
        </w:rPr>
        <w:t>. This Agreement will be construed in accordance with and governed by the laws of the State of Delaware, regardless of the law that might be applied under principles of conflict of laws. Except as otherwise provided in the Company’s Certificate of Incorporation or By-Laws, any action to enforce this Agreement or any action otherwise regarding this Agreement must be brought in a court in the State of New York to which jurisdiction the Company and you consent.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S-11. </w:t>
      </w:r>
      <w:r>
        <w:rPr>
          <w:rFonts w:ascii="Times New Roman;sans-serif" w:hAnsi="Times New Roman;sans-serif"/>
          <w:b/>
          <w:color w:val="000000"/>
          <w:sz w:val="20"/>
          <w:u w:val="single"/>
        </w:rPr>
        <w:t>Miscellaneous.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(a)For purposes of this Agreement, “Committee” includes any direct or indirect delegate of the Committee as defined in the 2017 Plan and (unless otherwise indicated) the word “Section” refers to a Section in this Agreement. Any other capitalized word used in this Agreement and not defined in this Agreement, including each form of that word, is defined in the 2017 Plan.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determination or interpretation by the Committee pursuant to this Agreement will be final and conclusive. In the event of a conflict between any term of this Agreement and the terms of the 2017 Plan, the terms of the 2017 Plan control. This Agreement and the 2017 Plan represent the entire agreement between you and the Company, and you and all Affiliates, regarding your Award. No promises, terms, or agreements of any kind regarding your Award that are not set forth, or referred to, in this Agreement or in the 2017 Plan are part of this Agreement. In the event any provision of this Agreement is held illegal or invalid, the rest of this Agreement will remain enforceable.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(c)Your Award is not Shares and do not give you the rights of a holder of Shares. You will not be credited with anything additional with respect to your Award on account of any dividend paid on Shares.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(d)The Committee may, in its discretion, settle an Award otherwise payable in Shares instead in the form of cash, to the extent settlement in Shares is prohibited by law or would require you or the Company to obtain the approval of any governmental and/or regulatory body. The Committee may, in its discretion, require you at any time to immediately sell Shares you acquire under this Agreement, in which case, the Company shall have the authority to issue sales instructions in relation to such Shares on your behalf. If the Committee determines that applicable law requires that you receive fewer Shares or a lesser amount of cash than that otherwise determined under the terms of this Agreement, you will receive that number of Shares or amount of cash the Committee determines is due under applicable law. No Shares will be issued or no cash will be paid if that issuance or payment would result in a violation of applicable law, including United States securities laws and any other applicable securities laws.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(e)The issuance of Shares or payment of cash pursuant to your Award is subject to all applicable laws, rules and regulations, and to any approvals by any governmental agencies or national securities exchanges as may be required. The Company’s grant of the Award to you is not intended to be a public offering of securities outside the United States, and the Company has not submitted any registration statement, prospectus, or other securities filing with authorities outside the United States, except where required by law. Your Award has not been, and will not be, reviewed by or registered with any securities authorities outside the United States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(f)You agree to repatriate all payments under this Agreement or cash attributable to Shares you acquire under this Agreement to the extent required under any applicable legal requirements, such as foreign exchange rules and regulations in your country of residence or country of employment.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(g)Your Award is subject to any Company compensation recoupment policy in effect from time to time.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(h)Regardless of any action the Company or any Affiliate takes with respect to any or all tax withholding (including social insurance contributions and payment on account obligations, if any), you acknowledge that the ultimate liability for all such taxes is and remains your responsibility (or that of your beneficiary or estate) and that neither the Company nor any Affiliate makes any representations or undertakings regarding the treatment of any tax withholding in connection with any aspect of any of your Award, including the grant or payment on account of the Award, and that neither the Company nor any Affiliate commits to structure the terms of the grant of or any aspect of any Award to reduce or eliminate your (or you estate’s or any heir’s) liability for such tax. You agree to take any and all actions as may be required to comply with your personal tax obligations.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(i)You agree that this Agreement and any other documents related to the 2017 Plan or your Award are to be presented to you in English, except where prohibited by law. If any such document is translated into a language other than English, the English version will control, to the extent permitted by applicable law.</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(j)The collection, processing and transfer of your personal data (collectively “Data Handling”) is necessary for the Company’s administration of the 2017 Plan, this Agreement and your Award, and such Data Handling shall be done consistent with applicable law, the data privacy consents, if any, signed by you, the terms of your employment contract (if any) and/or your local company’s governing policies with respect to data privacy.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(k)In accepting this Agreement, you acknowledge, to the extent allowed by law,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2017 Plan and this Agreement are each established voluntarily by the Company, and that each is discretionary in nature and may be modified, suspended or terminated at any time, as provided in the 2017 Plan and this Agreement, respectively, and such change or the end of your participation in the 2017 Plan shall not constitute a change or impairment of the terms and conditions of your employment or give rise to any liability to you;</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grant of your Award is voluntary and occasional and does not create any contractual or other right to receive future grants of Awards, or benefits in lieu of an Award, even if Awards have been granted repeatedly in the past;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(3)all decisions with respect to future Award grants, if any, will be at the discretion of the Committee, including, but not limited to, the timing of any grants, the number of units or Shares in any Award, and vesting provisions;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(4)your participation in the 2017 Plan is voluntary;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Award is an extraordinary item which is outside the terms and conditions of your employment and the scope of your employment contract, if 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(6)the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(7)the Award grant will not be interpreted to form an employment contract or relationship with any Affiliate or the Company, and you are not an employee of the Company;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(8)the future Closing Price of Shares is unknown and cannot be predicted with certainty;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(9)to the fullest extent permitted by law, no claim or entitlement to compensation or damages arises from termination of the Award or diminution in value of the Award and you irrevocably release the Company and each Affiliate from any such claim that may arise;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(10)in the event of the termination of your employment, neither your eligibility, nor any right to receive Awards, nor any period within which payment may be made on account of your Award, if any, will be extended beyond the period specified under this Agreement by any notice period mandated under law (</w:t>
      </w:r>
      <w:r>
        <w:rPr>
          <w:rFonts w:ascii="Times New Roman;sans-serif" w:hAnsi="Times New Roman;sans-serif"/>
          <w:b w:val="false"/>
          <w:i/>
          <w:color w:val="000000"/>
          <w:sz w:val="20"/>
        </w:rPr>
        <w:t>e.g.</w:t>
      </w:r>
      <w:r>
        <w:rPr>
          <w:rFonts w:ascii="Times New Roman;sans-serif" w:hAnsi="Times New Roman;sans-serif"/>
          <w:b w:val="false"/>
          <w:color w:val="000000"/>
          <w:sz w:val="20"/>
        </w:rPr>
        <w:t>, active employment would not include a period of “garden leave” or similar period pursuant to local law); furthermore, in the event of the termination of your employment, your right to payment on account of your Award, if any, will not be extended by any notice period mandated under law;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(11)you have been granted your Award as a consequence of the commercial relationship between the Company and the Affiliate that employs you, and the Affiliate that employs you is your sole employer.</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(l)The Company may impose other requirements as a condition of your Award, to the extent the Committee determines, in its discretion, that such other requirements are necessary or advisable in order to comply with law or facilitate the operation or administration of this Agreement, your Award, or the 2017 Plan. To the extent the Company determines in its discretion that you are required to execute any document or undertaking for this purpose, you agree to do so.</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S-12. </w:t>
      </w:r>
      <w:r>
        <w:rPr>
          <w:rFonts w:ascii="Times New Roman;sans-serif" w:hAnsi="Times New Roman;sans-serif"/>
          <w:b/>
          <w:color w:val="000000"/>
          <w:sz w:val="20"/>
          <w:u w:val="single"/>
        </w:rPr>
        <w:t>Amendments</w:t>
      </w:r>
      <w:r>
        <w:rPr>
          <w:rFonts w:ascii="Times New Roman;sans-serif" w:hAnsi="Times New Roman;sans-serif"/>
          <w:b w:val="false"/>
          <w:color w:val="000000"/>
          <w:sz w:val="20"/>
        </w:rPr>
        <w:t>. The Committee has the exclusive right to amend this Agreement as long as the amendment does not adversely affect any of your previously-granted Awards in any material way (without your written consent) and is otherwise consistent with the 2017 Plan. The Company will give written notice to you (or, in the event of your death, to your beneficiary or estate) of any amendment as promptly as practicable after its adoption.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S-13. </w:t>
      </w:r>
      <w:r>
        <w:rPr>
          <w:rFonts w:ascii="Times New Roman;sans-serif" w:hAnsi="Times New Roman;sans-serif"/>
          <w:b/>
          <w:color w:val="000000"/>
          <w:sz w:val="20"/>
          <w:u w:val="single"/>
        </w:rPr>
        <w:t>Agreement to Protect Corporate Property</w:t>
      </w:r>
      <w:r>
        <w:rPr>
          <w:rFonts w:ascii="Times New Roman;sans-serif" w:hAnsi="Times New Roman;sans-serif"/>
          <w:b w:val="false"/>
          <w:color w:val="000000"/>
          <w:sz w:val="20"/>
        </w:rPr>
        <w:t>. If, as and when the Company or any Affiliate that employs you, adopts an Agreement to Protect Corporate Property (a “Property Agreement”), then the grant of your Award is subject to and contingent upon your execution of the Property Agreement within the time frame specified by the Company and in the method specified by the Company. If the Company does not receive your executed Property Agreement within the time frame specified by the Company, then this Agreement and the Award granted to you will be void. The Committee may, in its sole discretion, allow an extension of time for you to return your signed Property Agreement.</w:t>
      </w:r>
    </w:p>
    <w:p>
      <w:pPr>
        <w:pStyle w:val="TextBody"/>
        <w:bidi w:val="0"/>
        <w:spacing w:before="0" w:after="0"/>
        <w:jc w:val="left"/>
        <w:rPr/>
      </w:pPr>
      <w:r>
        <w:rPr/>
      </w:r>
    </w:p>
    <w:p>
      <w:pPr>
        <w:pStyle w:val="TextBody"/>
        <w:bidi w:val="0"/>
        <w:spacing w:before="0" w:after="0"/>
        <w:ind w:left="0" w:right="0" w:firstLine="839"/>
        <w:jc w:val="left"/>
        <w:rPr/>
      </w:pPr>
      <w:r>
        <w:rPr/>
      </w:r>
    </w:p>
    <w:p>
      <w:pPr>
        <w:pStyle w:val="TextBody"/>
        <w:bidi w:val="0"/>
        <w:spacing w:before="0" w:after="0"/>
        <w:ind w:left="0" w:right="0" w:firstLine="839"/>
        <w:jc w:val="left"/>
        <w:rPr/>
      </w:pPr>
      <w:r>
        <w:rPr/>
      </w:r>
    </w:p>
    <w:p>
      <w:pPr>
        <w:pStyle w:val="TextBody"/>
        <w:bidi w:val="0"/>
        <w:ind w:left="0" w:right="0" w:firstLine="839"/>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Times New Roman;sans-serif" w:hAnsi="Times New Roman;sans-serif"/>
          <w:b/>
          <w:color w:val="000000"/>
          <w:sz w:val="20"/>
        </w:rPr>
        <w:t xml:space="preserve">S-14. </w:t>
      </w:r>
      <w:r>
        <w:rPr>
          <w:rFonts w:ascii="Times New Roman;sans-serif" w:hAnsi="Times New Roman;sans-serif"/>
          <w:b/>
          <w:color w:val="000000"/>
          <w:sz w:val="20"/>
          <w:u w:val="single"/>
        </w:rPr>
        <w:t>Restrictive Covenants.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terms of this Section S-14 shall apply notwithstanding any other terms of this Agreement, other than Section S-2 (“Change of Control”), to the contrary. If a Change of Control occurs prior to any “finding” described in this Section S-14, any applicable terms of Section S-2 (“Change of Control”) will supersede the terms of this Section S-14. Notwithstanding the terms of Section S-10 (“Governing Law; Choice of Forum”) to the contrary, this Section S-14 will be construed in accordance with and governed by the laws of the State of North Carolina regardless of the law that might be applied under principles of conflict of laws.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Non-Disparagement</w:t>
      </w:r>
      <w:r>
        <w:rPr>
          <w:rFonts w:ascii="Times New Roman;sans-serif" w:hAnsi="Times New Roman;sans-serif"/>
          <w:b w:val="false"/>
          <w:color w:val="000000"/>
          <w:sz w:val="20"/>
        </w:rPr>
        <w:t>. Your Award shall be forfeited if the Committee finds that you have, at any time after your employment ends and before your Award is paid to you (in the case of Performance Shares, Performance Units, Restricted Stock Units, or Restricted Units) or exercised by you (in the case of Stock Options), made statements that damage, disparage, or otherwise diminish the reputation or business of the Company, any of its Affiliates, or of any their respective employees, officers, directors, products, or services, with the exception of truthful statements that are compelled by law or otherwise authorized pursuant to legal or administrative processes.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Violation of Agreement to Protect Corporate Property</w:t>
      </w:r>
      <w:r>
        <w:rPr>
          <w:rFonts w:ascii="Times New Roman;sans-serif" w:hAnsi="Times New Roman;sans-serif"/>
          <w:b w:val="false"/>
          <w:color w:val="000000"/>
          <w:sz w:val="20"/>
        </w:rPr>
        <w:t>. Your Award shall be forfeited if the Committee finds that you have, at any time before your Award is paid to you (in the case of Performance Shares, Performance Units, Restricted Stock Units, or Restricted Units) or exercised by you (in the case of Stock Options), violated any of the terms of any Property Agreement.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Restrictions Applicable to Insiders and Section 16 Officers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terms of this Section S-14(d) shall apply if you are an Insider at any time during the Performance Period (in the case of Performance Shares or Performance Units) or Period of Restriction (in the case of Restricted Stock Units or Restricted Units), or at any time prior to your exercise of each of your Stock Options, notwithstanding any other terms of this Agreement, other than Section S-2 (“Change of Control”), to the contrary.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(2)If the Committee reasonably finds that, at any time during the Performance Period (in the case of Performance Shares or Performance Units) or Period of Restriction (in the case of Restricted Stock Units or Restricted Units), or at any time prior to your exercise of each of your Stock Options, whether during your employment with the Company and its Affiliates or thereafter, you directly or indirectly owned any interest in, managed, controlled, participated in, consulted with, or rendered services, as an officer, director, employee, partner, member, consultant, independent contractor or agent, to any person or entities currently engaged in business activities which compete (or will compete based on the anticipated plans of the Company or an Affiliate at the time of your employment termination) with the business of the Company or an Affiliate in any country in which the Company or an Affiliate conducts business or has plans to conduct business during your employment or as of the date your employment terminated, then, to the maximum extent permissible by law, your Award and any payments otherwise due under your separation agreement, if any, under Section S-1(g) (“ Involuntary Termination by the Company without Cause”) will be immediately forfeit.</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color w:val="000000"/>
          <w:sz w:val="20"/>
        </w:rPr>
        <w:t xml:space="preserve">S-15. </w:t>
      </w:r>
      <w:r>
        <w:rPr>
          <w:rFonts w:ascii="Times New Roman;sans-serif" w:hAnsi="Times New Roman;sans-serif"/>
          <w:b/>
          <w:color w:val="000000"/>
          <w:sz w:val="20"/>
          <w:u w:val="single"/>
        </w:rPr>
        <w:t>Deadline to Accept</w:t>
      </w:r>
      <w:r>
        <w:rPr>
          <w:rFonts w:ascii="Times New Roman;sans-serif" w:hAnsi="Times New Roman;sans-serif"/>
          <w:b w:val="false"/>
          <w:color w:val="000000"/>
          <w:sz w:val="20"/>
        </w:rPr>
        <w:t>. If you wish to accept the terms of this Agreement you must do so by the electronic means made available to you within sixty (60) days after receiving this Agreement. The Committee may, in its sole discretion, extend the time within which you may accept this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 to my knowledge, (i) Brighthouse Financial, Inc.’s Quarterly Report on Form 10-Q for the quarter ended March 31, 2024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p>
      <w:pPr>
        <w:pStyle w:val="TextBody"/>
        <w:bidi w:val="0"/>
        <w:spacing w:lineRule="auto" w:line="288" w:before="0" w:after="0"/>
        <w:jc w:val="left"/>
        <w:rPr>
          <w:color w:val="000000"/>
        </w:rPr>
      </w:pPr>
      <w:r>
        <w:rPr>
          <w:color w:val="000000"/>
        </w:rPr>
        <w:t> </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 to my knowledge, (i) Brighthouse Financial, Inc.’s Quarterly Report on Form 10-Q for the quarter ended March 31, 2024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2024</w:t>
      </w:r>
    </w:p>
    <w:p>
      <w:pPr>
        <w:pStyle w:val="TextBody"/>
        <w:bidi w:val="0"/>
        <w:spacing w:lineRule="auto" w:line="288" w:before="0" w:after="0"/>
        <w:jc w:val="left"/>
        <w:rPr>
          <w:color w:val="000000"/>
        </w:rPr>
      </w:pPr>
      <w:r>
        <w:rPr>
          <w:color w:val="000000"/>
        </w:rPr>
        <w:t> </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48318</Words>
  <Characters>266293</Characters>
  <CharactersWithSpaces>310402</CharactersWithSpaces>
  <Paragraphs>8173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