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440690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7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83"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10-Q</w:t>
      </w:r>
    </w:p>
    <w:p>
      <w:pPr>
        <w:spacing w:after="0" w:line="346" w:lineRule="exact"/>
        <w:rPr>
          <w:sz w:val="24"/>
          <w:szCs w:val="24"/>
          <w:color w:val="auto"/>
        </w:rPr>
      </w:pPr>
    </w:p>
    <w:p>
      <w:pPr>
        <w:ind w:left="4420" w:right="3400" w:hanging="4027"/>
        <w:spacing w:after="0" w:line="563" w:lineRule="auto"/>
        <w:tabs>
          <w:tab w:leader="none" w:pos="70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2018</w:t>
      </w:r>
    </w:p>
    <w:p>
      <w:pPr>
        <w:ind w:left="56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271" w:lineRule="exact"/>
        <w:rPr>
          <w:rFonts w:ascii="MS PGothic" w:cs="MS PGothic" w:eastAsia="MS PGothic" w:hAnsi="MS PGothic"/>
          <w:sz w:val="14"/>
          <w:szCs w:val="14"/>
          <w:color w:val="auto"/>
        </w:rPr>
      </w:pPr>
    </w:p>
    <w:p>
      <w:pPr>
        <w:ind w:left="820" w:hanging="326"/>
        <w:spacing w:after="0"/>
        <w:tabs>
          <w:tab w:leader="none" w:pos="820"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36"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426720</wp:posOffset>
            </wp:positionV>
            <wp:extent cx="221234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3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Brighthouse Financial, Inc.</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182"/>
        </w:trPr>
        <w:tc>
          <w:tcPr>
            <w:tcW w:w="6640" w:type="dxa"/>
            <w:vAlign w:val="bottom"/>
          </w:tcPr>
          <w:p>
            <w:pPr>
              <w:jc w:val="right"/>
              <w:ind w:right="169"/>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2300" w:type="dxa"/>
            <w:vAlign w:val="bottom"/>
          </w:tcPr>
          <w:p>
            <w:pPr>
              <w:spacing w:after="0"/>
              <w:rPr>
                <w:sz w:val="15"/>
                <w:szCs w:val="15"/>
                <w:color w:val="auto"/>
              </w:rPr>
            </w:pPr>
          </w:p>
        </w:tc>
      </w:tr>
      <w:tr>
        <w:trPr>
          <w:trHeight w:val="351"/>
        </w:trPr>
        <w:tc>
          <w:tcPr>
            <w:tcW w:w="6640" w:type="dxa"/>
            <w:vAlign w:val="bottom"/>
          </w:tcPr>
          <w:p>
            <w:pPr>
              <w:jc w:val="center"/>
              <w:ind w:right="2589"/>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jc w:val="right"/>
              <w:ind w:right="608"/>
              <w:spacing w:after="0"/>
              <w:rPr>
                <w:sz w:val="20"/>
                <w:szCs w:val="20"/>
                <w:color w:val="auto"/>
              </w:rPr>
            </w:pPr>
            <w:r>
              <w:rPr>
                <w:rFonts w:ascii="Arial" w:cs="Arial" w:eastAsia="Arial" w:hAnsi="Arial"/>
                <w:sz w:val="14"/>
                <w:szCs w:val="14"/>
                <w:b w:val="1"/>
                <w:bCs w:val="1"/>
                <w:color w:val="auto"/>
              </w:rPr>
              <w:t>81-3846992</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5"/>
              </w:rPr>
              <w:t>(State of incorporation)</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24"/>
        </w:trPr>
        <w:tc>
          <w:tcPr>
            <w:tcW w:w="6640" w:type="dxa"/>
            <w:vAlign w:val="bottom"/>
          </w:tcPr>
          <w:p>
            <w:pPr>
              <w:jc w:val="center"/>
              <w:ind w:right="2569"/>
              <w:spacing w:after="0"/>
              <w:rPr>
                <w:sz w:val="20"/>
                <w:szCs w:val="20"/>
                <w:color w:val="auto"/>
              </w:rPr>
            </w:pPr>
            <w:r>
              <w:rPr>
                <w:rFonts w:ascii="Arial" w:cs="Arial" w:eastAsia="Arial" w:hAnsi="Arial"/>
                <w:sz w:val="14"/>
                <w:szCs w:val="14"/>
                <w:b w:val="1"/>
                <w:bCs w:val="1"/>
                <w:color w:val="auto"/>
                <w:w w:val="95"/>
              </w:rPr>
              <w:t>11225 North Community House Road, Charlotte, North Carolina</w:t>
            </w:r>
          </w:p>
        </w:tc>
        <w:tc>
          <w:tcPr>
            <w:tcW w:w="2300" w:type="dxa"/>
            <w:vAlign w:val="bottom"/>
          </w:tcPr>
          <w:p>
            <w:pPr>
              <w:jc w:val="right"/>
              <w:ind w:right="768"/>
              <w:spacing w:after="0"/>
              <w:rPr>
                <w:sz w:val="20"/>
                <w:szCs w:val="20"/>
                <w:color w:val="auto"/>
              </w:rPr>
            </w:pPr>
            <w:r>
              <w:rPr>
                <w:rFonts w:ascii="Arial" w:cs="Arial" w:eastAsia="Arial" w:hAnsi="Arial"/>
                <w:sz w:val="14"/>
                <w:szCs w:val="14"/>
                <w:b w:val="1"/>
                <w:bCs w:val="1"/>
                <w:color w:val="auto"/>
              </w:rPr>
              <w:t>28277</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3"/>
              </w:rPr>
              <w:t>(Zip Code)</w:t>
            </w:r>
          </w:p>
        </w:tc>
      </w:tr>
      <w:tr>
        <w:trPr>
          <w:trHeight w:val="284"/>
        </w:trPr>
        <w:tc>
          <w:tcPr>
            <w:tcW w:w="6640" w:type="dxa"/>
            <w:vAlign w:val="bottom"/>
          </w:tcPr>
          <w:p>
            <w:pPr>
              <w:jc w:val="right"/>
              <w:ind w:right="1069"/>
              <w:spacing w:after="0"/>
              <w:rPr>
                <w:sz w:val="20"/>
                <w:szCs w:val="20"/>
                <w:color w:val="auto"/>
              </w:rPr>
            </w:pPr>
            <w:r>
              <w:rPr>
                <w:rFonts w:ascii="Arial" w:cs="Arial" w:eastAsia="Arial" w:hAnsi="Arial"/>
                <w:sz w:val="14"/>
                <w:szCs w:val="14"/>
                <w:b w:val="1"/>
                <w:bCs w:val="1"/>
                <w:color w:val="auto"/>
              </w:rPr>
              <w:t>(980) 365-7100</w:t>
            </w:r>
          </w:p>
        </w:tc>
        <w:tc>
          <w:tcPr>
            <w:tcW w:w="2300" w:type="dxa"/>
            <w:vAlign w:val="bottom"/>
          </w:tcPr>
          <w:p>
            <w:pPr>
              <w:spacing w:after="0"/>
              <w:rPr>
                <w:sz w:val="24"/>
                <w:szCs w:val="24"/>
                <w:color w:val="auto"/>
              </w:rPr>
            </w:pPr>
          </w:p>
        </w:tc>
      </w:tr>
      <w:tr>
        <w:trPr>
          <w:trHeight w:val="307"/>
        </w:trPr>
        <w:tc>
          <w:tcPr>
            <w:tcW w:w="6640" w:type="dxa"/>
            <w:vAlign w:val="bottom"/>
          </w:tcPr>
          <w:p>
            <w:pPr>
              <w:jc w:val="right"/>
              <w:ind w:right="169"/>
              <w:spacing w:after="0"/>
              <w:rPr>
                <w:sz w:val="20"/>
                <w:szCs w:val="20"/>
                <w:color w:val="auto"/>
              </w:rPr>
            </w:pPr>
            <w:r>
              <w:rPr>
                <w:rFonts w:ascii="Arial" w:cs="Arial" w:eastAsia="Arial" w:hAnsi="Arial"/>
                <w:sz w:val="13"/>
                <w:szCs w:val="13"/>
                <w:i w:val="1"/>
                <w:iCs w:val="1"/>
                <w:color w:val="auto"/>
              </w:rPr>
              <w:t>(Registrant’s telephone number, including area code)</w:t>
            </w:r>
          </w:p>
        </w:tc>
        <w:tc>
          <w:tcPr>
            <w:tcW w:w="2300" w:type="dxa"/>
            <w:vAlign w:val="bottom"/>
          </w:tcPr>
          <w:p>
            <w:pPr>
              <w:spacing w:after="0"/>
              <w:rPr>
                <w:sz w:val="24"/>
                <w:szCs w:val="24"/>
                <w:color w:val="auto"/>
              </w:rPr>
            </w:pPr>
          </w:p>
        </w:tc>
      </w:tr>
    </w:tbl>
    <w:p>
      <w:pPr>
        <w:spacing w:after="0" w:line="204"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56" w:right="239" w:bottom="1440" w:gutter="0" w:footer="0" w:header="0"/>
        </w:sectPr>
      </w:pPr>
    </w:p>
    <w:p>
      <w:pPr>
        <w:spacing w:after="0" w:line="371" w:lineRule="exact"/>
        <w:rPr>
          <w:sz w:val="24"/>
          <w:szCs w:val="24"/>
          <w:color w:val="auto"/>
        </w:rPr>
      </w:pPr>
    </w:p>
    <w:p>
      <w:pPr>
        <w:ind w:left="4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160" w:space="60"/>
            <w:col w:w="6760" w:space="720"/>
            <w:col w:w="840" w:space="60"/>
            <w:col w:w="1820"/>
          </w:cols>
          <w:pgMar w:left="240" w:top="756" w:right="23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0"/>
          <w:szCs w:val="20"/>
          <w:color w:val="auto"/>
        </w:rPr>
      </w:pPr>
      <w:r>
        <w:rPr>
          <w:rFonts w:ascii="MS PGothic" w:cs="MS PGothic" w:eastAsia="MS PGothic" w:hAnsi="MS PGothic"/>
          <w:sz w:val="9"/>
          <w:szCs w:val="9"/>
          <w:color w:val="auto"/>
        </w:rPr>
        <w:t>☐</w:t>
      </w:r>
    </w:p>
    <w:p>
      <w:pPr>
        <w:spacing w:after="0" w:line="180" w:lineRule="exact"/>
        <w:rPr>
          <w:sz w:val="24"/>
          <w:szCs w:val="24"/>
          <w:color w:val="auto"/>
        </w:rPr>
      </w:pPr>
    </w:p>
    <w:p>
      <w:pPr>
        <w:sectPr>
          <w:pgSz w:w="11900" w:h="16838" w:orient="portrait"/>
          <w:cols w:equalWidth="0" w:num="5">
            <w:col w:w="1100" w:space="120"/>
            <w:col w:w="120" w:space="60"/>
            <w:col w:w="6580" w:space="720"/>
            <w:col w:w="1380" w:space="60"/>
            <w:col w:w="1280"/>
          </w:cols>
          <w:pgMar w:left="240" w:top="756" w:right="239" w:bottom="1440" w:gutter="0" w:footer="0" w:header="0"/>
          <w:type w:val="continuous"/>
        </w:sectPr>
      </w:pPr>
    </w:p>
    <w:p>
      <w:pPr>
        <w:ind w:left="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6" w:lineRule="exact"/>
        <w:rPr>
          <w:sz w:val="24"/>
          <w:szCs w:val="24"/>
          <w:color w:val="auto"/>
        </w:rPr>
      </w:pPr>
    </w:p>
    <w:p>
      <w:pPr>
        <w:spacing w:after="0" w:line="150" w:lineRule="exact"/>
        <w:tabs>
          <w:tab w:leader="none" w:pos="5840" w:val="left"/>
          <w:tab w:leader="none" w:pos="62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At May 9, 2018, 119,773,106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Table of Contents</w:t>
      </w:r>
    </w:p>
    <w:p>
      <w:pPr>
        <w:spacing w:after="0" w:line="333" w:lineRule="exact"/>
        <w:rPr>
          <w:sz w:val="20"/>
          <w:szCs w:val="20"/>
          <w:color w:val="auto"/>
        </w:rPr>
      </w:pPr>
    </w:p>
    <w:p>
      <w:pPr>
        <w:ind w:left="10860"/>
        <w:spacing w:after="0"/>
        <w:rPr>
          <w:sz w:val="20"/>
          <w:szCs w:val="20"/>
          <w:color w:val="auto"/>
        </w:rPr>
      </w:pPr>
      <w:r>
        <w:rPr>
          <w:rFonts w:ascii="Arial" w:cs="Arial" w:eastAsia="Arial" w:hAnsi="Arial"/>
          <w:sz w:val="18"/>
          <w:szCs w:val="18"/>
          <w:b w:val="1"/>
          <w:bCs w:val="1"/>
          <w:u w:val="single" w:color="auto"/>
          <w:color w:val="auto"/>
        </w:rPr>
        <w:t>Page</w:t>
      </w:r>
    </w:p>
    <w:p>
      <w:pPr>
        <w:spacing w:after="0" w:line="6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63" w:lineRule="exact"/>
        <w:rPr>
          <w:sz w:val="20"/>
          <w:szCs w:val="20"/>
          <w:color w:val="auto"/>
        </w:rPr>
      </w:pPr>
    </w:p>
    <w:p>
      <w:pPr>
        <w:ind w:left="1040" w:right="740" w:hanging="1066"/>
        <w:spacing w:after="0" w:line="277" w:lineRule="auto"/>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Consolidated and Combined Financial Statements (at March 31, 2018 (Unaudited) and December 31, 2017 and for the Three Months Ended March 31, 2018 and 2017 (Unaudited)):</w:t>
      </w:r>
    </w:p>
    <w:tbl>
      <w:tblPr>
        <w:tblLayout w:type="fixed"/>
        <w:tblInd w:w="0" w:type="dxa"/>
        <w:tblCellMar>
          <w:top w:w="0" w:type="dxa"/>
          <w:left w:w="0" w:type="dxa"/>
          <w:bottom w:w="0" w:type="dxa"/>
          <w:right w:w="0" w:type="dxa"/>
        </w:tblCellMar>
      </w:tblPr>
      <w:tr>
        <w:trPr>
          <w:trHeight w:val="202"/>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Borders>
              <w:bottom w:val="single" w:sz="8" w:color="0000EE"/>
            </w:tcBorders>
            <w:gridSpan w:val="13"/>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Interim Condensed Consolidated Balance Sheets</w:t>
              </w:r>
            </w:hyperlink>
          </w:p>
        </w:tc>
        <w:tc>
          <w:tcPr>
            <w:tcW w:w="4960" w:type="dxa"/>
            <w:vAlign w:val="bottom"/>
            <w:gridSpan w:val="10"/>
          </w:tcPr>
          <w:p>
            <w:pPr>
              <w:spacing w:after="0"/>
              <w:rPr>
                <w:sz w:val="17"/>
                <w:szCs w:val="17"/>
                <w:color w:val="auto"/>
              </w:rPr>
            </w:pPr>
          </w:p>
        </w:tc>
        <w:tc>
          <w:tcPr>
            <w:tcW w:w="1540" w:type="dxa"/>
            <w:vAlign w:val="bottom"/>
            <w:gridSpan w:val="3"/>
          </w:tcPr>
          <w:p>
            <w:pPr>
              <w:spacing w:after="0"/>
              <w:rPr>
                <w:sz w:val="17"/>
                <w:szCs w:val="17"/>
                <w:color w:val="auto"/>
              </w:rPr>
            </w:pPr>
          </w:p>
        </w:tc>
        <w:tc>
          <w:tcPr>
            <w:tcW w:w="100" w:type="dxa"/>
            <w:vAlign w:val="bottom"/>
            <w:tcBorders>
              <w:bottom w:val="single" w:sz="8" w:color="0000FF"/>
            </w:tcBorders>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44"/>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80" w:type="dxa"/>
            <w:vAlign w:val="bottom"/>
            <w:tcBorders>
              <w:bottom w:val="single" w:sz="8" w:color="0000EE"/>
            </w:tcBorders>
            <w:gridSpan w:val="2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Interim Condensed Consolidated and Combined Statements of Operations and Comprehensive Income (Loss)</w:t>
              </w:r>
            </w:hyperlink>
          </w:p>
        </w:tc>
        <w:tc>
          <w:tcPr>
            <w:tcW w:w="154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7"/>
        </w:trPr>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Condensed Consolidated and Combined Statements of Equity</w:t>
              </w:r>
            </w:hyperlink>
          </w:p>
        </w:tc>
        <w:tc>
          <w:tcPr>
            <w:tcW w:w="16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Condensed Consolidated and Combined Statements of Cash Flows</w:t>
              </w:r>
            </w:hyperlink>
          </w:p>
        </w:tc>
        <w:tc>
          <w:tcPr>
            <w:tcW w:w="3080" w:type="dxa"/>
            <w:vAlign w:val="bottom"/>
            <w:gridSpan w:val="5"/>
          </w:tcPr>
          <w:p>
            <w:pPr>
              <w:spacing w:after="0"/>
              <w:rPr>
                <w:sz w:val="21"/>
                <w:szCs w:val="21"/>
                <w:color w:val="auto"/>
              </w:rPr>
            </w:pPr>
          </w:p>
        </w:tc>
        <w:tc>
          <w:tcPr>
            <w:tcW w:w="154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8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Interim Condensed Consolidated and Combined Financial Statements:</w:t>
              </w:r>
            </w:hyperlink>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6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 1 — Business, Basis of Presentation and Summary of Significant Accounting Policies</w:t>
              </w:r>
            </w:hyperlink>
          </w:p>
        </w:tc>
        <w:tc>
          <w:tcPr>
            <w:tcW w:w="164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580" w:type="dxa"/>
            <w:vAlign w:val="bottom"/>
            <w:tcBorders>
              <w:top w:val="single" w:sz="8" w:color="0000FF"/>
            </w:tcBorders>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 2 — Segment Information</w:t>
              </w:r>
            </w:hyperlink>
          </w:p>
        </w:tc>
        <w:tc>
          <w:tcPr>
            <w:tcW w:w="1780" w:type="dxa"/>
            <w:vAlign w:val="bottom"/>
            <w:gridSpan w:val="2"/>
          </w:tcPr>
          <w:p>
            <w:pPr>
              <w:spacing w:after="0"/>
              <w:rPr>
                <w:sz w:val="21"/>
                <w:szCs w:val="21"/>
                <w:color w:val="auto"/>
              </w:rPr>
            </w:pPr>
          </w:p>
        </w:tc>
        <w:tc>
          <w:tcPr>
            <w:tcW w:w="154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6"/>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Note 3 — Insurance</w:t>
              </w:r>
            </w:hyperlink>
          </w:p>
        </w:tc>
        <w:tc>
          <w:tcPr>
            <w:tcW w:w="820" w:type="dxa"/>
            <w:vAlign w:val="bottom"/>
            <w:gridSpan w:val="4"/>
          </w:tcPr>
          <w:p>
            <w:pPr>
              <w:spacing w:after="0"/>
              <w:rPr>
                <w:sz w:val="21"/>
                <w:szCs w:val="21"/>
                <w:color w:val="auto"/>
              </w:rPr>
            </w:pPr>
          </w:p>
        </w:tc>
        <w:tc>
          <w:tcPr>
            <w:tcW w:w="6080" w:type="dxa"/>
            <w:vAlign w:val="bottom"/>
            <w:gridSpan w:val="12"/>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11</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6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 4 — Investments</w:t>
              </w:r>
            </w:hyperlink>
          </w:p>
        </w:tc>
        <w:tc>
          <w:tcPr>
            <w:tcW w:w="1640" w:type="dxa"/>
            <w:vAlign w:val="bottom"/>
            <w:gridSpan w:val="4"/>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Note 5 — Derivatives</w:t>
              </w:r>
            </w:hyperlink>
          </w:p>
        </w:tc>
        <w:tc>
          <w:tcPr>
            <w:tcW w:w="6780" w:type="dxa"/>
            <w:vAlign w:val="bottom"/>
            <w:gridSpan w:val="14"/>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7"/>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Note 6 — Fair Value</w:t>
              </w:r>
            </w:hyperlink>
          </w:p>
        </w:tc>
        <w:tc>
          <w:tcPr>
            <w:tcW w:w="80" w:type="dxa"/>
            <w:vAlign w:val="bottom"/>
          </w:tcPr>
          <w:p>
            <w:pPr>
              <w:spacing w:after="0"/>
              <w:rPr>
                <w:sz w:val="21"/>
                <w:szCs w:val="21"/>
                <w:color w:val="auto"/>
              </w:rPr>
            </w:pPr>
          </w:p>
        </w:tc>
        <w:tc>
          <w:tcPr>
            <w:tcW w:w="6780" w:type="dxa"/>
            <w:vAlign w:val="bottom"/>
            <w:gridSpan w:val="14"/>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Note 7 — Equity</w:t>
              </w:r>
            </w:hyperlink>
          </w:p>
        </w:tc>
        <w:tc>
          <w:tcPr>
            <w:tcW w:w="260" w:type="dxa"/>
            <w:vAlign w:val="bottom"/>
            <w:gridSpan w:val="2"/>
          </w:tcPr>
          <w:p>
            <w:pPr>
              <w:spacing w:after="0"/>
              <w:rPr>
                <w:sz w:val="21"/>
                <w:szCs w:val="21"/>
                <w:color w:val="auto"/>
              </w:rPr>
            </w:pPr>
          </w:p>
        </w:tc>
        <w:tc>
          <w:tcPr>
            <w:tcW w:w="6860" w:type="dxa"/>
            <w:vAlign w:val="bottom"/>
            <w:gridSpan w:val="15"/>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2"/>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Note 8 — Other Revenues and Other Expenses</w:t>
              </w:r>
            </w:hyperlink>
          </w:p>
        </w:tc>
        <w:tc>
          <w:tcPr>
            <w:tcW w:w="4960" w:type="dxa"/>
            <w:vAlign w:val="bottom"/>
            <w:gridSpan w:val="10"/>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9"/>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Note 9 — Earnings Per Share</w:t>
              </w:r>
            </w:hyperlink>
          </w:p>
        </w:tc>
        <w:tc>
          <w:tcPr>
            <w:tcW w:w="1260" w:type="dxa"/>
            <w:vAlign w:val="bottom"/>
            <w:gridSpan w:val="3"/>
          </w:tcPr>
          <w:p>
            <w:pPr>
              <w:spacing w:after="0"/>
              <w:rPr>
                <w:sz w:val="21"/>
                <w:szCs w:val="21"/>
                <w:color w:val="auto"/>
              </w:rPr>
            </w:pPr>
          </w:p>
        </w:tc>
        <w:tc>
          <w:tcPr>
            <w:tcW w:w="4960" w:type="dxa"/>
            <w:vAlign w:val="bottom"/>
            <w:gridSpan w:val="10"/>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6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Note 10 — Contingencies, Commitments and Guarantees</w:t>
              </w:r>
            </w:hyperlink>
          </w:p>
        </w:tc>
        <w:tc>
          <w:tcPr>
            <w:tcW w:w="164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11"/>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Note 11 — Related Party Transactions</w:t>
              </w:r>
            </w:hyperlink>
          </w:p>
        </w:tc>
        <w:tc>
          <w:tcPr>
            <w:tcW w:w="1360" w:type="dxa"/>
            <w:vAlign w:val="bottom"/>
            <w:gridSpan w:val="2"/>
          </w:tcPr>
          <w:p>
            <w:pPr>
              <w:spacing w:after="0"/>
              <w:rPr>
                <w:sz w:val="21"/>
                <w:szCs w:val="21"/>
                <w:color w:val="auto"/>
              </w:rPr>
            </w:pPr>
          </w:p>
        </w:tc>
        <w:tc>
          <w:tcPr>
            <w:tcW w:w="4220" w:type="dxa"/>
            <w:vAlign w:val="bottom"/>
            <w:gridSpan w:val="9"/>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9"/>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Note 12 — Subsequent Event</w:t>
              </w:r>
            </w:hyperlink>
          </w:p>
        </w:tc>
        <w:tc>
          <w:tcPr>
            <w:tcW w:w="640" w:type="dxa"/>
            <w:vAlign w:val="bottom"/>
            <w:gridSpan w:val="2"/>
          </w:tcPr>
          <w:p>
            <w:pPr>
              <w:spacing w:after="0"/>
              <w:rPr>
                <w:sz w:val="21"/>
                <w:szCs w:val="21"/>
                <w:color w:val="auto"/>
              </w:rPr>
            </w:pPr>
          </w:p>
        </w:tc>
        <w:tc>
          <w:tcPr>
            <w:tcW w:w="5580" w:type="dxa"/>
            <w:vAlign w:val="bottom"/>
            <w:gridSpan w:val="11"/>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8680" w:type="dxa"/>
            <w:vAlign w:val="bottom"/>
            <w:gridSpan w:val="24"/>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Management’s Discussion and Analysis of Financial Condition and Results of Operations</w:t>
              </w:r>
            </w:hyperlink>
          </w:p>
        </w:tc>
        <w:tc>
          <w:tcPr>
            <w:tcW w:w="16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1"/>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Quantitative and Qualitative Disclosures About Market Risk</w:t>
              </w:r>
            </w:hyperlink>
          </w:p>
        </w:tc>
        <w:tc>
          <w:tcPr>
            <w:tcW w:w="1860" w:type="dxa"/>
            <w:vAlign w:val="bottom"/>
            <w:gridSpan w:val="3"/>
          </w:tcPr>
          <w:p>
            <w:pPr>
              <w:spacing w:after="0"/>
              <w:rPr>
                <w:sz w:val="21"/>
                <w:szCs w:val="21"/>
                <w:color w:val="auto"/>
              </w:rPr>
            </w:pPr>
          </w:p>
        </w:tc>
        <w:tc>
          <w:tcPr>
            <w:tcW w:w="164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466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Controls and Procedures</w:t>
              </w:r>
            </w:hyperlink>
          </w:p>
        </w:tc>
        <w:tc>
          <w:tcPr>
            <w:tcW w:w="4020" w:type="dxa"/>
            <w:vAlign w:val="bottom"/>
            <w:gridSpan w:val="7"/>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24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102">
              <w:r>
                <w:rPr>
                  <w:rFonts w:ascii="Arial" w:cs="Arial" w:eastAsia="Arial" w:hAnsi="Arial"/>
                  <w:sz w:val="18"/>
                  <w:szCs w:val="18"/>
                  <w:b w:val="1"/>
                  <w:bCs w:val="1"/>
                  <w:color w:val="0000EE"/>
                  <w:w w:val="96"/>
                </w:rPr>
                <w:t>Part II — Other Information</w:t>
              </w:r>
            </w:hyperlink>
          </w:p>
        </w:tc>
        <w:tc>
          <w:tcPr>
            <w:tcW w:w="7480" w:type="dxa"/>
            <w:vAlign w:val="bottom"/>
            <w:gridSpan w:val="19"/>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102">
              <w:r>
                <w:rPr>
                  <w:rFonts w:ascii="Arial" w:cs="Arial" w:eastAsia="Arial" w:hAnsi="Arial"/>
                  <w:sz w:val="18"/>
                  <w:szCs w:val="18"/>
                  <w:b w:val="1"/>
                  <w:bCs w:val="1"/>
                  <w:color w:val="0000EE"/>
                  <w:w w:val="86"/>
                </w:rPr>
                <w:t>Legal Proceedings</w:t>
              </w:r>
            </w:hyperlink>
          </w:p>
        </w:tc>
        <w:tc>
          <w:tcPr>
            <w:tcW w:w="7280" w:type="dxa"/>
            <w:vAlign w:val="bottom"/>
            <w:gridSpan w:val="18"/>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1A.</w:t>
            </w:r>
          </w:p>
        </w:tc>
        <w:tc>
          <w:tcPr>
            <w:tcW w:w="8680" w:type="dxa"/>
            <w:vAlign w:val="bottom"/>
            <w:gridSpan w:val="24"/>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Risk Factors</w:t>
              </w:r>
            </w:hyperlink>
          </w:p>
        </w:tc>
        <w:tc>
          <w:tcPr>
            <w:tcW w:w="164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101</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8680" w:type="dxa"/>
            <w:vAlign w:val="bottom"/>
            <w:gridSpan w:val="24"/>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Unregistered Sales of Equity Securities and Use of Proceeds</w:t>
              </w:r>
            </w:hyperlink>
          </w:p>
        </w:tc>
        <w:tc>
          <w:tcPr>
            <w:tcW w:w="16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190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9"/>
              </w:rPr>
            </w:pPr>
            <w:hyperlink w:anchor="page105">
              <w:r>
                <w:rPr>
                  <w:rFonts w:ascii="Arial" w:cs="Arial" w:eastAsia="Arial" w:hAnsi="Arial"/>
                  <w:sz w:val="18"/>
                  <w:szCs w:val="18"/>
                  <w:b w:val="1"/>
                  <w:bCs w:val="1"/>
                  <w:color w:val="0000EE"/>
                  <w:w w:val="89"/>
                </w:rPr>
                <w:t>Mine Safety Disclosures</w:t>
              </w:r>
            </w:hyperlink>
          </w:p>
        </w:tc>
        <w:tc>
          <w:tcPr>
            <w:tcW w:w="2660" w:type="dxa"/>
            <w:vAlign w:val="bottom"/>
            <w:tcBorders>
              <w:top w:val="single" w:sz="8" w:color="0000EE"/>
            </w:tcBorders>
            <w:gridSpan w:val="6"/>
          </w:tcPr>
          <w:p>
            <w:pPr>
              <w:spacing w:after="0"/>
              <w:rPr>
                <w:sz w:val="21"/>
                <w:szCs w:val="21"/>
                <w:color w:val="auto"/>
              </w:rPr>
            </w:pPr>
          </w:p>
        </w:tc>
        <w:tc>
          <w:tcPr>
            <w:tcW w:w="4120" w:type="dxa"/>
            <w:vAlign w:val="bottom"/>
            <w:gridSpan w:val="8"/>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r>
      <w:tr>
        <w:trPr>
          <w:trHeight w:val="250"/>
        </w:trPr>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106">
              <w:r>
                <w:rPr>
                  <w:rFonts w:ascii="Arial" w:cs="Arial" w:eastAsia="Arial" w:hAnsi="Arial"/>
                  <w:sz w:val="18"/>
                  <w:szCs w:val="18"/>
                  <w:b w:val="1"/>
                  <w:bCs w:val="1"/>
                  <w:color w:val="0000EE"/>
                  <w:w w:val="88"/>
                </w:rPr>
                <w:t>Exhibits</w:t>
              </w:r>
            </w:hyperlink>
          </w:p>
        </w:tc>
        <w:tc>
          <w:tcPr>
            <w:tcW w:w="8040" w:type="dxa"/>
            <w:vAlign w:val="bottom"/>
            <w:gridSpan w:val="21"/>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105</w:t>
              </w:r>
            </w:hyperlink>
          </w:p>
        </w:tc>
      </w:tr>
      <w:tr>
        <w:trPr>
          <w:trHeight w:val="372"/>
        </w:trPr>
        <w:tc>
          <w:tcPr>
            <w:tcW w:w="820" w:type="dxa"/>
            <w:vAlign w:val="bottom"/>
            <w:tcBorders>
              <w:bottom w:val="single" w:sz="8" w:color="0000EE"/>
            </w:tcBorders>
          </w:tcPr>
          <w:p>
            <w:pPr>
              <w:spacing w:after="0"/>
              <w:rPr>
                <w:rFonts w:ascii="Arial" w:cs="Arial" w:eastAsia="Arial" w:hAnsi="Arial"/>
                <w:sz w:val="18"/>
                <w:szCs w:val="18"/>
                <w:b w:val="1"/>
                <w:bCs w:val="1"/>
                <w:color w:val="0000EE"/>
                <w:w w:val="85"/>
              </w:rPr>
            </w:pPr>
            <w:hyperlink w:anchor="page107">
              <w:r>
                <w:rPr>
                  <w:rFonts w:ascii="Arial" w:cs="Arial" w:eastAsia="Arial" w:hAnsi="Arial"/>
                  <w:sz w:val="18"/>
                  <w:szCs w:val="18"/>
                  <w:b w:val="1"/>
                  <w:bCs w:val="1"/>
                  <w:color w:val="0000EE"/>
                  <w:w w:val="85"/>
                </w:rPr>
                <w:t>Signatures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106</w:t>
              </w:r>
            </w:hyperlink>
          </w:p>
        </w:tc>
      </w:tr>
    </w:tbl>
    <w:p>
      <w:pPr>
        <w:sectPr>
          <w:pgSz w:w="11900" w:h="16838" w:orient="portrait"/>
          <w:cols w:equalWidth="0" w:num="1">
            <w:col w:w="11360"/>
          </w:cols>
          <w:pgMar w:left="280" w:top="526"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Item 1. Financial Statements</w:t>
      </w:r>
    </w:p>
    <w:p>
      <w:pPr>
        <w:spacing w:after="0" w:line="16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March 31, 2018 (Unaudited) and December 31, 2017</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2018</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3"/>
                <w:szCs w:val="13"/>
                <w:b w:val="1"/>
                <w:bCs w:val="1"/>
                <w:color w:val="auto"/>
                <w:w w:val="88"/>
              </w:rPr>
              <w:t>December 31, 2017</w:t>
            </w:r>
          </w:p>
        </w:tc>
        <w:tc>
          <w:tcPr>
            <w:tcW w:w="0" w:type="dxa"/>
            <w:vAlign w:val="bottom"/>
          </w:tcPr>
          <w:p>
            <w:pPr>
              <w:spacing w:after="0"/>
              <w:rPr>
                <w:sz w:val="1"/>
                <w:szCs w:val="1"/>
                <w:color w:val="auto"/>
              </w:rPr>
            </w:pPr>
          </w:p>
        </w:tc>
      </w:tr>
      <w:tr>
        <w:trPr>
          <w:trHeight w:val="17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available-for-sale, at estimated fair value (amortized cost: $60,029 and $60,173, respectively)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Equity securities, at estimated fair value (cost: $142 and $142, respectively)</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loans (net of valuation allowances of $49 and $47, respectively; includes $105 and $115, respectively, at estimated fair value,</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relating to variable interest entities)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10,742</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joint ventures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Other limited partnership interests</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principally at estimated fair value</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invested assets, principally at estimated fair value</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investments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81,049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82,338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Cash and cash equivalents, principally at estimated fair value</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investment income (includes $1 and $1, respectively, relating to variable interest entities)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13,527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13,525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6,286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Current income tax recoverable</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114,385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218,997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224,192</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Future policy benefits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36,223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36,616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37,940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37,783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policy-related balances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2,991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Long-term debt (includes $8 and $11, respectively, at estimated fair value, relating to variable interest entities)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3,612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liability</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5,180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5,263</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liabilities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205,324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209,612</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Contingencies, Commitments and Guarantees (Note 10)</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Brighthouse Financial, Inc.’s stockholders’ equity:</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Common stock par value $0.01 per share; 1,000,000,000 shares authorized; 119,773,106 shares issued and outstanding</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12,432</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Brighthouse Financial, Inc.’s stockholders’ equity</w:t>
            </w: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13,608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equity</w:t>
            </w:r>
          </w:p>
        </w:tc>
        <w:tc>
          <w:tcPr>
            <w:tcW w:w="220" w:type="dxa"/>
            <w:vAlign w:val="bottom"/>
          </w:tcPr>
          <w:p>
            <w:pPr>
              <w:spacing w:after="0"/>
              <w:rPr>
                <w:sz w:val="14"/>
                <w:szCs w:val="14"/>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13,673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and equity</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218,997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224,192</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ectPr>
          <w:pgSz w:w="11900" w:h="16838" w:orient="portrait"/>
          <w:cols w:equalWidth="0" w:num="1">
            <w:col w:w="11420"/>
          </w:cols>
          <w:pgMar w:left="240" w:top="126" w:right="239" w:bottom="1029"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6" w:right="239" w:bottom="1029"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Interim Condensed Consolidated and Combined Statements of Operations and Comprehensive Income (Loss)</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 the Three Months Ended March 31, 2018 and 2017 (Unaudited)</w:t>
      </w:r>
    </w:p>
    <w:p>
      <w:pPr>
        <w:spacing w:after="0" w:line="15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6" w:lineRule="exact"/>
        <w:rPr>
          <w:sz w:val="20"/>
          <w:szCs w:val="20"/>
          <w:color w:val="auto"/>
        </w:rPr>
      </w:pPr>
    </w:p>
    <w:p>
      <w:pPr>
        <w:ind w:left="9860"/>
        <w:spacing w:after="0"/>
        <w:rPr>
          <w:sz w:val="20"/>
          <w:szCs w:val="20"/>
          <w:color w:val="auto"/>
        </w:rPr>
      </w:pPr>
      <w:r>
        <w:rPr>
          <w:rFonts w:ascii="Arial" w:cs="Arial" w:eastAsia="Arial" w:hAnsi="Arial"/>
          <w:sz w:val="16"/>
          <w:szCs w:val="16"/>
          <w:b w:val="1"/>
          <w:bCs w:val="1"/>
          <w:color w:val="auto"/>
        </w:rPr>
        <w:t>Three Months</w:t>
      </w:r>
    </w:p>
    <w:p>
      <w:pPr>
        <w:spacing w:after="0" w:line="26" w:lineRule="exact"/>
        <w:rPr>
          <w:sz w:val="20"/>
          <w:szCs w:val="20"/>
          <w:color w:val="auto"/>
        </w:rPr>
      </w:pPr>
    </w:p>
    <w:p>
      <w:pPr>
        <w:ind w:left="10100"/>
        <w:spacing w:after="0"/>
        <w:rPr>
          <w:sz w:val="20"/>
          <w:szCs w:val="20"/>
          <w:color w:val="auto"/>
        </w:rPr>
      </w:pPr>
      <w:r>
        <w:rPr>
          <w:rFonts w:ascii="Arial" w:cs="Arial" w:eastAsia="Arial" w:hAnsi="Arial"/>
          <w:sz w:val="16"/>
          <w:szCs w:val="16"/>
          <w:b w:val="1"/>
          <w:bCs w:val="1"/>
          <w:color w:val="auto"/>
        </w:rPr>
        <w:t>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2" w:lineRule="exact"/>
        <w:rPr>
          <w:sz w:val="20"/>
          <w:szCs w:val="20"/>
          <w:color w:val="auto"/>
        </w:rPr>
      </w:pPr>
    </w:p>
    <w:p>
      <w:pPr>
        <w:jc w:val="both"/>
        <w:ind w:left="9620"/>
        <w:spacing w:after="0"/>
        <w:tabs>
          <w:tab w:leader="none" w:pos="107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Revenues</w:t>
      </w:r>
    </w:p>
    <w:p>
      <w:pPr>
        <w:sectPr>
          <w:pgSz w:w="11900" w:h="16838" w:orient="portrait"/>
          <w:cols w:equalWidth="0" w:num="1">
            <w:col w:w="11420"/>
          </w:cols>
          <w:pgMar w:left="240" w:top="126" w:right="239" w:bottom="1440"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Universal life and investment-type product policy fees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 investment gains (losses)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derivative gains (losses)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640" w:val="left"/>
          <w:tab w:leader="none" w:pos="1140" w:val="left"/>
          <w:tab w:leader="none" w:pos="17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229</w:t>
        <w:tab/>
        <w:t>$</w:t>
      </w:r>
      <w:r>
        <w:rPr>
          <w:sz w:val="20"/>
          <w:szCs w:val="20"/>
          <w:color w:val="auto"/>
        </w:rPr>
        <w:tab/>
      </w:r>
      <w:r>
        <w:rPr>
          <w:rFonts w:ascii="Arial" w:cs="Arial" w:eastAsia="Arial" w:hAnsi="Arial"/>
          <w:sz w:val="15"/>
          <w:szCs w:val="15"/>
          <w:color w:val="auto"/>
        </w:rPr>
        <w:t>176</w:t>
      </w:r>
    </w:p>
    <w:p>
      <w:pPr>
        <w:spacing w:after="0" w:line="86" w:lineRule="exact"/>
        <w:rPr>
          <w:sz w:val="20"/>
          <w:szCs w:val="20"/>
          <w:color w:val="auto"/>
        </w:rPr>
      </w:pPr>
    </w:p>
    <w:p>
      <w:pPr>
        <w:ind w:left="540"/>
        <w:spacing w:after="0"/>
        <w:tabs>
          <w:tab w:leader="none" w:pos="1760" w:val="left"/>
        </w:tabs>
        <w:rPr>
          <w:sz w:val="20"/>
          <w:szCs w:val="20"/>
          <w:color w:val="auto"/>
        </w:rPr>
      </w:pPr>
      <w:r>
        <w:rPr>
          <w:rFonts w:ascii="Arial" w:cs="Arial" w:eastAsia="Arial" w:hAnsi="Arial"/>
          <w:sz w:val="16"/>
          <w:szCs w:val="16"/>
          <w:color w:val="auto"/>
        </w:rPr>
        <w:t>1,002</w:t>
      </w:r>
      <w:r>
        <w:rPr>
          <w:sz w:val="20"/>
          <w:szCs w:val="20"/>
          <w:color w:val="auto"/>
        </w:rPr>
        <w:tab/>
      </w:r>
      <w:r>
        <w:rPr>
          <w:rFonts w:ascii="Arial" w:cs="Arial" w:eastAsia="Arial" w:hAnsi="Arial"/>
          <w:sz w:val="16"/>
          <w:szCs w:val="16"/>
          <w:color w:val="auto"/>
        </w:rPr>
        <w:t>953</w:t>
      </w:r>
    </w:p>
    <w:p>
      <w:pPr>
        <w:spacing w:after="0" w:line="7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6"/>
          <w:szCs w:val="16"/>
          <w:color w:val="auto"/>
        </w:rPr>
        <w:t>817</w:t>
      </w:r>
      <w:r>
        <w:rPr>
          <w:sz w:val="20"/>
          <w:szCs w:val="20"/>
          <w:color w:val="auto"/>
        </w:rPr>
        <w:tab/>
      </w:r>
      <w:r>
        <w:rPr>
          <w:rFonts w:ascii="Arial" w:cs="Arial" w:eastAsia="Arial" w:hAnsi="Arial"/>
          <w:sz w:val="16"/>
          <w:szCs w:val="16"/>
          <w:color w:val="auto"/>
        </w:rPr>
        <w:t>782</w:t>
      </w:r>
    </w:p>
    <w:p>
      <w:pPr>
        <w:spacing w:after="0" w:line="100" w:lineRule="exact"/>
        <w:rPr>
          <w:sz w:val="20"/>
          <w:szCs w:val="20"/>
          <w:color w:val="auto"/>
        </w:rPr>
      </w:pPr>
    </w:p>
    <w:p>
      <w:pPr>
        <w:ind w:left="1860" w:hanging="1192"/>
        <w:spacing w:after="0"/>
        <w:tabs>
          <w:tab w:leader="none" w:pos="1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74</w:t>
      </w:r>
    </w:p>
    <w:p>
      <w:pPr>
        <w:spacing w:after="0" w:line="356" w:lineRule="exact"/>
        <w:rPr>
          <w:rFonts w:ascii="Arial" w:cs="Arial" w:eastAsia="Arial" w:hAnsi="Arial"/>
          <w:sz w:val="16"/>
          <w:szCs w:val="16"/>
          <w:color w:val="auto"/>
        </w:rPr>
      </w:pPr>
    </w:p>
    <w:p>
      <w:pPr>
        <w:ind w:left="1820" w:hanging="1044"/>
        <w:spacing w:after="0"/>
        <w:tabs>
          <w:tab w:leader="none" w:pos="1820" w:val="left"/>
        </w:tabs>
        <w:numPr>
          <w:ilvl w:val="1"/>
          <w:numId w:val="2"/>
        </w:numPr>
        <w:rPr>
          <w:rFonts w:ascii="Arial" w:cs="Arial" w:eastAsia="Arial" w:hAnsi="Arial"/>
          <w:sz w:val="14"/>
          <w:szCs w:val="14"/>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49530</wp:posOffset>
            </wp:positionV>
            <wp:extent cx="1372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1820" w:hanging="1044"/>
        <w:spacing w:after="0"/>
        <w:tabs>
          <w:tab w:leader="none" w:pos="1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(55)</w:t>
      </w:r>
    </w:p>
    <w:p>
      <w:pPr>
        <w:spacing w:after="0" w:line="109" w:lineRule="exact"/>
        <w:rPr>
          <w:sz w:val="20"/>
          <w:szCs w:val="20"/>
          <w:color w:val="auto"/>
        </w:rPr>
      </w:pPr>
    </w:p>
    <w:p>
      <w:pPr>
        <w:ind w:left="1740" w:hanging="1126"/>
        <w:spacing w:after="0"/>
        <w:tabs>
          <w:tab w:leader="none" w:pos="1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(965)</w:t>
      </w:r>
    </w:p>
    <w:p>
      <w:pPr>
        <w:spacing w:after="0" w:line="10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6"/>
          <w:szCs w:val="16"/>
          <w:color w:val="auto"/>
        </w:rPr>
        <w:t>1,815</w:t>
      </w:r>
      <w:r>
        <w:rPr>
          <w:rFonts w:ascii="Arial" w:cs="Arial" w:eastAsia="Arial" w:hAnsi="Arial"/>
          <w:sz w:val="15"/>
          <w:szCs w:val="15"/>
          <w:color w:val="auto"/>
        </w:rPr>
        <w:t>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-135890</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8560" w:space="720"/>
            <w:col w:w="214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926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34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3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7"/>
        </w:trPr>
        <w:tc>
          <w:tcPr>
            <w:tcW w:w="926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3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income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6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26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73"/>
        </w:trPr>
        <w:tc>
          <w:tcPr>
            <w:tcW w:w="9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Interim Condensed Consolidated and Combined Statements of Equity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Three Months Ended March 31, 2018 and 2017 (Unaudited)</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Brighthouse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5"/>
        </w:trPr>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Shareholder’s Net</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12,432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14,515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14,580</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Cumulative effect of change in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accounting principle, net of</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income tax (Note 1)</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2018</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12,432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1,661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14,535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Change in noncontrolling interests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net of income tax</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33"/>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2018</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13,608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13,673</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55"/>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Brighthouse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Shareholder’s Net</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13,597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14,862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14,862</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Change in net investment</w:t>
            </w:r>
          </w:p>
        </w:tc>
        <w:tc>
          <w:tcPr>
            <w:tcW w:w="20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362</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net of income tax</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2017</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13,610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1,506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15,116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15,116</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Interim Condensed Consolidated and Combined Statements of Cash Flows</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 the Three Months Ended March 31, 2018 and 2017 (Unaudited)</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p>
      <w:pPr>
        <w:ind w:left="9520"/>
        <w:spacing w:after="0"/>
        <w:rPr>
          <w:sz w:val="20"/>
          <w:szCs w:val="20"/>
          <w:color w:val="auto"/>
        </w:rPr>
      </w:pPr>
      <w:r>
        <w:rPr>
          <w:rFonts w:ascii="Arial" w:cs="Arial" w:eastAsia="Arial" w:hAnsi="Arial"/>
          <w:sz w:val="13"/>
          <w:szCs w:val="13"/>
          <w:b w:val="1"/>
          <w:bCs w:val="1"/>
          <w:color w:val="auto"/>
        </w:rPr>
        <w:t>Three Months</w:t>
      </w:r>
    </w:p>
    <w:p>
      <w:pPr>
        <w:ind w:left="9700"/>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ind w:left="962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10795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85"/>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4,057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3,224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(3,804)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policy loans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other invested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Policyholder account balances: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1,516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Withdrawals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Long-term debt repaid</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from MetLife, Inc. in connection with shareholder's net investment</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to MetLife, Inc. in connection with shareholder's net investment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1,888</w:t>
            </w:r>
          </w:p>
        </w:tc>
        <w:tc>
          <w:tcPr>
            <w:tcW w:w="12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5,812</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cash paid (received) for: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Arial" w:cs="Arial" w:eastAsia="Arial" w:hAnsi="Arial"/>
                <w:sz w:val="14"/>
                <w:szCs w:val="14"/>
                <w:color w:val="auto"/>
              </w:rPr>
              <w:t>Income tax</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00"/>
        </w:trPr>
        <w:tc>
          <w:tcPr>
            <w:tcW w:w="83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Non-cash transactions:</w:t>
            </w: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Transfer of fixed maturity securities to former affiliates</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ectPr>
          <w:pgSz w:w="11900" w:h="16838" w:orient="portrait"/>
          <w:cols w:equalWidth="0" w:num="1">
            <w:col w:w="11420"/>
          </w:cols>
          <w:pgMar w:left="240" w:top="126"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440" w:gutter="0" w:footer="0" w:header="0"/>
          <w:type w:val="continuous"/>
        </w:sectPr>
      </w:pPr>
    </w:p>
    <w:bookmarkStart w:id="6" w:name="page7"/>
    <w:bookmarkEnd w:id="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7" w:lineRule="auto"/>
        <w:rPr>
          <w:sz w:val="20"/>
          <w:szCs w:val="20"/>
          <w:color w:val="auto"/>
        </w:rPr>
      </w:pPr>
      <w:r>
        <w:rPr>
          <w:rFonts w:ascii="Arial" w:cs="Arial" w:eastAsia="Arial" w:hAnsi="Arial"/>
          <w:sz w:val="18"/>
          <w:szCs w:val="18"/>
          <w:color w:val="auto"/>
        </w:rPr>
        <w:t>“Brighthouse” and the “Company” refer to Brighthouse Financial, Inc. and its subsidiaries. Brighthouse Financial, Inc. is a holding company formed to own the legal entities that historically operated a substantial portion of the former Retail segment of MetLife, Inc. (together with its subsidiaries and affiliates, “MetLife”). Brighthouse Financial, Inc. was incorporated in Delaware on August 1, 2016 in preparation for MetLife, Inc.’s separation of a substantial portion of its former Retail segment, as well as certain portions of its Corporate Benefit Funding segment (the “Separation”), which was completed on August 4, 2017.</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Separation, 80.8% of MetLife, Inc.’s interest in Brighthouse Financial, Inc. was distributed to holders of MetLife, Inc.’s common stock and MetLife, Inc. retained the remaining 19.2%. As a result, MetLife, Inc. and its subsidiaries are considered related parties.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offers a range of individual annuities and individual life insurance products. The Company reports results through three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Annuities, Life and Run-off. In addition, the Company reports certain of its results in Corporate &amp; Other.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and combined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financial statements presented in this quarterly report for periods on or after the Separation are presented on a consolidated basis and include the financial position, results of operations and cash flows of the Company. The accompanying interim condensed consolidated financial statements include the accounts of Brighthouse Financial, Inc. and its subsidiaries, as well as partnerships and joint ventures in which the Company has control, and variable interest entities (“VIEs”) for which the Company is the primary beneficiary. Intercompany accounts and transactions have been eliminated.</w:t>
      </w:r>
    </w:p>
    <w:p>
      <w:pPr>
        <w:spacing w:after="0" w:line="46"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the equity method of accounting for equity securities when it has significant influence or at least 20% interest and for real estate joint ventures and other limited partnership interests (“investee”)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Combination</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financial statements for the periods prior to the Separation are presented on a combined basis and reflect the historical combined results of operations and cash flows for the periods presented. The combined statement of operations reflects certain corporate expenses allocated to the Company by MetLife for certain corporate functions and for shared services provided by MetLife. These expenses have been allocated to the Company based on direct usage or benefit where specifically identifiable, with the remainder allocated based upon other reasonable allocation measures. The Company considers the expense methodology and results to be reasonable for all periods presented. See Note 11 for further information on expenses allocated by MetLife.</w:t>
      </w:r>
    </w:p>
    <w:p>
      <w:pPr>
        <w:spacing w:after="0" w:line="5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previously recorded affiliated transactions with certain MetLife subsidiaries which were not included in the combined financial statements of the Company.</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income tax amounts in these combined financial statements have been calculated based on a modified separate return methodology, with benefits for losses, and presented as if each company was a separate taxpayer in its respective jurisdiction.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left="180" w:right="20" w:firstLine="324"/>
        <w:spacing w:after="0" w:line="279" w:lineRule="auto"/>
        <w:rPr>
          <w:sz w:val="20"/>
          <w:szCs w:val="20"/>
          <w:color w:val="auto"/>
        </w:rPr>
      </w:pPr>
      <w:r>
        <w:rPr>
          <w:rFonts w:ascii="Arial" w:cs="Arial" w:eastAsia="Arial" w:hAnsi="Arial"/>
          <w:sz w:val="17"/>
          <w:szCs w:val="17"/>
          <w:color w:val="auto"/>
        </w:rPr>
        <w:t>The historical financial results in the combined financial statements presented may not be indicative of the results that would have been achieved by the Company had it operated as a separate, stand-alone entity during the periods presented. The combined financial statements presented do not reflect any changes that may occur in the Company’s financing and operations in connection with or as a result of the Separation. Management believes that the combined financial statements include all adjustments necessary for a fair presentation of the business.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Certain amounts in the prior year periods’ interim condensed consolidated and combined financial statements and related footnotes thereto have been reclassified to conform to the 2018 presentation as discussed throughout the Notes to the Interim Condensed Consolidated and Combined Financial Statements.</w:t>
      </w:r>
    </w:p>
    <w:p>
      <w:pPr>
        <w:spacing w:after="0" w:line="73"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The accompanying interim condensed consolidated and combined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2017 consolidated balance sheet data was derived from audited consolidated financial statements included in Brighthouse Financial, Inc.’s Annual Report on Form 10-K for the year ended December 31, 2017 (the “2017 Annual Report”), which include all disclosures required by GAAP. Therefore, these interim condensed consolidated and combined financial statements should be read in conjunction with the consolidated and combined financial statements of the Company included in the 2017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financial statements. The following table provides a description of new ASUs issued by the FASB and the expected impact of the adoption on the Company’s financial statements.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ASUs adopted as of March 31, 2018 are summarized in the table below.</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3120" w:type="dxa"/>
            <w:vAlign w:val="bottom"/>
            <w:tcBorders>
              <w:top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34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2016-01, Financial</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1"/>
              </w:rPr>
              <w:t>The new guidance changes the current accounting guidance related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1) reclassified net unrealized</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Overall:</w:t>
            </w:r>
          </w:p>
        </w:tc>
        <w:tc>
          <w:tcPr>
            <w:tcW w:w="3120" w:type="dxa"/>
            <w:vAlign w:val="bottom"/>
          </w:tcPr>
          <w:p>
            <w:pPr>
              <w:ind w:left="20"/>
              <w:spacing w:after="0"/>
              <w:rPr>
                <w:sz w:val="20"/>
                <w:szCs w:val="20"/>
                <w:color w:val="auto"/>
              </w:rPr>
            </w:pPr>
            <w:r>
              <w:rPr>
                <w:rFonts w:ascii="Arial" w:cs="Arial" w:eastAsia="Arial" w:hAnsi="Arial"/>
                <w:sz w:val="16"/>
                <w:szCs w:val="16"/>
                <w:color w:val="auto"/>
                <w:w w:val="99"/>
              </w:rPr>
              <w:t>to  (i)  the  classification  and  measurement</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of  certain  equity</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gains related to equity securities previously</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Recognition and Measurement</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investments, (ii) the presentation of changes in the fair value of</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classified as available-for-sale from</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 Financial Assets and</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financial liabilities measured under the fair value option (“FVO”)</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accumulated other comprehensive income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Financial Liabilities</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that are due to instrument-specific credit risk, and (iii) certain</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(“AOCI”) to retained earnings and 2)</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disclosures associated with the fair value of financial instruments.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increased the carrying value of equity</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Additionally, there will no longer be a requirement to assess equity</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investments previously accounted for under</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securities for impairment since such securities will be measured at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cost method to estimated fair value. The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fair value through net income.</w:t>
            </w: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cumulative effect of the adoption is a net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increase to retained earnings of $38 million</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a net decrease of $15 million to AOCI,</w:t>
            </w: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after taxes.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2014-09, Revenue from</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For those contracts that are impacted, the guidance will require an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adoption did not have an impact on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Contracts with Customers</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entity to recognize revenue upon the transfer of promised goods 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Company’s financial statements other than</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606)</w:t>
            </w: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4"/>
              </w:rPr>
              <w:t>services to customers in an amount that reflects the consideration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expanded disclosures in Note 8.</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to which the entity expects to be entitled, in exchange for those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goods or services.</w:t>
            </w:r>
          </w:p>
        </w:tc>
        <w:tc>
          <w:tcPr>
            <w:tcW w:w="1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34" w:right="2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ind w:left="340" w:right="4200" w:hanging="332"/>
        <w:spacing w:after="0" w:line="726" w:lineRule="auto"/>
        <w:tabs>
          <w:tab w:leader="none" w:pos="196"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Basis of Presentation and Summary of Significant Accounting Policies (continued) </w:t>
      </w:r>
      <w:r>
        <w:rPr>
          <w:rFonts w:ascii="Arial" w:cs="Arial" w:eastAsia="Arial" w:hAnsi="Arial"/>
          <w:sz w:val="15"/>
          <w:szCs w:val="15"/>
          <w:color w:val="auto"/>
        </w:rPr>
        <w:t>ASUs issued but not yet adopted as of March 31, 2018 are summarized in the table below.</w:t>
      </w:r>
    </w:p>
    <w:tbl>
      <w:tblPr>
        <w:tblLayout w:type="fixed"/>
        <w:tblInd w:w="10" w:type="dxa"/>
        <w:tblCellMar>
          <w:top w:w="0" w:type="dxa"/>
          <w:left w:w="0" w:type="dxa"/>
          <w:bottom w:w="0" w:type="dxa"/>
          <w:right w:w="0" w:type="dxa"/>
        </w:tblCellMar>
      </w:tblPr>
      <w:tr>
        <w:trPr>
          <w:trHeight w:val="218"/>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6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ASU 2017-12, Derivatives and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The amendments to Topic 815 (i) refine and expand the criteria for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does not expect a material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Hedging (Topic 815): Targeted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achieving hedge accounting on certain hedging strategies, (ii)</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modified retrospective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on  its  financial  statements  from</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Improvements to Accounting</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require the earnings effect of the hedging instrument be presented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 (with early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of the new guidance.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for Hedging Activities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in the same line item in which the earnings effect of the hedged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item is reported, and (iii) eliminate the requirement to separately</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measure and report hedge ineffectiveness.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Credit Losses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statements, with the most significant impact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expected to be earlier recognition of credit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guidance also requires that an other-than- temporary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beginning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losses on mortgage loan investments.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(“OTTI”) on a debt security will be recognized as an allowance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going forward, such that improvements in expected future cash</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flows  after  an  impairment  will  no  longer  be  reflected  as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prospective yield adjustment through net investment income, but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rather  a  reversal  of  the  previous  impairment and  recognized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through realized investment gains and losses.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2016-02, Leases - Topic</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new guidance will require a lessee to recognize assets and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842</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liabilities for leases with lease terms of more than 12 months.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Leases would be classified as finance or operating leases and both</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statements, with the most significant impact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types of leases will be recognized on the balance sheet. Lessor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expected to be a gross-up of certain lease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accounting will remain largely unchanged from current guidance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assets and liabilities on the balance sheet.</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except for certain targeted changes. The amendments also require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qualitative and quantitative disclosures.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4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whole, universal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right="20"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right="2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long term care and workers compensation business reinsured through 100% quota share reinsurance agreements, and term life insurance sold direct to consumers, which is no longer being offered for new sales.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234" w:right="219" w:bottom="1440" w:gutter="0" w:footer="0" w:header="0"/>
        </w:sectPr>
      </w:pPr>
    </w:p>
    <w:bookmarkStart w:id="9" w:name="page10"/>
    <w:bookmarkEnd w:id="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Brighthouse Financial, Inc.’s common shareholders, and excludes net income (loss) attributable to noncontrolling interests.</w:t>
      </w:r>
    </w:p>
    <w:p>
      <w:pPr>
        <w:spacing w:after="0" w:line="8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Adjusted earnings, which may be positive or negative, focuses on the Company’s primary businesses principally by excluding the impact of market volatility, which could distort trends, as well as businesses that have been or will be sold or exited by the Company, referred to as divested businesses.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deferred policy acquisition cost (“DAC”) and value of business acquired (“VOBA”) related to: (i) net investment gains (losses), (ii) net derivative gains (losses), (iii) GMIB Fees and GMIB Costs and (iv) Market Value Adjustments.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are calculated net of the U.S. statutory tax rate, which could differ from the Company’s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in the tables below is certain financial information with respect to the Company’s segments, as well as Corporate &amp; Other, for the three months ended March 31, 2018 and 2017 and at March 31, 2018 and December 31, 2017. The segment accounting policies are the same as those used to prepare the Company’s condensed consolidated and combined financial statements, except for the adjustments to calculate adjusted earnings described above. In addition, segment accounting policies include the methods of capital allocation described below.</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the first quarter of 2018, the Company changed the methodology for how capital is allocated to segments and, in some cases, products (the “Portfolio Realignment”). Segment investment and capitalization targets are now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discussed in the 2017 Annual Report. For insurance businesses other than variable annuities, excess capital held is based on a percentage of required statutory risk based capital. Assets in excess of those allocated to the segments, if any, are held in Corporate &amp; Other. Segment net investment income reflects the performance of each segment’s respective invested assets.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Previously, invested assets held in the segments were based on net GAAP liabilities. Excess capital was retained in Corporate &amp; Other and allocated to segments based on an internally developed statistics based capital model intended to capture the material risks to which the Company was exposed (referred to as “allocated equity”). Surplus assets in excess of the combined allocations to the segments were held in Corporate &amp; Other with net investment income being credited back to the segments at a predetermined rate. Any excess or shortfall in net investment income from surplus assets was recognized in Corporate &amp; Other.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4" w:right="239" w:bottom="1440" w:gutter="0" w:footer="0" w:header="0"/>
        </w:sectPr>
      </w:pPr>
    </w:p>
    <w:bookmarkStart w:id="10" w:name="page11"/>
    <w:bookmarkEnd w:id="1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Portfolio Realignment had no effect on the Company’s consolidated net income (loss) or adjusted earnings, but it did impact segment results for the three months ended March 31, 2018. It was not practicable to determine the impact of the Portfolio Realignment to adjusted earnings in prior periods; however, the Company estimates that pre-tax adjusted earnings in the Life segment for the three months ended March 31, 2018 increased between $30 million and $35 million as a result of the change, with most of the offsetting impact in the Run-off segment. Impacts to the Annuities and Corporate &amp; Other segments would not have been significantly different under the previous allocation method.</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total assets recognized in the segments changed as a result of the Portfolio Realignment. Total assets (on a book value basis) in the Annuities and Life segments increased approximately $2 billion and approximately $5 billion, respectively, under the new allocation method. The Run-off and Corporate &amp; Other segments experienced decreases in total assets of approximately $3 billion and approximately $4 billion, respectively, as a result of the Portfolio Realignment.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Operating Results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6"/>
              </w:rPr>
              <w:t>Run-off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272</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color w:val="auto"/>
              </w:rPr>
              <w:t>Adjustments for:</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Net derivative gains (losses)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363</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Operating Results</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00" w:type="dxa"/>
            <w:vAlign w:val="bottom"/>
          </w:tcPr>
          <w:p>
            <w:pPr>
              <w:spacing w:after="0"/>
              <w:rPr>
                <w:sz w:val="13"/>
                <w:szCs w:val="1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Adjustments for: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Net derivative gains (losses)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adjustments to net income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34" w:right="239" w:bottom="1440" w:gutter="0" w:footer="0" w:header="0"/>
          <w:type w:val="continuous"/>
        </w:sectPr>
      </w:pPr>
    </w:p>
    <w:bookmarkStart w:id="11" w:name="page12"/>
    <w:bookmarkEnd w:id="1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27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w:t>
      </w:r>
    </w:p>
    <w:p>
      <w:pPr>
        <w:ind w:left="934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1220" w:type="dxa"/>
            <w:vAlign w:val="bottom"/>
            <w:tcBorders>
              <w:bottom w:val="single" w:sz="8" w:color="CCEEFF"/>
            </w:tcBorders>
            <w:shd w:val="clear" w:color="auto" w:fill="CCEEFF"/>
          </w:tcPr>
          <w:p>
            <w:pPr>
              <w:jc w:val="right"/>
              <w:ind w:right="10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Life</w:t>
            </w:r>
          </w:p>
        </w:tc>
        <w:tc>
          <w:tcPr>
            <w:tcW w:w="122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290</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122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r>
      <w:tr>
        <w:trPr>
          <w:trHeight w:val="217"/>
        </w:trPr>
        <w:tc>
          <w:tcPr>
            <w:tcW w:w="7660" w:type="dxa"/>
            <w:vAlign w:val="bottom"/>
          </w:tcPr>
          <w:p>
            <w:pPr>
              <w:ind w:left="200"/>
              <w:spacing w:after="0"/>
              <w:rPr>
                <w:sz w:val="20"/>
                <w:szCs w:val="20"/>
                <w:color w:val="auto"/>
              </w:rPr>
            </w:pPr>
            <w:r>
              <w:rPr>
                <w:rFonts w:ascii="Arial" w:cs="Arial" w:eastAsia="Arial" w:hAnsi="Arial"/>
                <w:sz w:val="16"/>
                <w:szCs w:val="16"/>
                <w:color w:val="auto"/>
              </w:rPr>
              <w:t>Total</w:t>
            </w:r>
          </w:p>
        </w:tc>
        <w:tc>
          <w:tcPr>
            <w:tcW w:w="1220" w:type="dxa"/>
            <w:vAlign w:val="bottom"/>
            <w:tcBorders>
              <w:top w:val="single" w:sz="8" w:color="auto"/>
            </w:tcBorders>
          </w:tcPr>
          <w:p>
            <w:pPr>
              <w:jc w:val="right"/>
              <w:ind w:right="1022"/>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1,815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965</w:t>
            </w:r>
          </w:p>
        </w:tc>
      </w:tr>
      <w:tr>
        <w:trPr>
          <w:trHeight w:val="33"/>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with respect to the Company’s segments, as well as Corporate &amp; Other, at: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0"/>
              </w:rPr>
              <w:t>December 31, 2017</w:t>
            </w:r>
          </w:p>
        </w:tc>
      </w:tr>
      <w:tr>
        <w:trPr>
          <w:trHeight w:val="196"/>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154,020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154,667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Life</w:t>
            </w:r>
          </w:p>
        </w:tc>
        <w:tc>
          <w:tcPr>
            <w:tcW w:w="280" w:type="dxa"/>
            <w:vAlign w:val="bottom"/>
          </w:tcPr>
          <w:p>
            <w:pPr>
              <w:spacing w:after="0"/>
              <w:rPr>
                <w:sz w:val="20"/>
                <w:szCs w:val="20"/>
                <w:color w:val="auto"/>
              </w:rPr>
            </w:pPr>
          </w:p>
        </w:tc>
        <w:tc>
          <w:tcPr>
            <w:tcW w:w="1560" w:type="dxa"/>
            <w:vAlign w:val="bottom"/>
          </w:tcPr>
          <w:p>
            <w:pPr>
              <w:jc w:val="right"/>
              <w:ind w:right="22"/>
              <w:spacing w:after="0"/>
              <w:rPr>
                <w:sz w:val="20"/>
                <w:szCs w:val="20"/>
                <w:color w:val="auto"/>
              </w:rPr>
            </w:pPr>
            <w:r>
              <w:rPr>
                <w:rFonts w:ascii="Arial" w:cs="Arial" w:eastAsia="Arial" w:hAnsi="Arial"/>
                <w:sz w:val="16"/>
                <w:szCs w:val="16"/>
                <w:color w:val="auto"/>
              </w:rPr>
              <w:t>21,295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18,049</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36,824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280" w:type="dxa"/>
            <w:vAlign w:val="bottom"/>
          </w:tcPr>
          <w:p>
            <w:pPr>
              <w:spacing w:after="0"/>
              <w:rPr>
                <w:sz w:val="20"/>
                <w:szCs w:val="20"/>
                <w:color w:val="auto"/>
              </w:rPr>
            </w:pPr>
          </w:p>
        </w:tc>
        <w:tc>
          <w:tcPr>
            <w:tcW w:w="1560" w:type="dxa"/>
            <w:vAlign w:val="bottom"/>
          </w:tcPr>
          <w:p>
            <w:pPr>
              <w:jc w:val="right"/>
              <w:ind w:right="22"/>
              <w:spacing w:after="0"/>
              <w:rPr>
                <w:sz w:val="20"/>
                <w:szCs w:val="20"/>
                <w:color w:val="auto"/>
              </w:rPr>
            </w:pPr>
            <w:r>
              <w:rPr>
                <w:rFonts w:ascii="Arial" w:cs="Arial" w:eastAsia="Arial" w:hAnsi="Arial"/>
                <w:sz w:val="16"/>
                <w:szCs w:val="16"/>
                <w:color w:val="auto"/>
              </w:rPr>
              <w:t>9,654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14,652</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218,997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224,192</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3 of the Notes to the Consolidated and Combined Financial Statements included in the 2017 Annual Report, the Company issues variable annuity products with guaranteed minimum benefits. Guaranteed minimum accumulation benefits (“GMABs”), the non-life contingent portion of guaranteed minimum withdrawal benefits (“GMWBs”) and the portion of certain GMIBs that do not require annuitization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issues universal and variable life contracts where the Company contractually guarantees to the contract holder a secondary guarantee.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43"/>
              <w:spacing w:after="0"/>
              <w:rPr>
                <w:sz w:val="20"/>
                <w:szCs w:val="20"/>
                <w:color w:val="auto"/>
              </w:rPr>
            </w:pPr>
            <w:r>
              <w:rPr>
                <w:rFonts w:ascii="Arial" w:cs="Arial" w:eastAsia="Arial" w:hAnsi="Arial"/>
                <w:sz w:val="14"/>
                <w:szCs w:val="14"/>
                <w:b w:val="1"/>
                <w:bCs w:val="1"/>
                <w:color w:val="auto"/>
              </w:rPr>
              <w:t>March 31, 2018</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Pr>
          <w:p>
            <w:pPr>
              <w:spacing w:after="0"/>
              <w:rPr>
                <w:sz w:val="16"/>
                <w:szCs w:val="16"/>
                <w:color w:val="auto"/>
              </w:rPr>
            </w:pPr>
          </w:p>
        </w:tc>
      </w:tr>
      <w:tr>
        <w:trPr>
          <w:trHeight w:val="152"/>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2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0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7"/>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9"/>
              </w:rPr>
              <w:t>Annuitization</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Annuitization</w:t>
            </w:r>
          </w:p>
        </w:tc>
        <w:tc>
          <w:tcPr>
            <w:tcW w:w="34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111,311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64,672</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115,147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67,110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106,011</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63,369</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109,792</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65,782</w:t>
            </w: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6,256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2,852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5,261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2,642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Average attained age of contract 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4" w:right="239" w:bottom="1440" w:gutter="0" w:footer="0" w:header="0"/>
        </w:sectPr>
      </w:pPr>
    </w:p>
    <w:bookmarkStart w:id="12" w:name="page13"/>
    <w:bookmarkEnd w:id="1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March 31, 2018</w:t>
            </w: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3"/>
          </w:tcPr>
          <w:p>
            <w:pPr>
              <w:jc w:val="right"/>
              <w:ind w:right="1260"/>
              <w:spacing w:after="0"/>
              <w:rPr>
                <w:sz w:val="20"/>
                <w:szCs w:val="20"/>
                <w:color w:val="auto"/>
              </w:rPr>
            </w:pPr>
            <w:r>
              <w:rPr>
                <w:rFonts w:ascii="Arial" w:cs="Arial" w:eastAsia="Arial" w:hAnsi="Arial"/>
                <w:sz w:val="14"/>
                <w:szCs w:val="14"/>
                <w:b w:val="1"/>
                <w:bCs w:val="1"/>
                <w:color w:val="auto"/>
              </w:rPr>
              <w:t>Secondary Guarantees</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3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42"/>
              <w:spacing w:after="0"/>
              <w:rPr>
                <w:sz w:val="20"/>
                <w:szCs w:val="20"/>
                <w:color w:val="auto"/>
              </w:rPr>
            </w:pPr>
            <w:r>
              <w:rPr>
                <w:rFonts w:ascii="Arial" w:cs="Arial" w:eastAsia="Arial" w:hAnsi="Arial"/>
                <w:sz w:val="16"/>
                <w:szCs w:val="16"/>
                <w:color w:val="auto"/>
              </w:rPr>
              <w:t>6,187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6,244</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74,755</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75,304</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300" w:type="dxa"/>
            <w:vAlign w:val="bottom"/>
          </w:tcPr>
          <w:p>
            <w:pPr>
              <w:spacing w:after="0"/>
              <w:rPr>
                <w:sz w:val="20"/>
                <w:szCs w:val="20"/>
                <w:color w:val="auto"/>
              </w:rPr>
            </w:pPr>
          </w:p>
        </w:tc>
        <w:tc>
          <w:tcPr>
            <w:tcW w:w="1660" w:type="dxa"/>
            <w:vAlign w:val="bottom"/>
          </w:tcPr>
          <w:p>
            <w:pPr>
              <w:jc w:val="right"/>
              <w:ind w:right="42"/>
              <w:spacing w:after="0"/>
              <w:rPr>
                <w:sz w:val="20"/>
                <w:szCs w:val="20"/>
                <w:color w:val="auto"/>
              </w:rPr>
            </w:pPr>
            <w:r>
              <w:rPr>
                <w:rFonts w:ascii="Arial" w:cs="Arial" w:eastAsia="Arial" w:hAnsi="Arial"/>
                <w:sz w:val="16"/>
                <w:szCs w:val="16"/>
                <w:color w:val="auto"/>
              </w:rPr>
              <w:t>64 years</w:t>
            </w:r>
          </w:p>
        </w:tc>
        <w:tc>
          <w:tcPr>
            <w:tcW w:w="380" w:type="dxa"/>
            <w:vAlign w:val="bottom"/>
          </w:tcPr>
          <w:p>
            <w:pPr>
              <w:spacing w:after="0"/>
              <w:rPr>
                <w:sz w:val="20"/>
                <w:szCs w:val="20"/>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64 years</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3,387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3,379</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42"/>
              <w:spacing w:after="0"/>
              <w:rPr>
                <w:sz w:val="20"/>
                <w:szCs w:val="20"/>
                <w:color w:val="auto"/>
              </w:rPr>
            </w:pPr>
            <w:r>
              <w:rPr>
                <w:rFonts w:ascii="Arial" w:cs="Arial" w:eastAsia="Arial" w:hAnsi="Arial"/>
                <w:sz w:val="16"/>
                <w:szCs w:val="16"/>
                <w:color w:val="auto"/>
              </w:rPr>
              <w:t>24,327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24,546</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 years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 years</w:t>
            </w: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__________________</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and Combined Financial Statements included in the 2017 Annual Report for a discussion of guaranteed minimum benefits which have been reinsured.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3"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6"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8"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information about the fair value hierarchy for investments and the related valuation methodologies.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 (“AFS”)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fixed maturity securities AFS by sector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March 31, 2018</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December 31, 2017</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3"/>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0"/>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22,187</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1,346</w:t>
            </w:r>
          </w:p>
        </w:tc>
        <w:tc>
          <w:tcPr>
            <w:tcW w:w="1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23,252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21,190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1,859</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22,957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12,719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13,958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16,292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7,817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7,915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7,749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6,717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6,916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3,840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1,810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60,029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63,178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60,173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5,180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Noncredit OTTI losses included in AOCI in an unrealized gain position are due to increases in estimated fair value subsequent to initial recognition of noncredit losses on such securities. See also “— Net Unrealized Investment Gains (Losses).”</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Redeemable preferred stock is reported within U.S. corporate and foreign corporate fixed maturity securities. Included within fixed maturity securities are structured securities including residential mortgage-backed securities (“RMBS”), commercial mortgage-backed securities (“CMBS”) and asset-backed securities (“ABS”) (collectively, “Structured Securities”).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$4 million and $4 million with unrealized gains (losses) of less than ($1) million and ($2) million at March 31,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and estimated fair value of fixed maturity securities, by contractual maturity date, were as follows at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Due in One</w:t>
            </w:r>
          </w:p>
        </w:tc>
        <w:tc>
          <w:tcPr>
            <w:tcW w:w="260" w:type="dxa"/>
            <w:vAlign w:val="bottom"/>
          </w:tcPr>
          <w:p>
            <w:pPr>
              <w:spacing w:after="0"/>
              <w:rPr>
                <w:sz w:val="14"/>
                <w:szCs w:val="14"/>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Due After One</w:t>
            </w:r>
          </w:p>
        </w:tc>
        <w:tc>
          <w:tcPr>
            <w:tcW w:w="24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6"/>
              </w:rPr>
              <w:t>Due After Five</w:t>
            </w:r>
          </w:p>
        </w:tc>
        <w:tc>
          <w:tcPr>
            <w:tcW w:w="20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Structured</w:t>
            </w:r>
          </w:p>
        </w:tc>
        <w:tc>
          <w:tcPr>
            <w:tcW w:w="28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Year Through</w:t>
            </w:r>
          </w:p>
        </w:tc>
        <w:tc>
          <w:tcPr>
            <w:tcW w:w="240" w:type="dxa"/>
            <w:vAlign w:val="bottom"/>
          </w:tcPr>
          <w:p>
            <w:pPr>
              <w:spacing w:after="0"/>
              <w:rPr>
                <w:sz w:val="12"/>
                <w:szCs w:val="12"/>
                <w:color w:val="auto"/>
              </w:rPr>
            </w:pPr>
          </w:p>
        </w:tc>
        <w:tc>
          <w:tcPr>
            <w:tcW w:w="1160" w:type="dxa"/>
            <w:vAlign w:val="bottom"/>
          </w:tcPr>
          <w:p>
            <w:pPr>
              <w:jc w:val="right"/>
              <w:ind w:right="424"/>
              <w:spacing w:after="0" w:line="149"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7"/>
              </w:rPr>
              <w:t>Year or Less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Five Years</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Through Ten Years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Securities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3"/>
          </w:tcPr>
          <w:p>
            <w:pPr>
              <w:jc w:val="right"/>
              <w:ind w:right="90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9,007</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11,976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23,686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13,582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60,029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1,781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9,251</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12,039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26,450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13,657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63,178</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34"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AFS by Sector</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securities AFS in an unrealized loss position, aggregated by sector and by length of time that the securities have been in a continuous unrealized loss position at: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3"/>
                <w:szCs w:val="13"/>
                <w:b w:val="1"/>
                <w:bCs w:val="1"/>
                <w:color w:val="auto"/>
              </w:rPr>
              <w:t>March 31, 2018</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3"/>
                <w:szCs w:val="13"/>
                <w:b w:val="1"/>
                <w:bCs w:val="1"/>
                <w:color w:val="auto"/>
              </w:rPr>
              <w:t>December 31, 2017</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22"/>
                <w:szCs w:val="22"/>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2"/>
              </w:rPr>
              <w:t>Equal to or Greater than 12 Months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22"/>
                <w:szCs w:val="22"/>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1"/>
              </w:rPr>
              <w:t>Equal to or Greater than 12 Months</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78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86"/>
              </w:rPr>
              <w:t>Estimated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84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760" w:type="dxa"/>
            <w:vAlign w:val="bottom"/>
          </w:tcPr>
          <w:p>
            <w:pPr>
              <w:jc w:val="center"/>
              <w:ind w:right="7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8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4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6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4"/>
          </w:tcPr>
          <w:p>
            <w:pPr>
              <w:jc w:val="right"/>
              <w:ind w:right="471"/>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6,976</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1,318</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1,783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1,451</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4,169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1,351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4,962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RMBS</w:t>
            </w:r>
          </w:p>
        </w:tc>
        <w:tc>
          <w:tcPr>
            <w:tcW w:w="16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3,280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1,201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2,420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362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ABS</w:t>
            </w:r>
          </w:p>
        </w:tc>
        <w:tc>
          <w:tcPr>
            <w:tcW w:w="16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74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19,801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4,952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10,863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5,543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16"/>
        </w:trPr>
        <w:tc>
          <w:tcPr>
            <w:tcW w:w="2740" w:type="dxa"/>
            <w:vAlign w:val="bottom"/>
            <w:tcBorders>
              <w:top w:val="single" w:sz="8" w:color="CCEEFF"/>
            </w:tcBorders>
            <w:shd w:val="clear" w:color="auto" w:fill="CCEEFF"/>
          </w:tcPr>
          <w:p>
            <w:pPr>
              <w:ind w:left="40"/>
              <w:spacing w:after="0" w:line="116" w:lineRule="exact"/>
              <w:rPr>
                <w:sz w:val="20"/>
                <w:szCs w:val="20"/>
                <w:color w:val="auto"/>
              </w:rPr>
            </w:pPr>
            <w:r>
              <w:rPr>
                <w:rFonts w:ascii="Arial" w:cs="Arial" w:eastAsia="Arial" w:hAnsi="Arial"/>
                <w:sz w:val="13"/>
                <w:szCs w:val="13"/>
                <w:color w:val="auto"/>
              </w:rPr>
              <w:t>Total number of securities in an unrealized</w:t>
            </w: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2,125</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602</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638</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loss position</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85" w:lineRule="auto"/>
        <w:rPr>
          <w:sz w:val="20"/>
          <w:szCs w:val="20"/>
          <w:color w:val="auto"/>
        </w:rPr>
      </w:pPr>
      <w:r>
        <w:rPr>
          <w:rFonts w:ascii="Arial" w:cs="Arial" w:eastAsia="Arial" w:hAnsi="Arial"/>
          <w:sz w:val="16"/>
          <w:szCs w:val="16"/>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w:t>
      </w:r>
    </w:p>
    <w:p>
      <w:pPr>
        <w:spacing w:after="0" w:line="2" w:lineRule="exact"/>
        <w:rPr>
          <w:sz w:val="20"/>
          <w:szCs w:val="20"/>
          <w:color w:val="auto"/>
        </w:rPr>
      </w:pPr>
    </w:p>
    <w:p>
      <w:pPr>
        <w:jc w:val="both"/>
        <w:ind w:left="340" w:hanging="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impairments in certain economically depressed geographic locations; (v) the potential for impairments where the issuer, series of issuers or industry has suffered a catastrophic loss or has exhausted natural resources; (vi)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March 31, 2018.</w:t>
      </w:r>
    </w:p>
    <w:p>
      <w:pPr>
        <w:spacing w:after="0" w:line="5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Gross unrealized losses on fixed maturity securities increased $481 million during the three months ended March 31, 2018 to $843 million. The increase in gross unrealized losses for the three months ended March 31, 2018 was primarily attributable to increasing longer-term interest rates.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34"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At March 31, 2018, $5 million of the total $843 million of gross unrealized losses were from nine fixed maturity securities with an unrealized loss position of 20% or more of amortized cost for six months or greater.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8"/>
              </w:rPr>
              <w:t>March 31, 2018</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tcPr>
          <w:p>
            <w:pPr>
              <w:jc w:val="center"/>
              <w:ind w:right="780"/>
              <w:spacing w:after="0" w:line="153" w:lineRule="exact"/>
              <w:rPr>
                <w:sz w:val="20"/>
                <w:szCs w:val="20"/>
                <w:color w:val="auto"/>
              </w:rPr>
            </w:pPr>
            <w:r>
              <w:rPr>
                <w:rFonts w:ascii="Arial" w:cs="Arial" w:eastAsia="Arial" w:hAnsi="Arial"/>
                <w:sz w:val="14"/>
                <w:szCs w:val="14"/>
                <w:b w:val="1"/>
                <w:bCs w:val="1"/>
                <w:color w:val="auto"/>
              </w:rPr>
              <w:t>Carrying</w:t>
            </w:r>
          </w:p>
        </w:tc>
        <w:tc>
          <w:tcPr>
            <w:tcW w:w="9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22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7,629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67.5 %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7,260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67.5 %</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10,674</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Valuation allowances (2)</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mortgage loans, net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11,203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10,627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 mortgage loans held by CSEs — FVO</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right="2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$86 million and $420 million at March 31, 2018 and December 31, 2017, respectively, and were primarily comprised of residential mortgage loans.</w:t>
      </w:r>
    </w:p>
    <w:p>
      <w:pPr>
        <w:spacing w:after="0" w:line="62" w:lineRule="exact"/>
        <w:rPr>
          <w:rFonts w:ascii="Arial" w:cs="Arial" w:eastAsia="Arial" w:hAnsi="Arial"/>
          <w:sz w:val="18"/>
          <w:szCs w:val="18"/>
          <w:color w:val="auto"/>
        </w:rPr>
      </w:pPr>
    </w:p>
    <w:p>
      <w:pPr>
        <w:ind w:left="500" w:right="3920" w:hanging="492"/>
        <w:spacing w:after="0" w:line="42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valuation allowances were primarily from collective evaluation (non-specific loan related). See “— Variable Interest Entities” for discussion of consolidated securitization entities (“CSEs”).</w:t>
      </w:r>
    </w:p>
    <w:p>
      <w:pPr>
        <w:spacing w:after="0" w:line="1"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Information on commercial, agricultural and residential mortgage loans is presented in the tables below. Information on residential — FVO and commercial mortgage loans held by CSEs — FVO is presented in Note 6. The Company elects the FVO for certain mortgage loans and related long-term debt that are managed on a total return basis.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Valuation Allowance Methodology</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6"/>
          <w:szCs w:val="16"/>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2" w:lineRule="exact"/>
        <w:rPr>
          <w:sz w:val="20"/>
          <w:szCs w:val="20"/>
          <w:color w:val="auto"/>
        </w:rPr>
      </w:pPr>
    </w:p>
    <w:p>
      <w:pPr>
        <w:jc w:val="both"/>
        <w:ind w:left="180" w:hanging="10"/>
        <w:spacing w:after="0" w:line="290" w:lineRule="auto"/>
        <w:tabs>
          <w:tab w:leader="none" w:pos="50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commercial mortgage loans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1"/>
              <w:spacing w:after="0"/>
              <w:rPr>
                <w:sz w:val="20"/>
                <w:szCs w:val="20"/>
                <w:color w:val="auto"/>
              </w:rPr>
            </w:pPr>
            <w:r>
              <w:rPr>
                <w:rFonts w:ascii="Arial" w:cs="Arial" w:eastAsia="Arial" w:hAnsi="Arial"/>
                <w:sz w:val="14"/>
                <w:szCs w:val="14"/>
                <w:b w:val="1"/>
                <w:bCs w:val="1"/>
                <w:color w:val="auto"/>
                <w:w w:val="91"/>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rPr>
              <w:t>Fair</w:t>
            </w:r>
          </w:p>
        </w:tc>
        <w:tc>
          <w:tcPr>
            <w:tcW w:w="840" w:type="dxa"/>
            <w:vAlign w:val="bottom"/>
            <w:vMerge w:val="restart"/>
          </w:tcPr>
          <w:p>
            <w:pPr>
              <w:jc w:val="right"/>
              <w:ind w:right="181"/>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6,995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34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7,255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7,629</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7,687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3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6,194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6,520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6,681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Greater than 80%</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334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6,878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7,260</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7,419</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agricultural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6"/>
              </w:rPr>
              <w:t>March 31, 2018</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3"/>
          </w:tcPr>
          <w:p>
            <w:pPr>
              <w:jc w:val="center"/>
              <w:ind w:right="820"/>
              <w:spacing w:after="0" w:line="153" w:lineRule="exact"/>
              <w:rPr>
                <w:sz w:val="20"/>
                <w:szCs w:val="20"/>
                <w:color w:val="auto"/>
              </w:rPr>
            </w:pPr>
            <w:r>
              <w:rPr>
                <w:rFonts w:ascii="Arial" w:cs="Arial" w:eastAsia="Arial" w:hAnsi="Arial"/>
                <w:sz w:val="14"/>
                <w:szCs w:val="14"/>
                <w:b w:val="1"/>
                <w:bCs w:val="1"/>
                <w:color w:val="auto"/>
                <w:w w:val="92"/>
              </w:rPr>
              <w:t>Recorded</w:t>
            </w: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820"/>
              <w:spacing w:after="0"/>
              <w:rPr>
                <w:sz w:val="20"/>
                <w:szCs w:val="20"/>
                <w:color w:val="auto"/>
              </w:rPr>
            </w:pPr>
            <w:r>
              <w:rPr>
                <w:rFonts w:ascii="Arial" w:cs="Arial" w:eastAsia="Arial" w:hAnsi="Arial"/>
                <w:sz w:val="14"/>
                <w:szCs w:val="14"/>
                <w:b w:val="1"/>
                <w:bCs w:val="1"/>
                <w:color w:val="auto"/>
                <w:w w:val="91"/>
              </w:rPr>
              <w:t>Investment</w:t>
            </w: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8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7.2</w:t>
            </w:r>
          </w:p>
        </w:tc>
      </w:tr>
      <w:tr>
        <w:trPr>
          <w:trHeight w:val="217"/>
        </w:trPr>
        <w:tc>
          <w:tcPr>
            <w:tcW w:w="558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estimated fair value of agricultural mortgage loans was $2.4 billion and $2.3 billion at March 31, 2018 and December 31, 2017,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residential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6"/>
              </w:rPr>
              <w:t>March 31, 2018</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3"/>
          </w:tcPr>
          <w:p>
            <w:pPr>
              <w:jc w:val="center"/>
              <w:ind w:right="820"/>
              <w:spacing w:after="0" w:line="153" w:lineRule="exact"/>
              <w:rPr>
                <w:sz w:val="20"/>
                <w:szCs w:val="20"/>
                <w:color w:val="auto"/>
              </w:rPr>
            </w:pPr>
            <w:r>
              <w:rPr>
                <w:rFonts w:ascii="Arial" w:cs="Arial" w:eastAsia="Arial" w:hAnsi="Arial"/>
                <w:sz w:val="14"/>
                <w:szCs w:val="14"/>
                <w:b w:val="1"/>
                <w:bCs w:val="1"/>
                <w:color w:val="auto"/>
                <w:w w:val="92"/>
              </w:rPr>
              <w:t>Recorded</w:t>
            </w: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820"/>
              <w:spacing w:after="0"/>
              <w:rPr>
                <w:sz w:val="20"/>
                <w:szCs w:val="20"/>
                <w:color w:val="auto"/>
              </w:rPr>
            </w:pPr>
            <w:r>
              <w:rPr>
                <w:rFonts w:ascii="Arial" w:cs="Arial" w:eastAsia="Arial" w:hAnsi="Arial"/>
                <w:sz w:val="14"/>
                <w:szCs w:val="14"/>
                <w:b w:val="1"/>
                <w:bCs w:val="1"/>
                <w:color w:val="auto"/>
                <w:w w:val="91"/>
              </w:rPr>
              <w:t>Investment</w:t>
            </w: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8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2.8</w:t>
            </w:r>
          </w:p>
        </w:tc>
      </w:tr>
      <w:tr>
        <w:trPr>
          <w:trHeight w:val="217"/>
        </w:trPr>
        <w:tc>
          <w:tcPr>
            <w:tcW w:w="558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 of residential mortgage loans was $1.2 billion at both March 31, 2018 and December 31, 2017.</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Past Due, Nonaccrual and Modified Mortgage Loans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has a high quality, well performing mortgage loan portfolio, with over 99% of all mortgage loans classified as performing at both March 31, 2018 and December 31, 2017. The Company defines delinquency consistent with industry practice, when mortgage loans are past due as follows: commercial and residential mortgage loans — 60 days and agricultural mortgage loans — 90 days. The Company had no commercial or agricultural mortgage loans past due and no commercial or agricultural mortgage loans in nonaccrual status at either March 31, 2018 or December 31, 2017. The recorded investment of residential mortgage loans past due and in nonaccrual status was $26 million and $32 million at March 31, 2018 and December 31, 2017, respectively. During the three months ended March 31, 2018 and 2017, the Company did not have a significant amount of mortgage loans modified in a troubled debt restructuring.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 of cash equivalents, which includes securities and other investments with an original or remaining maturity of three months or less at the time of purchase, was $1.4 billion at both March 31, 2018 and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Unrealized investment gains (losses) on fixed maturity and equity securities and the effect on DAC, VOBA, deferred sales inducements (“DSI”) and future policy benefits, that would result from the realization of the unrealized gains (losses), are included in net unrealized investment gains (losses) in AOCI.</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with noncredit OTTI losses included in AOCI</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5,078</w:t>
            </w: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color w:val="auto"/>
              </w:rPr>
              <w:t>Amounts allocated from:</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60"/>
        </w:trPr>
        <w:tc>
          <w:tcPr>
            <w:tcW w:w="8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Subtotal</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investment gains (losses)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34" w:right="2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9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9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43"/>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Unrealized investment gains (losses) change due to cumulative effect, net of income tax (1)</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2018</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Fixed maturity securities on which noncredit OTTI losses have been recognized</w:t>
            </w:r>
          </w:p>
        </w:tc>
        <w:tc>
          <w:tcPr>
            <w:tcW w:w="320" w:type="dxa"/>
            <w:vAlign w:val="bottom"/>
          </w:tcPr>
          <w:p>
            <w:pPr>
              <w:spacing w:after="0"/>
              <w:rPr>
                <w:sz w:val="19"/>
                <w:szCs w:val="19"/>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during the period</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9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320" w:type="dxa"/>
            <w:vAlign w:val="bottom"/>
          </w:tcPr>
          <w:p>
            <w:pPr>
              <w:spacing w:after="0"/>
              <w:rPr>
                <w:sz w:val="19"/>
                <w:szCs w:val="19"/>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Balance, March 31, 2018</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73"/>
        </w:trPr>
        <w:tc>
          <w:tcPr>
            <w:tcW w:w="94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4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Change in net unrealized investment gains (losses)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620" w:right="3800" w:hanging="5612"/>
        <w:spacing w:after="0" w:line="872" w:lineRule="auto"/>
        <w:tabs>
          <w:tab w:leader="none" w:pos="4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1 for more information related to the cumulative effect of change in accounting principle. 18</w:t>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March 31, 2018 and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7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14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3,333</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3,085</w:t>
            </w:r>
          </w:p>
        </w:tc>
      </w:tr>
      <w:tr>
        <w:trPr>
          <w:trHeight w:val="33"/>
        </w:trPr>
        <w:tc>
          <w:tcPr>
            <w:tcW w:w="7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1460" w:type="dxa"/>
            <w:vAlign w:val="bottom"/>
            <w:tcBorders>
              <w:bottom w:val="single" w:sz="8" w:color="CCEEFF"/>
            </w:tcBorders>
            <w:shd w:val="clear" w:color="auto" w:fill="CCEEFF"/>
          </w:tcPr>
          <w:p>
            <w:pPr>
              <w:jc w:val="right"/>
              <w:ind w:right="128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3,766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3,777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3,791</w:t>
            </w:r>
          </w:p>
        </w:tc>
      </w:tr>
      <w:tr>
        <w:trPr>
          <w:trHeight w:val="33"/>
        </w:trPr>
        <w:tc>
          <w:tcPr>
            <w:tcW w:w="7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1460" w:type="dxa"/>
            <w:vAlign w:val="bottom"/>
            <w:tcBorders>
              <w:bottom w:val="single" w:sz="8" w:color="CCEEFF"/>
            </w:tcBorders>
            <w:shd w:val="clear" w:color="auto" w:fill="CCEEFF"/>
          </w:tcPr>
          <w:p>
            <w:pPr>
              <w:jc w:val="right"/>
              <w:ind w:right="128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3,787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3,823</w:t>
            </w: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__________________</w:t>
            </w: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consolidated and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March 31, 2018</w:t>
            </w: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2017</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264"/>
        </w:trPr>
        <w:tc>
          <w:tcPr>
            <w:tcW w:w="35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jc w:val="center"/>
              <w:ind w:right="8"/>
              <w:spacing w:after="0"/>
              <w:rPr>
                <w:sz w:val="20"/>
                <w:szCs w:val="20"/>
                <w:color w:val="auto"/>
              </w:rPr>
            </w:pPr>
            <w:r>
              <w:rPr>
                <w:rFonts w:ascii="Arial" w:cs="Arial" w:eastAsia="Arial" w:hAnsi="Arial"/>
                <w:sz w:val="13"/>
                <w:szCs w:val="13"/>
                <w:b w:val="1"/>
                <w:bCs w:val="1"/>
                <w:color w:val="auto"/>
                <w:w w:val="87"/>
              </w:rPr>
              <w:t>Remaining Tenor of Securities Lending Agreements</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6"/>
              </w:rPr>
              <w:t>Remaining Tenor of Securities Lending Agreements</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w w:val="93"/>
              </w:rPr>
              <w:t>1 Month or</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w w:val="90"/>
              </w:rPr>
              <w:t>1 Month or</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Open (1)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0"/>
              </w:rPr>
              <w:t>Less</w:t>
            </w: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1 to 6 Months</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87"/>
              </w:rPr>
              <w:t>Open (1)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0"/>
              </w:rPr>
              <w:t>Less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 to 6 Months</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Total</w:t>
            </w:r>
          </w:p>
        </w:tc>
      </w:tr>
      <w:tr>
        <w:trPr>
          <w:trHeight w:val="249"/>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8"/>
        </w:trPr>
        <w:tc>
          <w:tcPr>
            <w:tcW w:w="3540" w:type="dxa"/>
            <w:vAlign w:val="bottom"/>
            <w:shd w:val="clear" w:color="auto" w:fill="CCEEFF"/>
          </w:tcPr>
          <w:p>
            <w:pPr>
              <w:jc w:val="right"/>
              <w:ind w:right="1768"/>
              <w:spacing w:after="0"/>
              <w:rPr>
                <w:sz w:val="20"/>
                <w:szCs w:val="20"/>
                <w:color w:val="auto"/>
              </w:rPr>
            </w:pPr>
            <w:r>
              <w:rPr>
                <w:rFonts w:ascii="Arial" w:cs="Arial" w:eastAsia="Arial" w:hAnsi="Arial"/>
                <w:sz w:val="14"/>
                <w:szCs w:val="14"/>
                <w:color w:val="auto"/>
                <w:w w:val="92"/>
              </w:rPr>
              <w:t>U.S. government and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1,253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1,414</w:t>
            </w:r>
          </w:p>
        </w:tc>
        <w:tc>
          <w:tcPr>
            <w:tcW w:w="52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1,110</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3,777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1,626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964</w:t>
            </w:r>
          </w:p>
        </w:tc>
        <w:tc>
          <w:tcPr>
            <w:tcW w:w="52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1,201</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3,791</w:t>
            </w:r>
          </w:p>
        </w:tc>
      </w:tr>
      <w:tr>
        <w:trPr>
          <w:trHeight w:val="182"/>
        </w:trPr>
        <w:tc>
          <w:tcPr>
            <w:tcW w:w="3540" w:type="dxa"/>
            <w:vAlign w:val="bottom"/>
          </w:tcPr>
          <w:p>
            <w:pPr>
              <w:jc w:val="right"/>
              <w:ind w:right="2168"/>
              <w:spacing w:after="0"/>
              <w:rPr>
                <w:sz w:val="20"/>
                <w:szCs w:val="20"/>
                <w:color w:val="auto"/>
              </w:rPr>
            </w:pPr>
            <w:r>
              <w:rPr>
                <w:rFonts w:ascii="Arial" w:cs="Arial" w:eastAsia="Arial" w:hAnsi="Arial"/>
                <w:sz w:val="14"/>
                <w:szCs w:val="14"/>
                <w:color w:val="auto"/>
                <w:w w:val="91"/>
              </w:rPr>
              <w:t>__________________</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March 31, 2018 was $1.2 billion, all of which were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U.S. government and agency securities, ABS, U.S. and foreign corporate securities, and non-agency RMBS) with 59% invested in agency RMBS, U.S. government and agency securities, cash equivalents, short-term investments or held in cash at March 31, 2018.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2018</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8,263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 (2)</w:t>
            </w:r>
          </w:p>
        </w:tc>
        <w:tc>
          <w:tcPr>
            <w:tcW w:w="300" w:type="dxa"/>
            <w:vAlign w:val="bottom"/>
          </w:tcPr>
          <w:p>
            <w:pPr>
              <w:spacing w:after="0"/>
              <w:rPr>
                <w:sz w:val="20"/>
                <w:szCs w:val="20"/>
                <w:color w:val="auto"/>
              </w:rPr>
            </w:pPr>
          </w:p>
        </w:tc>
        <w:tc>
          <w:tcPr>
            <w:tcW w:w="1660" w:type="dxa"/>
            <w:vAlign w:val="bottom"/>
          </w:tcPr>
          <w:p>
            <w:pPr>
              <w:jc w:val="right"/>
              <w:ind w:right="42"/>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 (3)</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14,849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14,096</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42"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has assets, primarily fixed maturity securities, on deposit with governmental authorities relating to certain policyholder liabilities, of which $106 million and $34 million of the assets on deposit balance represents restricted cash at March 31, 2018 and December 31, 2017, respectively.</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held in trust relating to certain reinsurance transactions. $20 million and $42 million of the assets held in trust balance represents restricted cash at March 31, 2018 and December 31, 2017, respectively.</w:t>
      </w:r>
    </w:p>
    <w:p>
      <w:pPr>
        <w:spacing w:after="0" w:line="62"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has pledged invested assets in connection with various agreements and transactions, including funding agreements (see Note 3 of the Notes to the Consolidated and Combined Financial Statements included in the 2017 Annual Report) and derivative transactions (see Note 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invested in legal entities that are VIEs. In certain instances, the Company holds both the power to direct the most significant activities of the entity, as well as an economic interest in the entity and, as such, is deemed to be the primary beneficiary or consolidator of the entity.</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determination of the VIE’s primary beneficiary requires an evaluation of the contractual and implied rights and obligations associated with each party’s relationship with or involvement in the entity, an estimate of the entity’s expected losses and expected residual returns and the allocation of such estimates to each party involved in the entity.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Creditors or beneficial interest holders of VIEs where the Company is the primary beneficiary have no recourse to the general credit of the Company, as the Company’s obligation to the VIEs is limited to the amount of its committed investment.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total assets and total liabilities relating to VIEs for which the Company has concluded that it is the primary beneficiary and which are consolidated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5"/>
              <w:spacing w:after="0"/>
              <w:rPr>
                <w:sz w:val="20"/>
                <w:szCs w:val="20"/>
                <w:color w:val="auto"/>
              </w:rPr>
            </w:pPr>
            <w:r>
              <w:rPr>
                <w:rFonts w:ascii="Arial" w:cs="Arial" w:eastAsia="Arial" w:hAnsi="Arial"/>
                <w:sz w:val="14"/>
                <w:szCs w:val="14"/>
                <w:b w:val="1"/>
                <w:bCs w:val="1"/>
                <w:color w:val="auto"/>
                <w:w w:val="94"/>
              </w:rPr>
              <w:t>March 31, 2018</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225"/>
              <w:spacing w:after="0"/>
              <w:rPr>
                <w:sz w:val="20"/>
                <w:szCs w:val="20"/>
                <w:color w:val="auto"/>
              </w:rPr>
            </w:pPr>
            <w:r>
              <w:rPr>
                <w:rFonts w:ascii="Arial" w:cs="Arial" w:eastAsia="Arial" w:hAnsi="Arial"/>
                <w:sz w:val="14"/>
                <w:szCs w:val="14"/>
                <w:b w:val="1"/>
                <w:bCs w:val="1"/>
                <w:color w:val="auto"/>
                <w:w w:val="91"/>
              </w:rPr>
              <w:t>December 31, 2017</w:t>
            </w: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780" w:type="dxa"/>
            <w:vAlign w:val="bottom"/>
          </w:tcPr>
          <w:p>
            <w:pPr>
              <w:jc w:val="center"/>
              <w:ind w:left="305"/>
              <w:spacing w:after="0" w:line="153" w:lineRule="exact"/>
              <w:rPr>
                <w:sz w:val="20"/>
                <w:szCs w:val="20"/>
                <w:color w:val="auto"/>
              </w:rPr>
            </w:pPr>
            <w:r>
              <w:rPr>
                <w:rFonts w:ascii="Arial" w:cs="Arial" w:eastAsia="Arial" w:hAnsi="Arial"/>
                <w:sz w:val="14"/>
                <w:szCs w:val="14"/>
                <w:b w:val="1"/>
                <w:bCs w:val="1"/>
                <w:color w:val="auto"/>
                <w:w w:val="95"/>
              </w:rPr>
              <w:t>Total</w:t>
            </w:r>
          </w:p>
        </w:tc>
        <w:tc>
          <w:tcPr>
            <w:tcW w:w="400" w:type="dxa"/>
            <w:vAlign w:val="bottom"/>
          </w:tcPr>
          <w:p>
            <w:pPr>
              <w:spacing w:after="0"/>
              <w:rPr>
                <w:sz w:val="13"/>
                <w:szCs w:val="13"/>
                <w:color w:val="auto"/>
              </w:rPr>
            </w:pPr>
          </w:p>
        </w:tc>
        <w:tc>
          <w:tcPr>
            <w:tcW w:w="1120" w:type="dxa"/>
            <w:vAlign w:val="bottom"/>
          </w:tcPr>
          <w:p>
            <w:pPr>
              <w:jc w:val="center"/>
              <w:ind w:left="405"/>
              <w:spacing w:after="0" w:line="153" w:lineRule="exact"/>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center"/>
              <w:ind w:right="266"/>
              <w:spacing w:after="0" w:line="153"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3"/>
                <w:szCs w:val="13"/>
                <w:color w:val="auto"/>
              </w:rPr>
            </w:pPr>
          </w:p>
        </w:tc>
        <w:tc>
          <w:tcPr>
            <w:tcW w:w="1120" w:type="dxa"/>
            <w:vAlign w:val="bottom"/>
          </w:tcPr>
          <w:p>
            <w:pPr>
              <w:jc w:val="center"/>
              <w:ind w:right="165"/>
              <w:spacing w:after="0" w:line="153" w:lineRule="exact"/>
              <w:rPr>
                <w:sz w:val="20"/>
                <w:szCs w:val="20"/>
                <w:color w:val="auto"/>
              </w:rPr>
            </w:pPr>
            <w:r>
              <w:rPr>
                <w:rFonts w:ascii="Arial" w:cs="Arial" w:eastAsia="Arial" w:hAnsi="Arial"/>
                <w:sz w:val="14"/>
                <w:szCs w:val="14"/>
                <w:b w:val="1"/>
                <w:bCs w:val="1"/>
                <w:color w:val="auto"/>
                <w:w w:val="95"/>
              </w:rPr>
              <w:t>Total</w:t>
            </w: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780" w:type="dxa"/>
            <w:vAlign w:val="bottom"/>
            <w:tcBorders>
              <w:bottom w:val="single" w:sz="8" w:color="auto"/>
            </w:tcBorders>
          </w:tcPr>
          <w:p>
            <w:pPr>
              <w:jc w:val="center"/>
              <w:ind w:left="305"/>
              <w:spacing w:after="0"/>
              <w:rPr>
                <w:sz w:val="20"/>
                <w:szCs w:val="20"/>
                <w:color w:val="auto"/>
              </w:rPr>
            </w:pPr>
            <w:r>
              <w:rPr>
                <w:rFonts w:ascii="Arial" w:cs="Arial" w:eastAsia="Arial" w:hAnsi="Arial"/>
                <w:sz w:val="14"/>
                <w:szCs w:val="14"/>
                <w:b w:val="1"/>
                <w:bCs w:val="1"/>
                <w:color w:val="auto"/>
                <w:w w:val="87"/>
              </w:rPr>
              <w:t>Assets</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385"/>
              <w:spacing w:after="0"/>
              <w:rPr>
                <w:sz w:val="20"/>
                <w:szCs w:val="20"/>
                <w:color w:val="auto"/>
              </w:rPr>
            </w:pPr>
            <w:r>
              <w:rPr>
                <w:rFonts w:ascii="Arial" w:cs="Arial" w:eastAsia="Arial" w:hAnsi="Arial"/>
                <w:sz w:val="14"/>
                <w:szCs w:val="14"/>
                <w:b w:val="1"/>
                <w:bCs w:val="1"/>
                <w:color w:val="auto"/>
                <w:w w:val="95"/>
              </w:rPr>
              <w:t>Liabilities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w w:val="87"/>
              </w:rPr>
              <w:t>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5"/>
              </w:rPr>
              <w:t>Liabilities</w:t>
            </w: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jc w:val="right"/>
              <w:ind w:right="1703"/>
              <w:spacing w:after="0"/>
              <w:rPr>
                <w:sz w:val="20"/>
                <w:szCs w:val="20"/>
                <w:color w:val="auto"/>
              </w:rPr>
            </w:pPr>
            <w:r>
              <w:rPr>
                <w:rFonts w:ascii="Arial" w:cs="Arial" w:eastAsia="Arial" w:hAnsi="Arial"/>
                <w:sz w:val="16"/>
                <w:szCs w:val="16"/>
                <w:color w:val="auto"/>
                <w:w w:val="93"/>
              </w:rPr>
              <w:t>CSEs (assets (primarily loans) and liabilities (primarily debt)) (1)</w:t>
            </w:r>
          </w:p>
        </w:tc>
        <w:tc>
          <w:tcPr>
            <w:tcW w:w="780" w:type="dxa"/>
            <w:vAlign w:val="bottom"/>
            <w:tcBorders>
              <w:bottom w:val="single" w:sz="8" w:color="CCEEFF"/>
            </w:tcBorders>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106</w:t>
            </w:r>
          </w:p>
        </w:tc>
        <w:tc>
          <w:tcPr>
            <w:tcW w:w="1120" w:type="dxa"/>
            <w:vAlign w:val="bottom"/>
            <w:tcBorders>
              <w:bottom w:val="single" w:sz="8" w:color="CCEEFF"/>
            </w:tcBorders>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116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w:t>
            </w:r>
          </w:p>
        </w:tc>
      </w:tr>
      <w:tr>
        <w:trPr>
          <w:trHeight w:val="182"/>
        </w:trPr>
        <w:tc>
          <w:tcPr>
            <w:tcW w:w="20" w:type="dxa"/>
            <w:vAlign w:val="bottom"/>
          </w:tcPr>
          <w:p>
            <w:pPr>
              <w:spacing w:after="0"/>
              <w:rPr>
                <w:sz w:val="15"/>
                <w:szCs w:val="15"/>
                <w:color w:val="auto"/>
              </w:rPr>
            </w:pPr>
          </w:p>
        </w:tc>
        <w:tc>
          <w:tcPr>
            <w:tcW w:w="6040" w:type="dxa"/>
            <w:vAlign w:val="bottom"/>
          </w:tcPr>
          <w:p>
            <w:pPr>
              <w:jc w:val="right"/>
              <w:ind w:right="4683"/>
              <w:spacing w:after="0"/>
              <w:rPr>
                <w:sz w:val="20"/>
                <w:szCs w:val="20"/>
                <w:color w:val="auto"/>
              </w:rPr>
            </w:pPr>
            <w:r>
              <w:rPr>
                <w:rFonts w:ascii="Arial" w:cs="Arial" w:eastAsia="Arial" w:hAnsi="Arial"/>
                <w:sz w:val="14"/>
                <w:szCs w:val="14"/>
                <w:color w:val="auto"/>
                <w:w w:val="89"/>
              </w:rPr>
              <w:t>__________________</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73" w:lineRule="exact"/>
        <w:rPr>
          <w:sz w:val="20"/>
          <w:szCs w:val="20"/>
          <w:color w:val="auto"/>
        </w:rPr>
      </w:pPr>
    </w:p>
    <w:p>
      <w:pPr>
        <w:jc w:val="both"/>
        <w:ind w:left="500" w:hanging="492"/>
        <w:spacing w:after="0" w:line="259"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consolidates entities that are structured as CMBS. The assets of these entities can only be used to settle their respective liabilities, and under no circumstances is the Company liable for any principal or interest shortfalls should any arise. The Company’s exposure was limited to that of its remaining investment in these entities of $80 million and $86 million at estimated fair value at March 31, 2018 and December 31, 2017, respectively.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Unconsolidated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carrying amount and maximum exposure to loss relating to VIEs in which the Company holds a significant variable interest but is not the primary beneficiary and which have not been consolidated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Maximum</w:t>
            </w:r>
          </w:p>
        </w:tc>
        <w:tc>
          <w:tcPr>
            <w:tcW w:w="320" w:type="dxa"/>
            <w:vAlign w:val="bottom"/>
          </w:tcPr>
          <w:p>
            <w:pPr>
              <w:spacing w:after="0"/>
              <w:rPr>
                <w:sz w:val="13"/>
                <w:szCs w:val="13"/>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Exposure</w:t>
            </w: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to Loss (1)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to Loss (1)</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AFS: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Structured Securities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11,614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11,614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11,461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11,461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and foreign corporate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2,732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 (3)</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13,677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14,873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13,558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14,517</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86"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maximum exposure to loss relating to fixed maturity securities AFS is equal to their carrying amounts or the carrying amounts of retained interests. The maximum exposure to loss relating to other limited partnership interests and real estate joint ventures is equal to the carrying amounts plus any unfunded commitments. Such a maximum loss would be expected to occur only upon bankruptcy of the issuer or investee.</w:t>
      </w:r>
    </w:p>
    <w:p>
      <w:pPr>
        <w:spacing w:after="0" w:line="57"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these variable interests, the Company’s involvement is limited to that of a passive investor in mortgage-backed or asset-backed securities issued by trusts that do not have substantial equity.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investments is comprised of real estate joint ventures and other invested assets.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As described in Note 10, the Company makes commitments to fund partnership investments in the normal course of business. Excluding these commitments, the Company did not provide financial or other support to investees designated as VIEs during both the three months ended March 31, 2018 and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71"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Three Months</w:t>
      </w:r>
    </w:p>
    <w:p>
      <w:pPr>
        <w:ind w:left="980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8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628</w:t>
            </w:r>
          </w:p>
        </w:tc>
        <w:tc>
          <w:tcPr>
            <w:tcW w:w="36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610</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840" w:type="dxa"/>
            <w:vAlign w:val="bottom"/>
          </w:tcPr>
          <w:p>
            <w:pPr>
              <w:spacing w:after="0"/>
              <w:rPr>
                <w:sz w:val="20"/>
                <w:szCs w:val="20"/>
                <w:color w:val="auto"/>
              </w:rPr>
            </w:pP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109</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840" w:type="dxa"/>
            <w:vAlign w:val="bottom"/>
          </w:tcPr>
          <w:p>
            <w:pPr>
              <w:spacing w:after="0"/>
              <w:rPr>
                <w:sz w:val="20"/>
                <w:szCs w:val="20"/>
                <w:color w:val="auto"/>
              </w:rPr>
            </w:pP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840" w:type="dxa"/>
            <w:vAlign w:val="bottom"/>
          </w:tcPr>
          <w:p>
            <w:pPr>
              <w:spacing w:after="0"/>
              <w:rPr>
                <w:sz w:val="20"/>
                <w:szCs w:val="20"/>
                <w:color w:val="auto"/>
              </w:rPr>
            </w:pP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17"/>
        </w:trPr>
        <w:tc>
          <w:tcPr>
            <w:tcW w:w="8580" w:type="dxa"/>
            <w:vAlign w:val="bottom"/>
          </w:tcPr>
          <w:p>
            <w:pPr>
              <w:ind w:left="200"/>
              <w:spacing w:after="0"/>
              <w:rPr>
                <w:sz w:val="20"/>
                <w:szCs w:val="20"/>
                <w:color w:val="auto"/>
              </w:rPr>
            </w:pPr>
            <w:r>
              <w:rPr>
                <w:rFonts w:ascii="Arial" w:cs="Arial" w:eastAsia="Arial" w:hAnsi="Arial"/>
                <w:sz w:val="16"/>
                <w:szCs w:val="16"/>
                <w:color w:val="auto"/>
              </w:rPr>
              <w:t>Subtotal</w:t>
            </w: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858</w:t>
            </w: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823</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Investment expenses</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17"/>
        </w:trPr>
        <w:tc>
          <w:tcPr>
            <w:tcW w:w="8580" w:type="dxa"/>
            <w:vAlign w:val="bottom"/>
          </w:tcPr>
          <w:p>
            <w:pPr>
              <w:ind w:left="200"/>
              <w:spacing w:after="0"/>
              <w:rPr>
                <w:sz w:val="20"/>
                <w:szCs w:val="20"/>
                <w:color w:val="auto"/>
              </w:rPr>
            </w:pPr>
            <w:r>
              <w:rPr>
                <w:rFonts w:ascii="Arial" w:cs="Arial" w:eastAsia="Arial" w:hAnsi="Arial"/>
                <w:sz w:val="16"/>
                <w:szCs w:val="16"/>
                <w:color w:val="auto"/>
              </w:rPr>
              <w:t>Subtotal, net</w:t>
            </w: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815</w:t>
            </w: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780</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FVO CSEs — interest income — commercial mortgage loans</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840" w:type="dxa"/>
            <w:vAlign w:val="bottom"/>
            <w:tcBorders>
              <w:top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817</w:t>
            </w:r>
          </w:p>
        </w:tc>
        <w:tc>
          <w:tcPr>
            <w:tcW w:w="36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782</w:t>
            </w: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Related Party Investment Transactions” for discussion of related party net investment income and investment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760" w:type="dxa"/>
            <w:vAlign w:val="bottom"/>
          </w:tcPr>
          <w:p>
            <w:pPr>
              <w:spacing w:after="0"/>
              <w:rPr>
                <w:sz w:val="14"/>
                <w:szCs w:val="14"/>
                <w:color w:val="auto"/>
              </w:rPr>
            </w:pPr>
          </w:p>
        </w:tc>
      </w:tr>
      <w:tr>
        <w:trPr>
          <w:trHeight w:val="149"/>
        </w:trPr>
        <w:tc>
          <w:tcPr>
            <w:tcW w:w="8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r>
      <w:tr>
        <w:trPr>
          <w:trHeight w:val="192"/>
        </w:trPr>
        <w:tc>
          <w:tcPr>
            <w:tcW w:w="8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r>
      <w:tr>
        <w:trPr>
          <w:trHeight w:val="250"/>
        </w:trPr>
        <w:tc>
          <w:tcPr>
            <w:tcW w:w="89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8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7"/>
                <w:szCs w:val="17"/>
                <w:color w:val="auto"/>
              </w:rPr>
            </w:pPr>
          </w:p>
        </w:tc>
      </w:tr>
      <w:tr>
        <w:trPr>
          <w:trHeight w:val="243"/>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fixed maturity securities:</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980" w:type="dxa"/>
            <w:vAlign w:val="bottom"/>
          </w:tcPr>
          <w:p>
            <w:pPr>
              <w:ind w:left="40"/>
              <w:spacing w:after="0"/>
              <w:rPr>
                <w:sz w:val="20"/>
                <w:szCs w:val="20"/>
                <w:color w:val="auto"/>
              </w:rPr>
            </w:pPr>
            <w:r>
              <w:rPr>
                <w:rFonts w:ascii="Arial" w:cs="Arial" w:eastAsia="Arial" w:hAnsi="Arial"/>
                <w:sz w:val="16"/>
                <w:szCs w:val="16"/>
                <w:color w:val="auto"/>
              </w:rPr>
              <w:t>Fixed maturity securities — net gains (losses) on sales and disposals</w:t>
            </w:r>
          </w:p>
        </w:tc>
        <w:tc>
          <w:tcPr>
            <w:tcW w:w="7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(38)</w:t>
            </w:r>
          </w:p>
        </w:tc>
      </w:tr>
      <w:tr>
        <w:trPr>
          <w:trHeight w:val="33"/>
        </w:trPr>
        <w:tc>
          <w:tcPr>
            <w:tcW w:w="89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gains (losses) on fixed maturity securities</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r>
      <w:tr>
        <w:trPr>
          <w:trHeight w:val="204"/>
        </w:trPr>
        <w:tc>
          <w:tcPr>
            <w:tcW w:w="8980" w:type="dxa"/>
            <w:vAlign w:val="bottom"/>
          </w:tcPr>
          <w:p>
            <w:pPr>
              <w:ind w:left="40"/>
              <w:spacing w:after="0"/>
              <w:rPr>
                <w:sz w:val="20"/>
                <w:szCs w:val="20"/>
                <w:color w:val="auto"/>
              </w:rPr>
            </w:pPr>
            <w:r>
              <w:rPr>
                <w:rFonts w:ascii="Arial" w:cs="Arial" w:eastAsia="Arial" w:hAnsi="Arial"/>
                <w:sz w:val="16"/>
                <w:szCs w:val="16"/>
                <w:color w:val="auto"/>
              </w:rPr>
              <w:t>Total gains (losses) on equity securities:</w:t>
            </w: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47"/>
        </w:trPr>
        <w:tc>
          <w:tcPr>
            <w:tcW w:w="8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8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 — Mark to market and net gains (losses) on sales and disposals</w:t>
            </w: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7"/>
        </w:trPr>
        <w:tc>
          <w:tcPr>
            <w:tcW w:w="8980" w:type="dxa"/>
            <w:vAlign w:val="bottom"/>
          </w:tcPr>
          <w:p>
            <w:pPr>
              <w:ind w:left="280"/>
              <w:spacing w:after="0"/>
              <w:rPr>
                <w:sz w:val="20"/>
                <w:szCs w:val="20"/>
                <w:color w:val="auto"/>
              </w:rPr>
            </w:pPr>
            <w:r>
              <w:rPr>
                <w:rFonts w:ascii="Arial" w:cs="Arial" w:eastAsia="Arial" w:hAnsi="Arial"/>
                <w:sz w:val="16"/>
                <w:szCs w:val="16"/>
                <w:color w:val="auto"/>
              </w:rPr>
              <w:t>Total gains (losses) on equity securities</w:t>
            </w: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89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r>
      <w:tr>
        <w:trPr>
          <w:trHeight w:val="237"/>
        </w:trPr>
        <w:tc>
          <w:tcPr>
            <w:tcW w:w="898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760" w:type="dxa"/>
            <w:vAlign w:val="bottom"/>
          </w:tcPr>
          <w:p>
            <w:pPr>
              <w:spacing w:after="0"/>
              <w:rPr>
                <w:sz w:val="20"/>
                <w:szCs w:val="20"/>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2</w:t>
            </w:r>
          </w:p>
        </w:tc>
      </w:tr>
      <w:tr>
        <w:trPr>
          <w:trHeight w:val="33"/>
        </w:trPr>
        <w:tc>
          <w:tcPr>
            <w:tcW w:w="8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r>
      <w:tr>
        <w:trPr>
          <w:trHeight w:val="237"/>
        </w:trPr>
        <w:tc>
          <w:tcPr>
            <w:tcW w:w="8980" w:type="dxa"/>
            <w:vAlign w:val="bottom"/>
          </w:tcPr>
          <w:p>
            <w:pPr>
              <w:ind w:left="40"/>
              <w:spacing w:after="0"/>
              <w:rPr>
                <w:sz w:val="20"/>
                <w:szCs w:val="20"/>
                <w:color w:val="auto"/>
              </w:rPr>
            </w:pPr>
            <w:r>
              <w:rPr>
                <w:rFonts w:ascii="Arial" w:cs="Arial" w:eastAsia="Arial" w:hAnsi="Arial"/>
                <w:sz w:val="16"/>
                <w:szCs w:val="16"/>
                <w:color w:val="auto"/>
              </w:rPr>
              <w:t>Other</w:t>
            </w:r>
          </w:p>
        </w:tc>
        <w:tc>
          <w:tcPr>
            <w:tcW w:w="760" w:type="dxa"/>
            <w:vAlign w:val="bottom"/>
          </w:tcPr>
          <w:p>
            <w:pPr>
              <w:spacing w:after="0"/>
              <w:rPr>
                <w:sz w:val="20"/>
                <w:szCs w:val="20"/>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w:t>
            </w:r>
          </w:p>
        </w:tc>
      </w:tr>
      <w:tr>
        <w:trPr>
          <w:trHeight w:val="33"/>
        </w:trPr>
        <w:tc>
          <w:tcPr>
            <w:tcW w:w="89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Subtotal</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r>
      <w:tr>
        <w:trPr>
          <w:trHeight w:val="204"/>
        </w:trPr>
        <w:tc>
          <w:tcPr>
            <w:tcW w:w="8980" w:type="dxa"/>
            <w:vAlign w:val="bottom"/>
          </w:tcPr>
          <w:p>
            <w:pPr>
              <w:ind w:left="40"/>
              <w:spacing w:after="0"/>
              <w:rPr>
                <w:sz w:val="20"/>
                <w:szCs w:val="20"/>
                <w:color w:val="auto"/>
              </w:rPr>
            </w:pPr>
            <w:r>
              <w:rPr>
                <w:rFonts w:ascii="Arial" w:cs="Arial" w:eastAsia="Arial" w:hAnsi="Arial"/>
                <w:sz w:val="16"/>
                <w:szCs w:val="16"/>
                <w:color w:val="auto"/>
              </w:rPr>
              <w:t>FVO CSEs:</w:t>
            </w: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47"/>
        </w:trPr>
        <w:tc>
          <w:tcPr>
            <w:tcW w:w="8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8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Commercial mortgage loans</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37"/>
        </w:trPr>
        <w:tc>
          <w:tcPr>
            <w:tcW w:w="8980" w:type="dxa"/>
            <w:vAlign w:val="bottom"/>
          </w:tcPr>
          <w:p>
            <w:pPr>
              <w:ind w:left="200"/>
              <w:spacing w:after="0"/>
              <w:rPr>
                <w:sz w:val="20"/>
                <w:szCs w:val="20"/>
                <w:color w:val="auto"/>
              </w:rPr>
            </w:pPr>
            <w:r>
              <w:rPr>
                <w:rFonts w:ascii="Arial" w:cs="Arial" w:eastAsia="Arial" w:hAnsi="Arial"/>
                <w:sz w:val="16"/>
                <w:szCs w:val="16"/>
                <w:color w:val="auto"/>
              </w:rPr>
              <w:t>Long-term debt — related to commercial mortgage loans</w:t>
            </w:r>
          </w:p>
        </w:tc>
        <w:tc>
          <w:tcPr>
            <w:tcW w:w="76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1</w:t>
            </w:r>
          </w:p>
        </w:tc>
      </w:tr>
      <w:tr>
        <w:trPr>
          <w:trHeight w:val="33"/>
        </w:trPr>
        <w:tc>
          <w:tcPr>
            <w:tcW w:w="89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Subtotal</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7"/>
        </w:trPr>
        <w:tc>
          <w:tcPr>
            <w:tcW w:w="8980" w:type="dxa"/>
            <w:vAlign w:val="bottom"/>
          </w:tcPr>
          <w:p>
            <w:pPr>
              <w:ind w:left="40"/>
              <w:spacing w:after="0"/>
              <w:rPr>
                <w:sz w:val="20"/>
                <w:szCs w:val="20"/>
                <w:color w:val="auto"/>
              </w:rPr>
            </w:pPr>
            <w:r>
              <w:rPr>
                <w:rFonts w:ascii="Arial" w:cs="Arial" w:eastAsia="Arial" w:hAnsi="Arial"/>
                <w:sz w:val="16"/>
                <w:szCs w:val="16"/>
                <w:color w:val="auto"/>
              </w:rPr>
              <w:t>Total net investment gains (losses)</w:t>
            </w:r>
          </w:p>
        </w:tc>
        <w:tc>
          <w:tcPr>
            <w:tcW w:w="76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(55)</w:t>
            </w:r>
          </w:p>
        </w:tc>
      </w:tr>
      <w:tr>
        <w:trPr>
          <w:trHeight w:val="33"/>
        </w:trPr>
        <w:tc>
          <w:tcPr>
            <w:tcW w:w="89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8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 Related Party Investment Transactions” for discussion of related party net investment gains (losses) related to transfers of invested assets.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and Impairments of Fixed Maturity Securities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shown in the table below.</w:t>
      </w:r>
    </w:p>
    <w:p>
      <w:pPr>
        <w:spacing w:after="0" w:line="27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w:t>
      </w:r>
    </w:p>
    <w:p>
      <w:pPr>
        <w:ind w:left="864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13335</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2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(In millions)</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1740" w:type="dxa"/>
            <w:vAlign w:val="bottom"/>
            <w:tcBorders>
              <w:bottom w:val="single" w:sz="8" w:color="CCEEFF"/>
            </w:tcBorders>
            <w:shd w:val="clear" w:color="auto" w:fill="CCEEFF"/>
          </w:tcPr>
          <w:p>
            <w:pPr>
              <w:jc w:val="right"/>
              <w:ind w:right="15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1740" w:type="dxa"/>
            <w:vAlign w:val="bottom"/>
          </w:tcPr>
          <w:p>
            <w:pPr>
              <w:jc w:val="right"/>
              <w:ind w:right="15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17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6280" w:type="dxa"/>
            <w:vAlign w:val="bottom"/>
          </w:tcPr>
          <w:p>
            <w:pPr>
              <w:ind w:left="200"/>
              <w:spacing w:after="0"/>
              <w:rPr>
                <w:sz w:val="20"/>
                <w:szCs w:val="20"/>
                <w:color w:val="auto"/>
              </w:rPr>
            </w:pPr>
            <w:r>
              <w:rPr>
                <w:rFonts w:ascii="Arial" w:cs="Arial" w:eastAsia="Arial" w:hAnsi="Arial"/>
                <w:sz w:val="16"/>
                <w:szCs w:val="16"/>
                <w:color w:val="auto"/>
              </w:rPr>
              <w:t>Net investment gains (losses)</w:t>
            </w:r>
          </w:p>
        </w:tc>
        <w:tc>
          <w:tcPr>
            <w:tcW w:w="1740" w:type="dxa"/>
            <w:vAlign w:val="bottom"/>
            <w:tcBorders>
              <w:top w:val="single" w:sz="8" w:color="auto"/>
            </w:tcBorders>
          </w:tcPr>
          <w:p>
            <w:pPr>
              <w:jc w:val="right"/>
              <w:ind w:right="154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 Rollforward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table below presents a rollforward of the cumulative credit loss component of OTTI loss recognized in earnings on fixed maturity securities still held for which a portion of the OTTI loss was recognized in other comprehensive income (“OCI”):</w:t>
      </w:r>
    </w:p>
    <w:p>
      <w:pPr>
        <w:spacing w:after="0" w:line="108"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Three Months</w:t>
      </w:r>
    </w:p>
    <w:p>
      <w:pPr>
        <w:ind w:left="1014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9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(In millions)</w:t>
            </w:r>
          </w:p>
        </w:tc>
        <w:tc>
          <w:tcPr>
            <w:tcW w:w="660" w:type="dxa"/>
            <w:vAlign w:val="bottom"/>
          </w:tcPr>
          <w:p>
            <w:pPr>
              <w:spacing w:after="0"/>
              <w:rPr>
                <w:sz w:val="21"/>
                <w:szCs w:val="21"/>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6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7"/>
        </w:trPr>
        <w:tc>
          <w:tcPr>
            <w:tcW w:w="9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7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Sales (maturities, pay downs or prepayments) of securities previously impaired as credit loss OTTI</w:t>
            </w: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9260" w:type="dxa"/>
            <w:vAlign w:val="bottom"/>
          </w:tcPr>
          <w:p>
            <w:pPr>
              <w:ind w:left="40"/>
              <w:spacing w:after="0"/>
              <w:rPr>
                <w:sz w:val="20"/>
                <w:szCs w:val="20"/>
                <w:color w:val="auto"/>
              </w:rPr>
            </w:pPr>
            <w:r>
              <w:rPr>
                <w:rFonts w:ascii="Arial" w:cs="Arial" w:eastAsia="Arial" w:hAnsi="Arial"/>
                <w:sz w:val="16"/>
                <w:szCs w:val="16"/>
                <w:color w:val="auto"/>
              </w:rPr>
              <w:t>Balance at March 31,</w:t>
            </w:r>
          </w:p>
        </w:tc>
        <w:tc>
          <w:tcPr>
            <w:tcW w:w="680" w:type="dxa"/>
            <w:vAlign w:val="bottom"/>
            <w:tcBorders>
              <w:top w:val="single" w:sz="8" w:color="auto"/>
            </w:tcBorders>
          </w:tcPr>
          <w:p>
            <w:pPr>
              <w:jc w:val="right"/>
              <w:ind w:right="50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r>
      <w:tr>
        <w:trPr>
          <w:trHeight w:val="33"/>
        </w:trPr>
        <w:tc>
          <w:tcPr>
            <w:tcW w:w="9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previously transferred invested assets primarily consisting of fixed maturity securities to former affiliates, which were as follows:</w:t>
      </w:r>
    </w:p>
    <w:p>
      <w:pPr>
        <w:spacing w:after="0" w:line="174"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Three Months</w:t>
      </w:r>
    </w:p>
    <w:p>
      <w:pPr>
        <w:ind w:left="1014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9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(In millions)</w:t>
            </w:r>
          </w:p>
        </w:tc>
        <w:tc>
          <w:tcPr>
            <w:tcW w:w="660" w:type="dxa"/>
            <w:vAlign w:val="bottom"/>
          </w:tcPr>
          <w:p>
            <w:pPr>
              <w:spacing w:after="0"/>
              <w:rPr>
                <w:sz w:val="21"/>
                <w:szCs w:val="21"/>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to former affiliates</w:t>
            </w:r>
          </w:p>
        </w:tc>
        <w:tc>
          <w:tcPr>
            <w:tcW w:w="6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Amortized cost of invested assets transferred to former affiliates</w:t>
            </w:r>
          </w:p>
        </w:tc>
        <w:tc>
          <w:tcPr>
            <w:tcW w:w="680" w:type="dxa"/>
            <w:vAlign w:val="bottom"/>
          </w:tcPr>
          <w:p>
            <w:pPr>
              <w:jc w:val="right"/>
              <w:ind w:right="501"/>
              <w:spacing w:after="0"/>
              <w:rPr>
                <w:sz w:val="20"/>
                <w:szCs w:val="20"/>
                <w:color w:val="auto"/>
              </w:rPr>
            </w:pPr>
            <w:r>
              <w:rPr>
                <w:rFonts w:ascii="Arial" w:cs="Arial" w:eastAsia="Arial" w:hAnsi="Arial"/>
                <w:sz w:val="16"/>
                <w:szCs w:val="16"/>
                <w:color w:val="auto"/>
                <w:w w:val="89"/>
              </w:rPr>
              <w:t>$</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294</w:t>
            </w:r>
          </w:p>
        </w:tc>
      </w:tr>
      <w:tr>
        <w:trPr>
          <w:trHeight w:val="33"/>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investment gains (losses) recognized on transfers</w:t>
            </w: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2017, the Company had $1.1 billion of loans due from MetLife, Inc. which were included in other invested assets. These loans were carried at fixed interest rates of 4.21% and 5.10%, payable semiannually, and were due on September 30, 2032 and December 31, 2033, respectively. In April 2017, these loans were satisfied in a non-cash exchange for $1.1 billion of notes due to MetLife, Inc. See Note 9 of the Notes to the Consolidated and Combined Financial Statements included in the 2017 Annual Report.</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2017, Metropolitan Life Insurance Company (“MLIC”), a former affiliate, recaptured risks related to guaranteed minimum benefit guarantees on certain variable annuities being reinsured by the Company. The Company transferred investments and cash and cash equivalents which are included in the table above. See Note 11 for additional information related to these transfers.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2017, the Company sold an operating joint venture with a book value of $89 million to MLIC for $286 million. The operating joint venture was accounted for under the equity method and included in other invested assets. This sale resulted in an increase in additional paid-in capital of $202 million in the first quarter of 2017.</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receives investment administrative services from MetLife Investment Advisors, LLC (“MLIA”), a related party investment manager. The related investment administrative service charges were $24 million and $25 million for the three months ended March 31, 2018 and 2017,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Freestanding Derivatives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7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Accruals on derivatives are generally recorded in accrued investment income or within other liabilities. However, accruals that are not scheduled to settle within one year are included with the derivatives carrying value in other invested assets or other liabilities.</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If a derivative is not designated as an accounting hedge or its use in managing risk does not qualify for hedge accounting, changes in the estimated fair value of the derivative are generally reported in net derivative gains (losses) except for economic hedges of variable annuity guarantees which are presented in future policy benefits and claims.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Hedge Accounting</w:t>
      </w:r>
    </w:p>
    <w:p>
      <w:pPr>
        <w:spacing w:after="0" w:line="11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 The Company also designates derivatives as a hedge of the estimated fair value of a recognized asset or liabilities (fair value hedge). When a derivative is designated as fair value hedge and is determined to be highly effective, changes in fair value are recorded in net derivative gains (losses), consistent with the change in estimated fair value of the hedged item attributable to the designated risk being hedged.</w:t>
      </w:r>
    </w:p>
    <w:p>
      <w:pPr>
        <w:spacing w:after="0" w:line="5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and the method that will be used to measure ineffectiveness.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0"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Company discontinues hedge accounting prospectively when: (i) it is determined that the derivative is no longer highly effective in offsetting changes in the estimated fair value or cash flows of a hedged item; (ii) the derivative expires, is sold, terminated, or exercised; (iii) it is no longer probable that the hedged forecasted transaction will occur; or (iv) the derivative is de-designated as a hedging instrument.</w:t>
      </w:r>
    </w:p>
    <w:p>
      <w:pPr>
        <w:spacing w:after="0" w:line="57"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When hedge accounting is discontinued because it is determined that the derivative is not highly effective in offsetting changes in the estimated fair value or cash flows of a hedged item, the derivative continues to be carried on the balance sheet at its estimated fair value, with changes in estimated fair value recognized in net derivative gains (losses). The carrying value of the hedged recognized asset or liability under a fair value hedge is no longer adjusted for changes in its estimated fair value due to the hedged risk, and the cumulative adjustment to its carrying value is amortized into income over the remaining life of the hedged item. Provided the hedged forecasted transaction is still probable of occurrence, the changes in estimated fair value of derivatives recorded in OCI related to discontinued cash flow hedges are released into the statement of operations when the Company’s earnings are affected by the variability in cash flows of the hedged item.</w:t>
      </w:r>
    </w:p>
    <w:p>
      <w:pPr>
        <w:spacing w:after="0" w:line="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 all other situations in which hedge accounting is discontinued, the derivative is carried at its estimated fair value on the balance sheet, with changes in its estimated fair value recognized in the current period as net derivative gains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4" w:right="239" w:bottom="1440" w:gutter="0" w:footer="0" w:header="0"/>
        </w:sectPr>
      </w:pPr>
    </w:p>
    <w:bookmarkStart w:id="26" w:name="page27"/>
    <w:bookmarkEnd w:id="2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Company sells variable annuities and issues certain insurance products and investment contracts and is a party to certain reinsurance agreements that have embedded derivatives. The Company assesses each identified embedded derivative to determine whether it is required to be bifurcated. The embedded derivative is bifurcated from the host contract and accounted for as a freestanding derivative if:</w:t>
      </w:r>
    </w:p>
    <w:p>
      <w:pPr>
        <w:spacing w:after="0" w:line="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combined instrument is not accounted for in its entirety at estimated fair value with changes in estimated fair value recorded in earnings;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embedded derivative are not clearly and closely related to the economic characteristics of the host contract;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separate instrument with the same terms as the embedded derivative would qualify as a derivative instrument.</w:t>
      </w:r>
    </w:p>
    <w:p>
      <w:pPr>
        <w:spacing w:after="0" w:line="117" w:lineRule="exact"/>
        <w:rPr>
          <w:sz w:val="20"/>
          <w:szCs w:val="20"/>
          <w:color w:val="auto"/>
        </w:rPr>
      </w:pPr>
    </w:p>
    <w:p>
      <w:pPr>
        <w:ind w:left="340" w:firstLine="324"/>
        <w:spacing w:after="0" w:line="342" w:lineRule="auto"/>
        <w:rPr>
          <w:sz w:val="20"/>
          <w:szCs w:val="20"/>
          <w:color w:val="auto"/>
        </w:rPr>
      </w:pPr>
      <w:r>
        <w:rPr>
          <w:rFonts w:ascii="Arial" w:cs="Arial" w:eastAsia="Arial" w:hAnsi="Arial"/>
          <w:sz w:val="16"/>
          <w:szCs w:val="16"/>
          <w:color w:val="auto"/>
        </w:rPr>
        <w:t>Such embedded derivatives are carried on the balance sheet at estimated fair value with the host contract and changes in their estimated fair value are generally reported in net derivative gains (losses), except for those in policyholder benefits and claims related to ceded reinsurance of GMIB.</w:t>
      </w:r>
    </w:p>
    <w:p>
      <w:pPr>
        <w:spacing w:after="0" w:line="16"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See “— Variable Annuity Guarantees ” in Note 1 of the Notes to the Consolidated and Combined Financial Statements included in the 2017 Annual Report for additional information on the accounting policy for embedded derivatives bifurcated from variable annuity host contracts.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exposed to various risks relating to its ongoing business operations, including interest rate, foreign currency exchange rate, credit and equity market. The Company uses a variety of strategies to manage these risks, including the use of derivatives.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The types of derivatives the Company uses include swaps, forwards, futures and option contracts. To a lesser extent, the Company uses credit default swaps to synthetically replicate investment risks and returns which are not readily available in the cash markets.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interest rate derivatives to reduce its exposure to changes in interest rates, including interest rate swaps, interest rate total return swaps, caps, floors, swaptions, futures and forwards.</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Interest rate swaps are used by the Company primarily to reduce market risks from changes in interest rates and to alter interest rate exposure arising from mismatches between assets and liabilities (duration mismatches). In an interest rate swap, the Company agrees with another party to exchange, at specified intervals, the difference between fixed rate and floating rate interest amounts as calculated by reference to an agreed notional amount. The Company utilizes interest rate swaps in fair value, cash flow and nonqualifying hedging relationships.</w:t>
      </w:r>
    </w:p>
    <w:p>
      <w:pPr>
        <w:spacing w:after="0" w:line="6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Interest rate total return swaps are swaps whereby the Company agrees with another party to exchange, at specified intervals, the difference between the economic risk and reward of an asset or a market index and the London Interbank Offered Rate (“LIBOR”),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Interest rate total return swaps are used by the Company to reduce market risks from changes in interest rates and to alter interest rate exposure arising from mismatches between assets and liabilities (duration mismatches). The Company utilizes interest rate total return swaps in nonqualifying hedging relationships.</w:t>
      </w:r>
    </w:p>
    <w:p>
      <w:pPr>
        <w:spacing w:after="0" w:line="81"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purchases interest rate caps and floors primarily to protect its floating rate liabilities against rises in interest rates above a specified level, and against interest rate exposure arising from mismatches between assets and liabilities, as well as to protect its minimum rate guarantee liabilities against declines in interest rates below a specified level, respectively. In certain instances, the Company locks in the economic impact of existing purchased caps and floors by entering into offsetting written caps and floors. The Company utilizes interest rate caps and floors in nonqualifying hedging relationships.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4" w:right="239" w:bottom="1440" w:gutter="0" w:footer="0" w:header="0"/>
        </w:sectPr>
      </w:pPr>
    </w:p>
    <w:bookmarkStart w:id="27" w:name="page28"/>
    <w:bookmarkEnd w:id="2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In exchange-traded interest rate (Treasury and swap) futures transactions, the Company agrees to purchase or sell a specified number of contracts, the value of which is determined by the different classes of interest rate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interest rate (Treasury and swap) futures are used primarily to hedge mismatches between the duration of assets in a portfolio and the duration of liabilities supported by those assets, to hedge against changes in value of securities the Company owns or anticipates acquiring, to hedge against changes in interest rates on anticipated liability issuances by replicating Treasury or swap curve performance, and to hedge minimum guarantees embedded in certain variable annuity products offered by the Company. The Company utilizes exchange-traded interest rate futures in nonqualifying hedging relationships.</w:t>
      </w:r>
    </w:p>
    <w:p>
      <w:pPr>
        <w:spacing w:after="0" w:line="71"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Swaptions are used by the Company to hedge interest rate risk associated with the Company’s long-term liabilities and invested assets. A swaption is an option to enter into a swap with a forward starting effective date. In certain instances, the Company locks in the economic impact of existing purchased swaptions by entering into offsetting written swaptions. The Company pays a premium for purchased swaptions and receives a premium for written swaptions. The Company utilizes swaptions in nonqualifying hedging relationships. Swaptions are included in interest rate options.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foreign currency swaps to reduce the risk from fluctuations in foreign currency exchange rates associated with its assets and liabilities denominated in foreign currencies. 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 The Company utilizes foreign currency swaps in cash flow and nonqualifying hedging relationships.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 lesser extent, the Company uses foreign currency forwards in nonqualifying hedging relationships.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enters into purchased credit default swaps to hedge against credit-related changes in the value of its investments. In a credit default swap transaction, the Company agrees with another party to pay, at specified intervals, a premium to hedge credit risk. If a credit event occurs, as defined by the contract, the contract may be cash settled or it may be settled gross by the delivery of par quantities of the referenced investment equal to the specified swap notional amount in exchange for the payment of cash amounts by the counterparty equal to the par value of the investment surrendered. Credit events vary by type of issuer but typically include bankruptcy, failure to pay debt obligations, repudiation, moratorium, involuntary restructuring or governmental intervention. In each case, payout on a credit default swap is triggered only after the Credit Derivatives Determinations Committee of the International Swaps and Derivatives Association, Inc. (“ISDA”) deems that a credit event has occurred. The Company utilizes credit default swaps in nonqualifying hedging relationships.</w:t>
      </w:r>
    </w:p>
    <w:p>
      <w:pPr>
        <w:spacing w:after="0" w:line="8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enters into written credit default swaps to create synthetic credit investments that are either more expensive to acquire or otherwise unavailable in the cash markets. These transactions are a combination of a derivative and one or more cash instruments, such as U.S. government and agency securities or other fixed maturity securities. These credit default swaps are not designated as hedging instruments.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equity derivatives to reduce its exposure to equity market risk, including equity index options, equity variance swaps, exchange-traded equity futures and equity total return swaps.</w:t>
      </w:r>
    </w:p>
    <w:p>
      <w:pPr>
        <w:spacing w:after="0" w:line="62"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Equity index options are used by the Company primarily to hedge minimum guarantees embedded in certain variable annuity products offered by the Company. To hedge against adverse changes in equity indices, the Company enters into contracts to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 The Company utilizes equity index options in nonqualifying hedging relationships.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4" w:right="239" w:bottom="1440" w:gutter="0" w:footer="0" w:header="0"/>
        </w:sectPr>
      </w:pPr>
    </w:p>
    <w:bookmarkStart w:id="28" w:name="page29"/>
    <w:bookmarkEnd w:id="2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variance swaps are used by the Company primarily to hedge minimum guarantees embedded in certain variable annuity products offered by the Company. In an equity variance swap, the Company agrees with another party to exchange amounts in the future, based on changes in equity volatility over a defined period. The Company utilizes equity variance swaps in nonqualifying hedging relationships.</w:t>
      </w:r>
    </w:p>
    <w:p>
      <w:pPr>
        <w:spacing w:after="0" w:line="73"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exchange-traded equity futures transactions, the Company agrees to purchase or sell a specified number of contracts, the value of which is determined by the different classes of equity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equity futures are used primarily to hedge minimum guarantees embedded in certain variable annuity products offered by the Company. The Company utilizes exchange-traded equity futures in nonqualifying hedging relationships.</w:t>
      </w:r>
    </w:p>
    <w:p>
      <w:pPr>
        <w:spacing w:after="0" w:line="64"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an equity total return swap, the Company agrees with another party to exchange, at specified intervals, the difference between the economic risk and reward of an asset or a market index and the LIBOR, calculated by reference to an agreed notional amount. No cash is exchanged at the outset of the contract. Cash is paid and received over the life of the contract based on the terms of the swap. The Company uses equity total return swaps to hedge its equity market guarantees in certain of its insurance products. Equity total return swaps can be used as hedges or to create synthetic investments. The Company utilizes equity total return swaps in nonqualifying hedging relationships.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4" w:right="239" w:bottom="1440" w:gutter="0" w:footer="0" w:header="0"/>
        </w:sectPr>
      </w:pPr>
    </w:p>
    <w:bookmarkStart w:id="29" w:name="page30"/>
    <w:bookmarkEnd w:id="2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primary underlying risk exposure, gross notional amount, and estimated fair value of the Company’s derivatives, excluding embedded derivatives, held at: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2"/>
              </w:rPr>
              <w:t>March 31,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December 31, 2017</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64"/>
        </w:trPr>
        <w:tc>
          <w:tcPr>
            <w:tcW w:w="2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Estimated Fair Value</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5"/>
          </w:tcPr>
          <w:p>
            <w:pPr>
              <w:ind w:left="180"/>
              <w:spacing w:after="0"/>
              <w:rPr>
                <w:sz w:val="20"/>
                <w:szCs w:val="20"/>
                <w:color w:val="auto"/>
              </w:rPr>
            </w:pPr>
            <w:r>
              <w:rPr>
                <w:rFonts w:ascii="Arial" w:cs="Arial" w:eastAsia="Arial" w:hAnsi="Arial"/>
                <w:sz w:val="13"/>
                <w:szCs w:val="13"/>
                <w:b w:val="1"/>
                <w:bCs w:val="1"/>
                <w:color w:val="auto"/>
              </w:rPr>
              <w:t>Estimated Fair Value</w:t>
            </w:r>
          </w:p>
        </w:tc>
      </w:tr>
      <w:tr>
        <w:trPr>
          <w:trHeight w:val="225"/>
        </w:trPr>
        <w:tc>
          <w:tcPr>
            <w:tcW w:w="2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Gross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111"/>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135"/>
        </w:trPr>
        <w:tc>
          <w:tcPr>
            <w:tcW w:w="28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4"/>
        </w:trPr>
        <w:tc>
          <w:tcPr>
            <w:tcW w:w="288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Primary Underlying Risk Exposure</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Pr>
          <w:p>
            <w:pPr>
              <w:spacing w:after="0"/>
              <w:rPr>
                <w:sz w:val="15"/>
                <w:szCs w:val="15"/>
                <w:color w:val="auto"/>
              </w:rPr>
            </w:pPr>
          </w:p>
        </w:tc>
        <w:tc>
          <w:tcPr>
            <w:tcW w:w="700" w:type="dxa"/>
            <w:vAlign w:val="bottom"/>
          </w:tcPr>
          <w:p>
            <w:pPr>
              <w:jc w:val="center"/>
              <w:ind w:right="111"/>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r>
      <w:tr>
        <w:trPr>
          <w:trHeight w:val="254"/>
        </w:trPr>
        <w:tc>
          <w:tcPr>
            <w:tcW w:w="2880" w:type="dxa"/>
            <w:vAlign w:val="bottom"/>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07"/>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0"/>
        </w:trPr>
        <w:tc>
          <w:tcPr>
            <w:tcW w:w="28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hedges:</w:t>
            </w: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175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 hedges:</w:t>
            </w: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swaps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1,951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1,827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75</w:t>
            </w:r>
          </w:p>
        </w:tc>
      </w:tr>
      <w:tr>
        <w:trPr>
          <w:trHeight w:val="250"/>
        </w:trPr>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Subtotal</w:t>
            </w:r>
          </w:p>
        </w:tc>
        <w:tc>
          <w:tcPr>
            <w:tcW w:w="2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1,978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1,854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75</w:t>
            </w:r>
          </w:p>
        </w:tc>
      </w:tr>
      <w:tr>
        <w:trPr>
          <w:trHeight w:val="250"/>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2,132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75</w:t>
            </w: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15,877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Interest rate caps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futures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Interest rate options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24,500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24,600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swaps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Foreign currency exchange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Foreign currency forwards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Foreign currency exchange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purchased</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Credit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Credit default swaps — written</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Credit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futures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Equity market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color w:val="auto"/>
              </w:rPr>
              <w:t>Equity index options</w:t>
            </w:r>
          </w:p>
        </w:tc>
        <w:tc>
          <w:tcPr>
            <w:tcW w:w="3260" w:type="dxa"/>
            <w:vAlign w:val="bottom"/>
            <w:gridSpan w:val="2"/>
          </w:tcPr>
          <w:p>
            <w:pPr>
              <w:ind w:left="440"/>
              <w:spacing w:after="0"/>
              <w:rPr>
                <w:sz w:val="20"/>
                <w:szCs w:val="20"/>
                <w:color w:val="auto"/>
              </w:rPr>
            </w:pPr>
            <w:r>
              <w:rPr>
                <w:rFonts w:ascii="Arial" w:cs="Arial" w:eastAsia="Arial" w:hAnsi="Arial"/>
                <w:sz w:val="14"/>
                <w:szCs w:val="14"/>
                <w:color w:val="auto"/>
              </w:rPr>
              <w:t>Equity market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47,581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47,066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variance swaps</w:t>
            </w: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Equity market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6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total return swaps</w:t>
            </w:r>
          </w:p>
        </w:tc>
        <w:tc>
          <w:tcPr>
            <w:tcW w:w="30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Equity market</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5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108,235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111,520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190"/>
        </w:trPr>
        <w:tc>
          <w:tcPr>
            <w:tcW w:w="2460" w:type="dxa"/>
            <w:vAlign w:val="bottom"/>
            <w:vMerge w:val="restart"/>
          </w:tcPr>
          <w:p>
            <w:pPr>
              <w:ind w:left="180"/>
              <w:spacing w:after="0"/>
              <w:rPr>
                <w:sz w:val="20"/>
                <w:szCs w:val="20"/>
                <w:color w:val="auto"/>
              </w:rPr>
            </w:pPr>
            <w:r>
              <w:rPr>
                <w:rFonts w:ascii="Arial" w:cs="Arial" w:eastAsia="Arial" w:hAnsi="Arial"/>
                <w:sz w:val="14"/>
                <w:szCs w:val="14"/>
                <w:color w:val="auto"/>
              </w:rPr>
              <w:t>Total</w:t>
            </w:r>
          </w:p>
        </w:tc>
        <w:tc>
          <w:tcPr>
            <w:tcW w:w="3260" w:type="dxa"/>
            <w:vAlign w:val="bottom"/>
            <w:gridSpan w:val="2"/>
          </w:tcPr>
          <w:p>
            <w:pPr>
              <w:ind w:left="30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110,367</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2,201</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113,549</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53"/>
        </w:trPr>
        <w:tc>
          <w:tcPr>
            <w:tcW w:w="2460" w:type="dxa"/>
            <w:vAlign w:val="bottom"/>
            <w:vMerge w:val="continue"/>
          </w:tcPr>
          <w:p>
            <w:pPr>
              <w:spacing w:after="0"/>
              <w:rPr>
                <w:sz w:val="4"/>
                <w:szCs w:val="4"/>
                <w:color w:val="auto"/>
              </w:rPr>
            </w:pPr>
          </w:p>
        </w:tc>
        <w:tc>
          <w:tcPr>
            <w:tcW w:w="30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March 31, 2018 and December 31, 2017. The Company’s use of derivatives includes (i) derivatives that serve as macro hedges of the Company’s exposure to various risks and that generally do not qualify for hedge accounting due to the criteria required under the portfolio hedging rules;</w:t>
      </w:r>
    </w:p>
    <w:p>
      <w:pPr>
        <w:jc w:val="both"/>
        <w:ind w:firstLine="8"/>
        <w:spacing w:after="0" w:line="290" w:lineRule="auto"/>
        <w:tabs>
          <w:tab w:leader="none" w:pos="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derivatives that economically hedge insurance liabilities that contain mortality or morbidity risk and that generally do not qualify for hedge accounting because the lack of these risks in the derivatives cannot support an expectation of a highly effective hedging relationship;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 For these nonqualified derivatives, changes in market factors can lead to the recognition of fair value changes on the statement of operations without an offsetting gain or loss recognized in earnings for the item being hedged.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4" w:right="239" w:bottom="1440" w:gutter="0" w:footer="0" w:header="0"/>
        </w:sectPr>
      </w:pPr>
    </w:p>
    <w:bookmarkStart w:id="30" w:name="page31"/>
    <w:bookmarkEnd w:id="3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earned income on derivatives:</w:t>
      </w:r>
    </w:p>
    <w:p>
      <w:pPr>
        <w:spacing w:after="0" w:line="271"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Three Months</w:t>
      </w:r>
    </w:p>
    <w:p>
      <w:pPr>
        <w:ind w:left="1002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13335</wp:posOffset>
            </wp:positionV>
            <wp:extent cx="15093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50"/>
        </w:trPr>
        <w:tc>
          <w:tcPr>
            <w:tcW w:w="9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60" w:type="dxa"/>
            <w:vAlign w:val="bottom"/>
          </w:tcPr>
          <w:p>
            <w:pPr>
              <w:spacing w:after="0"/>
              <w:rPr>
                <w:sz w:val="21"/>
                <w:szCs w:val="21"/>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Qualifying hedges:</w:t>
            </w:r>
          </w:p>
        </w:tc>
        <w:tc>
          <w:tcPr>
            <w:tcW w:w="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33"/>
        </w:trPr>
        <w:tc>
          <w:tcPr>
            <w:tcW w:w="9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Nonqualifying hedges: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Net derivative gains (losses)</w:t>
            </w:r>
          </w:p>
        </w:tc>
        <w:tc>
          <w:tcPr>
            <w:tcW w:w="780" w:type="dxa"/>
            <w:vAlign w:val="bottom"/>
          </w:tcPr>
          <w:p>
            <w:pPr>
              <w:spacing w:after="0"/>
              <w:rPr>
                <w:sz w:val="20"/>
                <w:szCs w:val="20"/>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119</w:t>
            </w:r>
          </w:p>
        </w:tc>
      </w:tr>
      <w:tr>
        <w:trPr>
          <w:trHeight w:val="33"/>
        </w:trPr>
        <w:tc>
          <w:tcPr>
            <w:tcW w:w="9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benefits and claims</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217"/>
        </w:trPr>
        <w:tc>
          <w:tcPr>
            <w:tcW w:w="9040" w:type="dxa"/>
            <w:vAlign w:val="bottom"/>
          </w:tcPr>
          <w:p>
            <w:pPr>
              <w:ind w:left="20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129</w:t>
            </w:r>
          </w:p>
        </w:tc>
      </w:tr>
      <w:tr>
        <w:trPr>
          <w:trHeight w:val="33"/>
        </w:trPr>
        <w:tc>
          <w:tcPr>
            <w:tcW w:w="90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amount and location of gains (losses) recognized for derivatives and gains (losses) pertaining to hedged items presented in net derivative gains (losses):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9"/>
          </w:tcPr>
          <w:p>
            <w:pPr>
              <w:jc w:val="center"/>
              <w:ind w:right="860"/>
              <w:spacing w:after="0"/>
              <w:rPr>
                <w:sz w:val="20"/>
                <w:szCs w:val="20"/>
                <w:color w:val="auto"/>
              </w:rPr>
            </w:pPr>
            <w:r>
              <w:rPr>
                <w:rFonts w:ascii="Arial" w:cs="Arial" w:eastAsia="Arial" w:hAnsi="Arial"/>
                <w:sz w:val="14"/>
                <w:szCs w:val="14"/>
                <w:b w:val="1"/>
                <w:bCs w:val="1"/>
                <w:color w:val="auto"/>
                <w:w w:val="95"/>
              </w:rPr>
              <w:t>Three Months Ended March 31, 2018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2"/>
                <w:szCs w:val="12"/>
                <w:color w:val="auto"/>
              </w:rPr>
            </w:pPr>
          </w:p>
        </w:tc>
        <w:tc>
          <w:tcPr>
            <w:tcW w:w="86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8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Gains</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Gains (Losses)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Policyholder</w:t>
            </w:r>
          </w:p>
        </w:tc>
        <w:tc>
          <w:tcPr>
            <w:tcW w:w="12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(Losses)</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Recognized for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Recognized for</w:t>
            </w:r>
          </w:p>
        </w:tc>
        <w:tc>
          <w:tcPr>
            <w:tcW w:w="16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Hedged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Benefits and</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deferred in</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 (1)</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Items (2)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Claims (4)</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Fair value hedges (5):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rate derivatives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360"/>
              <w:spacing w:after="0"/>
              <w:rPr>
                <w:sz w:val="20"/>
                <w:szCs w:val="20"/>
                <w:color w:val="auto"/>
              </w:rPr>
            </w:pPr>
            <w:r>
              <w:rPr>
                <w:rFonts w:ascii="Arial" w:cs="Arial" w:eastAsia="Arial" w:hAnsi="Arial"/>
                <w:sz w:val="16"/>
                <w:szCs w:val="16"/>
                <w:color w:val="auto"/>
              </w:rPr>
              <w:t>Total fair value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 (5):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5380" w:type="dxa"/>
            <w:vAlign w:val="bottom"/>
          </w:tcPr>
          <w:p>
            <w:pPr>
              <w:ind w:left="360"/>
              <w:spacing w:after="0"/>
              <w:rPr>
                <w:sz w:val="20"/>
                <w:szCs w:val="20"/>
                <w:color w:val="auto"/>
              </w:rPr>
            </w:pPr>
            <w:r>
              <w:rPr>
                <w:rFonts w:ascii="Arial" w:cs="Arial" w:eastAsia="Arial" w:hAnsi="Arial"/>
                <w:sz w:val="16"/>
                <w:szCs w:val="16"/>
                <w:color w:val="auto"/>
              </w:rPr>
              <w:t>Total cash flow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Derivatives Not Designated or Not Qualifying as Hedging Instruments: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Credit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Embedded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non-qualifying hedges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36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4" w:right="239" w:bottom="1440" w:gutter="0" w:footer="0" w:header="0"/>
        </w:sectPr>
      </w:pPr>
    </w:p>
    <w:bookmarkStart w:id="31" w:name="page32"/>
    <w:bookmarkEnd w:id="3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9"/>
          </w:tcPr>
          <w:p>
            <w:pPr>
              <w:jc w:val="center"/>
              <w:ind w:right="860"/>
              <w:spacing w:after="0"/>
              <w:rPr>
                <w:sz w:val="20"/>
                <w:szCs w:val="20"/>
                <w:color w:val="auto"/>
              </w:rPr>
            </w:pPr>
            <w:r>
              <w:rPr>
                <w:rFonts w:ascii="Arial" w:cs="Arial" w:eastAsia="Arial" w:hAnsi="Arial"/>
                <w:sz w:val="14"/>
                <w:szCs w:val="14"/>
                <w:b w:val="1"/>
                <w:bCs w:val="1"/>
                <w:color w:val="auto"/>
                <w:w w:val="95"/>
              </w:rPr>
              <w:t>Three Months Ended March 31, 2017</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2"/>
                <w:szCs w:val="12"/>
                <w:color w:val="auto"/>
              </w:rPr>
            </w:pPr>
          </w:p>
        </w:tc>
        <w:tc>
          <w:tcPr>
            <w:tcW w:w="86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8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Gains</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Gains (Losses)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Policyholder</w:t>
            </w:r>
          </w:p>
        </w:tc>
        <w:tc>
          <w:tcPr>
            <w:tcW w:w="12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(Losses)</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Recognized for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Recognized for</w:t>
            </w:r>
          </w:p>
        </w:tc>
        <w:tc>
          <w:tcPr>
            <w:tcW w:w="16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Hedged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Benefits and</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deferred in</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 (1)</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Items (2)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Claims (4)</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Fair value hedges (5):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rate derivatives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360"/>
              <w:spacing w:after="0"/>
              <w:rPr>
                <w:sz w:val="20"/>
                <w:szCs w:val="20"/>
                <w:color w:val="auto"/>
              </w:rPr>
            </w:pPr>
            <w:r>
              <w:rPr>
                <w:rFonts w:ascii="Arial" w:cs="Arial" w:eastAsia="Arial" w:hAnsi="Arial"/>
                <w:sz w:val="16"/>
                <w:szCs w:val="16"/>
                <w:color w:val="auto"/>
              </w:rPr>
              <w:t>Total fair value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 (5):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380" w:type="dxa"/>
            <w:vAlign w:val="bottom"/>
          </w:tcPr>
          <w:p>
            <w:pPr>
              <w:ind w:left="360"/>
              <w:spacing w:after="0"/>
              <w:rPr>
                <w:sz w:val="20"/>
                <w:szCs w:val="20"/>
                <w:color w:val="auto"/>
              </w:rPr>
            </w:pPr>
            <w:r>
              <w:rPr>
                <w:rFonts w:ascii="Arial" w:cs="Arial" w:eastAsia="Arial" w:hAnsi="Arial"/>
                <w:sz w:val="16"/>
                <w:szCs w:val="16"/>
                <w:color w:val="auto"/>
              </w:rPr>
              <w:t>Total cash flow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Derivatives Not Designated or Not Qualifying as Hedging Instruments: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Credit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6"/>
                <w:szCs w:val="16"/>
                <w:color w:val="auto"/>
              </w:rPr>
              <w:t>Embedded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non-qualifying hedges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36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20955</wp:posOffset>
            </wp:positionV>
            <wp:extent cx="3833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-98425</wp:posOffset>
            </wp:positionV>
            <wp:extent cx="3833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gains (losses) reclassified from AOCI for cash flow hedges.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foreign currency transaction gains (losses) on hedged items in cash flow and nonqualifying hedging relationships. Hedged items in fair value hedging relationship includes fixed rate liabilities reported in policyholder account balances or future policy benefits and fixed maturity securities. Ineffective portion of the gains (losses) recognized in income is not significant.</w:t>
      </w:r>
    </w:p>
    <w:p>
      <w:pPr>
        <w:spacing w:after="0" w:line="7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changes in estimated fair value related to economic hedges of equity method investments in joint ventures and gains (losses) reclassified from AOCI for cash flow hedges.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variable annuity guarantees included in future policy benefits.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instances, the Company discontinued cash flow hedge accounting because the forecasted transactions were no longer probable of occurring. Because certain of the forecasted transactions also were not probable of occurring within two months of the anticipated date, the Company reclassified amounts from AOCI into net derivative gains (losses). For the three months ended March 31, 2018 and 2017, there were $0 and $12 million, respectively, reclassified into net derivative gains (losses) related to such discontinued cash flow hedges.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both March 31, 2018 and December 31, 2017, the maximum length of time over which the Company was hedging its exposure to variability in future cash flows for forecasted transactions did not exceed two years.</w:t>
      </w:r>
    </w:p>
    <w:p>
      <w:pPr>
        <w:spacing w:after="0" w:line="6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At March 31, 2018 and December 31, 2017, the balance in AOCI associated with cash flow hedges was $155 million and $239 million,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34" w:right="239" w:bottom="1440" w:gutter="0" w:footer="0" w:header="0"/>
        </w:sectPr>
      </w:pPr>
    </w:p>
    <w:bookmarkStart w:id="32" w:name="page33"/>
    <w:bookmarkEnd w:id="3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connection with synthetically created credit investment transactions, the Company writes credit default swaps for which it receives a premium to insure credit risk. Such credit derivatives are included within the nonqualifying derivatives and derivatives for purposes other than hedging table. If a credit event occurs, as defined by the contract, the contract may be cash settled or it may be settled gross by the Company paying the counterparty the specified swap notional amount in exchange for the delivery of par quantities of the referenced credit obligation. The Company can terminate these contracts at any time through cash settlement with the counterparty at an amount equal to the then current estimated fair value of the credit default swaps.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March 31, 2018</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3"/>
                <w:szCs w:val="13"/>
                <w:color w:val="auto"/>
              </w:rPr>
            </w:pPr>
          </w:p>
        </w:tc>
        <w:tc>
          <w:tcPr>
            <w:tcW w:w="1320" w:type="dxa"/>
            <w:vAlign w:val="bottom"/>
          </w:tcPr>
          <w:p>
            <w:pPr>
              <w:jc w:val="center"/>
              <w:ind w:right="85"/>
              <w:spacing w:after="0" w:line="153" w:lineRule="exact"/>
              <w:rPr>
                <w:sz w:val="20"/>
                <w:szCs w:val="20"/>
                <w:color w:val="auto"/>
              </w:rPr>
            </w:pPr>
            <w:r>
              <w:rPr>
                <w:rFonts w:ascii="Arial" w:cs="Arial" w:eastAsia="Arial" w:hAnsi="Arial"/>
                <w:sz w:val="14"/>
                <w:szCs w:val="14"/>
                <w:b w:val="1"/>
                <w:bCs w:val="1"/>
                <w:color w:val="auto"/>
                <w:w w:val="99"/>
              </w:rPr>
              <w:t>Maximum</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00" w:type="dxa"/>
            <w:vAlign w:val="bottom"/>
          </w:tcPr>
          <w:p>
            <w:pPr>
              <w:jc w:val="center"/>
              <w:ind w:right="105"/>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Amount of</w:t>
            </w:r>
          </w:p>
        </w:tc>
        <w:tc>
          <w:tcPr>
            <w:tcW w:w="124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6"/>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6"/>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4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32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60" w:type="dxa"/>
            <w:vAlign w:val="bottom"/>
          </w:tcPr>
          <w:p>
            <w:pPr>
              <w:spacing w:after="0"/>
              <w:rPr>
                <w:sz w:val="16"/>
                <w:szCs w:val="16"/>
                <w:color w:val="auto"/>
              </w:rPr>
            </w:pPr>
          </w:p>
        </w:tc>
        <w:tc>
          <w:tcPr>
            <w:tcW w:w="1300" w:type="dxa"/>
            <w:vAlign w:val="bottom"/>
          </w:tcPr>
          <w:p>
            <w:pPr>
              <w:jc w:val="center"/>
              <w:ind w:right="85"/>
              <w:spacing w:after="0"/>
              <w:rPr>
                <w:sz w:val="20"/>
                <w:szCs w:val="20"/>
                <w:color w:val="auto"/>
              </w:rPr>
            </w:pPr>
            <w:r>
              <w:rPr>
                <w:rFonts w:ascii="Arial" w:cs="Arial" w:eastAsia="Arial" w:hAnsi="Arial"/>
                <w:sz w:val="14"/>
                <w:szCs w:val="14"/>
                <w:b w:val="1"/>
                <w:bCs w:val="1"/>
                <w:color w:val="auto"/>
                <w:w w:val="85"/>
              </w:rPr>
              <w:t>Swaps</w:t>
            </w:r>
          </w:p>
        </w:tc>
        <w:tc>
          <w:tcPr>
            <w:tcW w:w="1240" w:type="dxa"/>
            <w:vAlign w:val="bottom"/>
          </w:tcPr>
          <w:p>
            <w:pPr>
              <w:jc w:val="center"/>
              <w:ind w:left="43"/>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607</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558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4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5"/>
              <w:spacing w:after="0"/>
              <w:rPr>
                <w:sz w:val="20"/>
                <w:szCs w:val="20"/>
                <w:color w:val="auto"/>
              </w:rPr>
            </w:pPr>
            <w:r>
              <w:rPr>
                <w:rFonts w:ascii="Arial" w:cs="Arial" w:eastAsia="Arial" w:hAnsi="Arial"/>
                <w:sz w:val="16"/>
                <w:szCs w:val="16"/>
                <w:color w:val="auto"/>
              </w:rPr>
              <w:t>1,321</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1,317</w:t>
            </w: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1,928</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1,900</w:t>
            </w: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59"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both single name credit default swaps that may be referenced to the credit of corporations, foreign governments or state and political subdivisions and credit default swaps referencing indices. The rating agency designations are based on availability and the midpoint of the applicable ratings among Moody’s Investors Service (“Moody’s”), Standard &amp; Poor’s Global Ratings (“S&amp;P”) and Fitch Ratings. If no rating is available from a rating agency, then an internally developed rating is used.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manages its credit risk related to derivatives by entering into transactions with creditworthy counterparties and establishing and monitoring exposure limits. The Company’s OTC-bilateral derivative transactions are generally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 off receivables from the counterparty against payables to the same counterparty arising out of all included transactions. Substantially all of the Company’s ISDA Master Agreements also include Credit Support Annex provisions which require both the pledging and accepting of collateral in connection with its OTC-bilateral derivatives.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OTC-cleared derivatives are effected through central clearing counterparties and its exchange-traded derivatives are effected through regulated exchanges. Such positions are marked to market and margined on a daily basis (both initial margin and variation margin), and the Company has minimal exposure to credit-related losses in the event of nonperformance by counterparties to such derivatives.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34" w:right="239" w:bottom="1440" w:gutter="0" w:footer="0" w:header="0"/>
        </w:sectPr>
      </w:pPr>
    </w:p>
    <w:bookmarkStart w:id="33" w:name="page34"/>
    <w:bookmarkEnd w:id="3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Subject to a Master Netting Arrangement or a Similar Arrangement</w:t>
            </w: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64"/>
        </w:trPr>
        <w:tc>
          <w:tcPr>
            <w:tcW w:w="6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estimated fair value of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3,135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and Exchange-traded (1), (6)</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7000" w:type="dxa"/>
            <w:vAlign w:val="bottom"/>
            <w:gridSpan w:val="2"/>
          </w:tcPr>
          <w:p>
            <w:pPr>
              <w:ind w:left="200"/>
              <w:spacing w:after="0"/>
              <w:rPr>
                <w:sz w:val="20"/>
                <w:szCs w:val="20"/>
                <w:color w:val="auto"/>
              </w:rPr>
            </w:pPr>
            <w:r>
              <w:rPr>
                <w:rFonts w:ascii="Arial" w:cs="Arial" w:eastAsia="Arial" w:hAnsi="Arial"/>
                <w:sz w:val="16"/>
                <w:szCs w:val="16"/>
                <w:color w:val="auto"/>
              </w:rPr>
              <w:t>Total gross estimated fair value of derivatives (1)</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3,143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Amounts offset on the consolidated balance sheets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gridSpan w:val="2"/>
          </w:tcPr>
          <w:p>
            <w:pPr>
              <w:ind w:left="200"/>
              <w:spacing w:after="0"/>
              <w:rPr>
                <w:sz w:val="20"/>
                <w:szCs w:val="20"/>
                <w:color w:val="auto"/>
              </w:rPr>
            </w:pPr>
            <w:r>
              <w:rPr>
                <w:rFonts w:ascii="Arial" w:cs="Arial" w:eastAsia="Arial" w:hAnsi="Arial"/>
                <w:sz w:val="16"/>
                <w:szCs w:val="16"/>
                <w:color w:val="auto"/>
              </w:rPr>
              <w:t>Estimated fair value of derivatives presented on the consolidated balance sheets (1), (6)</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3,143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amounts not offset on the consolidated balance sheets: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Gross estimated fair value of derivatives: (2)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collateral: (3), (4)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Securities collateral: (5)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OTC-cleared and 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amount after application of master netting agreements and collateral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March 31, 2018 and December 31, 2017, derivative assets included income or (expense) accruals reported in accrued investment income or in other liabilities of $69 million and $49 million, respectively, and derivative liabilities included (income) or expense accruals reported in accrued investment income or in other liabilities of $2 million and ($8) million, respectively.</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fair value of derivatives is limited to the amount that is subject to set-off and includes income or expense accruals.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collateral received by the Company for OTC-bilateral and OTC-cleared derivatives is included in cash and cash equivalents, short-term investments or in fixed maturity securities, and the obligation to return it is included in payables for collateral under securities loaned and other transactions on the balance sheet.</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receivable for the return of cash collateral provided by the Company is inclusive of initial margin on exchange-traded and OTC-cleared derivatives and is included in premiums, reinsurance and other receivables on the balance sheet. The amount of cash collateral offset in the table above is limited to the net estimated fair value of derivatives after application of netting agreements. At March 31, 2018 and December 31, 2017, the Company received excess cash collateral of $180 million and $94 million, respectively, and provided excess cash collateral of $0 and $5 million, respectively, which is not included in the table above due to the foregoing limitation.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34" w:right="239" w:bottom="1440" w:gutter="0" w:footer="0" w:header="0"/>
        </w:sectPr>
      </w:pPr>
    </w:p>
    <w:bookmarkStart w:id="34" w:name="page35"/>
    <w:bookmarkEnd w:id="3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500" w:hanging="492"/>
        <w:spacing w:after="0" w:line="270"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Securities collateral received by the Company is held in separate custodial accounts and is not recorded on the balance sheet. Subject to certain constraints, the Company is permitted by contract to sell or re-pledge this collateral, but at March 31, 2018, none of the collateral had been sold or re-pledged. Securities collateral pledged by the Company is reported in fixed maturity securities on the balance sheet. Subject to certain constraints, the counterparties are permitted by contract to sell or re-pledge this collateral. The amount of securities collateral offset in the table above is limited to the net estimated fair value of derivatives after application of netting agreements and cash collateral. At March 31, 2018 and December 31, 2017, the Company received excess securities collateral with an estimated fair value of $292 million and $337 million, respectively, for its OTC-bilateral derivatives, which are not included in the table above due to the foregoing limitation. At March 31, 2018 and December 31, 2017, the Company provided excess securities collateral with an estimated fair value of $594 million and $471 million, respectively, for its OTC-bilateral derivatives, and $146 million and $427 million, respectively, for its OTC-cleared derivatives, and $98 million and $118 million, respectively, for its exchange-traded derivatives, which are not included in the table above due to the foregoing limitation.</w:t>
      </w:r>
    </w:p>
    <w:p>
      <w:pPr>
        <w:spacing w:after="0" w:line="69" w:lineRule="exact"/>
        <w:rPr>
          <w:rFonts w:ascii="Arial" w:cs="Arial" w:eastAsia="Arial" w:hAnsi="Arial"/>
          <w:sz w:val="17"/>
          <w:szCs w:val="17"/>
          <w:color w:val="auto"/>
        </w:rPr>
      </w:pPr>
    </w:p>
    <w:p>
      <w:pPr>
        <w:jc w:val="both"/>
        <w:ind w:left="500" w:hanging="492"/>
        <w:spacing w:after="0" w:line="25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January 16, 2018, the London Clearing House (“LCH”) amended its rulebook, resulting in the characterization of variation margin transfers as settlement payments, as opposed to adjustments to collateral. These amendments impacted the accounting treatment of the Company’s centrally cleared derivatives, for which the LCH serves as the central clearing party. As of the effective date, the application of the amended rulebook reduced gross derivative liabilities by $77 million, accrued investment income by $2 million, and collateral receivables recorded within premiums, reinsurance and other receivables by $75 million.</w:t>
      </w:r>
    </w:p>
    <w:p>
      <w:pPr>
        <w:spacing w:after="0" w:line="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collateral arrangements for its OTC-bilateral derivatives generally require the counterparty in a net liability position, after considering the effect of netting agreements, to pledge collateral when the amount owed by that counterparty reaches a minimum transfer amount. A small number of these arrangements also include credit-contingent provisions that include a threshold above which collateral must be posted. Such agreements provide for a reduction of these thresholds (on a sliding scale that converges toward zero) in the event of downgrades in the credit ratings of the Company and/or the counterparty. In addition, substantially all of the Company’s netting agreements for derivatives contain provisions that require both the Company and the counterparty to maintain a specific investment grade credit rating from each of Moody’s and S&amp;P. If a party’s financial strength or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presents the estimated fair value of the Company’s OTC-bilateral derivatives that are in a net liability position after considering the effect of netting agreements, together with the estimated fair value and balance sheet location of the collateral pledged. The Company’s collateral agreements require both parties to be fully collateralized, as such, the Company would not be required to post additional collateral as a result of a downgrade in its financial strength rating. OTC-bilateral derivatives that are not subject to collateral agreements are excluded from this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jc w:val="right"/>
              <w:ind w:right="130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1,198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1,138</w:t>
            </w: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Fixed maturity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1,414</w:t>
            </w:r>
          </w:p>
        </w:tc>
      </w:tr>
      <w:tr>
        <w:trPr>
          <w:trHeight w:val="182"/>
        </w:trPr>
        <w:tc>
          <w:tcPr>
            <w:tcW w:w="20" w:type="dxa"/>
            <w:vAlign w:val="bottom"/>
          </w:tcPr>
          <w:p>
            <w:pPr>
              <w:spacing w:after="0"/>
              <w:rPr>
                <w:sz w:val="15"/>
                <w:szCs w:val="15"/>
                <w:color w:val="auto"/>
              </w:rPr>
            </w:pPr>
          </w:p>
        </w:tc>
        <w:tc>
          <w:tcPr>
            <w:tcW w:w="7880" w:type="dxa"/>
            <w:vAlign w:val="bottom"/>
          </w:tcPr>
          <w:p>
            <w:pPr>
              <w:jc w:val="right"/>
              <w:ind w:right="6521"/>
              <w:spacing w:after="0"/>
              <w:rPr>
                <w:sz w:val="20"/>
                <w:szCs w:val="20"/>
                <w:color w:val="auto"/>
              </w:rPr>
            </w:pPr>
            <w:r>
              <w:rPr>
                <w:rFonts w:ascii="Arial" w:cs="Arial" w:eastAsia="Arial" w:hAnsi="Arial"/>
                <w:sz w:val="14"/>
                <w:szCs w:val="14"/>
                <w:color w:val="auto"/>
                <w:w w:val="89"/>
              </w:rPr>
              <w:t>__________________</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7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issues certain products or purchases certain investments that contain embedded derivatives that are required to be separated from their host contracts and accounted for as freestanding derivatives. These host contracts principally include: variable annuities with guaranteed minimum benefits, including GMWBs, GMABs and certain GMIBs; related party ceded reinsurance of guaranteed minimum benefits related to GMWBs, GMABs and certain GMIBs; related party assumed reinsurance of guaranteed minimum benefits related to GMWBs and certain GMIBs; funds withheld on assumed and ceded reinsurance; assumed reinsurance on fixed deferred annuities; fixed annuities with equity-indexed returns; and certain debt and equity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34" w:right="239" w:bottom="1440" w:gutter="0" w:footer="0" w:header="0"/>
        </w:sectPr>
      </w:pPr>
    </w:p>
    <w:bookmarkStart w:id="35" w:name="page36"/>
    <w:bookmarkEnd w:id="3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and balance sheet location of the Company’s embedded derivatives that have been separated from their host contracts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32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140" w:type="dxa"/>
            <w:vAlign w:val="bottom"/>
            <w:tcBorders>
              <w:top w:val="single" w:sz="8" w:color="auto"/>
            </w:tcBorders>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Embedded derivatives within asset host contracts:</w:t>
            </w: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Ceded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embedded in debt or equity securities (1)</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Embedded derivatives within asset host contracts</w:t>
            </w:r>
          </w:p>
        </w:tc>
        <w:tc>
          <w:tcPr>
            <w:tcW w:w="3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Direct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Assumed reinsurance on fixed deferred annuities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Fixed annuities with equity indexed returns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spacing w:after="0"/>
              <w:rPr>
                <w:sz w:val="20"/>
                <w:szCs w:val="20"/>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3319"/>
              <w:spacing w:after="0"/>
              <w:rPr>
                <w:sz w:val="20"/>
                <w:szCs w:val="20"/>
                <w:color w:val="auto"/>
              </w:rPr>
            </w:pPr>
            <w:r>
              <w:rPr>
                <w:rFonts w:ascii="Arial" w:cs="Arial" w:eastAsia="Arial" w:hAnsi="Arial"/>
                <w:sz w:val="14"/>
                <w:szCs w:val="14"/>
                <w:color w:val="auto"/>
                <w:w w:val="91"/>
              </w:rPr>
              <w:t>__________________</w:t>
            </w: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gridSpan w:val="2"/>
            <w:vMerge w:val="continue"/>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connection with the adoption of new guidance related to the recognition and measurement of financial instruments (see Note 1), effective January 1, 2018, the Company is no longer required to bifurcate and account separately for derivatives embedded in equity securities. Beginning January 1, 2018, the entire change in the estimated fair value of equity securities is recognized as a component of net investment gains and losses.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estimated fair value related to embedded derivatives:</w:t>
      </w:r>
    </w:p>
    <w:p>
      <w:pPr>
        <w:spacing w:after="0" w:line="271"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auto"/>
        </w:rPr>
        <w:t>Three Months</w:t>
      </w:r>
    </w:p>
    <w:p>
      <w:pPr>
        <w:ind w:left="99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13335</wp:posOffset>
            </wp:positionV>
            <wp:extent cx="15608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87"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2017</w:t>
            </w:r>
          </w:p>
        </w:tc>
      </w:tr>
      <w:tr>
        <w:trPr>
          <w:trHeight w:val="264"/>
        </w:trPr>
        <w:tc>
          <w:tcPr>
            <w:tcW w:w="8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2"/>
                <w:szCs w:val="22"/>
                <w:color w:val="auto"/>
              </w:rPr>
            </w:pPr>
          </w:p>
        </w:tc>
      </w:tr>
      <w:tr>
        <w:trPr>
          <w:trHeight w:val="256"/>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derivative gains (losses) (1), (2)</w:t>
            </w:r>
          </w:p>
        </w:tc>
        <w:tc>
          <w:tcPr>
            <w:tcW w:w="86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97"/>
              </w:rPr>
              <w:t>506</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170</w:t>
            </w:r>
          </w:p>
        </w:tc>
      </w:tr>
      <w:tr>
        <w:trPr>
          <w:trHeight w:val="237"/>
        </w:trPr>
        <w:tc>
          <w:tcPr>
            <w:tcW w:w="876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8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3" w:lineRule="exact"/>
        <w:rPr>
          <w:sz w:val="20"/>
          <w:szCs w:val="20"/>
          <w:color w:val="auto"/>
        </w:rPr>
      </w:pPr>
    </w:p>
    <w:p>
      <w:pPr>
        <w:jc w:val="both"/>
        <w:ind w:left="500" w:hanging="492"/>
        <w:spacing w:after="0" w:line="30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valuation of direct and assumed guaranteed minimum benefits includes a nonperformance risk adjustment. The amounts included in net derivative gains (losses) in connection with this adjustment were ($15) million and ($40) million for the three months ended March 31, 2018 and 2017, respectively. In addition, the valuation of ceded guaranteed minimum benefits includes a nonperformance risk adjustment. The amounts included in net derivative gains (losses) in connection with this adjustment were both less than $1 million for the three months ended March 31, 2018 and 2017.</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11 for discussion of related party net derivative gains (losses).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4"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including those items for which the Company has elected the FVO, are presented below at:</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2018</w:t>
            </w: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2</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(In millions)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22,392</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23,252</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U.S. government and agency</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6,453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7,505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13,958</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RMBS</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6,945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5,870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4,088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CMBS</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3,707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3,840</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1,307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6,453</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53,613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63,178</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Real estate joint ventures (1)</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limited partnership interests (1)</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Commercial mortgage loans held by CSEs — FVO</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 (2)</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Credit</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80"/>
              <w:spacing w:after="0"/>
              <w:rPr>
                <w:sz w:val="20"/>
                <w:szCs w:val="20"/>
                <w:color w:val="auto"/>
              </w:rPr>
            </w:pPr>
            <w:r>
              <w:rPr>
                <w:rFonts w:ascii="Arial" w:cs="Arial" w:eastAsia="Arial" w:hAnsi="Arial"/>
                <w:sz w:val="14"/>
                <w:szCs w:val="14"/>
                <w:color w:val="auto"/>
              </w:rPr>
              <w:t>Total derivative assets</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Embedded derivatives within asset host contracts (3)</w:t>
            </w:r>
          </w:p>
        </w:tc>
        <w:tc>
          <w:tcPr>
            <w:tcW w:w="2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Separate account assets</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113,918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114,385</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7,076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169,847</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3,647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180,570</w:t>
            </w:r>
          </w:p>
        </w:tc>
        <w:tc>
          <w:tcPr>
            <w:tcW w:w="0" w:type="dxa"/>
            <w:vAlign w:val="bottom"/>
          </w:tcPr>
          <w:p>
            <w:pPr>
              <w:spacing w:after="0"/>
              <w:rPr>
                <w:sz w:val="1"/>
                <w:szCs w:val="1"/>
                <w:color w:val="auto"/>
              </w:rPr>
            </w:pPr>
          </w:p>
        </w:tc>
      </w:tr>
      <w:tr>
        <w:trPr>
          <w:trHeight w:val="60"/>
        </w:trPr>
        <w:tc>
          <w:tcPr>
            <w:tcW w:w="60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liabilities: (2)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Interest rate</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16"/>
                <w:szCs w:val="16"/>
                <w:color w:val="auto"/>
              </w:rPr>
            </w:pPr>
          </w:p>
        </w:tc>
        <w:tc>
          <w:tcPr>
            <w:tcW w:w="360" w:type="dxa"/>
            <w:vAlign w:val="bottom"/>
            <w:vMerge w:val="restart"/>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Credit</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1,560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80"/>
              <w:spacing w:after="0"/>
              <w:rPr>
                <w:sz w:val="20"/>
                <w:szCs w:val="20"/>
                <w:color w:val="auto"/>
              </w:rPr>
            </w:pPr>
            <w:r>
              <w:rPr>
                <w:rFonts w:ascii="Arial" w:cs="Arial" w:eastAsia="Arial" w:hAnsi="Arial"/>
                <w:sz w:val="14"/>
                <w:szCs w:val="14"/>
                <w:color w:val="auto"/>
              </w:rPr>
              <w:t>Total derivative liabilities</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Embedded derivatives within liability host contracts (3)</w:t>
            </w:r>
          </w:p>
        </w:tc>
        <w:tc>
          <w:tcPr>
            <w:tcW w:w="2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Long-term debt of CSEs — FVO</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2,719</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4,642</w:t>
            </w:r>
          </w:p>
        </w:tc>
        <w:tc>
          <w:tcPr>
            <w:tcW w:w="0" w:type="dxa"/>
            <w:vAlign w:val="bottom"/>
          </w:tcPr>
          <w:p>
            <w:pPr>
              <w:spacing w:after="0"/>
              <w:rPr>
                <w:sz w:val="1"/>
                <w:szCs w:val="1"/>
                <w:color w:val="auto"/>
              </w:rPr>
            </w:pPr>
          </w:p>
        </w:tc>
      </w:tr>
      <w:tr>
        <w:trPr>
          <w:trHeight w:val="60"/>
        </w:trPr>
        <w:tc>
          <w:tcPr>
            <w:tcW w:w="60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34" w:right="2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6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2</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22,048</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22,957</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U.S. government and agency</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8,304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7,988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16,292</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RMBS</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5,935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CMBS</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3,287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1,304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8,304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53,455</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64,991</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20"/>
              <w:spacing w:after="0"/>
              <w:rPr>
                <w:sz w:val="20"/>
                <w:szCs w:val="20"/>
                <w:color w:val="auto"/>
              </w:rPr>
            </w:pPr>
            <w:r>
              <w:rPr>
                <w:rFonts w:ascii="Arial" w:cs="Arial" w:eastAsia="Arial" w:hAnsi="Arial"/>
                <w:sz w:val="14"/>
                <w:szCs w:val="14"/>
                <w:color w:val="auto"/>
              </w:rPr>
              <w:t>Equity securities (4)</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Commercial mortgage loans held by CSEs — FVO</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 (2)</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Credit</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80"/>
              <w:spacing w:after="0"/>
              <w:rPr>
                <w:sz w:val="20"/>
                <w:szCs w:val="20"/>
                <w:color w:val="auto"/>
              </w:rPr>
            </w:pPr>
            <w:r>
              <w:rPr>
                <w:rFonts w:ascii="Arial" w:cs="Arial" w:eastAsia="Arial" w:hAnsi="Arial"/>
                <w:sz w:val="14"/>
                <w:szCs w:val="14"/>
                <w:color w:val="auto"/>
              </w:rPr>
              <w:t>Total derivative assets</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2,079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Embedded derivatives within asset host contracts (3)</w:t>
            </w:r>
          </w:p>
        </w:tc>
        <w:tc>
          <w:tcPr>
            <w:tcW w:w="2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Separate account assets</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117,842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118,257</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8,890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173,666</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186,317</w:t>
            </w:r>
          </w:p>
        </w:tc>
        <w:tc>
          <w:tcPr>
            <w:tcW w:w="0" w:type="dxa"/>
            <w:vAlign w:val="bottom"/>
          </w:tcPr>
          <w:p>
            <w:pPr>
              <w:spacing w:after="0"/>
              <w:rPr>
                <w:sz w:val="1"/>
                <w:szCs w:val="1"/>
                <w:color w:val="auto"/>
              </w:rPr>
            </w:pPr>
          </w:p>
        </w:tc>
      </w:tr>
      <w:tr>
        <w:trPr>
          <w:trHeight w:val="60"/>
        </w:trPr>
        <w:tc>
          <w:tcPr>
            <w:tcW w:w="60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liabilities: (2)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Interest rate</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16"/>
                <w:szCs w:val="16"/>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Credit</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80"/>
              <w:spacing w:after="0"/>
              <w:rPr>
                <w:sz w:val="20"/>
                <w:szCs w:val="20"/>
                <w:color w:val="auto"/>
              </w:rPr>
            </w:pPr>
            <w:r>
              <w:rPr>
                <w:rFonts w:ascii="Arial" w:cs="Arial" w:eastAsia="Arial" w:hAnsi="Arial"/>
                <w:sz w:val="14"/>
                <w:szCs w:val="14"/>
                <w:color w:val="auto"/>
              </w:rPr>
              <w:t>Total derivative liabilities</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2,691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Embedded derivatives within liability host contracts (3)</w:t>
            </w:r>
          </w:p>
        </w:tc>
        <w:tc>
          <w:tcPr>
            <w:tcW w:w="2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80"/>
        </w:trPr>
        <w:tc>
          <w:tcPr>
            <w:tcW w:w="6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
              <w:spacing w:after="0"/>
              <w:rPr>
                <w:sz w:val="20"/>
                <w:szCs w:val="20"/>
                <w:color w:val="auto"/>
              </w:rPr>
            </w:pPr>
            <w:r>
              <w:rPr>
                <w:rFonts w:ascii="Arial" w:cs="Arial" w:eastAsia="Arial" w:hAnsi="Arial"/>
                <w:sz w:val="14"/>
                <w:szCs w:val="14"/>
                <w:color w:val="auto"/>
              </w:rPr>
              <w:t>Long-term debt of CSEs — FVO</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60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2,702</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5,027</w:t>
            </w:r>
          </w:p>
        </w:tc>
        <w:tc>
          <w:tcPr>
            <w:tcW w:w="0" w:type="dxa"/>
            <w:vAlign w:val="bottom"/>
          </w:tcPr>
          <w:p>
            <w:pPr>
              <w:spacing w:after="0"/>
              <w:rPr>
                <w:sz w:val="1"/>
                <w:szCs w:val="1"/>
                <w:color w:val="auto"/>
              </w:rPr>
            </w:pPr>
          </w:p>
        </w:tc>
      </w:tr>
      <w:tr>
        <w:trPr>
          <w:trHeight w:val="60"/>
        </w:trPr>
        <w:tc>
          <w:tcPr>
            <w:tcW w:w="60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-98425</wp:posOffset>
            </wp:positionV>
            <wp:extent cx="3370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93" w:lineRule="exact"/>
        <w:rPr>
          <w:sz w:val="20"/>
          <w:szCs w:val="20"/>
          <w:color w:val="auto"/>
        </w:rPr>
      </w:pPr>
    </w:p>
    <w:p>
      <w:pPr>
        <w:jc w:val="both"/>
        <w:ind w:left="500" w:hanging="49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 but are presented net for purposes of the rollforward in the Fair Value Measurements Using Significant Unobservable Inputs (Level 3) tables.</w:t>
      </w:r>
    </w:p>
    <w:p>
      <w:pPr>
        <w:spacing w:after="0" w:line="78"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 At March 31, 2018 and December 31, 2017, debt and equity securities also included embedded derivatives of $0 and ($52) million, respectively.</w:t>
      </w:r>
    </w:p>
    <w:p>
      <w:pPr>
        <w:sectPr>
          <w:pgSz w:w="11900" w:h="16838" w:orient="portrait"/>
          <w:cols w:equalWidth="0" w:num="1">
            <w:col w:w="11420"/>
          </w:cols>
          <w:pgMar w:left="240" w:top="288" w:right="239" w:bottom="933"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288" w:right="239" w:bottom="933"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reclassified Federal Home Loan Bank stock in the prior period from equity securities to other invested assets.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MLIA.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based on changing market conditions. In addition, the Chief Accounting Officer periodically reports to the Audit Committee of Brighthouse’s Board of Directors regarding compliance with fair value accounting standards.</w:t>
      </w:r>
    </w:p>
    <w:p>
      <w:pPr>
        <w:spacing w:after="0" w:line="85" w:lineRule="exact"/>
        <w:rPr>
          <w:sz w:val="20"/>
          <w:szCs w:val="20"/>
          <w:color w:val="auto"/>
        </w:rPr>
      </w:pPr>
    </w:p>
    <w:p>
      <w:pPr>
        <w:jc w:val="both"/>
        <w:ind w:left="180" w:firstLine="324"/>
        <w:spacing w:after="0" w:line="287" w:lineRule="auto"/>
        <w:rPr>
          <w:sz w:val="20"/>
          <w:szCs w:val="20"/>
          <w:color w:val="auto"/>
        </w:rPr>
      </w:pPr>
      <w:r>
        <w:rPr>
          <w:rFonts w:ascii="Arial" w:cs="Arial" w:eastAsia="Arial" w:hAnsi="Arial"/>
          <w:sz w:val="16"/>
          <w:szCs w:val="16"/>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MLIA performs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Fixed maturity securities priced using independent non-binding broker quotations represent less than 1% of the total estimated fair value of fixed maturity securities and 4% of the total estimated fair value of Level 3 fixed maturity securities at March 31, 2018.</w:t>
      </w:r>
    </w:p>
    <w:p>
      <w:pPr>
        <w:spacing w:after="0" w:line="65"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MLIA also applies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MLIA will use the last available price.</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 reviews outputs of MLIA’s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2018.</w:t>
      </w:r>
    </w:p>
    <w:p>
      <w:pPr>
        <w:spacing w:after="0" w:line="63" w:lineRule="exact"/>
        <w:rPr>
          <w:sz w:val="20"/>
          <w:szCs w:val="20"/>
          <w:color w:val="auto"/>
        </w:rPr>
      </w:pPr>
    </w:p>
    <w:p>
      <w:pPr>
        <w:jc w:val="center"/>
        <w:ind w:right="89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71"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u w:val="single" w:color="auto"/>
          <w:color w:val="auto"/>
        </w:rPr>
        <w:t>Fixed maturities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maturities classified as Level 2 assets, fair values are determined using either a market or income approach and are valued based on a variety of observable inputs as described below.</w:t>
      </w:r>
    </w:p>
    <w:p>
      <w:pPr>
        <w:spacing w:after="0" w:line="12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 dealer quotes, and comparable securities that are actively traded.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8"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18"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u w:val="single" w:color="auto"/>
          <w:color w:val="auto"/>
        </w:rPr>
        <w:t>Equity securities, short-term investments, real estate joint ventures, other limited partnership interests, commercial mortgage loans held by CSEs — FVO and long-term debt of CSEs — FVO</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 for actively traded equity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2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11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Real Estate Joint Ventures and Other Limited Partnership Interests: </w:t>
      </w:r>
      <w:r>
        <w:rPr>
          <w:rFonts w:ascii="Arial" w:cs="Arial" w:eastAsia="Arial" w:hAnsi="Arial"/>
          <w:sz w:val="18"/>
          <w:szCs w:val="18"/>
          <w:color w:val="auto"/>
        </w:rPr>
        <w:t>Fair values is generally based on the Company’s share of the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(“NAV”) as provided on the financial statements of the investees.</w:t>
      </w:r>
    </w:p>
    <w:p>
      <w:pPr>
        <w:spacing w:after="0" w:line="116"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Commercial mortgage loans held by CSEs — FVO and long-term debt of CSEs — FVO: </w:t>
      </w:r>
      <w:r>
        <w:rPr>
          <w:rFonts w:ascii="Arial" w:cs="Arial" w:eastAsia="Arial" w:hAnsi="Arial"/>
          <w:sz w:val="18"/>
          <w:szCs w:val="18"/>
          <w:color w:val="auto"/>
        </w:rPr>
        <w:t>Fair value is determined using third-party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services, with the primary input being quoted securitization market price determined principally by independent pricing services using observable inputs or quoted prices or reported NAV provided by the fund managers.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8"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Embedded derivatives principally include certain direct, assumed and ceded variable annuity guarantees, equity or bond indexed crediting rates within certain annuity contracts, and those related to funds withheld on ceded reinsurance agreements. Embedded derivatives are recorded at estimated fair value with changes in estimated fair value reported in net income.</w:t>
      </w:r>
    </w:p>
    <w:p>
      <w:pPr>
        <w:spacing w:after="0" w:line="73"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3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Company’s actuarial department calculates the fair value of these embedded derivatives, which are estimated as the present value of projected future benefits minus the present value of projected future fees using actuarial and capital market assumptions including expectations concerning policyholder behavior. The calculation is based on in-force business, and is performed using standard actuarial valuation software which projects future cash flows from the embedded derivative over multiple risk neutral stochastic scenarios using observable risk-free rates.</w:t>
      </w:r>
    </w:p>
    <w:p>
      <w:pPr>
        <w:spacing w:after="0" w:line="6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Brighthouse Financial, Inc.’s debt. These observable spreads are then adjusted to reflect the priority of these liabilities and claims paying ability of the issuing insurance subsidiaries as compared to Brighthouse Financial, Inc.’s overall financial strength.</w:t>
      </w:r>
    </w:p>
    <w:p>
      <w:pPr>
        <w:spacing w:after="0" w:line="63"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 These guarantees may be more costly than expected in volatile or declining equity markets. Market conditions including, but not limited to, changes in interest rates, equity indices, market volatility and foreign currency exchange rates; changes in nonperformance risk; and variations in actuarial assumptions regarding policyholder behavior, mortality and risk margins related to non-capital market inputs, may result in significant fluctuations in the estimated fair value of the guarantees that could materially affect net income.</w:t>
      </w:r>
    </w:p>
    <w:p>
      <w:pPr>
        <w:spacing w:after="0" w:line="5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recaptured from a former affiliate the risk associated with certain GMIBs. These embedded derivatives are included in policyholder account balances on the consolidated balance sheets with changes in estimated fair value reported in net derivative gains (losses). The value of the embedded derivatives on these recaptured risks is determined using a methodology consistent with that described previously for the guarantees directly written by the Company.</w:t>
      </w:r>
    </w:p>
    <w:p>
      <w:pPr>
        <w:spacing w:after="0" w:line="79"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The Company ceded to a former affiliate the risk associated with certain of the GMIBs, GMABs and GMWBs described above that are also accounted for as embedded derivatives. In addition to ceding risks associated with guarantees that are accounted for as embedded derivatives, the Company also ceded, to a former affiliate, certain directly written GMIBs that are accounted for as insurance (i.e., not as embedded derivatives), but where the reinsurance agreement contains an embedded derivative. These embedded derivatives are included within premiums, reinsurance and other receivables on the consolidated balance sheets with changes in estimated fair value reported in net derivative gains (losses). The value of the embedded derivatives on the ceded risk is determined using a methodology consistent with that described previously for the guarantees directly written by the Company with the exception of the input for nonperformance risk that reflects the credit of the reinsurer.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8"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The estimated fair value of the embedded derivatives within funds withheld related to certain ceded reinsurance is determined based on the change in estimated fair value of the underlying assets held by the Company in a reference portfolio backing the funds withheld liability. The estimated fair value of the underlying assets is determined as previously described in “— Equity securities, short-term investments, real estate joint ventures, other limited partnership interests, commercial mortgage loans held by CSEs — FVO and long-term debt of CSEs — FVO.” The estimated fair value of these embedded derivatives is included, along with their funds withheld hosts, in other liabilities on the consolidated balance sheets with changes in estimated fair value recorded in net derivative gains (losses). Changes in the credit spreads on the underlying assets, interest rates and market volatility may result in significant fluctuations in the estimated fair value of these embedded derivatives that could materially affect net income.</w:t>
      </w:r>
    </w:p>
    <w:p>
      <w:pPr>
        <w:spacing w:after="0" w:line="5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certain annuity contracts which allow the policyholder to participate in returns from equity indices. These equity indexed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The estimated fair value of the embedded equity indexed derivatives, based on the present value of future equity returns to the policyholder using actuarial and present value assumptions including expectations concerning policyholder behavior, is calculated by the Company’s actuarial department. The calculation is based on in-force business and uses standard capital market techniques, such as Black-Scholes, to calculate the value of the portion of the embedded derivative for which the terms are set. The portion of the embedded derivative covering the period beyond where terms are set is calculated as the present value of amounts expected to be spent to provide equity indexed returns in those periods. The valuation of these embedded derivatives also includes the establishment of a risk margin, as well as changes in nonperformance risk.</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Transfers between Levels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Overall, transfers between levels occur when there are changes in the observability of inputs and market activity. Transfers into or out of any level are assumed to occur at the beginning of the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between Levels 1 and 2:</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For assets and liabilities measured at estimated fair value and still held at March 31, 2018 and December 31, 2017, transfers between Levels 1 and 2 were not significant.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8"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gridSpan w:val="3"/>
            <w:vMerge w:val="restart"/>
          </w:tcPr>
          <w:p>
            <w:pPr>
              <w:ind w:left="320"/>
              <w:spacing w:after="0"/>
              <w:rPr>
                <w:sz w:val="20"/>
                <w:szCs w:val="20"/>
                <w:color w:val="auto"/>
              </w:rPr>
            </w:pPr>
            <w:r>
              <w:rPr>
                <w:rFonts w:ascii="Arial" w:cs="Arial" w:eastAsia="Arial" w:hAnsi="Arial"/>
                <w:sz w:val="10"/>
                <w:szCs w:val="10"/>
                <w:b w:val="1"/>
                <w:bCs w:val="1"/>
                <w:color w:val="auto"/>
                <w:w w:val="89"/>
              </w:rPr>
              <w:t>March 31, 2018</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4"/>
            <w:vMerge w:val="restart"/>
          </w:tcPr>
          <w:p>
            <w:pPr>
              <w:ind w:left="240"/>
              <w:spacing w:after="0"/>
              <w:rPr>
                <w:sz w:val="20"/>
                <w:szCs w:val="20"/>
                <w:color w:val="auto"/>
              </w:rPr>
            </w:pPr>
            <w:r>
              <w:rPr>
                <w:rFonts w:ascii="Arial" w:cs="Arial" w:eastAsia="Arial" w:hAnsi="Arial"/>
                <w:sz w:val="10"/>
                <w:szCs w:val="10"/>
                <w:b w:val="1"/>
                <w:bCs w:val="1"/>
                <w:color w:val="auto"/>
                <w:w w:val="91"/>
              </w:rPr>
              <w:t>December 31, 2017</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Impact of</w:t>
            </w:r>
          </w:p>
        </w:tc>
        <w:tc>
          <w:tcPr>
            <w:tcW w:w="0" w:type="dxa"/>
            <w:vAlign w:val="bottom"/>
          </w:tcPr>
          <w:p>
            <w:pPr>
              <w:spacing w:after="0"/>
              <w:rPr>
                <w:sz w:val="1"/>
                <w:szCs w:val="1"/>
                <w:color w:val="auto"/>
              </w:rPr>
            </w:pPr>
          </w:p>
        </w:tc>
      </w:tr>
      <w:tr>
        <w:trPr>
          <w:trHeight w:val="59"/>
        </w:trPr>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line="79" w:lineRule="exact"/>
              <w:rPr>
                <w:sz w:val="20"/>
                <w:szCs w:val="20"/>
                <w:color w:val="auto"/>
              </w:rPr>
            </w:pPr>
            <w:r>
              <w:rPr>
                <w:rFonts w:ascii="Arial" w:cs="Arial" w:eastAsia="Arial" w:hAnsi="Arial"/>
                <w:sz w:val="9"/>
                <w:szCs w:val="9"/>
                <w:b w:val="1"/>
                <w:bCs w:val="1"/>
                <w:color w:val="auto"/>
              </w:rPr>
              <w:t>Increase in Input</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ind w:left="440"/>
              <w:spacing w:after="0"/>
              <w:rPr>
                <w:sz w:val="20"/>
                <w:szCs w:val="20"/>
                <w:color w:val="auto"/>
              </w:rPr>
            </w:pPr>
            <w:r>
              <w:rPr>
                <w:rFonts w:ascii="Arial" w:cs="Arial" w:eastAsia="Arial" w:hAnsi="Arial"/>
                <w:sz w:val="10"/>
                <w:szCs w:val="10"/>
                <w:b w:val="1"/>
                <w:bCs w:val="1"/>
                <w:color w:val="auto"/>
              </w:rPr>
              <w:t>Significant</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Weighted</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Weighted</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9"/>
              </w:rPr>
              <w:t>on Estimated</w:t>
            </w: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ind w:left="200"/>
              <w:spacing w:after="0"/>
              <w:rPr>
                <w:sz w:val="20"/>
                <w:szCs w:val="20"/>
                <w:color w:val="auto"/>
              </w:rPr>
            </w:pPr>
            <w:r>
              <w:rPr>
                <w:rFonts w:ascii="Arial" w:cs="Arial" w:eastAsia="Arial" w:hAnsi="Arial"/>
                <w:sz w:val="10"/>
                <w:szCs w:val="10"/>
                <w:b w:val="1"/>
                <w:bCs w:val="1"/>
                <w:color w:val="auto"/>
              </w:rPr>
              <w:t>Valuation Techniques</w:t>
            </w:r>
          </w:p>
        </w:tc>
        <w:tc>
          <w:tcPr>
            <w:tcW w:w="180" w:type="dxa"/>
            <w:vAlign w:val="bottom"/>
          </w:tcPr>
          <w:p>
            <w:pPr>
              <w:spacing w:after="0"/>
              <w:rPr>
                <w:sz w:val="10"/>
                <w:szCs w:val="10"/>
                <w:color w:val="auto"/>
              </w:rPr>
            </w:pPr>
          </w:p>
        </w:tc>
        <w:tc>
          <w:tcPr>
            <w:tcW w:w="1600" w:type="dxa"/>
            <w:vAlign w:val="bottom"/>
            <w:gridSpan w:val="2"/>
          </w:tcPr>
          <w:p>
            <w:pPr>
              <w:ind w:left="220"/>
              <w:spacing w:after="0"/>
              <w:rPr>
                <w:sz w:val="20"/>
                <w:szCs w:val="20"/>
                <w:color w:val="auto"/>
              </w:rPr>
            </w:pPr>
            <w:r>
              <w:rPr>
                <w:rFonts w:ascii="Arial" w:cs="Arial" w:eastAsia="Arial" w:hAnsi="Arial"/>
                <w:sz w:val="10"/>
                <w:szCs w:val="10"/>
                <w:b w:val="1"/>
                <w:bCs w:val="1"/>
                <w:color w:val="auto"/>
              </w:rPr>
              <w:t>Unobservable Inputs</w:t>
            </w:r>
          </w:p>
        </w:tc>
        <w:tc>
          <w:tcPr>
            <w:tcW w:w="480" w:type="dxa"/>
            <w:vAlign w:val="bottom"/>
          </w:tcPr>
          <w:p>
            <w:pPr>
              <w:spacing w:after="0"/>
              <w:rPr>
                <w:sz w:val="10"/>
                <w:szCs w:val="10"/>
                <w:color w:val="auto"/>
              </w:rPr>
            </w:pPr>
          </w:p>
        </w:tc>
        <w:tc>
          <w:tcPr>
            <w:tcW w:w="420" w:type="dxa"/>
            <w:vAlign w:val="bottom"/>
          </w:tcPr>
          <w:p>
            <w:pPr>
              <w:jc w:val="right"/>
              <w:ind w:right="24"/>
              <w:spacing w:after="0"/>
              <w:rPr>
                <w:sz w:val="20"/>
                <w:szCs w:val="20"/>
                <w:color w:val="auto"/>
              </w:rPr>
            </w:pPr>
            <w:r>
              <w:rPr>
                <w:rFonts w:ascii="Arial" w:cs="Arial" w:eastAsia="Arial" w:hAnsi="Arial"/>
                <w:sz w:val="10"/>
                <w:szCs w:val="10"/>
                <w:b w:val="1"/>
                <w:bCs w:val="1"/>
                <w:color w:val="auto"/>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Average (1)</w:t>
            </w:r>
          </w:p>
        </w:tc>
        <w:tc>
          <w:tcPr>
            <w:tcW w:w="480" w:type="dxa"/>
            <w:vAlign w:val="bottom"/>
          </w:tcPr>
          <w:p>
            <w:pPr>
              <w:spacing w:after="0"/>
              <w:rPr>
                <w:sz w:val="10"/>
                <w:szCs w:val="10"/>
                <w:color w:val="auto"/>
              </w:rPr>
            </w:pPr>
          </w:p>
        </w:tc>
        <w:tc>
          <w:tcPr>
            <w:tcW w:w="400" w:type="dxa"/>
            <w:vAlign w:val="bottom"/>
          </w:tcPr>
          <w:p>
            <w:pPr>
              <w:jc w:val="right"/>
              <w:ind w:right="24"/>
              <w:spacing w:after="0"/>
              <w:rPr>
                <w:sz w:val="20"/>
                <w:szCs w:val="20"/>
                <w:color w:val="auto"/>
              </w:rPr>
            </w:pPr>
            <w:r>
              <w:rPr>
                <w:rFonts w:ascii="Arial" w:cs="Arial" w:eastAsia="Arial" w:hAnsi="Arial"/>
                <w:sz w:val="10"/>
                <w:szCs w:val="10"/>
                <w:b w:val="1"/>
                <w:bCs w:val="1"/>
                <w:color w:val="auto"/>
                <w:w w:val="98"/>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Average (1)</w:t>
            </w: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Fair Value (2)</w:t>
            </w: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Fixed maturity securities (3)</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40"/>
              <w:spacing w:after="0"/>
              <w:rPr>
                <w:sz w:val="20"/>
                <w:szCs w:val="20"/>
                <w:color w:val="auto"/>
              </w:rPr>
            </w:pPr>
            <w:r>
              <w:rPr>
                <w:rFonts w:ascii="Arial" w:cs="Arial" w:eastAsia="Arial" w:hAnsi="Arial"/>
                <w:sz w:val="12"/>
                <w:szCs w:val="12"/>
                <w:color w:val="auto"/>
              </w:rPr>
              <w:t>U.S. corporate and foreign corporate</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Matrix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center"/>
              <w:ind w:left="142"/>
              <w:spacing w:after="0"/>
              <w:rPr>
                <w:sz w:val="20"/>
                <w:szCs w:val="20"/>
                <w:color w:val="auto"/>
              </w:rPr>
            </w:pPr>
            <w:r>
              <w:rPr>
                <w:rFonts w:ascii="Arial" w:cs="Arial" w:eastAsia="Arial" w:hAnsi="Arial"/>
                <w:sz w:val="12"/>
                <w:szCs w:val="12"/>
                <w:color w:val="auto"/>
                <w:w w:val="89"/>
              </w:rPr>
              <w:t>90</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108</w:t>
            </w:r>
          </w:p>
        </w:tc>
        <w:tc>
          <w:tcPr>
            <w:tcW w:w="120" w:type="dxa"/>
            <w:vAlign w:val="bottom"/>
          </w:tcPr>
          <w:p>
            <w:pPr>
              <w:spacing w:after="0"/>
              <w:rPr>
                <w:sz w:val="14"/>
                <w:szCs w:val="14"/>
                <w:color w:val="auto"/>
              </w:rPr>
            </w:pPr>
          </w:p>
        </w:tc>
        <w:tc>
          <w:tcPr>
            <w:tcW w:w="480" w:type="dxa"/>
            <w:vAlign w:val="bottom"/>
          </w:tcPr>
          <w:p>
            <w:pPr>
              <w:jc w:val="center"/>
              <w:ind w:left="102"/>
              <w:spacing w:after="0"/>
              <w:rPr>
                <w:sz w:val="20"/>
                <w:szCs w:val="20"/>
                <w:color w:val="auto"/>
              </w:rPr>
            </w:pPr>
            <w:r>
              <w:rPr>
                <w:rFonts w:ascii="Arial" w:cs="Arial" w:eastAsia="Arial" w:hAnsi="Arial"/>
                <w:sz w:val="12"/>
                <w:szCs w:val="12"/>
                <w:color w:val="auto"/>
                <w:w w:val="89"/>
              </w:rPr>
              <w:t>93</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111</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89"/>
              </w:rPr>
              <w:t>51</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99"/>
              </w:rPr>
              <w:t>—</w:t>
            </w: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77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2"/>
                <w:szCs w:val="12"/>
                <w:color w:val="auto"/>
              </w:rPr>
              <w:t>RMBS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tcPr>
          <w:p>
            <w:pPr>
              <w:jc w:val="center"/>
              <w:ind w:left="142"/>
              <w:spacing w:after="0"/>
              <w:rPr>
                <w:sz w:val="20"/>
                <w:szCs w:val="20"/>
                <w:color w:val="auto"/>
              </w:rPr>
            </w:pPr>
            <w:r>
              <w:rPr>
                <w:rFonts w:ascii="Arial" w:cs="Arial" w:eastAsia="Arial" w:hAnsi="Arial"/>
                <w:sz w:val="12"/>
                <w:szCs w:val="12"/>
                <w:color w:val="auto"/>
                <w:w w:val="89"/>
              </w:rPr>
              <w:t>50</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95</w:t>
            </w:r>
          </w:p>
        </w:tc>
        <w:tc>
          <w:tcPr>
            <w:tcW w:w="120" w:type="dxa"/>
            <w:vAlign w:val="bottom"/>
          </w:tcPr>
          <w:p>
            <w:pPr>
              <w:spacing w:after="0"/>
              <w:rPr>
                <w:sz w:val="14"/>
                <w:szCs w:val="14"/>
                <w:color w:val="auto"/>
              </w:rPr>
            </w:pPr>
          </w:p>
        </w:tc>
        <w:tc>
          <w:tcPr>
            <w:tcW w:w="480" w:type="dxa"/>
            <w:vAlign w:val="bottom"/>
          </w:tcPr>
          <w:p>
            <w:pPr>
              <w:jc w:val="center"/>
              <w:ind w:left="122"/>
              <w:spacing w:after="0"/>
              <w:rPr>
                <w:sz w:val="20"/>
                <w:szCs w:val="20"/>
                <w:color w:val="auto"/>
              </w:rPr>
            </w:pPr>
            <w:r>
              <w:rPr>
                <w:rFonts w:ascii="Arial" w:cs="Arial" w:eastAsia="Arial" w:hAnsi="Arial"/>
                <w:sz w:val="12"/>
                <w:szCs w:val="12"/>
                <w:color w:val="auto"/>
                <w:w w:val="89"/>
              </w:rPr>
              <w:t>3</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2"/>
                <w:szCs w:val="12"/>
                <w:color w:val="auto"/>
                <w:w w:val="89"/>
              </w:rPr>
              <w:t>95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CMBS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89"/>
              </w:rPr>
              <w:t>80</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22"/>
              <w:spacing w:after="0"/>
              <w:rPr>
                <w:sz w:val="20"/>
                <w:szCs w:val="20"/>
                <w:color w:val="auto"/>
              </w:rPr>
            </w:pPr>
            <w:r>
              <w:rPr>
                <w:rFonts w:ascii="Arial" w:cs="Arial" w:eastAsia="Arial" w:hAnsi="Arial"/>
                <w:sz w:val="12"/>
                <w:szCs w:val="12"/>
                <w:color w:val="auto"/>
                <w:w w:val="89"/>
              </w:rPr>
              <w:t>8</w:t>
            </w: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88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center"/>
              <w:ind w:left="162"/>
              <w:spacing w:after="0"/>
              <w:rPr>
                <w:sz w:val="20"/>
                <w:szCs w:val="20"/>
                <w:color w:val="auto"/>
              </w:rPr>
            </w:pPr>
            <w:r>
              <w:rPr>
                <w:rFonts w:ascii="Arial" w:cs="Arial" w:eastAsia="Arial" w:hAnsi="Arial"/>
                <w:sz w:val="12"/>
                <w:szCs w:val="12"/>
                <w:color w:val="auto"/>
                <w:w w:val="89"/>
              </w:rPr>
              <w:t>103</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103</w:t>
            </w:r>
          </w:p>
        </w:tc>
        <w:tc>
          <w:tcPr>
            <w:tcW w:w="120" w:type="dxa"/>
            <w:vAlign w:val="bottom"/>
          </w:tcPr>
          <w:p>
            <w:pPr>
              <w:spacing w:after="0"/>
              <w:rPr>
                <w:sz w:val="14"/>
                <w:szCs w:val="14"/>
                <w:color w:val="auto"/>
              </w:rPr>
            </w:pPr>
          </w:p>
        </w:tc>
        <w:tc>
          <w:tcPr>
            <w:tcW w:w="480" w:type="dxa"/>
            <w:vAlign w:val="bottom"/>
          </w:tcPr>
          <w:p>
            <w:pPr>
              <w:jc w:val="center"/>
              <w:ind w:left="122"/>
              <w:spacing w:after="0"/>
              <w:rPr>
                <w:sz w:val="20"/>
                <w:szCs w:val="20"/>
                <w:color w:val="auto"/>
              </w:rPr>
            </w:pPr>
            <w:r>
              <w:rPr>
                <w:rFonts w:ascii="Arial" w:cs="Arial" w:eastAsia="Arial" w:hAnsi="Arial"/>
                <w:sz w:val="12"/>
                <w:szCs w:val="12"/>
                <w:color w:val="auto"/>
                <w:w w:val="89"/>
              </w:rPr>
              <w:t>105</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ABS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100</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122"/>
              <w:spacing w:after="0"/>
              <w:rPr>
                <w:sz w:val="20"/>
                <w:szCs w:val="20"/>
                <w:color w:val="auto"/>
              </w:rPr>
            </w:pPr>
            <w:r>
              <w:rPr>
                <w:rFonts w:ascii="Arial" w:cs="Arial" w:eastAsia="Arial" w:hAnsi="Arial"/>
                <w:sz w:val="12"/>
                <w:szCs w:val="12"/>
                <w:color w:val="auto"/>
                <w:w w:val="89"/>
              </w:rPr>
              <w:t>100</w:t>
            </w: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44"/>
              <w:spacing w:after="0"/>
              <w:rPr>
                <w:sz w:val="20"/>
                <w:szCs w:val="20"/>
                <w:color w:val="auto"/>
              </w:rPr>
            </w:pPr>
            <w:r>
              <w:rPr>
                <w:rFonts w:ascii="Arial" w:cs="Arial" w:eastAsia="Arial" w:hAnsi="Arial"/>
                <w:sz w:val="12"/>
                <w:szCs w:val="12"/>
                <w:color w:val="auto"/>
                <w:w w:val="89"/>
              </w:rPr>
              <w:t>101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left="122"/>
              <w:spacing w:after="0"/>
              <w:rPr>
                <w:sz w:val="20"/>
                <w:szCs w:val="20"/>
                <w:color w:val="auto"/>
              </w:rPr>
            </w:pPr>
            <w:r>
              <w:rPr>
                <w:rFonts w:ascii="Arial" w:cs="Arial" w:eastAsia="Arial" w:hAnsi="Arial"/>
                <w:sz w:val="12"/>
                <w:szCs w:val="12"/>
                <w:color w:val="auto"/>
                <w:w w:val="89"/>
              </w:rPr>
              <w:t>100</w:t>
            </w:r>
          </w:p>
        </w:tc>
        <w:tc>
          <w:tcPr>
            <w:tcW w:w="40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Derivatives</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420"/>
          </w:cols>
          <w:pgMar w:left="240" w:top="288" w:right="23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color w:val="auto"/>
        </w:rPr>
        <w:t>Credit</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color w:val="auto"/>
        </w:rPr>
        <w:t>Equity market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9"/>
          <w:szCs w:val="9"/>
          <w:b w:val="1"/>
          <w:bCs w:val="1"/>
          <w:color w:val="auto"/>
        </w:rPr>
        <w:t>Embedded 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00" w:type="dxa"/>
            <w:vAlign w:val="bottom"/>
          </w:tcPr>
          <w:p>
            <w:pPr>
              <w:ind w:left="60"/>
              <w:spacing w:after="0"/>
              <w:rPr>
                <w:sz w:val="20"/>
                <w:szCs w:val="20"/>
                <w:color w:val="auto"/>
              </w:rPr>
            </w:pPr>
            <w:r>
              <w:rPr>
                <w:rFonts w:ascii="Arial" w:cs="Arial" w:eastAsia="Arial" w:hAnsi="Arial"/>
                <w:sz w:val="12"/>
                <w:szCs w:val="12"/>
                <w:color w:val="auto"/>
              </w:rPr>
              <w:t>Present value techniques</w:t>
            </w: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Credit spreads (7)</w:t>
            </w:r>
          </w:p>
        </w:tc>
        <w:tc>
          <w:tcPr>
            <w:tcW w:w="800" w:type="dxa"/>
            <w:vAlign w:val="bottom"/>
          </w:tcPr>
          <w:p>
            <w:pPr>
              <w:jc w:val="center"/>
              <w:ind w:left="262"/>
              <w:spacing w:after="0"/>
              <w:rPr>
                <w:sz w:val="20"/>
                <w:szCs w:val="20"/>
                <w:color w:val="auto"/>
              </w:rPr>
            </w:pPr>
            <w:r>
              <w:rPr>
                <w:rFonts w:ascii="Arial" w:cs="Arial" w:eastAsia="Arial" w:hAnsi="Arial"/>
                <w:sz w:val="12"/>
                <w:szCs w:val="12"/>
                <w:color w:val="auto"/>
                <w:w w:val="89"/>
              </w:rPr>
              <w:t>97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42"/>
              <w:spacing w:after="0"/>
              <w:rPr>
                <w:sz w:val="20"/>
                <w:szCs w:val="20"/>
                <w:color w:val="auto"/>
              </w:rPr>
            </w:pPr>
            <w:r>
              <w:rPr>
                <w:rFonts w:ascii="Arial" w:cs="Arial" w:eastAsia="Arial" w:hAnsi="Arial"/>
                <w:sz w:val="12"/>
                <w:szCs w:val="12"/>
                <w:color w:val="auto"/>
                <w:w w:val="89"/>
              </w:rPr>
              <w:t>98</w:t>
            </w:r>
          </w:p>
        </w:tc>
        <w:tc>
          <w:tcPr>
            <w:tcW w:w="1040" w:type="dxa"/>
            <w:vAlign w:val="bottom"/>
          </w:tcPr>
          <w:p>
            <w:pPr>
              <w:jc w:val="center"/>
              <w:ind w:left="502"/>
              <w:spacing w:after="0"/>
              <w:rPr>
                <w:sz w:val="20"/>
                <w:szCs w:val="20"/>
                <w:color w:val="auto"/>
              </w:rPr>
            </w:pPr>
            <w:r>
              <w:rPr>
                <w:rFonts w:ascii="Arial" w:cs="Arial" w:eastAsia="Arial" w:hAnsi="Arial"/>
                <w:sz w:val="12"/>
                <w:szCs w:val="12"/>
                <w:color w:val="auto"/>
                <w:w w:val="99"/>
              </w:rPr>
              <w:t>—</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22"/>
              <w:spacing w:after="0"/>
              <w:rPr>
                <w:sz w:val="20"/>
                <w:szCs w:val="20"/>
                <w:color w:val="auto"/>
              </w:rPr>
            </w:pPr>
            <w:r>
              <w:rPr>
                <w:rFonts w:ascii="Arial" w:cs="Arial" w:eastAsia="Arial" w:hAnsi="Arial"/>
                <w:sz w:val="12"/>
                <w:szCs w:val="12"/>
                <w:color w:val="auto"/>
                <w:w w:val="99"/>
              </w:rPr>
              <w:t>—</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6"/>
              </w:rPr>
              <w:t>Decrease (6)</w:t>
            </w:r>
          </w:p>
        </w:tc>
      </w:tr>
      <w:tr>
        <w:trPr>
          <w:trHeight w:val="270"/>
        </w:trPr>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00" w:type="dxa"/>
            <w:vAlign w:val="bottom"/>
          </w:tcPr>
          <w:p>
            <w:pPr>
              <w:ind w:left="60"/>
              <w:spacing w:after="0"/>
              <w:rPr>
                <w:sz w:val="20"/>
                <w:szCs w:val="20"/>
                <w:color w:val="auto"/>
              </w:rPr>
            </w:pPr>
            <w:r>
              <w:rPr>
                <w:rFonts w:ascii="Arial" w:cs="Arial" w:eastAsia="Arial" w:hAnsi="Arial"/>
                <w:sz w:val="12"/>
                <w:szCs w:val="12"/>
                <w:color w:val="auto"/>
              </w:rPr>
              <w:t>Consensus pricing</w:t>
            </w: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Offered quotes (8)</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101"/>
        </w:trPr>
        <w:tc>
          <w:tcPr>
            <w:tcW w:w="168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149"/>
        </w:trPr>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 xml:space="preserve">•  </w:t>
            </w:r>
            <w:r>
              <w:rPr>
                <w:rFonts w:ascii="Arial" w:cs="Arial" w:eastAsia="Arial" w:hAnsi="Arial"/>
                <w:sz w:val="12"/>
                <w:szCs w:val="12"/>
                <w:color w:val="auto"/>
                <w:w w:val="98"/>
              </w:rPr>
              <w:t>Present value techniques or</w:t>
            </w: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Volatility (9)</w:t>
            </w:r>
          </w:p>
        </w:tc>
        <w:tc>
          <w:tcPr>
            <w:tcW w:w="800" w:type="dxa"/>
            <w:vAlign w:val="bottom"/>
          </w:tcPr>
          <w:p>
            <w:pPr>
              <w:jc w:val="center"/>
              <w:ind w:left="282"/>
              <w:spacing w:after="0"/>
              <w:rPr>
                <w:sz w:val="20"/>
                <w:szCs w:val="20"/>
                <w:color w:val="auto"/>
              </w:rPr>
            </w:pPr>
            <w:r>
              <w:rPr>
                <w:rFonts w:ascii="Arial" w:cs="Arial" w:eastAsia="Arial" w:hAnsi="Arial"/>
                <w:sz w:val="12"/>
                <w:szCs w:val="12"/>
                <w:color w:val="auto"/>
                <w:w w:val="91"/>
              </w:rPr>
              <w:t>20%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31%</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11%</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31%</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7"/>
              </w:rPr>
              <w:t>Increase (6)</w:t>
            </w:r>
          </w:p>
        </w:tc>
      </w:tr>
      <w:tr>
        <w:trPr>
          <w:trHeight w:val="148"/>
        </w:trPr>
        <w:tc>
          <w:tcPr>
            <w:tcW w:w="180" w:type="dxa"/>
            <w:vAlign w:val="bottom"/>
          </w:tcPr>
          <w:p>
            <w:pPr>
              <w:spacing w:after="0"/>
              <w:rPr>
                <w:sz w:val="12"/>
                <w:szCs w:val="12"/>
                <w:color w:val="auto"/>
              </w:rPr>
            </w:pPr>
          </w:p>
        </w:tc>
        <w:tc>
          <w:tcPr>
            <w:tcW w:w="1500" w:type="dxa"/>
            <w:vAlign w:val="bottom"/>
          </w:tcPr>
          <w:p>
            <w:pPr>
              <w:ind w:left="220"/>
              <w:spacing w:after="0"/>
              <w:rPr>
                <w:sz w:val="20"/>
                <w:szCs w:val="20"/>
                <w:color w:val="auto"/>
              </w:rPr>
            </w:pPr>
            <w:r>
              <w:rPr>
                <w:rFonts w:ascii="Arial" w:cs="Arial" w:eastAsia="Arial" w:hAnsi="Arial"/>
                <w:sz w:val="12"/>
                <w:szCs w:val="12"/>
                <w:color w:val="auto"/>
              </w:rPr>
              <w:t>option pricing models</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89"/>
        </w:trPr>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1380" w:type="dxa"/>
            <w:vAlign w:val="bottom"/>
          </w:tcPr>
          <w:p>
            <w:pPr>
              <w:ind w:left="60"/>
              <w:spacing w:after="0"/>
              <w:rPr>
                <w:sz w:val="20"/>
                <w:szCs w:val="20"/>
                <w:color w:val="auto"/>
              </w:rPr>
            </w:pPr>
            <w:r>
              <w:rPr>
                <w:rFonts w:ascii="Arial" w:cs="Arial" w:eastAsia="Arial" w:hAnsi="Arial"/>
                <w:sz w:val="12"/>
                <w:szCs w:val="12"/>
                <w:color w:val="auto"/>
              </w:rPr>
              <w:t>Correlation (10)</w:t>
            </w:r>
          </w:p>
        </w:tc>
        <w:tc>
          <w:tcPr>
            <w:tcW w:w="800" w:type="dxa"/>
            <w:vAlign w:val="bottom"/>
          </w:tcPr>
          <w:p>
            <w:pPr>
              <w:jc w:val="center"/>
              <w:ind w:left="282"/>
              <w:spacing w:after="0"/>
              <w:rPr>
                <w:sz w:val="20"/>
                <w:szCs w:val="20"/>
                <w:color w:val="auto"/>
              </w:rPr>
            </w:pPr>
            <w:r>
              <w:rPr>
                <w:rFonts w:ascii="Arial" w:cs="Arial" w:eastAsia="Arial" w:hAnsi="Arial"/>
                <w:sz w:val="12"/>
                <w:szCs w:val="12"/>
                <w:color w:val="auto"/>
                <w:w w:val="91"/>
              </w:rPr>
              <w:t>10%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30%</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10%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30%</w:t>
            </w:r>
          </w:p>
        </w:tc>
        <w:tc>
          <w:tcPr>
            <w:tcW w:w="1520" w:type="dxa"/>
            <w:vAlign w:val="bottom"/>
          </w:tcPr>
          <w:p>
            <w:pPr>
              <w:spacing w:after="0"/>
              <w:rPr>
                <w:sz w:val="16"/>
                <w:szCs w:val="16"/>
                <w:color w:val="auto"/>
              </w:rPr>
            </w:pPr>
          </w:p>
        </w:tc>
      </w:tr>
      <w:tr>
        <w:trPr>
          <w:trHeight w:val="101"/>
        </w:trPr>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-565150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-179705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1400" w:space="720"/>
            <w:col w:w="930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20" w:type="dxa"/>
            <w:vAlign w:val="bottom"/>
            <w:shd w:val="clear" w:color="auto" w:fill="CCEEFF"/>
          </w:tcPr>
          <w:p>
            <w:pPr>
              <w:ind w:left="40"/>
              <w:spacing w:after="0"/>
              <w:rPr>
                <w:sz w:val="20"/>
                <w:szCs w:val="20"/>
                <w:color w:val="auto"/>
              </w:rPr>
            </w:pPr>
            <w:r>
              <w:rPr>
                <w:rFonts w:ascii="Arial" w:cs="Arial" w:eastAsia="Arial" w:hAnsi="Arial"/>
                <w:sz w:val="12"/>
                <w:szCs w:val="12"/>
                <w:color w:val="auto"/>
                <w:w w:val="93"/>
              </w:rPr>
              <w:t>Direct, assumed and ceded guaranteed</w:t>
            </w:r>
          </w:p>
        </w:tc>
        <w:tc>
          <w:tcPr>
            <w:tcW w:w="17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Option pricing techniques</w:t>
            </w: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Mortality rates:</w:t>
            </w: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48"/>
        </w:trPr>
        <w:tc>
          <w:tcPr>
            <w:tcW w:w="2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minimum benefits</w:t>
            </w:r>
          </w:p>
        </w:tc>
        <w:tc>
          <w:tcPr>
            <w:tcW w:w="17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r>
      <w:tr>
        <w:trPr>
          <w:trHeight w:val="169"/>
        </w:trPr>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gridSpan w:val="2"/>
          </w:tcPr>
          <w:p>
            <w:pPr>
              <w:ind w:left="480"/>
              <w:spacing w:after="0"/>
              <w:rPr>
                <w:sz w:val="20"/>
                <w:szCs w:val="20"/>
                <w:color w:val="auto"/>
              </w:rPr>
            </w:pPr>
            <w:r>
              <w:rPr>
                <w:rFonts w:ascii="Arial" w:cs="Arial" w:eastAsia="Arial" w:hAnsi="Arial"/>
                <w:sz w:val="12"/>
                <w:szCs w:val="12"/>
                <w:color w:val="auto"/>
              </w:rPr>
              <w:t>Ages 0 - 40</w:t>
            </w:r>
          </w:p>
        </w:tc>
        <w:tc>
          <w:tcPr>
            <w:tcW w:w="880" w:type="dxa"/>
            <w:vAlign w:val="bottom"/>
          </w:tcPr>
          <w:p>
            <w:pPr>
              <w:jc w:val="center"/>
              <w:ind w:left="302"/>
              <w:spacing w:after="0"/>
              <w:rPr>
                <w:sz w:val="20"/>
                <w:szCs w:val="20"/>
                <w:color w:val="auto"/>
              </w:rPr>
            </w:pPr>
            <w:r>
              <w:rPr>
                <w:rFonts w:ascii="Arial" w:cs="Arial" w:eastAsia="Arial" w:hAnsi="Arial"/>
                <w:sz w:val="12"/>
                <w:szCs w:val="12"/>
                <w:color w:val="auto"/>
                <w:w w:val="91"/>
              </w:rPr>
              <w:t>0%</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0.09%</w:t>
            </w:r>
          </w:p>
        </w:tc>
        <w:tc>
          <w:tcPr>
            <w:tcW w:w="1060" w:type="dxa"/>
            <w:vAlign w:val="bottom"/>
          </w:tcPr>
          <w:p>
            <w:pPr>
              <w:jc w:val="center"/>
              <w:ind w:left="502"/>
              <w:spacing w:after="0"/>
              <w:rPr>
                <w:sz w:val="20"/>
                <w:szCs w:val="20"/>
                <w:color w:val="auto"/>
              </w:rPr>
            </w:pPr>
            <w:r>
              <w:rPr>
                <w:rFonts w:ascii="Arial" w:cs="Arial" w:eastAsia="Arial" w:hAnsi="Arial"/>
                <w:sz w:val="12"/>
                <w:szCs w:val="12"/>
                <w:color w:val="auto"/>
                <w:w w:val="80"/>
              </w:rPr>
              <w:t>0%</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0.09%</w:t>
            </w:r>
          </w:p>
        </w:tc>
        <w:tc>
          <w:tcPr>
            <w:tcW w:w="1500" w:type="dxa"/>
            <w:vAlign w:val="bottom"/>
          </w:tcPr>
          <w:p>
            <w:pPr>
              <w:ind w:left="660"/>
              <w:spacing w:after="0"/>
              <w:rPr>
                <w:sz w:val="20"/>
                <w:szCs w:val="20"/>
                <w:color w:val="auto"/>
              </w:rPr>
            </w:pPr>
            <w:r>
              <w:rPr>
                <w:rFonts w:ascii="Arial" w:cs="Arial" w:eastAsia="Arial" w:hAnsi="Arial"/>
                <w:sz w:val="12"/>
                <w:szCs w:val="12"/>
                <w:color w:val="auto"/>
              </w:rPr>
              <w:t>Decrease (11)</w:t>
            </w:r>
          </w:p>
        </w:tc>
      </w:tr>
      <w:tr>
        <w:trPr>
          <w:trHeight w:val="101"/>
        </w:trPr>
        <w:tc>
          <w:tcPr>
            <w:tcW w:w="2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20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6"/>
              </w:rPr>
              <w:t>Ages 41</w:t>
            </w:r>
          </w:p>
        </w:tc>
        <w:tc>
          <w:tcPr>
            <w:tcW w:w="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- 60</w:t>
            </w:r>
          </w:p>
        </w:tc>
        <w:tc>
          <w:tcPr>
            <w:tcW w:w="880" w:type="dxa"/>
            <w:vAlign w:val="bottom"/>
            <w:shd w:val="clear" w:color="auto" w:fill="CCEEFF"/>
          </w:tcPr>
          <w:p>
            <w:pPr>
              <w:jc w:val="center"/>
              <w:ind w:left="322"/>
              <w:spacing w:after="0"/>
              <w:rPr>
                <w:sz w:val="20"/>
                <w:szCs w:val="20"/>
                <w:color w:val="auto"/>
              </w:rPr>
            </w:pPr>
            <w:r>
              <w:rPr>
                <w:rFonts w:ascii="Arial" w:cs="Arial" w:eastAsia="Arial" w:hAnsi="Arial"/>
                <w:sz w:val="12"/>
                <w:szCs w:val="12"/>
                <w:color w:val="auto"/>
                <w:w w:val="88"/>
              </w:rPr>
              <w:t>0.04%</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0.65%</w:t>
            </w:r>
          </w:p>
        </w:tc>
        <w:tc>
          <w:tcPr>
            <w:tcW w:w="106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0.04%</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0.65%</w:t>
            </w:r>
          </w:p>
        </w:tc>
        <w:tc>
          <w:tcPr>
            <w:tcW w:w="1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Decrease (11)</w:t>
            </w:r>
          </w:p>
        </w:tc>
      </w:tr>
      <w:tr>
        <w:trPr>
          <w:trHeight w:val="101"/>
        </w:trPr>
        <w:tc>
          <w:tcPr>
            <w:tcW w:w="202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480"/>
              <w:spacing w:after="0"/>
              <w:rPr>
                <w:sz w:val="20"/>
                <w:szCs w:val="20"/>
                <w:color w:val="auto"/>
              </w:rPr>
            </w:pPr>
            <w:r>
              <w:rPr>
                <w:rFonts w:ascii="Arial" w:cs="Arial" w:eastAsia="Arial" w:hAnsi="Arial"/>
                <w:sz w:val="12"/>
                <w:szCs w:val="12"/>
                <w:color w:val="auto"/>
                <w:w w:val="86"/>
              </w:rPr>
              <w:t>Ages 61</w:t>
            </w:r>
          </w:p>
        </w:tc>
        <w:tc>
          <w:tcPr>
            <w:tcW w:w="720" w:type="dxa"/>
            <w:vAlign w:val="bottom"/>
          </w:tcPr>
          <w:p>
            <w:pPr>
              <w:ind w:left="20"/>
              <w:spacing w:after="0"/>
              <w:rPr>
                <w:sz w:val="20"/>
                <w:szCs w:val="20"/>
                <w:color w:val="auto"/>
              </w:rPr>
            </w:pPr>
            <w:r>
              <w:rPr>
                <w:rFonts w:ascii="Arial" w:cs="Arial" w:eastAsia="Arial" w:hAnsi="Arial"/>
                <w:sz w:val="12"/>
                <w:szCs w:val="12"/>
                <w:color w:val="auto"/>
              </w:rPr>
              <w:t>- 115</w:t>
            </w:r>
          </w:p>
        </w:tc>
        <w:tc>
          <w:tcPr>
            <w:tcW w:w="880" w:type="dxa"/>
            <w:vAlign w:val="bottom"/>
          </w:tcPr>
          <w:p>
            <w:pPr>
              <w:jc w:val="center"/>
              <w:ind w:left="322"/>
              <w:spacing w:after="0"/>
              <w:rPr>
                <w:sz w:val="20"/>
                <w:szCs w:val="20"/>
                <w:color w:val="auto"/>
              </w:rPr>
            </w:pPr>
            <w:r>
              <w:rPr>
                <w:rFonts w:ascii="Arial" w:cs="Arial" w:eastAsia="Arial" w:hAnsi="Arial"/>
                <w:sz w:val="12"/>
                <w:szCs w:val="12"/>
                <w:color w:val="auto"/>
                <w:w w:val="88"/>
              </w:rPr>
              <w:t>0.26%</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060" w:type="dxa"/>
            <w:vAlign w:val="bottom"/>
          </w:tcPr>
          <w:p>
            <w:pPr>
              <w:jc w:val="center"/>
              <w:ind w:left="502"/>
              <w:spacing w:after="0"/>
              <w:rPr>
                <w:sz w:val="20"/>
                <w:szCs w:val="20"/>
                <w:color w:val="auto"/>
              </w:rPr>
            </w:pPr>
            <w:r>
              <w:rPr>
                <w:rFonts w:ascii="Arial" w:cs="Arial" w:eastAsia="Arial" w:hAnsi="Arial"/>
                <w:sz w:val="12"/>
                <w:szCs w:val="12"/>
                <w:color w:val="auto"/>
                <w:w w:val="88"/>
              </w:rPr>
              <w:t>0.26%</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ind w:left="660"/>
              <w:spacing w:after="0"/>
              <w:rPr>
                <w:sz w:val="20"/>
                <w:szCs w:val="20"/>
                <w:color w:val="auto"/>
              </w:rPr>
            </w:pPr>
            <w:r>
              <w:rPr>
                <w:rFonts w:ascii="Arial" w:cs="Arial" w:eastAsia="Arial" w:hAnsi="Arial"/>
                <w:sz w:val="12"/>
                <w:szCs w:val="12"/>
                <w:color w:val="auto"/>
              </w:rPr>
              <w:t>Decrease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2" w:lineRule="exact"/>
        <w:rPr>
          <w:sz w:val="20"/>
          <w:szCs w:val="20"/>
          <w:color w:val="auto"/>
        </w:rPr>
      </w:pPr>
    </w:p>
    <w:p>
      <w:pPr>
        <w:ind w:left="4120" w:hanging="148"/>
        <w:spacing w:after="0"/>
        <w:tabs>
          <w:tab w:leader="none" w:pos="4120" w:val="left"/>
        </w:tabs>
        <w:numPr>
          <w:ilvl w:val="0"/>
          <w:numId w:val="32"/>
        </w:numPr>
        <w:rPr>
          <w:rFonts w:ascii="Arial" w:cs="Arial" w:eastAsia="Arial" w:hAnsi="Arial"/>
          <w:sz w:val="12"/>
          <w:szCs w:val="12"/>
          <w:b w:val="1"/>
          <w:bCs w:val="1"/>
          <w:color w:val="auto"/>
        </w:rPr>
      </w:pPr>
      <w:r>
        <w:rPr>
          <w:rFonts w:ascii="Arial" w:cs="Arial" w:eastAsia="Arial" w:hAnsi="Arial"/>
          <w:sz w:val="12"/>
          <w:szCs w:val="12"/>
          <w:color w:val="auto"/>
        </w:rPr>
        <w:t>Lapse rates: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1580" w:type="dxa"/>
            <w:vAlign w:val="bottom"/>
          </w:tcPr>
          <w:p>
            <w:pPr>
              <w:ind w:left="200"/>
              <w:spacing w:after="0"/>
              <w:rPr>
                <w:sz w:val="20"/>
                <w:szCs w:val="20"/>
                <w:color w:val="auto"/>
              </w:rPr>
            </w:pPr>
            <w:r>
              <w:rPr>
                <w:rFonts w:ascii="Arial" w:cs="Arial" w:eastAsia="Arial" w:hAnsi="Arial"/>
                <w:sz w:val="12"/>
                <w:szCs w:val="12"/>
                <w:color w:val="auto"/>
              </w:rPr>
              <w:t>Durations 1 - 10</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(12)</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spacing w:after="0"/>
              <w:rPr>
                <w:sz w:val="14"/>
                <w:szCs w:val="14"/>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Durations 11 - 20</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6"/>
              </w:rPr>
              <w:t>Decrease (12)</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spacing w:after="0"/>
              <w:rPr>
                <w:sz w:val="14"/>
                <w:szCs w:val="14"/>
                <w:color w:val="auto"/>
              </w:rPr>
            </w:pPr>
          </w:p>
        </w:tc>
        <w:tc>
          <w:tcPr>
            <w:tcW w:w="1580" w:type="dxa"/>
            <w:vAlign w:val="bottom"/>
          </w:tcPr>
          <w:p>
            <w:pPr>
              <w:ind w:left="200"/>
              <w:spacing w:after="0"/>
              <w:rPr>
                <w:sz w:val="20"/>
                <w:szCs w:val="20"/>
                <w:color w:val="auto"/>
              </w:rPr>
            </w:pPr>
            <w:r>
              <w:rPr>
                <w:rFonts w:ascii="Arial" w:cs="Arial" w:eastAsia="Arial" w:hAnsi="Arial"/>
                <w:sz w:val="12"/>
                <w:szCs w:val="12"/>
                <w:color w:val="auto"/>
              </w:rPr>
              <w:t>Durations 21 - 116</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(12)</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Utilization rates</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1"/>
              </w:rPr>
              <w:t>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7"/>
              </w:rPr>
              <w:t>Increase (13)</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rPr>
              <w:t>Withdrawal rates</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91"/>
              </w:rPr>
              <w:t>10%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91"/>
              </w:rPr>
              <w:t>10%</w:t>
            </w:r>
          </w:p>
        </w:tc>
        <w:tc>
          <w:tcPr>
            <w:tcW w:w="1500" w:type="dxa"/>
            <w:vAlign w:val="bottom"/>
          </w:tcPr>
          <w:p>
            <w:pPr>
              <w:jc w:val="center"/>
              <w:ind w:left="402"/>
              <w:spacing w:after="0"/>
              <w:rPr>
                <w:sz w:val="20"/>
                <w:szCs w:val="20"/>
                <w:color w:val="auto"/>
              </w:rPr>
            </w:pPr>
            <w:r>
              <w:rPr>
                <w:rFonts w:ascii="Arial" w:cs="Arial" w:eastAsia="Arial" w:hAnsi="Arial"/>
                <w:sz w:val="12"/>
                <w:szCs w:val="12"/>
                <w:color w:val="auto"/>
                <w:w w:val="93"/>
              </w:rPr>
              <w:t>(14)</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Long-term equity volatilities</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8"/>
              </w:rPr>
              <w:t>17.40%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shd w:val="clear" w:color="auto" w:fill="CCEEFF"/>
          </w:tcPr>
          <w:p>
            <w:pPr>
              <w:jc w:val="center"/>
              <w:ind w:left="482"/>
              <w:spacing w:after="0"/>
              <w:rPr>
                <w:sz w:val="20"/>
                <w:szCs w:val="20"/>
                <w:color w:val="auto"/>
              </w:rPr>
            </w:pPr>
            <w:r>
              <w:rPr>
                <w:rFonts w:ascii="Arial" w:cs="Arial" w:eastAsia="Arial" w:hAnsi="Arial"/>
                <w:sz w:val="12"/>
                <w:szCs w:val="12"/>
                <w:color w:val="auto"/>
                <w:w w:val="88"/>
              </w:rPr>
              <w:t>17.40%</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7"/>
              </w:rPr>
              <w:t>Increase (15)</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w w:val="99"/>
              </w:rPr>
              <w:t>Nonperformance risk spread</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0.90%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88"/>
              </w:rPr>
              <w:t>1.66%</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0.64%</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1.43%</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(16)</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13"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for fixed maturity securities is determined based on the estimated fair value of the securities.</w:t>
      </w:r>
    </w:p>
    <w:p>
      <w:pPr>
        <w:spacing w:after="0" w:line="117"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impact of a decrease in input would have the opposite impact on estimated fair value. For embedded derivatives, changes to direct and assumed guaranteed minimum benefits are based on liability positions; changes to ceded guaranteed minimum benefits are based on asset positions.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increases (decreases) in expected default rates in isolation would result in substantially lower (higher) valuations.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Range and weighted average are presented in accordance with the market convention for fixed maturity securities of dollars per hundred dollars of par.</w:t>
      </w:r>
    </w:p>
    <w:p>
      <w:pPr>
        <w:spacing w:after="0" w:line="14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assumptions used for the probability of default is accompanied by a directionally similar change in the assumption used for the loss severity and a directionally opposite change in the assumptions used for prepayment rates.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estimated fair value are based on long U.S. dollar net asset positions and will be inversely impacted for short U.S. dollar net asset positions.</w:t>
      </w:r>
    </w:p>
    <w:p>
      <w:pPr>
        <w:sectPr>
          <w:pgSz w:w="11900" w:h="16838" w:orient="portrait"/>
          <w:cols w:equalWidth="0" w:num="1">
            <w:col w:w="11420"/>
          </w:cols>
          <w:pgMar w:left="240" w:top="288"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288" w:right="2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risk quoted in basis points of a credit default event on the underlying instrument. Credit derivatives with significant unobservable inputs are primarily comprised of written credit default swaps.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March 31, 2018 and December 31, 2017, independent non-binding broker quotations were used in the determination of less than 1% and 1% of the total net derivative estimated fair value, respectively.</w:t>
      </w:r>
    </w:p>
    <w:p>
      <w:pPr>
        <w:spacing w:after="0" w:line="62"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Ranges represent the underlying equity volatility quoted in percentage points. Since this valuation methodology uses a range of inputs across multiple volatility surfaces to value the derivative, presenting a range is more representative of the unobservable input used in the valuation.</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Ranges represent the different correlation factors utilized as components within the valuation methodology. Presenting a range of correlation factors is more representative of the unobservable input used in the valuation. Increases (decreases) in correlation in isolation will increase (decrease) the significance of the change in valuations.</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Mortality rate assumptions are based on company experience. A mortality improvement assumption is also applied. For any given contract, mortality rates vary throughout the period over which cash flows are projected for purposes of valuing the embedded derivative.</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 the money contracts are less likely to lapse. Lapse rates are also generally assumed to be lower in periods when a surrender charge applies. For any given contract, lapse rates vary throughout the period over which cash flows are projected for purposes of valuing the embedded derivative.</w:t>
      </w:r>
    </w:p>
    <w:p>
      <w:pPr>
        <w:spacing w:after="0" w:line="8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utilization rate assumption estimates the percentage of contract holders with a GMIB or lifetime withdrawal benefit who will elect to utilize the benefit upon becoming eligible. The rates may vary by the type of guarantee, the amount by which the guaranteed amount is greater than the account value, the contract’s withdrawal history and by the age of the policyholder. For any given contract, utilization rates vary throughout the period over which cash flows are projected for purposes of valuing the embedded derivative.</w:t>
      </w:r>
    </w:p>
    <w:p>
      <w:pPr>
        <w:spacing w:after="0" w:line="78"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4"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Nonperformance risk spread varies by duration and by currency.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following is a summary of the valuation techniques and significant unobservable inputs used in the fair value measurement of assets and liabilities classified within Level 3 that are not included in the preceding table. Generally, all other classes of securities classified within Level 3, including those within separate account assets and embedded derivatives within funds withheld related to certain assumed reinsurance, use the same valuation techniques and significant unobservable inputs as previously described for Level 3 securities. This includes matrix pricing and discounted cash flow methodologies, inputs such as quoted prices for identical or similar securities that are less liquid and based on lower levels of trading activity than securities classified in Level 2, as well as independent non-binding broker quotations. The sensitivity of the estimated fair value to changes in the significant unobservable inputs for these other assets and liabilities is similar in nature to that described in the preceding table.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8"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March 31, 2018</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274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74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March 31,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274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274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Changes in unrealized gains (losses) included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net income (loss) for the instruments still</w:t>
      </w:r>
    </w:p>
    <w:p>
      <w:pPr>
        <w:ind w:left="200"/>
        <w:spacing w:after="0"/>
        <w:rPr>
          <w:sz w:val="20"/>
          <w:szCs w:val="20"/>
          <w:color w:val="auto"/>
        </w:rPr>
      </w:pPr>
      <w:r>
        <w:rPr>
          <w:rFonts w:ascii="Arial" w:cs="Arial" w:eastAsia="Arial" w:hAnsi="Arial"/>
          <w:sz w:val="14"/>
          <w:szCs w:val="14"/>
          <w:color w:val="auto"/>
        </w:rPr>
        <w:t>held at March 31, 2018 (10)</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Changes in unrealized gains (losses) included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 net income (loss) for the instruments still</w:t>
      </w:r>
    </w:p>
    <w:p>
      <w:pPr>
        <w:ind w:left="200"/>
        <w:spacing w:after="0"/>
        <w:rPr>
          <w:sz w:val="20"/>
          <w:szCs w:val="20"/>
          <w:color w:val="auto"/>
        </w:rPr>
      </w:pPr>
      <w:r>
        <w:rPr>
          <w:rFonts w:ascii="Arial" w:cs="Arial" w:eastAsia="Arial" w:hAnsi="Arial"/>
          <w:sz w:val="14"/>
          <w:szCs w:val="14"/>
          <w:color w:val="auto"/>
        </w:rPr>
        <w:t>held at March 31, 2017 (10)</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610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Fixed Maturity Securities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State and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Structured</w:t>
            </w:r>
          </w:p>
        </w:tc>
        <w:tc>
          <w:tcPr>
            <w:tcW w:w="1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Political</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Foreign</w:t>
            </w:r>
          </w:p>
        </w:tc>
        <w:tc>
          <w:tcPr>
            <w:tcW w:w="180" w:type="dxa"/>
            <w:vAlign w:val="bottom"/>
          </w:tcPr>
          <w:p>
            <w:pPr>
              <w:spacing w:after="0"/>
              <w:rPr>
                <w:sz w:val="11"/>
                <w:szCs w:val="11"/>
                <w:color w:val="auto"/>
              </w:rPr>
            </w:pPr>
          </w:p>
        </w:tc>
        <w:tc>
          <w:tcPr>
            <w:tcW w:w="84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Equity</w:t>
            </w:r>
          </w:p>
        </w:tc>
      </w:tr>
      <w:tr>
        <w:trPr>
          <w:trHeight w:val="174"/>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Corporate (1)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Subdivision</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Government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Securities</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124</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5"/>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137</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0"/>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-4647565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-4304665</wp:posOffset>
            </wp:positionV>
            <wp:extent cx="72466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-3858260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-3515360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-3172460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-2829560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-2469515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-2074545</wp:posOffset>
            </wp:positionV>
            <wp:extent cx="72466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-1680210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-1337310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-994410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-650875</wp:posOffset>
            </wp:positionV>
            <wp:extent cx="7246620"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8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88"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gridSpan w:val="11"/>
          </w:tcPr>
          <w:p>
            <w:pPr>
              <w:ind w:left="32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Other Limited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Real Estate Joint</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Partnership Interests</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Short-term</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200" w:type="dxa"/>
            <w:vAlign w:val="bottom"/>
          </w:tcPr>
          <w:p>
            <w:pPr>
              <w:spacing w:after="0"/>
              <w:rPr>
                <w:sz w:val="11"/>
                <w:szCs w:val="11"/>
                <w:color w:val="auto"/>
              </w:rPr>
            </w:pPr>
          </w:p>
        </w:tc>
        <w:tc>
          <w:tcPr>
            <w:tcW w:w="92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Separate</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Ventures (2)</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rPr>
              <w:t>(2)</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Derivatives (3)</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Derivatives (4)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Account Assets (5)</w:t>
            </w:r>
          </w:p>
        </w:tc>
        <w:tc>
          <w:tcPr>
            <w:tcW w:w="0" w:type="dxa"/>
            <w:vAlign w:val="bottom"/>
          </w:tcPr>
          <w:p>
            <w:pPr>
              <w:spacing w:after="0"/>
              <w:rPr>
                <w:sz w:val="1"/>
                <w:szCs w:val="1"/>
                <w:color w:val="auto"/>
              </w:rPr>
            </w:pPr>
          </w:p>
        </w:tc>
      </w:tr>
      <w:tr>
        <w:trPr>
          <w:trHeight w:val="249"/>
        </w:trPr>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2"/>
                <w:szCs w:val="22"/>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realized/unrealized gains (losses)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net income (loss) (6) (7)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00" w:type="dxa"/>
            <w:vAlign w:val="bottom"/>
          </w:tcPr>
          <w:p>
            <w:pPr>
              <w:ind w:left="200"/>
              <w:spacing w:after="0" w:line="157" w:lineRule="exact"/>
              <w:rPr>
                <w:sz w:val="20"/>
                <w:szCs w:val="20"/>
                <w:color w:val="auto"/>
              </w:rPr>
            </w:pPr>
            <w:r>
              <w:rPr>
                <w:rFonts w:ascii="Arial" w:cs="Arial" w:eastAsia="Arial" w:hAnsi="Arial"/>
                <w:sz w:val="14"/>
                <w:szCs w:val="14"/>
                <w:color w:val="auto"/>
              </w:rPr>
              <w:t>Total realized/unrealized gains (losses)</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00"/>
              <w:spacing w:after="0"/>
              <w:rPr>
                <w:sz w:val="20"/>
                <w:szCs w:val="20"/>
                <w:color w:val="auto"/>
              </w:rPr>
            </w:pPr>
            <w:r>
              <w:rPr>
                <w:rFonts w:ascii="Arial" w:cs="Arial" w:eastAsia="Arial" w:hAnsi="Arial"/>
                <w:sz w:val="14"/>
                <w:szCs w:val="14"/>
                <w:color w:val="auto"/>
              </w:rPr>
              <w:t>included in AOCI</w:t>
            </w: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(8)</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Sales (8)</w:t>
            </w:r>
          </w:p>
        </w:tc>
        <w:tc>
          <w:tcPr>
            <w:tcW w:w="10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Issuances (8)</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Settlements (8)</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into Level 3 (9)</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Transfers out of Level 3 (9)</w:t>
            </w:r>
          </w:p>
        </w:tc>
        <w:tc>
          <w:tcPr>
            <w:tcW w:w="10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9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9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900"/>
        <w:spacing w:after="0"/>
        <w:rPr>
          <w:sz w:val="20"/>
          <w:szCs w:val="20"/>
          <w:color w:val="auto"/>
        </w:rPr>
      </w:pPr>
      <w:r>
        <w:rPr>
          <w:rFonts w:ascii="Arial" w:cs="Arial" w:eastAsia="Arial" w:hAnsi="Arial"/>
          <w:sz w:val="13"/>
          <w:szCs w:val="13"/>
          <w:color w:val="auto"/>
        </w:rPr>
        <w:t>Total realized/unrealized gains (losses)</w:t>
      </w:r>
    </w:p>
    <w:p>
      <w:pPr>
        <w:spacing w:after="0" w:line="11" w:lineRule="exact"/>
        <w:rPr>
          <w:sz w:val="20"/>
          <w:szCs w:val="20"/>
          <w:color w:val="auto"/>
        </w:rPr>
      </w:pPr>
    </w:p>
    <w:p>
      <w:pPr>
        <w:jc w:val="right"/>
        <w:ind w:right="900"/>
        <w:spacing w:after="0"/>
        <w:rPr>
          <w:sz w:val="20"/>
          <w:szCs w:val="20"/>
          <w:color w:val="auto"/>
        </w:rPr>
      </w:pPr>
      <w:r>
        <w:rPr>
          <w:rFonts w:ascii="Arial" w:cs="Arial" w:eastAsia="Arial" w:hAnsi="Arial"/>
          <w:sz w:val="14"/>
          <w:szCs w:val="14"/>
          <w:color w:val="auto"/>
        </w:rPr>
        <w:t>included in net income (loss) (6) (7)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4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March 31, 2018 (10)</w:t>
      </w:r>
    </w:p>
    <w:p>
      <w:pPr>
        <w:spacing w:after="0" w:line="6" w:lineRule="exact"/>
        <w:rPr>
          <w:sz w:val="20"/>
          <w:szCs w:val="20"/>
          <w:color w:val="auto"/>
        </w:rPr>
      </w:pPr>
    </w:p>
    <w:p>
      <w:pPr>
        <w:jc w:val="both"/>
        <w:ind w:left="200" w:right="4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March 31, 2017 (10)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(954)</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(2,383)</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351"/>
        </w:trPr>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6"/>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-2074545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-1680210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-1337310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-994410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-650875</wp:posOffset>
            </wp:positionV>
            <wp:extent cx="7246620"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180" w:space="720"/>
            <w:col w:w="7520"/>
          </w:cols>
          <w:pgMar w:left="240" w:top="288" w:right="239" w:bottom="1440" w:gutter="0" w:footer="0" w:header="0"/>
          <w:type w:val="continuous"/>
        </w:sect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ectPr>
          <w:pgSz w:w="11900" w:h="16838" w:orient="portrait"/>
          <w:cols w:equalWidth="0" w:num="1">
            <w:col w:w="11420"/>
          </w:cols>
          <w:pgMar w:left="240" w:top="28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288" w:right="2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Option</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information for certain assets and liabilities of CSEs, which are accounted for under the FVO. These assets and liabilities were initially measured at fair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March 31, 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(1)</w:t>
            </w:r>
          </w:p>
        </w:tc>
        <w:tc>
          <w:tcPr>
            <w:tcW w:w="1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Unpaid principal balance</w:t>
            </w:r>
          </w:p>
        </w:tc>
        <w:tc>
          <w:tcPr>
            <w:tcW w:w="1800" w:type="dxa"/>
            <w:vAlign w:val="bottom"/>
          </w:tcPr>
          <w:p>
            <w:pPr>
              <w:jc w:val="right"/>
              <w:ind w:right="160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unpaid principal balance</w:t>
            </w:r>
          </w:p>
        </w:tc>
        <w:tc>
          <w:tcPr>
            <w:tcW w:w="1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800" w:type="dxa"/>
            <w:vAlign w:val="bottom"/>
            <w:tcBorders>
              <w:top w:val="single" w:sz="8" w:color="auto"/>
            </w:tcBorders>
          </w:tcPr>
          <w:p>
            <w:pPr>
              <w:jc w:val="right"/>
              <w:ind w:right="1601"/>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(1)</w:t>
            </w:r>
          </w:p>
        </w:tc>
        <w:tc>
          <w:tcPr>
            <w:tcW w:w="1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Contractual principal balance</w:t>
            </w:r>
          </w:p>
        </w:tc>
        <w:tc>
          <w:tcPr>
            <w:tcW w:w="1800" w:type="dxa"/>
            <w:vAlign w:val="bottom"/>
          </w:tcPr>
          <w:p>
            <w:pPr>
              <w:jc w:val="right"/>
              <w:ind w:right="160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contractual principal balance</w:t>
            </w:r>
          </w:p>
        </w:tc>
        <w:tc>
          <w:tcPr>
            <w:tcW w:w="18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800" w:type="dxa"/>
            <w:vAlign w:val="bottom"/>
            <w:tcBorders>
              <w:top w:val="single" w:sz="8" w:color="auto"/>
            </w:tcBorders>
          </w:tcPr>
          <w:p>
            <w:pPr>
              <w:jc w:val="right"/>
              <w:ind w:right="1601"/>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assets and liabilities are comprised of commercial mortgage loans and long-term debt. Changes in estimated fair value on these assets and liabilities and gains or losses on sales of these assets are recognized in net investment gains (losses). Interest income on commercial mortgage loans held by CSEs — FVO is recognized in net investment income. Interest expense from long-term debt of CSEs — FVO is recognized in other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such as time deposits,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8"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March 31, 2018</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11,203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11,347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11,347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1,517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83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70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1,660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15,780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15,217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15,217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3,601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2,810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3,410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360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1,184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1,184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540"/>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10,627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10,871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1,523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 (1)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 (1)</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invested assets (2)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71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71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1,758</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1,985</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15,791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15,927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15,927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3,601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3,039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3,639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314</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1,210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1,210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Arial" w:cs="Arial" w:eastAsia="Arial" w:hAnsi="Arial"/>
                <w:sz w:val="14"/>
                <w:szCs w:val="14"/>
                <w:color w:val="auto"/>
              </w:rPr>
              <w:t>_________________</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the adoption of new guidance related to the recognition and measurement of financial instruments (see Note 1), effective January 1, 2018 on a modified retrospective basis, the Company carries real estate joint ventures and other limited partnership interests previously accounted under the cost method of accounting at estimated fair value.</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reclassified Federal Home Loan Bank stock in the prior period from equity securities to other invested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8"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Interim Condensed Consolidated and Combined Financial Statements (Unaudited)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75" w:lineRule="exact"/>
        <w:rPr>
          <w:sz w:val="20"/>
          <w:szCs w:val="20"/>
          <w:color w:val="auto"/>
        </w:rPr>
      </w:pPr>
    </w:p>
    <w:p>
      <w:pPr>
        <w:jc w:val="center"/>
        <w:ind w:left="4280"/>
        <w:spacing w:after="0"/>
        <w:rPr>
          <w:sz w:val="20"/>
          <w:szCs w:val="20"/>
          <w:color w:val="auto"/>
        </w:rPr>
      </w:pPr>
      <w:r>
        <w:rPr>
          <w:rFonts w:ascii="Arial" w:cs="Arial" w:eastAsia="Arial" w:hAnsi="Arial"/>
          <w:sz w:val="13"/>
          <w:szCs w:val="13"/>
          <w:b w:val="1"/>
          <w:bCs w:val="1"/>
          <w:color w:val="auto"/>
        </w:rPr>
        <w:t>Three Months</w:t>
      </w:r>
    </w:p>
    <w:p>
      <w:pPr>
        <w:jc w:val="center"/>
        <w:ind w:left="4300"/>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jc w:val="center"/>
        <w:ind w:left="4300"/>
        <w:spacing w:after="0"/>
        <w:rPr>
          <w:sz w:val="20"/>
          <w:szCs w:val="20"/>
          <w:color w:val="auto"/>
        </w:rPr>
      </w:pPr>
      <w:r>
        <w:rPr>
          <w:rFonts w:ascii="Arial" w:cs="Arial" w:eastAsia="Arial" w:hAnsi="Arial"/>
          <w:sz w:val="13"/>
          <w:szCs w:val="13"/>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2017</w:t>
      </w:r>
    </w:p>
    <w:p>
      <w:pPr>
        <w:spacing w:after="0" w:line="109" w:lineRule="exact"/>
        <w:rPr>
          <w:sz w:val="20"/>
          <w:szCs w:val="20"/>
          <w:color w:val="auto"/>
        </w:rPr>
      </w:pPr>
    </w:p>
    <w:p>
      <w:pPr>
        <w:ind w:left="360" w:hanging="161"/>
        <w:spacing w:after="0" w:line="253" w:lineRule="auto"/>
        <w:rPr>
          <w:sz w:val="20"/>
          <w:szCs w:val="20"/>
          <w:color w:val="auto"/>
        </w:rPr>
      </w:pPr>
      <w:r>
        <w:rPr>
          <w:rFonts w:ascii="Arial" w:cs="Arial" w:eastAsia="Arial" w:hAnsi="Arial"/>
          <w:sz w:val="14"/>
          <w:szCs w:val="14"/>
          <w:color w:val="auto"/>
        </w:rPr>
        <w:t>Cumulative effect of change in accounting principle, net of income tax (see Note 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January 1, 2018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Amounts reclassified from AOCI, net of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March 31, 2018</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4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Defined Benefit</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4"/>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Adjustments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Plans Adjustment</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Total</w:t>
            </w: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1,676</w:t>
            </w:r>
          </w:p>
        </w:tc>
      </w:tr>
      <w:tr>
        <w:trPr>
          <w:trHeight w:val="357"/>
        </w:trPr>
        <w:tc>
          <w:tcPr>
            <w:tcW w:w="160" w:type="dxa"/>
            <w:vAlign w:val="bottom"/>
          </w:tcPr>
          <w:p>
            <w:pPr>
              <w:spacing w:after="0"/>
              <w:rPr>
                <w:sz w:val="24"/>
                <w:szCs w:val="24"/>
                <w:color w:val="auto"/>
              </w:rPr>
            </w:pP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4"/>
        </w:trPr>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1,557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1,661</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(1,144)</w:t>
            </w:r>
          </w:p>
        </w:tc>
      </w:tr>
      <w:tr>
        <w:trPr>
          <w:trHeight w:val="276"/>
        </w:trPr>
        <w:tc>
          <w:tcPr>
            <w:tcW w:w="160" w:type="dxa"/>
            <w:vAlign w:val="bottom"/>
          </w:tcPr>
          <w:p>
            <w:pPr>
              <w:spacing w:after="0"/>
              <w:rPr>
                <w:sz w:val="24"/>
                <w:szCs w:val="24"/>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245</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762</w:t>
            </w:r>
          </w:p>
        </w:tc>
      </w:tr>
      <w:tr>
        <w:trPr>
          <w:trHeight w:val="244"/>
        </w:trPr>
        <w:tc>
          <w:tcPr>
            <w:tcW w:w="16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50</w:t>
            </w:r>
          </w:p>
        </w:tc>
      </w:tr>
      <w:tr>
        <w:trPr>
          <w:trHeight w:val="276"/>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50"/>
        </w:trPr>
        <w:tc>
          <w:tcPr>
            <w:tcW w:w="16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39</w:t>
            </w:r>
          </w:p>
        </w:tc>
      </w:tr>
      <w:tr>
        <w:trPr>
          <w:trHeight w:val="237"/>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801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-1783080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-1388745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-1045845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-702310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-359410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Three Months</w:t>
      </w:r>
    </w:p>
    <w:p>
      <w:pPr>
        <w:jc w:val="center"/>
        <w:ind w:right="-19"/>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4511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4060" w:space="180"/>
            <w:col w:w="7180"/>
          </w:cols>
          <w:pgMar w:left="240" w:top="234" w:right="239" w:bottom="1440" w:gutter="0" w:footer="0" w:header="0"/>
          <w:type w:val="continuous"/>
        </w:sectPr>
      </w:pPr>
    </w:p>
    <w:tbl>
      <w:tblPr>
        <w:tblLayout w:type="fixed"/>
        <w:tblInd w:w="8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Foreign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Currency</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Adjustments</w:t>
            </w:r>
          </w:p>
        </w:tc>
        <w:tc>
          <w:tcPr>
            <w:tcW w:w="12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7"/>
              </w:rPr>
              <w:t>Plans Adjustment</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64"/>
        </w:trPr>
        <w:tc>
          <w:tcPr>
            <w:tcW w:w="418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22"/>
                <w:szCs w:val="22"/>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80"/>
        </w:trPr>
        <w:tc>
          <w:tcPr>
            <w:tcW w:w="41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4"/>
                <w:szCs w:val="14"/>
                <w:color w:val="auto"/>
              </w:rPr>
            </w:pPr>
          </w:p>
        </w:tc>
        <w:tc>
          <w:tcPr>
            <w:tcW w:w="1320" w:type="dxa"/>
            <w:vAlign w:val="bottom"/>
            <w:vMerge w:val="restart"/>
          </w:tcPr>
          <w:p>
            <w:pPr>
              <w:jc w:val="right"/>
              <w:ind w:right="51"/>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74"/>
        </w:trPr>
        <w:tc>
          <w:tcPr>
            <w:tcW w:w="41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74"/>
        </w:trPr>
        <w:tc>
          <w:tcPr>
            <w:tcW w:w="41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80"/>
        </w:trPr>
        <w:tc>
          <w:tcPr>
            <w:tcW w:w="4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Balance, March 31, 2017</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1,310</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7620</wp:posOffset>
            </wp:positionV>
            <wp:extent cx="4511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-98425</wp:posOffset>
            </wp:positionV>
            <wp:extent cx="4511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93" w:lineRule="exact"/>
        <w:rPr>
          <w:sz w:val="20"/>
          <w:szCs w:val="20"/>
          <w:color w:val="auto"/>
        </w:rPr>
      </w:pPr>
    </w:p>
    <w:p>
      <w:pPr>
        <w:ind w:left="5620" w:right="3100" w:hanging="5612"/>
        <w:spacing w:after="0" w:line="559" w:lineRule="auto"/>
        <w:tabs>
          <w:tab w:leader="none" w:pos="4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 48</w:t>
      </w:r>
    </w:p>
    <w:p>
      <w:pPr>
        <w:sectPr>
          <w:pgSz w:w="11900" w:h="16838" w:orient="portrait"/>
          <w:cols w:equalWidth="0" w:num="1">
            <w:col w:w="11420"/>
          </w:cols>
          <w:pgMar w:left="240" w:top="234" w:right="239" w:bottom="1440" w:gutter="0" w:footer="0" w:header="0"/>
          <w:type w:val="continuous"/>
        </w:sectPr>
      </w:pPr>
    </w:p>
    <w:bookmarkStart w:id="49" w:name="page50"/>
    <w:bookmarkEnd w:id="4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00" w:type="dxa"/>
            <w:vAlign w:val="bottom"/>
          </w:tcPr>
          <w:p>
            <w:pPr>
              <w:ind w:left="460"/>
              <w:spacing w:after="0"/>
              <w:rPr>
                <w:sz w:val="20"/>
                <w:szCs w:val="20"/>
                <w:color w:val="auto"/>
              </w:rPr>
            </w:pPr>
            <w:r>
              <w:rPr>
                <w:rFonts w:ascii="Arial" w:cs="Arial" w:eastAsia="Arial" w:hAnsi="Arial"/>
                <w:sz w:val="13"/>
                <w:szCs w:val="13"/>
                <w:b w:val="1"/>
                <w:bCs w:val="1"/>
                <w:color w:val="auto"/>
                <w:w w:val="99"/>
              </w:rPr>
              <w:t>Consolidated and Combined Statements of Operations and</w:t>
            </w:r>
          </w:p>
        </w:tc>
        <w:tc>
          <w:tcPr>
            <w:tcW w:w="0" w:type="dxa"/>
            <w:vAlign w:val="bottom"/>
          </w:tcPr>
          <w:p>
            <w:pPr>
              <w:spacing w:after="0"/>
              <w:rPr>
                <w:sz w:val="1"/>
                <w:szCs w:val="1"/>
                <w:color w:val="auto"/>
              </w:rPr>
            </w:pPr>
          </w:p>
        </w:tc>
      </w:tr>
      <w:tr>
        <w:trPr>
          <w:trHeight w:val="174"/>
        </w:trPr>
        <w:tc>
          <w:tcPr>
            <w:tcW w:w="4240" w:type="dxa"/>
            <w:vAlign w:val="bottom"/>
            <w:gridSpan w:val="2"/>
          </w:tcPr>
          <w:p>
            <w:pPr>
              <w:ind w:left="40"/>
              <w:spacing w:after="0"/>
              <w:rPr>
                <w:sz w:val="20"/>
                <w:szCs w:val="20"/>
                <w:color w:val="auto"/>
              </w:rPr>
            </w:pPr>
            <w:r>
              <w:rPr>
                <w:rFonts w:ascii="Arial" w:cs="Arial" w:eastAsia="Arial" w:hAnsi="Arial"/>
                <w:sz w:val="13"/>
                <w:szCs w:val="13"/>
                <w:b w:val="1"/>
                <w:bCs w:val="1"/>
                <w:color w:val="auto"/>
              </w:rPr>
              <w:t>AOCI Components</w:t>
            </w:r>
          </w:p>
        </w:tc>
        <w:tc>
          <w:tcPr>
            <w:tcW w:w="340" w:type="dxa"/>
            <w:vAlign w:val="bottom"/>
          </w:tcPr>
          <w:p>
            <w:pPr>
              <w:spacing w:after="0"/>
              <w:rPr>
                <w:sz w:val="15"/>
                <w:szCs w:val="15"/>
                <w:color w:val="auto"/>
              </w:rPr>
            </w:pPr>
          </w:p>
        </w:tc>
        <w:tc>
          <w:tcPr>
            <w:tcW w:w="2140" w:type="dxa"/>
            <w:vAlign w:val="bottom"/>
            <w:gridSpan w:val="3"/>
          </w:tcPr>
          <w:p>
            <w:pPr>
              <w:ind w:left="260"/>
              <w:spacing w:after="0"/>
              <w:rPr>
                <w:sz w:val="20"/>
                <w:szCs w:val="20"/>
                <w:color w:val="auto"/>
              </w:rPr>
            </w:pPr>
            <w:r>
              <w:rPr>
                <w:rFonts w:ascii="Arial" w:cs="Arial" w:eastAsia="Arial" w:hAnsi="Arial"/>
                <w:sz w:val="13"/>
                <w:szCs w:val="13"/>
                <w:b w:val="1"/>
                <w:bCs w:val="1"/>
                <w:color w:val="auto"/>
                <w:w w:val="90"/>
              </w:rPr>
              <w:t>Amounts Reclassified from AOCI</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00" w:type="dxa"/>
            <w:vAlign w:val="bottom"/>
          </w:tcPr>
          <w:p>
            <w:pPr>
              <w:ind w:left="860"/>
              <w:spacing w:after="0"/>
              <w:rPr>
                <w:sz w:val="20"/>
                <w:szCs w:val="20"/>
                <w:color w:val="auto"/>
              </w:rPr>
            </w:pPr>
            <w:r>
              <w:rPr>
                <w:rFonts w:ascii="Arial" w:cs="Arial" w:eastAsia="Arial" w:hAnsi="Arial"/>
                <w:sz w:val="13"/>
                <w:szCs w:val="13"/>
                <w:b w:val="1"/>
                <w:bCs w:val="1"/>
                <w:color w:val="auto"/>
              </w:rPr>
              <w:t>Comprehensive Income (Loss) Locations (1)</w:t>
            </w:r>
          </w:p>
        </w:tc>
        <w:tc>
          <w:tcPr>
            <w:tcW w:w="0" w:type="dxa"/>
            <w:vAlign w:val="bottom"/>
          </w:tcPr>
          <w:p>
            <w:pPr>
              <w:spacing w:after="0"/>
              <w:rPr>
                <w:sz w:val="1"/>
                <w:szCs w:val="1"/>
                <w:color w:val="auto"/>
              </w:rPr>
            </w:pPr>
          </w:p>
        </w:tc>
      </w:tr>
      <w:tr>
        <w:trPr>
          <w:trHeight w:val="264"/>
        </w:trPr>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14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7"/>
              </w:rPr>
              <w:t>Three Months Ended March 31,</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40" w:type="dxa"/>
            <w:vAlign w:val="bottom"/>
            <w:gridSpan w:val="3"/>
          </w:tcPr>
          <w:p>
            <w:pPr>
              <w:ind w:left="84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unrealized investment gains (losses):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gridSpan w:val="2"/>
          </w:tcPr>
          <w:p>
            <w:pPr>
              <w:ind w:left="360"/>
              <w:spacing w:after="0"/>
              <w:rPr>
                <w:sz w:val="20"/>
                <w:szCs w:val="20"/>
                <w:color w:val="auto"/>
              </w:rPr>
            </w:pPr>
            <w:r>
              <w:rPr>
                <w:rFonts w:ascii="Arial" w:cs="Arial" w:eastAsia="Arial" w:hAnsi="Arial"/>
                <w:sz w:val="14"/>
                <w:szCs w:val="14"/>
                <w:color w:val="auto"/>
              </w:rPr>
              <w:t>Net unrealized investment gains (losses)</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980" w:type="dxa"/>
            <w:vAlign w:val="bottom"/>
            <w:vMerge w:val="restart"/>
          </w:tcPr>
          <w:p>
            <w:pPr>
              <w:jc w:val="right"/>
              <w:ind w:right="811"/>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vMerge w:val="restart"/>
          </w:tcPr>
          <w:p>
            <w:pPr>
              <w:ind w:left="20"/>
              <w:spacing w:after="0"/>
              <w:rPr>
                <w:sz w:val="20"/>
                <w:szCs w:val="20"/>
                <w:color w:val="auto"/>
              </w:rPr>
            </w:pPr>
            <w:r>
              <w:rPr>
                <w:rFonts w:ascii="Arial" w:cs="Arial" w:eastAsia="Arial" w:hAnsi="Arial"/>
                <w:sz w:val="14"/>
                <w:szCs w:val="14"/>
                <w:color w:val="auto"/>
              </w:rPr>
              <w:t>Net investment gains (losses)</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Net unrealized investment gains (losses)</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gridSpan w:val="2"/>
          </w:tcPr>
          <w:p>
            <w:pPr>
              <w:ind w:left="360"/>
              <w:spacing w:after="0"/>
              <w:rPr>
                <w:sz w:val="20"/>
                <w:szCs w:val="20"/>
                <w:color w:val="auto"/>
              </w:rPr>
            </w:pPr>
            <w:r>
              <w:rPr>
                <w:rFonts w:ascii="Arial" w:cs="Arial" w:eastAsia="Arial" w:hAnsi="Arial"/>
                <w:sz w:val="14"/>
                <w:szCs w:val="14"/>
                <w:color w:val="auto"/>
              </w:rPr>
              <w:t>Net unrealized investment gains (losses)</w:t>
            </w:r>
          </w:p>
        </w:tc>
        <w:tc>
          <w:tcPr>
            <w:tcW w:w="34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vMerge w:val="restart"/>
          </w:tcPr>
          <w:p>
            <w:pPr>
              <w:ind w:left="2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w w:val="99"/>
              </w:rPr>
              <w:t>Net unrealized investment gains (losses), before income tax</w:t>
            </w:r>
          </w:p>
        </w:tc>
        <w:tc>
          <w:tcPr>
            <w:tcW w:w="3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gridSpan w:val="2"/>
          </w:tcPr>
          <w:p>
            <w:pPr>
              <w:ind w:left="520"/>
              <w:spacing w:after="0"/>
              <w:rPr>
                <w:sz w:val="20"/>
                <w:szCs w:val="20"/>
                <w:color w:val="auto"/>
              </w:rPr>
            </w:pPr>
            <w:r>
              <w:rPr>
                <w:rFonts w:ascii="Arial" w:cs="Arial" w:eastAsia="Arial" w:hAnsi="Arial"/>
                <w:sz w:val="14"/>
                <w:szCs w:val="14"/>
                <w:color w:val="auto"/>
              </w:rPr>
              <w:t>Income tax (expense) benefit</w:t>
            </w:r>
          </w:p>
        </w:tc>
        <w:tc>
          <w:tcPr>
            <w:tcW w:w="34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4240" w:type="dxa"/>
            <w:vAlign w:val="bottom"/>
            <w:gridSpan w:val="2"/>
            <w:shd w:val="clear" w:color="auto" w:fill="CCEEFF"/>
          </w:tcPr>
          <w:p>
            <w:pPr>
              <w:ind w:left="720"/>
              <w:spacing w:after="0" w:line="143" w:lineRule="exact"/>
              <w:rPr>
                <w:sz w:val="20"/>
                <w:szCs w:val="20"/>
                <w:color w:val="auto"/>
              </w:rPr>
            </w:pPr>
            <w:r>
              <w:rPr>
                <w:rFonts w:ascii="Arial" w:cs="Arial" w:eastAsia="Arial" w:hAnsi="Arial"/>
                <w:sz w:val="14"/>
                <w:szCs w:val="14"/>
                <w:color w:val="auto"/>
              </w:rPr>
              <w:t>Net unrealized investment gains (losses), net of income</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tax</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Unrealized gains (losses) on derivatives - cash flow hedges: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Interest rate swaps</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gridSpan w:val="2"/>
          </w:tcPr>
          <w:p>
            <w:pPr>
              <w:ind w:left="360"/>
              <w:spacing w:after="0"/>
              <w:rPr>
                <w:sz w:val="20"/>
                <w:szCs w:val="20"/>
                <w:color w:val="auto"/>
              </w:rPr>
            </w:pPr>
            <w:r>
              <w:rPr>
                <w:rFonts w:ascii="Arial" w:cs="Arial" w:eastAsia="Arial" w:hAnsi="Arial"/>
                <w:sz w:val="14"/>
                <w:szCs w:val="14"/>
                <w:color w:val="auto"/>
              </w:rPr>
              <w:t>Interest rate swaps</w:t>
            </w:r>
          </w:p>
        </w:tc>
        <w:tc>
          <w:tcPr>
            <w:tcW w:w="34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vMerge w:val="restart"/>
          </w:tcPr>
          <w:p>
            <w:pPr>
              <w:ind w:left="2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Interest rate forwards</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gridSpan w:val="2"/>
          </w:tcPr>
          <w:p>
            <w:pPr>
              <w:ind w:left="360"/>
              <w:spacing w:after="0"/>
              <w:rPr>
                <w:sz w:val="20"/>
                <w:szCs w:val="20"/>
                <w:color w:val="auto"/>
              </w:rPr>
            </w:pPr>
            <w:r>
              <w:rPr>
                <w:rFonts w:ascii="Arial" w:cs="Arial" w:eastAsia="Arial" w:hAnsi="Arial"/>
                <w:sz w:val="14"/>
                <w:szCs w:val="14"/>
                <w:color w:val="auto"/>
              </w:rPr>
              <w:t>Interest rate forwards</w:t>
            </w:r>
          </w:p>
        </w:tc>
        <w:tc>
          <w:tcPr>
            <w:tcW w:w="34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vMerge w:val="restart"/>
          </w:tcPr>
          <w:p>
            <w:pPr>
              <w:ind w:left="2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Foreign currency swaps</w:t>
            </w:r>
          </w:p>
        </w:tc>
        <w:tc>
          <w:tcPr>
            <w:tcW w:w="3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gridSpan w:val="2"/>
          </w:tcPr>
          <w:p>
            <w:pPr>
              <w:ind w:left="520"/>
              <w:spacing w:after="0"/>
              <w:rPr>
                <w:sz w:val="20"/>
                <w:szCs w:val="20"/>
                <w:color w:val="auto"/>
              </w:rPr>
            </w:pPr>
            <w:r>
              <w:rPr>
                <w:rFonts w:ascii="Arial" w:cs="Arial" w:eastAsia="Arial" w:hAnsi="Arial"/>
                <w:sz w:val="14"/>
                <w:szCs w:val="14"/>
                <w:color w:val="auto"/>
              </w:rPr>
              <w:t>Gains (losses) on cash flow hedges, before income tax</w:t>
            </w: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Income tax (expense) benefit</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240" w:type="dxa"/>
            <w:vAlign w:val="bottom"/>
            <w:gridSpan w:val="2"/>
          </w:tcPr>
          <w:p>
            <w:pPr>
              <w:ind w:left="680"/>
              <w:spacing w:after="0"/>
              <w:rPr>
                <w:sz w:val="20"/>
                <w:szCs w:val="20"/>
                <w:color w:val="auto"/>
              </w:rPr>
            </w:pPr>
            <w:r>
              <w:rPr>
                <w:rFonts w:ascii="Arial" w:cs="Arial" w:eastAsia="Arial" w:hAnsi="Arial"/>
                <w:sz w:val="14"/>
                <w:szCs w:val="14"/>
                <w:color w:val="auto"/>
              </w:rPr>
              <w:t>Gains (losses) on cash flow hedges, net of income tax</w:t>
            </w:r>
          </w:p>
        </w:tc>
        <w:tc>
          <w:tcPr>
            <w:tcW w:w="340" w:type="dxa"/>
            <w:vAlign w:val="bottom"/>
          </w:tcPr>
          <w:p>
            <w:pPr>
              <w:spacing w:after="0"/>
              <w:rPr>
                <w:sz w:val="14"/>
                <w:szCs w:val="14"/>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reclassifications, net of income tax</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-98425</wp:posOffset>
            </wp:positionV>
            <wp:extent cx="1809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1 for information related to the cumulative effect of change in accounting principle.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are based on a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revenues consisted primarily of 12b-1 fees of $93 million and $73 million for the three months ended March 31, 2018 and 2017, respectively, of which substantially all were reported in the annuities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8"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Revenues and Other Expenses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75" w:lineRule="exact"/>
        <w:rPr>
          <w:sz w:val="20"/>
          <w:szCs w:val="20"/>
          <w:color w:val="auto"/>
        </w:rPr>
      </w:pPr>
    </w:p>
    <w:p>
      <w:pPr>
        <w:ind w:left="9740"/>
        <w:spacing w:after="0"/>
        <w:rPr>
          <w:sz w:val="20"/>
          <w:szCs w:val="20"/>
          <w:color w:val="auto"/>
        </w:rPr>
      </w:pPr>
      <w:r>
        <w:rPr>
          <w:rFonts w:ascii="Arial" w:cs="Arial" w:eastAsia="Arial" w:hAnsi="Arial"/>
          <w:sz w:val="13"/>
          <w:szCs w:val="13"/>
          <w:b w:val="1"/>
          <w:bCs w:val="1"/>
          <w:color w:val="auto"/>
        </w:rPr>
        <w:t>Three Months</w:t>
      </w:r>
    </w:p>
    <w:p>
      <w:pPr>
        <w:ind w:left="9940"/>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ind w:left="984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10795</wp:posOffset>
            </wp:positionV>
            <wp:extent cx="1663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Commissions</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193</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Volume-related costs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Related party expenses on ceded and assumed reinsurance</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DAC</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taxes, licenses and fees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Professional services</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 and related expenses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w:t>
            </w: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127</w:t>
            </w:r>
          </w:p>
        </w:tc>
      </w:tr>
      <w:tr>
        <w:trPr>
          <w:trHeight w:val="33"/>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expenses</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Commissions and capitalization of DAC include the impact of related party reinsurance transactions. See Note 11 for a discussion of related party expenses included in the table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calculation of basic earnings per share (“EPS”) based on net income (loss) available to Brighthouse Financial, Inc.’s common shareholders divided by the basic weighted average number of common shares.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3"/>
          </w:tcPr>
          <w:p>
            <w:pPr>
              <w:jc w:val="center"/>
              <w:ind w:left="1005"/>
              <w:spacing w:after="0"/>
              <w:rPr>
                <w:sz w:val="20"/>
                <w:szCs w:val="20"/>
                <w:color w:val="auto"/>
              </w:rPr>
            </w:pPr>
            <w:r>
              <w:rPr>
                <w:rFonts w:ascii="Arial" w:cs="Arial" w:eastAsia="Arial" w:hAnsi="Arial"/>
                <w:sz w:val="14"/>
                <w:szCs w:val="14"/>
                <w:b w:val="1"/>
                <w:bCs w:val="1"/>
                <w:color w:val="auto"/>
                <w:w w:val="93"/>
              </w:rPr>
              <w:t>Three Months</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20" w:type="dxa"/>
            <w:vAlign w:val="bottom"/>
            <w:gridSpan w:val="3"/>
          </w:tcPr>
          <w:p>
            <w:pPr>
              <w:jc w:val="center"/>
              <w:ind w:left="985"/>
              <w:spacing w:after="0" w:line="149" w:lineRule="exact"/>
              <w:rPr>
                <w:sz w:val="20"/>
                <w:szCs w:val="20"/>
                <w:color w:val="auto"/>
              </w:rPr>
            </w:pPr>
            <w:r>
              <w:rPr>
                <w:rFonts w:ascii="Arial" w:cs="Arial" w:eastAsia="Arial" w:hAnsi="Arial"/>
                <w:sz w:val="14"/>
                <w:szCs w:val="14"/>
                <w:b w:val="1"/>
                <w:bCs w:val="1"/>
                <w:color w:val="auto"/>
                <w:w w:val="93"/>
              </w:rPr>
              <w:t>Ended</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1005"/>
              <w:spacing w:after="0"/>
              <w:rPr>
                <w:sz w:val="20"/>
                <w:szCs w:val="20"/>
                <w:color w:val="auto"/>
              </w:rPr>
            </w:pPr>
            <w:r>
              <w:rPr>
                <w:rFonts w:ascii="Arial" w:cs="Arial" w:eastAsia="Arial" w:hAnsi="Arial"/>
                <w:sz w:val="14"/>
                <w:szCs w:val="14"/>
                <w:b w:val="1"/>
                <w:bCs w:val="1"/>
                <w:color w:val="auto"/>
                <w:w w:val="95"/>
              </w:rPr>
              <w:t>March 31,</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vMerge w:val="restart"/>
          </w:tcPr>
          <w:p>
            <w:pPr>
              <w:jc w:val="right"/>
              <w:ind w:right="76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tcPr>
          <w:p>
            <w:pPr>
              <w:jc w:val="right"/>
              <w:ind w:right="583"/>
              <w:spacing w:after="0" w:line="153"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2017 (1)</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40" w:type="dxa"/>
            <w:vAlign w:val="bottom"/>
            <w:gridSpan w:val="4"/>
          </w:tcPr>
          <w:p>
            <w:pPr>
              <w:jc w:val="center"/>
              <w:ind w:right="263"/>
              <w:spacing w:after="0"/>
              <w:rPr>
                <w:sz w:val="20"/>
                <w:szCs w:val="20"/>
                <w:color w:val="auto"/>
              </w:rPr>
            </w:pPr>
            <w:r>
              <w:rPr>
                <w:rFonts w:ascii="Arial" w:cs="Arial" w:eastAsia="Arial" w:hAnsi="Arial"/>
                <w:sz w:val="14"/>
                <w:szCs w:val="14"/>
                <w:b w:val="1"/>
                <w:bCs w:val="1"/>
                <w:color w:val="auto"/>
                <w:w w:val="92"/>
              </w:rPr>
              <w:t>(In millions, except share and per share data)</w:t>
            </w: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119,773,106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119,773,106</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0"/>
              <w:spacing w:after="0"/>
              <w:rPr>
                <w:sz w:val="20"/>
                <w:szCs w:val="20"/>
                <w:color w:val="auto"/>
              </w:rPr>
            </w:pPr>
            <w:r>
              <w:rPr>
                <w:rFonts w:ascii="Arial" w:cs="Arial" w:eastAsia="Arial" w:hAnsi="Arial"/>
                <w:sz w:val="16"/>
                <w:szCs w:val="16"/>
                <w:color w:val="auto"/>
              </w:rPr>
              <w:t>Earnings per common share:</w:t>
            </w: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right="20" w:hanging="492"/>
        <w:spacing w:after="0" w:line="34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August 4, 2017, following the completion of the Separation, 119,773,106 shares of Brighthouse Financial, Inc. common stock were outstanding. This number of shares remained outstanding at March 31, 2018 and is utilized to calculate EPS for the three months ended March 31, 2017.</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w:t>
      </w:r>
    </w:p>
    <w:p>
      <w:pPr>
        <w:sectPr>
          <w:pgSz w:w="11900" w:h="16838" w:orient="portrait"/>
          <w:cols w:equalWidth="0" w:num="1">
            <w:col w:w="11420"/>
          </w:cols>
          <w:pgMar w:left="240" w:top="23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234" w:right="239" w:bottom="1440" w:gutter="0" w:footer="0" w:header="0"/>
          <w:type w:val="continuous"/>
        </w:sectPr>
      </w:pPr>
    </w:p>
    <w:bookmarkStart w:id="51" w:name="page52"/>
    <w:bookmarkEnd w:id="5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364"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2018.</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As of March 31, 2018, the Company estimates the aggregate range of reasonably possible losses in excess of amounts accrued for these matters to be $0 to $10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Diversified Lending Group Litigations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Hartshorne v. NELICO, et al. (Los Angeles County Superior Court, filed March 25, 2015)</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Plaintiffs have named New England Life Insurance Company (“NELICO”), MetLife, Inc. and MetLife Securities, Inc. in twelve related lawsuits in California state court alleging various causes of action including multiple negligence and statutory claims relating to the Diversified Lending Group Ponzi scheme. All but one of the plaintiffs have resolved their claims with the defendants. The last remaining plaintiff settled with the defendants and the Company anticipates the plaintiff’s claims will be dismissed in May 2018.</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mutual funds or other products. The Company continues to defend vigorously against the claims in these matters. The Company believes adequate provision has been made in its consolidated and combined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Unclaimed Property Litigation</w:t>
      </w:r>
    </w:p>
    <w:p>
      <w:pPr>
        <w:spacing w:after="0" w:line="117"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i w:val="1"/>
          <w:iCs w:val="1"/>
          <w:color w:val="auto"/>
        </w:rPr>
        <w:t xml:space="preserve">Total Asset Recovery Services, LLC on its own behalf and on behalf of the State of New York v. Brighthouse Financial, Inc., et al. </w:t>
      </w:r>
      <w:r>
        <w:rPr>
          <w:rFonts w:ascii="Arial" w:cs="Arial" w:eastAsia="Arial" w:hAnsi="Arial"/>
          <w:sz w:val="16"/>
          <w:szCs w:val="16"/>
          <w:color w:val="auto"/>
        </w:rPr>
        <w:t>(Supreme Court,</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County, NY, second amended complaint filed November 17, 2017). Total Asset Recovery Services, LLC (the “Relator”) has brought a qui tam action against Brighthouse Financial, Inc. and its subsidiaries and affiliates under the New York False Claims Act seeking to recover damages on behalf of the State of New York. The action originally was filed under seal on or about December 3, 2010. The State of New York declined to intervene in the action, and the Relator is now prosecuting the action. The Relator alleges that from on or about April 1, 1986 and continuing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34" w:right="239" w:bottom="1440" w:gutter="0" w:footer="0" w:header="0"/>
        </w:sectPr>
      </w:pPr>
    </w:p>
    <w:bookmarkStart w:id="52" w:name="page53"/>
    <w:bookmarkEnd w:id="5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36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annually through on or about September 10, 2017, the defendants violated New York State Finance Law Section 189 (1) (g) by failing to timely report and deliver unclaimed insurance property to the State of New York. The Relator is seeking, among other things, treble damages, penalties, expenses and attorneys’ fees and prejudgment interest. No specific dollar amount of damages is specified by the Relator who also is suing numerous insurance companies and John Doe defendants. Brighthouse Financial, Inc. has filed a motion to dismiss. The Brighthouse defendants intend to defend this action vigorously.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consolidated and combined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6"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and combined net income or cash flows in particular quarterly or annual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$435 million and $388 million at March 31,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and Private Corporate Bond Investments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private corporate bond investments. The amounts of these unfunded commitments were $1.5 billion and $1.4 billion at March 31, 2018 and December 31,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$199 million, with a cumulative maximum of $205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Company’s recorded liabilities were $2 million at both March 31, 2018 and December 31, 2017, for indemnities, guarantees and commitments.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not historically operated as a standalone business prior to the Separation, and as a result had various existing arrangements with MetLife for services necessary to conduct its activities. Subsequent to the Separation, certain of such services continued, as provided for under a master service agreement and various transition services agreements entered into in connection with the Separation.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income and expense from transactions with MetLife for the periods indicated:</w:t>
      </w:r>
    </w:p>
    <w:p>
      <w:pPr>
        <w:spacing w:after="0" w:line="32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w:t>
      </w:r>
    </w:p>
    <w:p>
      <w:pPr>
        <w:ind w:left="95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3"/>
          </w:tcPr>
          <w:p>
            <w:pPr>
              <w:jc w:val="right"/>
              <w:ind w:right="118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63"/>
              <w:spacing w:after="0"/>
              <w:rPr>
                <w:sz w:val="20"/>
                <w:szCs w:val="20"/>
                <w:color w:val="auto"/>
              </w:rPr>
            </w:pPr>
            <w:r>
              <w:rPr>
                <w:rFonts w:ascii="Arial" w:cs="Arial" w:eastAsia="Arial" w:hAnsi="Arial"/>
                <w:sz w:val="16"/>
                <w:szCs w:val="16"/>
                <w:color w:val="auto"/>
              </w:rPr>
              <w:t>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99</w:t>
            </w:r>
          </w:p>
        </w:tc>
      </w:tr>
      <w:tr>
        <w:trPr>
          <w:trHeight w:val="357"/>
        </w:trPr>
        <w:tc>
          <w:tcPr>
            <w:tcW w:w="8120" w:type="dxa"/>
            <w:vAlign w:val="bottom"/>
          </w:tcPr>
          <w:p>
            <w:pPr>
              <w:ind w:left="340"/>
              <w:spacing w:after="0"/>
              <w:rPr>
                <w:sz w:val="20"/>
                <w:szCs w:val="20"/>
                <w:color w:val="auto"/>
              </w:rPr>
            </w:pPr>
            <w:r>
              <w:rPr>
                <w:rFonts w:ascii="Arial" w:cs="Arial" w:eastAsia="Arial" w:hAnsi="Arial"/>
                <w:sz w:val="18"/>
                <w:szCs w:val="18"/>
                <w:color w:val="auto"/>
              </w:rPr>
              <w:t>The following table summarizes assets and liabilities from transactions with MetLife at: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61"/>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3"/>
          </w:tcPr>
          <w:p>
            <w:pPr>
              <w:jc w:val="right"/>
              <w:ind w:right="118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2,943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2,907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63"/>
              <w:spacing w:after="0"/>
              <w:rPr>
                <w:sz w:val="20"/>
                <w:szCs w:val="20"/>
                <w:color w:val="auto"/>
              </w:rPr>
            </w:pPr>
            <w:r>
              <w:rPr>
                <w:rFonts w:ascii="Arial" w:cs="Arial" w:eastAsia="Arial" w:hAnsi="Arial"/>
                <w:sz w:val="16"/>
                <w:szCs w:val="16"/>
                <w:color w:val="auto"/>
              </w:rPr>
              <w:t>2,149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2,178</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arrangements between the Company and MetLife are as follows: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former affiliates. The Company participates in reinsurance activities in order to limit losses, minimize exposure to significant risks and provide additional capacity for future growth.</w:t>
      </w:r>
    </w:p>
    <w:p>
      <w:pPr>
        <w:spacing w:after="0" w:line="7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has reinsurance agreements with certain MetLife, Inc. subsidiaries, including MLIC, General American Life Insurance Company and MetLife Reinsurance Company of Vermont, all of which were related parties at March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34" w:right="239" w:bottom="1440" w:gutter="0" w:footer="0" w:header="0"/>
        </w:sectPr>
      </w:pPr>
    </w:p>
    <w:bookmarkStart w:id="54" w:name="page55"/>
    <w:bookmarkEnd w:id="5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 (continued)</w:t>
      </w:r>
    </w:p>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MetLife affiliates included on the interim condensed consolidated and combined statements of operations and comprehensive income (loss)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Three Months</w:t>
            </w:r>
          </w:p>
        </w:tc>
        <w:tc>
          <w:tcPr>
            <w:tcW w:w="440" w:type="dxa"/>
            <w:vAlign w:val="bottom"/>
          </w:tcPr>
          <w:p>
            <w:pPr>
              <w:spacing w:after="0"/>
              <w:rPr>
                <w:sz w:val="17"/>
                <w:szCs w:val="17"/>
                <w:color w:val="auto"/>
              </w:rPr>
            </w:pPr>
          </w:p>
        </w:tc>
      </w:tr>
      <w:tr>
        <w:trPr>
          <w:trHeight w:val="203"/>
        </w:trPr>
        <w:tc>
          <w:tcPr>
            <w:tcW w:w="8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440" w:type="dxa"/>
            <w:vAlign w:val="bottom"/>
          </w:tcPr>
          <w:p>
            <w:pPr>
              <w:spacing w:after="0"/>
              <w:rPr>
                <w:sz w:val="17"/>
                <w:szCs w:val="17"/>
                <w:color w:val="auto"/>
              </w:rPr>
            </w:pPr>
          </w:p>
        </w:tc>
      </w:tr>
      <w:tr>
        <w:trPr>
          <w:trHeight w:val="210"/>
        </w:trPr>
        <w:tc>
          <w:tcPr>
            <w:tcW w:w="8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March 31,</w:t>
            </w:r>
          </w:p>
        </w:tc>
        <w:tc>
          <w:tcPr>
            <w:tcW w:w="440" w:type="dxa"/>
            <w:vAlign w:val="bottom"/>
          </w:tcPr>
          <w:p>
            <w:pPr>
              <w:spacing w:after="0"/>
              <w:rPr>
                <w:sz w:val="18"/>
                <w:szCs w:val="18"/>
                <w:color w:val="auto"/>
              </w:rPr>
            </w:pPr>
          </w:p>
        </w:tc>
      </w:tr>
      <w:tr>
        <w:trPr>
          <w:trHeight w:val="33"/>
        </w:trPr>
        <w:tc>
          <w:tcPr>
            <w:tcW w:w="8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8"/>
        </w:trPr>
        <w:tc>
          <w:tcPr>
            <w:tcW w:w="89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50"/>
        </w:trPr>
        <w:tc>
          <w:tcPr>
            <w:tcW w:w="8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800" w:type="dxa"/>
            <w:vAlign w:val="bottom"/>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(177)</w:t>
            </w:r>
          </w:p>
        </w:tc>
      </w:tr>
      <w:tr>
        <w:trPr>
          <w:trHeight w:val="217"/>
        </w:trPr>
        <w:tc>
          <w:tcPr>
            <w:tcW w:w="8920" w:type="dxa"/>
            <w:vAlign w:val="bottom"/>
          </w:tcPr>
          <w:p>
            <w:pPr>
              <w:ind w:left="200"/>
              <w:spacing w:after="0"/>
              <w:rPr>
                <w:sz w:val="20"/>
                <w:szCs w:val="20"/>
                <w:color w:val="auto"/>
              </w:rPr>
            </w:pPr>
            <w:r>
              <w:rPr>
                <w:rFonts w:ascii="Arial" w:cs="Arial" w:eastAsia="Arial" w:hAnsi="Arial"/>
                <w:sz w:val="16"/>
                <w:szCs w:val="16"/>
                <w:color w:val="auto"/>
              </w:rPr>
              <w:t>Net premiums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(174)</w:t>
            </w:r>
          </w:p>
        </w:tc>
      </w:tr>
      <w:tr>
        <w:trPr>
          <w:trHeight w:val="73"/>
        </w:trPr>
        <w:tc>
          <w:tcPr>
            <w:tcW w:w="89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177"/>
        </w:trPr>
        <w:tc>
          <w:tcPr>
            <w:tcW w:w="89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Universal life and investment-type product policy fees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74"/>
        </w:trPr>
        <w:tc>
          <w:tcPr>
            <w:tcW w:w="89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800" w:type="dxa"/>
            <w:vAlign w:val="bottom"/>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8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920" w:type="dxa"/>
            <w:vAlign w:val="bottom"/>
          </w:tcPr>
          <w:p>
            <w:pPr>
              <w:ind w:left="200"/>
              <w:spacing w:after="0"/>
              <w:rPr>
                <w:sz w:val="20"/>
                <w:szCs w:val="20"/>
                <w:color w:val="auto"/>
              </w:rPr>
            </w:pPr>
            <w:r>
              <w:rPr>
                <w:rFonts w:ascii="Arial" w:cs="Arial" w:eastAsia="Arial" w:hAnsi="Arial"/>
                <w:sz w:val="16"/>
                <w:szCs w:val="16"/>
                <w:color w:val="auto"/>
              </w:rPr>
              <w:t>Net universal life and investment-type product policy fees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73"/>
        </w:trPr>
        <w:tc>
          <w:tcPr>
            <w:tcW w:w="89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177"/>
        </w:trPr>
        <w:tc>
          <w:tcPr>
            <w:tcW w:w="89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74"/>
        </w:trPr>
        <w:tc>
          <w:tcPr>
            <w:tcW w:w="89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920" w:type="dxa"/>
            <w:vAlign w:val="bottom"/>
          </w:tcPr>
          <w:p>
            <w:pPr>
              <w:ind w:left="200"/>
              <w:spacing w:after="0"/>
              <w:rPr>
                <w:sz w:val="20"/>
                <w:szCs w:val="20"/>
                <w:color w:val="auto"/>
              </w:rPr>
            </w:pPr>
            <w:r>
              <w:rPr>
                <w:rFonts w:ascii="Arial" w:cs="Arial" w:eastAsia="Arial" w:hAnsi="Arial"/>
                <w:sz w:val="16"/>
                <w:szCs w:val="16"/>
                <w:color w:val="auto"/>
              </w:rPr>
              <w:t>Net other revenues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89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177"/>
        </w:trPr>
        <w:tc>
          <w:tcPr>
            <w:tcW w:w="89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Policyholder benefits and claims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74"/>
        </w:trPr>
        <w:tc>
          <w:tcPr>
            <w:tcW w:w="89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800" w:type="dxa"/>
            <w:vAlign w:val="bottom"/>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(134)</w:t>
            </w:r>
          </w:p>
        </w:tc>
      </w:tr>
      <w:tr>
        <w:trPr>
          <w:trHeight w:val="217"/>
        </w:trPr>
        <w:tc>
          <w:tcPr>
            <w:tcW w:w="8920" w:type="dxa"/>
            <w:vAlign w:val="bottom"/>
          </w:tcPr>
          <w:p>
            <w:pPr>
              <w:ind w:left="200"/>
              <w:spacing w:after="0"/>
              <w:rPr>
                <w:sz w:val="20"/>
                <w:szCs w:val="20"/>
                <w:color w:val="auto"/>
              </w:rPr>
            </w:pPr>
            <w:r>
              <w:rPr>
                <w:rFonts w:ascii="Arial" w:cs="Arial" w:eastAsia="Arial" w:hAnsi="Arial"/>
                <w:sz w:val="16"/>
                <w:szCs w:val="16"/>
                <w:color w:val="auto"/>
              </w:rPr>
              <w:t>Net policyholder benefits and claims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(128)</w:t>
            </w:r>
          </w:p>
        </w:tc>
      </w:tr>
      <w:tr>
        <w:trPr>
          <w:trHeight w:val="33"/>
        </w:trPr>
        <w:tc>
          <w:tcPr>
            <w:tcW w:w="8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MetLife affiliates included on the interim condensed consolidated balance sheets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2018</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Assumed</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Ceded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1"/>
              </w:rPr>
              <w:t>Assumed</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Ceded</w:t>
            </w:r>
          </w:p>
        </w:tc>
      </w:tr>
      <w:tr>
        <w:trPr>
          <w:trHeight w:val="250"/>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25</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3,438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3,410</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policy-related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1,670</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1,674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32</w:t>
            </w:r>
          </w:p>
        </w:tc>
        <w:tc>
          <w:tcPr>
            <w:tcW w:w="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401</w:t>
            </w:r>
          </w:p>
        </w:tc>
      </w:tr>
      <w:tr>
        <w:trPr>
          <w:trHeight w:val="33"/>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cedes risks to MLIC related to guaranteed minimum benefits written directly by the Company. The ceded reinsurance agreements contain embedded derivatives and changes in the estimated fair value are also included within net derivative gains (losses). The embedded derivatives associated with the cessions are included within premiums, reinsurance and other receivables and were $2 million both at March 31, 2018 and December 31, 2017. Net derivative gains (losses) associated with the embedded derivatives were less than $1 million and ($263) million for the three months ended March 31, 2018 and 2017,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34" w:right="239" w:bottom="1440" w:gutter="0" w:footer="0" w:header="0"/>
        </w:sectPr>
      </w:pPr>
    </w:p>
    <w:bookmarkStart w:id="55" w:name="page56"/>
    <w:bookmarkEnd w:id="5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 (continued)</w:t>
      </w:r>
    </w:p>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2017, the Company executed a novation and assignment of a reinsurance agreement under which MLIC reinsured certain variable annuities, including guaranteed minimum benefits, issued by Brighthouse Insurance Company of NY (“BHNY”) and NELICO. As a result of the novation and assignment, the reinsurance agreement is now between Brighthouse Life Insurance Company and BHNY and NELICO. The transaction is treated as a termination of the existing reinsurance agreement with recognition of a loss and a new reinsurance agreement with no recognition of a gain or loss. The transaction resulted in an increase in other liabilities of $274 million. The Company recognized a loss of $178 million, net of income tax, as a result of this transaction.</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January 2017, MLIC recaptured risks related to guaranteed minimum benefits written by MLIC that were reinsured by the Company. This recapture resulted in a decrease in investments and cash and cash equivalents of $568 million, a decrease in future policy benefits of $106 million, and a decrease in policyholder account balances of $460 million. The Company recognized a loss of $2 million, net of income tax, as a result of this transaction.</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Financing Arrangements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the Separation, the Company had collateral financing arrangements with MetLife that were used to support reinsurance obligations arising under previously affiliated reinsurance agreements. The Company recognized interest expense for such arrangements of $31 million for the three months ended March 31, 2017. These arrangements were terminated in April 2017.</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Transactions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the Company had previously transferred invested assets, primarily consisting of fixed maturity securities, to and from former affiliates. See Note 4 for further discussion of the related party investment transactions.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MetLife provides the Company certain services, which include, but are not limited to, treasury, financial planning and analysis, legal, human resources, tax planning, internal audit, financial reporting, and information technology. The Company is charged for these services through a transition services agreement and allocated to the legal entities and products within the Company.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Expenses incurred with MetLife related to these arrangements, recorded in other expenses, were $94 million and $97 million for the three months ended March 31, 2018 and 2017,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9"/>
        </w:trPr>
        <w:tc>
          <w:tcPr>
            <w:tcW w:w="1140" w:type="dxa"/>
            <w:vAlign w:val="bottom"/>
            <w:gridSpan w:val="3"/>
          </w:tcPr>
          <w:p>
            <w:pPr>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Introduction</w:t>
              </w:r>
            </w:hyperlink>
          </w:p>
        </w:tc>
        <w:tc>
          <w:tcPr>
            <w:tcW w:w="3300" w:type="dxa"/>
            <w:vAlign w:val="bottom"/>
            <w:gridSpan w:val="9"/>
          </w:tcPr>
          <w:p>
            <w:pPr>
              <w:spacing w:after="0"/>
              <w:rPr>
                <w:sz w:val="16"/>
                <w:szCs w:val="16"/>
                <w:color w:val="auto"/>
              </w:rPr>
            </w:pPr>
          </w:p>
        </w:tc>
        <w:tc>
          <w:tcPr>
            <w:tcW w:w="6580" w:type="dxa"/>
            <w:vAlign w:val="bottom"/>
            <w:gridSpan w:val="3"/>
          </w:tcPr>
          <w:p>
            <w:pPr>
              <w:jc w:val="center"/>
              <w:ind w:left="6310"/>
              <w:spacing w:after="0" w:line="170"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60" w:type="dxa"/>
            <w:vAlign w:val="bottom"/>
          </w:tcPr>
          <w:p>
            <w:pPr>
              <w:spacing w:after="0"/>
              <w:rPr>
                <w:sz w:val="16"/>
                <w:szCs w:val="16"/>
                <w:color w:val="auto"/>
              </w:rPr>
            </w:pPr>
          </w:p>
        </w:tc>
      </w:tr>
      <w:tr>
        <w:trPr>
          <w:trHeight w:val="27"/>
        </w:trPr>
        <w:tc>
          <w:tcPr>
            <w:tcW w:w="82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0" w:type="dxa"/>
            <w:vAlign w:val="bottom"/>
            <w:gridSpan w:val="2"/>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r>
      <w:tr>
        <w:trPr>
          <w:trHeight w:val="257"/>
        </w:trPr>
        <w:tc>
          <w:tcPr>
            <w:tcW w:w="1460" w:type="dxa"/>
            <w:vAlign w:val="bottom"/>
            <w:gridSpan w:val="5"/>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Executive Summary</w:t>
              </w:r>
            </w:hyperlink>
          </w:p>
        </w:tc>
        <w:tc>
          <w:tcPr>
            <w:tcW w:w="2980" w:type="dxa"/>
            <w:vAlign w:val="bottom"/>
            <w:gridSpan w:val="7"/>
          </w:tcPr>
          <w:p>
            <w:pPr>
              <w:spacing w:after="0"/>
              <w:rPr>
                <w:sz w:val="22"/>
                <w:szCs w:val="22"/>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360" w:type="dxa"/>
            <w:vAlign w:val="bottom"/>
          </w:tcPr>
          <w:p>
            <w:pPr>
              <w:spacing w:after="0"/>
              <w:rPr>
                <w:sz w:val="22"/>
                <w:szCs w:val="22"/>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Industry Trends</w:t>
              </w:r>
            </w:hyperlink>
          </w:p>
        </w:tc>
        <w:tc>
          <w:tcPr>
            <w:tcW w:w="320" w:type="dxa"/>
            <w:vAlign w:val="bottom"/>
            <w:gridSpan w:val="2"/>
          </w:tcPr>
          <w:p>
            <w:pPr>
              <w:spacing w:after="0"/>
              <w:rPr>
                <w:sz w:val="21"/>
                <w:szCs w:val="21"/>
                <w:color w:val="auto"/>
              </w:rPr>
            </w:pPr>
          </w:p>
        </w:tc>
        <w:tc>
          <w:tcPr>
            <w:tcW w:w="2980" w:type="dxa"/>
            <w:vAlign w:val="bottom"/>
            <w:gridSpan w:val="7"/>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36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440" w:type="dxa"/>
            <w:vAlign w:val="bottom"/>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Summary of Critical Accounting Estimates</w:t>
              </w:r>
            </w:hyperlink>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36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3220" w:type="dxa"/>
            <w:vAlign w:val="bottom"/>
            <w:gridSpan w:val="10"/>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Non-GAAP and Other Financial Disclosures</w:t>
              </w:r>
            </w:hyperlink>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36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3220" w:type="dxa"/>
            <w:vAlign w:val="bottom"/>
            <w:gridSpan w:val="1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Segment Capital</w:t>
              </w:r>
            </w:hyperlink>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64</w:t>
              </w:r>
            </w:hyperlink>
          </w:p>
        </w:tc>
        <w:tc>
          <w:tcPr>
            <w:tcW w:w="36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560" w:type="dxa"/>
            <w:vAlign w:val="bottom"/>
            <w:gridSpan w:val="6"/>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Results of Operations</w:t>
              </w:r>
            </w:hyperlink>
          </w:p>
        </w:tc>
        <w:tc>
          <w:tcPr>
            <w:tcW w:w="2880" w:type="dxa"/>
            <w:vAlign w:val="bottom"/>
            <w:gridSpan w:val="6"/>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36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560" w:type="dxa"/>
            <w:vAlign w:val="bottom"/>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Investments</w:t>
              </w:r>
            </w:hyperlink>
          </w:p>
        </w:tc>
        <w:tc>
          <w:tcPr>
            <w:tcW w:w="2880" w:type="dxa"/>
            <w:vAlign w:val="bottom"/>
            <w:gridSpan w:val="6"/>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36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Derivatives</w:t>
              </w:r>
            </w:hyperlink>
          </w:p>
        </w:tc>
        <w:tc>
          <w:tcPr>
            <w:tcW w:w="3620" w:type="dxa"/>
            <w:vAlign w:val="bottom"/>
            <w:gridSpan w:val="11"/>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86</w:t>
              </w:r>
            </w:hyperlink>
          </w:p>
        </w:tc>
        <w:tc>
          <w:tcPr>
            <w:tcW w:w="36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w w:val="86"/>
              </w:rPr>
            </w:pPr>
            <w:hyperlink w:anchor="page89">
              <w:r>
                <w:rPr>
                  <w:rFonts w:ascii="Arial" w:cs="Arial" w:eastAsia="Arial" w:hAnsi="Arial"/>
                  <w:sz w:val="18"/>
                  <w:szCs w:val="18"/>
                  <w:color w:val="0000EE"/>
                  <w:w w:val="86"/>
                </w:rPr>
                <w:t>Off Balance Sheet Arrangements</w:t>
              </w:r>
            </w:hyperlink>
          </w:p>
        </w:tc>
        <w:tc>
          <w:tcPr>
            <w:tcW w:w="212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360" w:type="dxa"/>
            <w:vAlign w:val="bottom"/>
          </w:tcPr>
          <w:p>
            <w:pPr>
              <w:spacing w:after="0"/>
              <w:rPr>
                <w:sz w:val="21"/>
                <w:szCs w:val="21"/>
                <w:color w:val="auto"/>
              </w:rPr>
            </w:pPr>
          </w:p>
        </w:tc>
      </w:tr>
      <w:tr>
        <w:trPr>
          <w:trHeight w:val="20"/>
        </w:trPr>
        <w:tc>
          <w:tcPr>
            <w:tcW w:w="168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Policyholder Liabilities</w:t>
              </w:r>
            </w:hyperlink>
          </w:p>
        </w:tc>
        <w:tc>
          <w:tcPr>
            <w:tcW w:w="212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360" w:type="dxa"/>
            <w:vAlign w:val="bottom"/>
          </w:tcPr>
          <w:p>
            <w:pPr>
              <w:spacing w:after="0"/>
              <w:rPr>
                <w:sz w:val="21"/>
                <w:szCs w:val="21"/>
                <w:color w:val="auto"/>
              </w:rPr>
            </w:pPr>
          </w:p>
        </w:tc>
      </w:tr>
      <w:tr>
        <w:trPr>
          <w:trHeight w:val="20"/>
        </w:trPr>
        <w:tc>
          <w:tcPr>
            <w:tcW w:w="168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Liquidity and Capital Resources</w:t>
              </w:r>
            </w:hyperlink>
          </w:p>
        </w:tc>
        <w:tc>
          <w:tcPr>
            <w:tcW w:w="212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360" w:type="dxa"/>
            <w:vAlign w:val="bottom"/>
          </w:tcPr>
          <w:p>
            <w:pPr>
              <w:spacing w:after="0"/>
              <w:rPr>
                <w:sz w:val="21"/>
                <w:szCs w:val="21"/>
                <w:color w:val="auto"/>
              </w:rPr>
            </w:pPr>
          </w:p>
        </w:tc>
      </w:tr>
      <w:tr>
        <w:trPr>
          <w:trHeight w:val="20"/>
        </w:trPr>
        <w:tc>
          <w:tcPr>
            <w:tcW w:w="2320" w:type="dxa"/>
            <w:vAlign w:val="bottom"/>
            <w:gridSpan w:val="8"/>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440" w:type="dxa"/>
            <w:vAlign w:val="bottom"/>
            <w:gridSpan w:val="1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Note Regarding Forward-Looking Statements</w:t>
              </w:r>
            </w:hyperlink>
          </w:p>
        </w:tc>
        <w:tc>
          <w:tcPr>
            <w:tcW w:w="6580" w:type="dxa"/>
            <w:vAlign w:val="bottom"/>
            <w:gridSpan w:val="3"/>
          </w:tcPr>
          <w:p>
            <w:pPr>
              <w:jc w:val="center"/>
              <w:ind w:left="631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99</w:t>
              </w:r>
            </w:hyperlink>
          </w:p>
        </w:tc>
        <w:tc>
          <w:tcPr>
            <w:tcW w:w="360" w:type="dxa"/>
            <w:vAlign w:val="bottom"/>
          </w:tcPr>
          <w:p>
            <w:pPr>
              <w:spacing w:after="0"/>
              <w:rPr>
                <w:sz w:val="21"/>
                <w:szCs w:val="2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040" w:type="dxa"/>
            <w:vAlign w:val="bottom"/>
          </w:tcPr>
          <w:p>
            <w:pPr>
              <w:jc w:val="right"/>
              <w:ind w:right="463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purposes of this discussion, “Brighthouse,” the “Company,” “we,” “our” and “us” refer to Brighthouse Financial, Inc. a corporation incorporated in Delaware in 2016, and its subsidiaries. Brighthouse Financial, Inc. was formerly a wholly-owned subsidiary of MetLife, Inc.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 (i) the unaudited interim condensed consolidated and combined financial statements and related notes included elsewhere herein; (ii) our Annual Report on Form 10-K for the year ended December 31, 2017, filed with the U.S. Securities and Exchange Commission (“SEC”) on March 16, 2018 (the “2017 Annual Report”); and (iii) our current reports on Form 8-K filed in 2018.</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term “Separation” refers to the separation of MetLife, Inc.’s former Brighthouse Financial segment from MetLife’s other businesses and the creation of a separate, publicly traded company, Brighthouse Financial, Inc., to hold the assets (including the equity interests of certain MetLife, Inc. subsidiaries) and liabilities associated with MetLife, Inc.’s former Brighthouse Financial segment from and after the Distribution; the term “Distribution” refers to the distribution on August 4, 2017 of 96,776,670, or 80.8%, of the 119,773,106 shares of Brighthouse Financial, Inc. common stock outstanding immediately prior to the Distribution date by MetLife, Inc. to shareholders of MetLife, Inc. as of the record date for the Distribution.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Summary” contains the following sub-sections: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“Overview” provides information regarding our business, reporting segments and results as discussed in the Results of Operations.</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“Background” presents details of the Company’s legal entity structure.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the 2017 Annual Report that we believe may materially affect our future financial condition, results of operations or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“Summary of Critical Accounting Estimates” explains the most critical estimates and judgments applied in determining our GAAP results.</w:t>
      </w:r>
    </w:p>
    <w:p>
      <w:pPr>
        <w:spacing w:after="0" w:line="128"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“Non-GAAP and Other Financial Disclosures” defines key financial measures presented in the Results of Operations that are not calculated in accordance with accounting principles generally accepted in the United States of America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a major provider of annuity products and life insurance in the United States through multiple independent distribution channels and marketing arrangements with a diverse network of distribution partners.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operating purposes, we have established three reporting segments: (i) Annuities, (ii) Life and (iii) Run-off, which consists of operations relating to products we are not actively selling and which are separately managed. In addition, we report certain of our results of operations not included in the segments in Corporate &amp; Other.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 Executive Summary — Overview,” and “Business — Segments and Corporate &amp; Other” included in the 2017 Annual Report along with Note 2 of the Notes to the Interim Condensed Consolidated and Combined Financial Statements for further information on our segments and Corporate &amp; Other.</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presents a summary of our net income (loss) and adjusted earnings. For a detailed discussion of our results see “— Results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340"/>
              <w:spacing w:after="0"/>
              <w:rPr>
                <w:sz w:val="20"/>
                <w:szCs w:val="20"/>
                <w:color w:val="auto"/>
              </w:rPr>
            </w:pPr>
            <w:r>
              <w:rPr>
                <w:rFonts w:ascii="Arial" w:cs="Arial" w:eastAsia="Arial" w:hAnsi="Arial"/>
                <w:sz w:val="14"/>
                <w:szCs w:val="14"/>
                <w:b w:val="1"/>
                <w:bCs w:val="1"/>
                <w:color w:val="auto"/>
                <w:w w:val="95"/>
              </w:rPr>
              <w:t>Three Months Ended March 31,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6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w:t>
            </w:r>
          </w:p>
        </w:tc>
      </w:tr>
      <w:tr>
        <w:trPr>
          <w:trHeight w:val="237"/>
        </w:trPr>
        <w:tc>
          <w:tcPr>
            <w:tcW w:w="658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02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193</w:t>
            </w:r>
          </w:p>
        </w:tc>
      </w:tr>
      <w:tr>
        <w:trPr>
          <w:trHeight w:val="33"/>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 noncontrolling interests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658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020" w:type="dxa"/>
            <w:vAlign w:val="bottom"/>
          </w:tcPr>
          <w:p>
            <w:pPr>
              <w:spacing w:after="0"/>
              <w:rPr>
                <w:sz w:val="20"/>
                <w:szCs w:val="20"/>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01"/>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March 31, 2018, we had a net loss available to shareholders of $67 million and $283 million of adjusted earnings, compared to a net loss available to shareholders of $349 million and $280 million of adjusted earnings for three months ended March 31, 2017. The loss available to shareholders for the three months ended March 31, 2018 resulted from net derivative losses due to the impact of lower interest rates on our freestanding interest rate derivatives, which more than offset strong adjusted earnings. The loss available to shareholders for the three months ended March 31, 2017 was driven by derivative losses, primarily as a result of our variable annuity exposure management program, including the impact on our legacy macro hedge from the equity market rise in the period.</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of the Notes to the Interim Condensed Consolidated and Combined Financial Statements for information regarding the adoption of new accounting pronouncements in the first quarter of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In addition to Brighthouse Financial, Inc., the companies and businesses included in the results of operations, financial condition and cash flows are:</w:t>
      </w:r>
    </w:p>
    <w:p>
      <w:pPr>
        <w:spacing w:after="0" w:line="127"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Brighthouse Life Insurance Company (together with its subsidiaries and affiliates “BLIC”), formerly MetLife Insurance Company USA, our largest insurance operating entity, domiciled in Delaware and licensed to write business in 49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England Life Insurance Company (“NELICO”), domiciled in Massachusetts and licensed to write business in all 50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Brighthouse Life Insurance Company of NY (“BHNY”), formerly First MetLife Investors Insurance Company, domiciled in New York and licensed to write business in New York, which is a subsidiary of Brighthouse Life Insurance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Brighthouse Reinsurance Company of Delaware (“BRCD”), our single reinsurance company licensed in Delaware, which is a subsidiary of Brighthouse Life Insurance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Brighthouse Investment Advisers, LLC (“Brighthouse Advisers”), formerly MetLife Advisers, LLC, serving as investment advisor to certain proprietary mutual funds that are underlying investments under our and MetLife’s variable insurance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Brighthouse Services, LLC (“Brighthouse Services”), an internal services and payroll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Brighthouse Securities, LLC, registered as a broker-dealer with the SEC, approved as a member of the Financial Industry Regulatory Authority, Inc. (“FINRA”) and registered as a broker-dealer and licensed as an insurance agency in all required states;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Brighthouse Holdings, LLC (“BH Holdings”), a wholly-owned holding company subsidiary of Brighthouse Financial, Inc., domiciled in Delaware.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2017 Annual Report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life insurance companies are regulated primarily at the state level, with some products and services also subject to federal regulation. In addition, Brighthouse Financial, Inc. and its insurance subsidiaries are subject to regulation under the insurance holding company laws of various U.S. jurisdictions. Furthermore, some of our operations, products and services are subject to the Employee Retirement Income Security Act of 1974 (“ERISA”), consumer protection laws, securities, broker-dealer and investment advisor regulations, and environmental and unclaimed property laws and regulations. In addition, in marketing certain of Brighthouse’s products and services to tax-qualified pension plans, retirement plans and individual retirement annuities (collectively, “IRAs”), rules issued by the Department of Labor (“DOL”) described below under “— Department of Labor and ERISA Considerations” raise the standard for recommendations to such plans and IRAs to purchase variable and index-linked annuities to a fiduciary standard. See “Business — Regulation,” as well as “Risk Factors — Regulatory and Legal Risks” included in the 2017 Annual Report, as amended or supplemented herein and in our subsequently filed Quarterly Reports on Form 10-Q under the caption “Management’s Discussion and Analysis of Financial Condition and Results of Operations — Industry Trends — Regulatory Developments” and similarly named sections under the caption “Risk Factors.”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Surplus and Capital; Risk-Based Capital</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6"/>
          <w:szCs w:val="16"/>
          <w:color w:val="auto"/>
        </w:rPr>
        <w:t>The National Association of Insurance Commissioners (the “NAIC”) has established regulations that provide minimum capitalization requirements based on risk-based capital (“RBC”) formulas for insurance companies. Insurers are required to maintain their capital and surplus at or above minimum levels.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Each of our insurance subsidiaries are subject to RBC requirements and other minimum statutory capital and surplus requirements imposed under the laws of its respective jurisdiction of domicile. RBC is based on a formula calculated by applying factors to various asset, premium, claim, expense and statutory reserve items. The formula takes into account the risk characteristics of the insurer and is calculated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does not meet or exceed certain RBC levels. As of the date of the most recent annual statutory financial statements filed with insurance regulators, the total adjusted capital of each of our insurance subsidiaries was in excess of each of those RBC levels. See “Management’s Discussion and Analysis of Financial Condition and Results of Operations — Liquidity and Capital Resources” and “Risk Factors — Regulatory and Legal Risks — A decrease in the RBC ratio (as a result of a reduction in statutory surplus and/or increase 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RBC requirements) of our insurance subsidiaries could result in increased scrutiny by insurance regulators and rating agencies and have a material adverse effect on our results of operations and financial condition” in our 2017 Annual Report.</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In addition, following the reduction in the federal corporate income tax rate pursuant to federal tax reform, the NAIC is currently reviewing the methodology or factors used to calculate RBC, which is the denominator of the RBC ratio. If such potential revisions to the NAIC’s RBC calculation would result in a reduction in the RBC ratio for one or more of our insurance subsidiaries below certain prescribed levels, we may be required to hold additional capital in such subsidiary or subsidiaries.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Department of Labor and ERISA Considerations</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We manufacture annuities for third parties to sell to tax-qualified pension plans, retirement plans and IRAs, as well as individual retirement annuities sold to individuals that are subject to ERISA or the Internal Revenue Code of 1986, as amended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of a Plan subject to Title I of ERISA (an “ERISA Plan”) must perform their duties solely in the interests of the ERISA Plan participants and beneficiaries, and those fiduciaries may not cause a covered plan to engage in certain prohibited transactions. The applicable provisions of ERISA and the Code are subject to enforcement by the DOL, the Internal Revenue Service (“IRS”) and the Pension Benefit Guaranty Corporation.</w:t>
      </w:r>
    </w:p>
    <w:p>
      <w:pPr>
        <w:spacing w:after="0" w:line="59"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 addition, the prohibited transaction rules of ERISA and the Code generally restrict the provision of investment advice to ERISA qualified plans, plan participants and IRAs if the investment recommendation results in fees paid to an individual advisor, the firm that employs the advisor or their affiliates that vary according to the investment recommendation chosen.</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DOL issued new regulations on April 6, 2016 that became applicable on June 9, 2017 (the “Fiduciary Rule”). As initially adopted, these rules substantially expanded the definition of “investment advice,” thereby broadening the circumstances under which distributors and manufacturers can be considered fiduciaries under ERISA or the Code, and subject to an impartial or “best interests” standard in providing such advice. Pursuant to the final rule, certain communications with plans, plan participants and IRA holders, including the marketing of products, and marketing of investment management or advisory services, could be deemed fiduciary investment advice, thus, causing increased exposure to fiduciary liability if the distributor does not recommend what is in the client’s best interests.</w:t>
      </w:r>
    </w:p>
    <w:p>
      <w:pPr>
        <w:spacing w:after="0" w:line="85" w:lineRule="exact"/>
        <w:rPr>
          <w:sz w:val="20"/>
          <w:szCs w:val="20"/>
          <w:color w:val="auto"/>
        </w:rPr>
      </w:pPr>
    </w:p>
    <w:p>
      <w:pPr>
        <w:jc w:val="both"/>
        <w:ind w:left="180" w:firstLine="324"/>
        <w:spacing w:after="0" w:line="289" w:lineRule="auto"/>
        <w:rPr>
          <w:sz w:val="20"/>
          <w:szCs w:val="20"/>
          <w:color w:val="auto"/>
        </w:rPr>
      </w:pPr>
      <w:r>
        <w:rPr>
          <w:rFonts w:ascii="Arial" w:cs="Arial" w:eastAsia="Arial" w:hAnsi="Arial"/>
          <w:sz w:val="16"/>
          <w:szCs w:val="16"/>
          <w:color w:val="auto"/>
        </w:rPr>
        <w:t>In connection with the promulgation of the Fiduciary Rule, the DOL also issued amendments to certain of its prohibited transaction exemptions, and issued the best interest contract exemption (“BIC”), a new prohibited transaction exemption that imposes more significant disclosure and contract requirements to certain transactions involving ERISA Plans, plan participants and IRAs. The new and amended exemptions increase fiduciary requirements and fiduciary liability exposure for transactions involving ERISA Plans, plan participants and IRAs. The application of the BIC contract and point of sale disclosures required under BIC and the changes made to prohibited transaction exemption 84-24 were delayed until July 1, 2019, except for the impartial conduct standards (i.e., compliance with the “best interest” standard, reasonable compensation, and no misleading statements), which are applicable as of June 9, 2017. Contracts entered into prior to June 9, 2017 are generally “grandfathered” and, as such, are not subject to the requirements of the rule and related exemptions. To retain “grandfathered” status for annuity products, no investment recommendations may be made after the applicability date of the final regulation with respect to such annuity products that were sold to ERISA Plans or IRAs.</w:t>
      </w:r>
    </w:p>
    <w:p>
      <w:pPr>
        <w:spacing w:after="0" w:line="59" w:lineRule="exact"/>
        <w:rPr>
          <w:sz w:val="20"/>
          <w:szCs w:val="20"/>
          <w:color w:val="auto"/>
        </w:rPr>
      </w:pPr>
    </w:p>
    <w:p>
      <w:pPr>
        <w:jc w:val="both"/>
        <w:ind w:left="180" w:firstLine="324"/>
        <w:spacing w:after="0" w:line="287" w:lineRule="auto"/>
        <w:rPr>
          <w:sz w:val="20"/>
          <w:szCs w:val="20"/>
          <w:color w:val="auto"/>
        </w:rPr>
      </w:pPr>
      <w:r>
        <w:rPr>
          <w:rFonts w:ascii="Arial" w:cs="Arial" w:eastAsia="Arial" w:hAnsi="Arial"/>
          <w:sz w:val="16"/>
          <w:szCs w:val="16"/>
          <w:color w:val="auto"/>
        </w:rPr>
        <w:t>MetLife sold MetLife Premier Client Group (“MPCG”), its former Retail segment’s proprietary distribution channel, in July 2016 to Massachusetts Mutual Life Insurance Company (“MassMutual”) to complete a transition to an independent third-party distribution model. We will not be engaging in direct distribution of retail products, including IRA products and retail annuities sold into ERISA Plans and IRAs, and therefore we anticipate that we will have limited exposure to the new DOL regulations, as the application of the vast majority of the provisions of the new DOL regulations are targeted at such retail products. Specifically, the most onerous of the requirements under the DOL Fiduciary Rule, as currently adopted, relate to BIC. The DOL guidance makes clear that distributors, not manufacturers, are primarily responsible for BIC compliance. However, we will be asked by our distributors, to assist them with preparing the voluminous disclosures required under BIC. Furthermore, if we want to retain the “grandfathered” status described above of current contracts, we will be limited in the interactions we can have directly with customers and the information that can be provided. We also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 See “Risk Factors — Regulatory and Legal Risks — Our insurance business is highly regulated, and changes in regulation and in supervisory and enforcement policies may materially impact our capitalization or cash flows, reduce our profitability and limit our growth” included in the 2017 Annual Report.</w:t>
      </w:r>
    </w:p>
    <w:p>
      <w:pPr>
        <w:spacing w:after="0" w:line="61"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On February 3, 2017, President Trump, in a memorandum to the Secretary of Labor, requested that the DOL prepare an updated economic and legal analysis concerning the likely impact of the new rules, and possible revisions to the rules. In response to President Trump’s request, on June 29, 2017, the DOL issued a request for information related to the Fiduciary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Rule, and also the DOL’s new and amended exemptions that were published in conjunction with the final rule. The request for information sought public input that could lead to new exemptions or changes and revisions to the final rule. On November 29, 2017, the DOL finalized an 18 month delay, from January 1, 2018 to July 1, 2019, of the applicability of significant portions of the previously proposed exemptions (including BIC and prohibited transaction exemption 84-24), to afford sufficient time to review further the previously adopted rules and such exemptions. The DOL also updated its enforcement policy to indicate that the DOL and IRS will not pursue claims, until July 1, 2019, against fiduciaries who are working diligently and in good faith to comply with the final Fiduciary Rule or treat those fiduciaries as being in violation of the final rule.</w:t>
      </w:r>
    </w:p>
    <w:p>
      <w:pPr>
        <w:spacing w:after="0" w:line="70" w:lineRule="exact"/>
        <w:rPr>
          <w:sz w:val="20"/>
          <w:szCs w:val="20"/>
          <w:color w:val="auto"/>
        </w:rPr>
      </w:pPr>
    </w:p>
    <w:p>
      <w:pPr>
        <w:jc w:val="both"/>
        <w:ind w:left="180" w:right="20" w:firstLine="324"/>
        <w:spacing w:after="0" w:line="308" w:lineRule="auto"/>
        <w:rPr>
          <w:sz w:val="20"/>
          <w:szCs w:val="20"/>
          <w:color w:val="auto"/>
        </w:rPr>
      </w:pPr>
      <w:r>
        <w:rPr>
          <w:rFonts w:ascii="Arial" w:cs="Arial" w:eastAsia="Arial" w:hAnsi="Arial"/>
          <w:sz w:val="17"/>
          <w:szCs w:val="17"/>
          <w:color w:val="auto"/>
        </w:rPr>
        <w:t>On March 15, 2018, the U.S. Court of Appeals for the Fifth Circuit issued a decision vacating the Fiduciary Rule, overturning a lower court ruling that rejected a challenge to the rule. The Court of Appeals decision, if allowed to stand, would nullify the Fiduciary Rule in its entirety.</w:t>
      </w:r>
    </w:p>
    <w:p>
      <w:pPr>
        <w:spacing w:after="0" w:line="38"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have worked diligently to comply with the final rule and, subject to its continued applicability, we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w:t>
      </w:r>
    </w:p>
    <w:p>
      <w:pPr>
        <w:spacing w:after="0" w:line="73"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The change of administration, the DOL’s June 29, 2017 request for information related to the Fiduciary Rule and related exemptions, the November 29, 2017 extension of the applicability of many of the conditions of the proposed and revised exemptions, and the March 15, 2018 Court of Appeals decision leave uncertainty over whether the regulations will be substantially modified, repealed or vacated. This uncertainty could create confusion among our distribution partners, which could negatively impact product sales. We cannot predict what other proposals may be made, what legislation or regulations may be introduced or enacted, or what impact any such legislation or regulations may have on our business, results of operations and financial condition. See “— Proposed SEC Rules Addressing Standards of Conduct for Broker-Dealers” below for a discussion of standard of conduct rules proposed by the SEC and “Risk Factors — Regulatory and Legal Risks — NAIC - Existing and proposed insurance regulation” in our 2017 Annual Report for a discussion of efforts by the NAIC and state regulators, including the New York State Department of Financial Services, to include a “best interest” standard as part of their suitability requirements.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Proposed SEC Rules Addressing Standards of Conduct for Broker-Dealers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On April 18, 2018, the SEC released a set of proposed rules that would, among other things, enhance the existing standard of conduct for broker-dealers to require them to act in the best interest of their clients; clarify the nature of the fiduciary obligations owed by registered investment advisers to their clients; impose new disclosure requirements aimed at ensuring investors understand the nature of their relationship with their investment professionals; and restrict certain broker-dealers and their financial professionals from using the terms “adviser” or “advisor.” Public comments will be accepted for 90 days following publication of the proposal in the Federal Register. Although the full impact of the proposed rules can only be measured when the implementing regulations are adopted, the intent of this provision is to authorize the SEC to impose on broker-dealers fiduciary duties to their customers similar to what applies to investment advisers under existing law. We are currently assessing these proposed rules to determine the impact they may have on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and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660" w:hanging="490"/>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accounting for reinsurance;</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capitalization and amortization of deferred policy acquisition costs (“DAC”) and the establishment and amortization of value of business acquired (“VOBA”);</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estimated fair values of investments in the absence of quoted market values;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liabilities for litigation and regulatory matters.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above critical accounting estimates are described in “Management’s Discussion and Analysis of Financial Condition and Results of Operations — Summary of Critical Accounting Estimates” and Note 1 of the Notes to the Consolidated and Combined Financial Statements included in the 2017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In this report, we present adjusted earnings, which excludes net income (loss) attributable to noncontrolling interests,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 A reconciliation of this non-GAAP measure, as well as any other non-GAAP measure herein, to the most directly comparable GAAP measure is not accessible on a forward-looking basis because we believe it is not possible without unreasonable efforts to provide other than a range of net investment gains and losses and net derivative gains and losses, which can fluctuate significantly within or outside the range and from period to period and may have a material impact on net income (loss) available to Brighthouse Financial, Inc.’s common shareholders.</w:t>
      </w:r>
    </w:p>
    <w:p>
      <w:pPr>
        <w:spacing w:after="0" w:line="8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 as well as businesses that have been or will be sold or exited by us, referred to as divested businesses.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the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1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the significant items excluded from total expenses,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tax impact of the adjustments mentioned are calculated net of the U.S. statutory tax rate, which could differ from our effective tax rate.</w:t>
      </w:r>
    </w:p>
    <w:p>
      <w:pPr>
        <w:spacing w:after="0" w:line="129"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Component of Adjusted Earnings</w:t>
            </w:r>
          </w:p>
        </w:tc>
        <w:tc>
          <w:tcPr>
            <w:tcW w:w="7280" w:type="dxa"/>
            <w:vAlign w:val="bottom"/>
            <w:tcBorders>
              <w:bottom w:val="single" w:sz="8" w:color="CCEEFF"/>
            </w:tcBorders>
            <w:shd w:val="clear" w:color="auto" w:fill="CCEEFF"/>
          </w:tcPr>
          <w:p>
            <w:pPr>
              <w:jc w:val="right"/>
              <w:ind w:right="4590"/>
              <w:spacing w:after="0"/>
              <w:rPr>
                <w:sz w:val="20"/>
                <w:szCs w:val="20"/>
                <w:color w:val="auto"/>
              </w:rPr>
            </w:pPr>
            <w:r>
              <w:rPr>
                <w:rFonts w:ascii="Arial" w:cs="Arial" w:eastAsia="Arial" w:hAnsi="Arial"/>
                <w:sz w:val="16"/>
                <w:szCs w:val="16"/>
                <w:b w:val="1"/>
                <w:bCs w:val="1"/>
                <w:color w:val="auto"/>
              </w:rPr>
              <w:t>How Derived from GAAP (1)</w:t>
            </w:r>
          </w:p>
        </w:tc>
      </w:tr>
      <w:tr>
        <w:trPr>
          <w:trHeight w:val="229"/>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(i) Fee income</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adjustments related to net investment gains (losses) and net derivative gains (losses)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and (b) GMIB Fees) plus </w:t>
            </w:r>
            <w:r>
              <w:rPr>
                <w:rFonts w:ascii="Arial" w:cs="Arial" w:eastAsia="Arial" w:hAnsi="Arial"/>
                <w:sz w:val="18"/>
                <w:szCs w:val="18"/>
                <w:i w:val="1"/>
                <w:iCs w:val="1"/>
                <w:color w:val="auto"/>
              </w:rPr>
              <w:t>Other revenues</w:t>
            </w:r>
            <w:r>
              <w:rPr>
                <w:rFonts w:ascii="Arial" w:cs="Arial" w:eastAsia="Arial" w:hAnsi="Arial"/>
                <w:sz w:val="18"/>
                <w:szCs w:val="18"/>
                <w:color w:val="auto"/>
              </w:rPr>
              <w:t xml:space="preserve"> (excluding other revenues associated with</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(excluding securitization entities income) plus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Hedge Adjustments and interest received on ceded fixed annuity reinsurance deposit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funds reduced by </w:t>
            </w:r>
            <w:r>
              <w:rPr>
                <w:rFonts w:ascii="Arial" w:cs="Arial" w:eastAsia="Arial" w:hAnsi="Arial"/>
                <w:sz w:val="18"/>
                <w:szCs w:val="18"/>
                <w:i w:val="1"/>
                <w:iCs w:val="1"/>
                <w:color w:val="auto"/>
              </w:rPr>
              <w:t>Interest credited to policyholder account balances</w:t>
            </w:r>
            <w:r>
              <w:rPr>
                <w:rFonts w:ascii="Arial" w:cs="Arial" w:eastAsia="Arial" w:hAnsi="Arial"/>
                <w:sz w:val="18"/>
                <w:szCs w:val="18"/>
                <w:color w:val="auto"/>
              </w:rPr>
              <w:t xml:space="preserve"> and interest on</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future policy benefits.</w:t>
            </w:r>
          </w:p>
        </w:tc>
      </w:tr>
      <w:tr>
        <w:trPr>
          <w:trHeight w:val="229"/>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(iii) Insurance-related activities</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of deferred gain on reinsurance) plus the pass through of performance of ceded</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 Amortization of DAC and VOBA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gains (losses), (b) net derivative gains (losses), (c) GMIB Fees and GMIB Costs and</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 Other expenses, net of DAC capitalization</w:t>
            </w:r>
          </w:p>
        </w:tc>
        <w:tc>
          <w:tcPr>
            <w:tcW w:w="7280" w:type="dxa"/>
            <w:vAlign w:val="bottom"/>
          </w:tcPr>
          <w:p>
            <w:pPr>
              <w:jc w:val="right"/>
              <w:ind w:right="1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 and securitization entities expense.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 Provision for income tax expense (benefit)</w:t>
            </w:r>
          </w:p>
        </w:tc>
        <w:tc>
          <w:tcPr>
            <w:tcW w:w="7280" w:type="dxa"/>
            <w:vAlign w:val="bottom"/>
            <w:tcBorders>
              <w:bottom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______________</w:t>
            </w:r>
          </w:p>
        </w:tc>
        <w:tc>
          <w:tcPr>
            <w:tcW w:w="7280" w:type="dxa"/>
            <w:vAlign w:val="bottom"/>
          </w:tcPr>
          <w:p>
            <w:pPr>
              <w:spacing w:after="0"/>
              <w:rPr>
                <w:sz w:val="15"/>
                <w:szCs w:val="15"/>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Consistent with GAAP guidance for segment reporting, adjusted earnings is also our GAAP measure of segment performance. Accordingly, we report adjusted earnings by segment in Note 2 of the Notes to the Interim Condensed Consolidated and Combined Financial Statements.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and excluding the incremental net investment income of consolidated securitization entities (“CSEs”). For a reconciliation of adjusted investment income to net investment income, the most directly comparable GAAP measure, please see footnote 3 to the summary yield table located in “— Investments — Current Environment — Investment Portfolio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660" w:hanging="328"/>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company-sponsored internal exchanges, corporate-owned life insurance, bank-owned life insurance, and private placement variable universal life insurance. Annuity sales consist of 10% of direct statutory premiums, excluding company sponsored internal exchanges. These sales statistics do not correspond to revenues under GAAP, but are used as relevant measures of business activity.</w:t>
      </w:r>
    </w:p>
    <w:p>
      <w:pPr>
        <w:spacing w:after="0" w:line="8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Allocated equity is the portion of common stockholders’ equity that management allocated to each of its segments prior to 2018. See “— Segment Capital” and Note 2 of the Notes to the Interim Condensed Consolidated and Combined Financial Statements for further information.</w:t>
      </w:r>
    </w:p>
    <w:p>
      <w:pPr>
        <w:spacing w:after="0" w:line="38"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collateral received from derivative counterparties and the effects of consolidating under GAAP certain variable interest entities (“VIEs”) that are treated as CSEs.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Capital</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Beginning in the first quarter of 2018, we changed the methodology for how capital is allocated to segments and, in some cases, products. Segment investment and capitalization targets are now based on statutory oriented risk principles and metrics. Segment invested assets backing liabilities are based on net statutory liabilities plus excess capital. For our variable annuity business, the excess capital held is based on the target statutory total asset requirement consistent with our variable annuity risk management strategy discussed in the 2017 Annual Report. For insurance businesses other than variable annuities, excess capital held is based on a percentage of required statutory RBC. Assets in excess of those allocated to the segments, if any, are held in Corporate &amp; Other. Segment net investment income reflects the performance of each segment’s respective invested assets.</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refer to this change in methodology as the “Portfolio Realignment”. While this change had no effect on our consolidated net income or adjusted earnings, it did, and we expect will continue to, impact segment results. Prior period segment results were not re-cast for this change in methodology as the inventory of assets has changed over time. Therefore, it is not reasonably possible to replicate the asset transfers as of prior periods and estimating such would not provide a meaningful comparison. In the future, management will evaluate, on a periodic basis, the excess capital held by each segment and may rebalance or move capital between segments based on market changes or changes in our statutory metrics.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Previously, invested assets held in the segments were based on net GAAP liabilities. Excess capital was retained in Corporate &amp; Other and allocated to segments based on an internally developed statistics based capital model intended to capture the material risks to which we were exposed (referred to as “allocated equity”). Surplus assets in excess of the combined allocations to the segments were held in Corporate &amp; Other with net investment income being credited back to the segments at a predetermined rate. Any excess or shortfall in net investment income from surplus assets was recognized in Corporate &amp; Other.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is responsible for the periodic review and enhancement of the capital allocation model to ensure it remains consistent with the Company’s overall objectives and emerging industry practices.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2018 and 2017</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Business Overview. </w:t>
      </w:r>
      <w:r>
        <w:rPr>
          <w:rFonts w:ascii="Arial" w:cs="Arial" w:eastAsia="Arial" w:hAnsi="Arial"/>
          <w:sz w:val="17"/>
          <w:szCs w:val="17"/>
          <w:color w:val="auto"/>
        </w:rPr>
        <w:t>We continue to evaluate our product offerings with the goal to provide new products that are simpler, more transparent and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value to our advisors, clients and shareholders. New business efforts in both 2017 and 2018 centered on the sale of our suite of structured annuities consisting of products marketed under various names (collectively, “Shield Annuities”), which increased 59% compared to the first quarter of 2017. In addition, as part of our distribution agreement with MassMutual, we launched a new fixed index annuity product in the second half of 2017.</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1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r>
      <w:tr>
        <w:trPr>
          <w:trHeight w:val="196"/>
        </w:trPr>
        <w:tc>
          <w:tcPr>
            <w:tcW w:w="7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Premiums</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782</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17"/>
        </w:trPr>
        <w:tc>
          <w:tcPr>
            <w:tcW w:w="790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1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965</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60"/>
        </w:trPr>
        <w:tc>
          <w:tcPr>
            <w:tcW w:w="79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864</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Capitalization of DAC</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DAC and VOBA</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r>
        <w:trPr>
          <w:trHeight w:val="217"/>
        </w:trPr>
        <w:tc>
          <w:tcPr>
            <w:tcW w:w="7900" w:type="dxa"/>
            <w:vAlign w:val="bottom"/>
          </w:tcPr>
          <w:p>
            <w:pPr>
              <w:ind w:left="200"/>
              <w:spacing w:after="0"/>
              <w:rPr>
                <w:sz w:val="20"/>
                <w:szCs w:val="20"/>
                <w:color w:val="auto"/>
              </w:rPr>
            </w:pPr>
            <w:r>
              <w:rPr>
                <w:rFonts w:ascii="Arial" w:cs="Arial" w:eastAsia="Arial" w:hAnsi="Arial"/>
                <w:sz w:val="16"/>
                <w:szCs w:val="16"/>
                <w:color w:val="auto"/>
              </w:rPr>
              <w:t>Total expenses</w:t>
            </w:r>
          </w:p>
        </w:tc>
        <w:tc>
          <w:tcPr>
            <w:tcW w:w="1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1,555</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shows the components of net income (loss) available to shareholders, in addition to adjusted earnings for the three months ended March 31, 2018 and 2017.</w:t>
      </w:r>
    </w:p>
    <w:p>
      <w:pPr>
        <w:spacing w:after="0" w:line="21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196"/>
        </w:trPr>
        <w:tc>
          <w:tcPr>
            <w:tcW w:w="7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w:t>
            </w: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derivative instruments</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adjusted earnings, less net income attributable to noncontrolling interests</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1160" w:type="dxa"/>
            <w:vAlign w:val="bottom"/>
            <w:tcBorders>
              <w:top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33"/>
        </w:trPr>
        <w:tc>
          <w:tcPr>
            <w:tcW w:w="7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Compared with the Three Months Ended March 31, 2017</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Net income (loss) available to shareholders before provision for income tax increased $475 million ($282 million, net of income tax).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income (loss) available to shareholders before provision for income tax was driven primarily by net favorable changes in GMLB Riders, partially offset by unfavorable changes in other derivative instruments and lower adjusted earnings.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Results from GMLB Riders reflect (i) changes in the carrying value of guaranteed minimum living benefits (“GMLBs”)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GMIBs, guaranteed minimum withdrawal benefits (“GMWBs”) and guaranteed minimum accumulation benefits (“GMABs”); (ii) changes in the fair value of the hedges and reinsurance of GMLB liabilities; (iii) the fees earned from GMLB liabilities; and (iv) the related DAC and VOBA amortization offsets to each of the preceding components (collectively, “GMLB Riders”).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GMLB Riders had a favorable impact on comparative results of $654 million as favorable results from the related hedges were partially offset by increases from DAC offsets. For a detailed discussion of GMLB Riders see “— GMLB Riders — Three Months Ended March 31, 2018 Compared with the Three Months Ended March 31, 2017.”</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We have other derivative instruments, in addition to the hedges and embedded derivatives included in GMLB Riders,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changes in fair value are recognized in net derivative gains (losses). Changes in the fair value of other derivative instruments had an unfavorable impact on comparative results of $215 million.</w:t>
      </w:r>
    </w:p>
    <w:p>
      <w:pPr>
        <w:spacing w:after="0" w:line="7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Changes in the fair value of freestanding derivatives had an unfavorable impact on comparative results of $338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unfavorable changes from the impact of changes in interest rates on the fair value of our interest rate swaps.</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Changes in the fair value of embedded derivatives had a favorable impact on comparative results of $122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unfavorable impact in the prior period on our Shield Annuities liabilities from an increase in underlying equity index levels. In connection with the transition to our new variable annuity hedging program, changes in the fair value of the Shield Annuities liabilities are included in the hedging program component of GMLB Riders beginning in the third quarter of 2017 on a prospective basis.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(losses) had a favorable impact on comparative results of $51 million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period net gains on real estate joint ventures and prior period net losses on disposals of other limited partnerships.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Adjustments. </w:t>
      </w:r>
      <w:r>
        <w:rPr>
          <w:rFonts w:ascii="Arial" w:cs="Arial" w:eastAsia="Arial" w:hAnsi="Arial"/>
          <w:sz w:val="18"/>
          <w:szCs w:val="18"/>
          <w:color w:val="auto"/>
        </w:rPr>
        <w:t>Other adjustments to determine adjusted earnings had a favorable impact on comparative results of $49 million,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policyholder benefits and claims resulting from the adjustment for market performance related to participating products in our run-off business and lower DAC amortization driven by the impact of higher profits due to net investment gains (losses).</w:t>
      </w:r>
    </w:p>
    <w:p>
      <w:pPr>
        <w:spacing w:after="0" w:line="7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Pre-tax Adjusted Earnings</w:t>
      </w:r>
      <w:r>
        <w:rPr>
          <w:rFonts w:ascii="Arial" w:cs="Arial" w:eastAsia="Arial" w:hAnsi="Arial"/>
          <w:sz w:val="16"/>
          <w:szCs w:val="16"/>
          <w:color w:val="auto"/>
        </w:rPr>
        <w:t>. Pre-tax adjusted earnings, less net income attributable to noncontrolling interests, decreased $64 million (increased $3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net of income tax) for the three months ended March 31, 2018, compared to the prior period. Adjusted earnings are discussed in greater detail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March 31, 2018 was $48 million, or 42% of net income (loss)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before provision for income tax, compared to an income tax benefit of $241 million, or 41% of net income (loss) available to shareholders before provision for income tax, for the three months ended March 31, 2017. Our effective tax rates typically differ from the U.S. statutory rates primarily due to the impacts of the dividend received deductions and utilization of tax credits.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4"/>
                <w:szCs w:val="1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14"/>
                <w:szCs w:val="1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Three Months Ended March 31, 2017</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3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24"/>
                <w:szCs w:val="2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24"/>
                <w:szCs w:val="2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w w:val="94"/>
              </w:rPr>
              <w:t>Pre-tax adjusted earnings, less net income attributable to noncontrolling interests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2018 and 2017 — Adjusted Earnings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components of adjusted earnings:</w:t>
      </w:r>
    </w:p>
    <w:p>
      <w:pPr>
        <w:spacing w:after="0" w:line="32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112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381</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120" w:type="dxa"/>
            <w:vAlign w:val="bottom"/>
          </w:tcPr>
          <w:p>
            <w:pPr>
              <w:spacing w:after="0"/>
              <w:rPr>
                <w:sz w:val="19"/>
                <w:szCs w:val="19"/>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47"/>
        </w:trPr>
        <w:tc>
          <w:tcPr>
            <w:tcW w:w="79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3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Pre-tax adjusted earnings, less net income attributable to noncontrolling interests</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Provisions for income tax expense (benefit)</w:t>
            </w:r>
          </w:p>
        </w:tc>
        <w:tc>
          <w:tcPr>
            <w:tcW w:w="112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112</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Compared with the Three Months Ended March 31, 2017</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were largely unchanged, as higher fee income and lower taxes were more than offset by higher expenses, lower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and higher amortization of DAC and VOBA.</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Fee income increased $73 million, primarily due to impacts from reinsurance recapture activity in our Life and Run-off segments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sharing and asset-based fees in our Annuities segment.</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$37 million primarily due to lower income on derivatives due to the termination of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swaps. This decrease was partially offset by the impact from repositioning a portion of our portfolio into higher yielding assets, higher returns on other limited partnership interests and positive net flows in the general account.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Net costs from insurance-related activities increased $13 million primarily due to unfavorable mortality experience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Run-off segment and higher guaranteed minimum death benefits (“GMDBs”) costs in our Annuities segment. These unfavorable impacts were partially offset by favorable underwriting experience in our Life segment as a result of reinsurance recapture activity.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Higher amortization of DAC and VOBA had an unfavorable impact on comparative results of $27 million as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 our Annuities segment was partially offset by lower amortization in our Life segment.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Other Expenses, Net of DAC Capitalization</w:t>
      </w:r>
      <w:r>
        <w:rPr>
          <w:rFonts w:ascii="Arial" w:cs="Arial" w:eastAsia="Arial" w:hAnsi="Arial"/>
          <w:sz w:val="18"/>
          <w:szCs w:val="18"/>
          <w:color w:val="auto"/>
        </w:rPr>
        <w:t>. Expenses increased $58 million, primarily due to higher costs in Corporate &amp; Other and our Annuities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partially offset by lower expenses in our Life and Run-off segments.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March 31, 2018 was $45 million, or 14% of pre-tax adjusted earnings, less</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attributable to noncontrolling interests, compared to $112 million, or 29% of pre-tax adjusted earnings, less net income attributable to noncontrolling interests, for the three months ended March 31, 2017. Our effective tax rates in both periods differ from the U.S. statutory rates primarily due to the impacts of the dividend received deductions and utilization of tax credits.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Results for the Three Months Ended March 31, 2018 and 2017 — Adjusted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Annuities segment:</w:t>
      </w:r>
    </w:p>
    <w:p>
      <w:pPr>
        <w:spacing w:after="0" w:line="32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p>
      <w:pPr>
        <w:jc w:val="both"/>
        <w:ind w:left="8620"/>
        <w:spacing w:after="0"/>
        <w:tabs>
          <w:tab w:leader="none" w:pos="10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expenses, net of DAC capitalization</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Pre-tax adjusted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Provisions for income tax expense (benefit)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1320" w:val="left"/>
          <w:tab w:leader="none" w:pos="1820" w:val="left"/>
          <w:tab w:leader="none" w:pos="3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702</w:t>
      </w:r>
    </w:p>
    <w:p>
      <w:pPr>
        <w:spacing w:after="0" w:line="86" w:lineRule="exact"/>
        <w:rPr>
          <w:sz w:val="20"/>
          <w:szCs w:val="20"/>
          <w:color w:val="auto"/>
        </w:rPr>
      </w:pPr>
    </w:p>
    <w:p>
      <w:pPr>
        <w:ind w:left="1340"/>
        <w:spacing w:after="0"/>
        <w:tabs>
          <w:tab w:leader="none" w:pos="3120"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34925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360"/>
        <w:spacing w:after="0"/>
        <w:tabs>
          <w:tab w:leader="none" w:pos="316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(73)</w:t>
      </w:r>
    </w:p>
    <w:p>
      <w:pPr>
        <w:spacing w:after="0" w:line="86" w:lineRule="exact"/>
        <w:rPr>
          <w:sz w:val="20"/>
          <w:szCs w:val="20"/>
          <w:color w:val="auto"/>
        </w:rPr>
      </w:pPr>
    </w:p>
    <w:p>
      <w:pPr>
        <w:jc w:val="both"/>
        <w:ind w:left="1280"/>
        <w:spacing w:after="0"/>
        <w:tabs>
          <w:tab w:leader="none" w:pos="316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34925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280"/>
        <w:spacing w:after="0"/>
        <w:tabs>
          <w:tab w:leader="none" w:pos="3080" w:val="left"/>
        </w:tabs>
        <w:rPr>
          <w:sz w:val="20"/>
          <w:szCs w:val="20"/>
          <w:color w:val="auto"/>
        </w:rPr>
      </w:pPr>
      <w:r>
        <w:rPr>
          <w:rFonts w:ascii="Arial" w:cs="Arial" w:eastAsia="Arial" w:hAnsi="Arial"/>
          <w:sz w:val="16"/>
          <w:szCs w:val="16"/>
          <w:color w:val="auto"/>
        </w:rPr>
        <w:t>(406)</w:t>
      </w:r>
      <w:r>
        <w:rPr>
          <w:sz w:val="20"/>
          <w:szCs w:val="20"/>
          <w:color w:val="auto"/>
        </w:rPr>
        <w:tab/>
      </w:r>
      <w:r>
        <w:rPr>
          <w:rFonts w:ascii="Arial" w:cs="Arial" w:eastAsia="Arial" w:hAnsi="Arial"/>
          <w:sz w:val="16"/>
          <w:szCs w:val="16"/>
          <w:color w:val="auto"/>
        </w:rPr>
        <w:t>(358)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340"/>
        <w:spacing w:after="0"/>
        <w:tabs>
          <w:tab w:leader="none" w:pos="3120" w:val="left"/>
        </w:tabs>
        <w:rPr>
          <w:sz w:val="20"/>
          <w:szCs w:val="20"/>
          <w:color w:val="auto"/>
        </w:rPr>
      </w:pPr>
      <w:r>
        <w:rPr>
          <w:rFonts w:ascii="Arial" w:cs="Arial" w:eastAsia="Arial" w:hAnsi="Arial"/>
          <w:sz w:val="16"/>
          <w:szCs w:val="16"/>
          <w:color w:val="auto"/>
        </w:rPr>
        <w:t>272</w:t>
      </w:r>
      <w:r>
        <w:rPr>
          <w:sz w:val="20"/>
          <w:szCs w:val="20"/>
          <w:color w:val="auto"/>
        </w:rPr>
        <w:tab/>
      </w:r>
      <w:r>
        <w:rPr>
          <w:rFonts w:ascii="Arial" w:cs="Arial" w:eastAsia="Arial" w:hAnsi="Arial"/>
          <w:sz w:val="16"/>
          <w:szCs w:val="16"/>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34925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420"/>
        <w:spacing w:after="0"/>
        <w:tabs>
          <w:tab w:leader="none" w:pos="320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spacing w:after="0"/>
        <w:tabs>
          <w:tab w:leader="none" w:pos="1320" w:val="left"/>
          <w:tab w:leader="none" w:pos="1820" w:val="left"/>
          <w:tab w:leader="none" w:pos="3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200" w:space="720"/>
            <w:col w:w="3500"/>
          </w:cols>
          <w:pgMar w:left="240" w:top="126" w:right="2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A significant portion of our adjusted earnings is driven by separate account balances related to our variable annuity business. Most directly, these balances determine asset-based fee income but they also impact DAC amortization and asset-based commissions. Separate account balances are driven by sales, market movements, withdrawals, surrenders, benefit payments, policy charges and transfers. Below is a rollforward of our variable annuities separate account balances. Variable annuities separate account balances decreased for the three months ended March 31, 2018 driven by negative net flows and poor equity market performance.</w:t>
      </w:r>
    </w:p>
    <w:p>
      <w:pPr>
        <w:spacing w:after="0" w:line="12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109,889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104,857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Deposits</w:t>
            </w:r>
          </w:p>
        </w:tc>
        <w:tc>
          <w:tcPr>
            <w:tcW w:w="10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349</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Withdrawals, surrenders and contract benefits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w:t>
            </w:r>
          </w:p>
        </w:tc>
      </w:tr>
      <w:tr>
        <w:trPr>
          <w:trHeight w:val="217"/>
        </w:trPr>
        <w:tc>
          <w:tcPr>
            <w:tcW w:w="7900" w:type="dxa"/>
            <w:vAlign w:val="bottom"/>
          </w:tcPr>
          <w:p>
            <w:pPr>
              <w:ind w:left="200"/>
              <w:spacing w:after="0"/>
              <w:rPr>
                <w:sz w:val="20"/>
                <w:szCs w:val="20"/>
                <w:color w:val="auto"/>
              </w:rPr>
            </w:pPr>
            <w:r>
              <w:rPr>
                <w:rFonts w:ascii="Arial" w:cs="Arial" w:eastAsia="Arial" w:hAnsi="Arial"/>
                <w:sz w:val="16"/>
                <w:szCs w:val="16"/>
                <w:color w:val="auto"/>
              </w:rPr>
              <w:t>Net flows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(2,037)</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performance</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Policy charges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transfers from (to) general account</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17"/>
        </w:trPr>
        <w:tc>
          <w:tcPr>
            <w:tcW w:w="7900" w:type="dxa"/>
            <w:vAlign w:val="bottom"/>
          </w:tcPr>
          <w:p>
            <w:pPr>
              <w:ind w:left="200"/>
              <w:spacing w:after="0"/>
              <w:rPr>
                <w:sz w:val="20"/>
                <w:szCs w:val="20"/>
                <w:color w:val="auto"/>
              </w:rPr>
            </w:pPr>
            <w:r>
              <w:rPr>
                <w:rFonts w:ascii="Arial" w:cs="Arial" w:eastAsia="Arial" w:hAnsi="Arial"/>
                <w:sz w:val="16"/>
                <w:szCs w:val="16"/>
                <w:color w:val="auto"/>
              </w:rPr>
              <w:t>Balance, end of period</w:t>
            </w: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3"/>
              </w:rPr>
              <w:t>106,110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107,136</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Average balance</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w w:val="93"/>
              </w:rPr>
              <w:t>109,540</w:t>
            </w:r>
          </w:p>
        </w:tc>
        <w:tc>
          <w:tcPr>
            <w:tcW w:w="1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106,772</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Compared with the Three Months Ended March 31, 2017</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were largely unchanged, as higher DAC amortization and expenses were mostly offset by higher net 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fee income and lower taxes.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$29 million, primarily due to additional revenue sharing fees and higher asset based-fees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separate account balances in our variable annuity business. The additional revenue sharing fees resulted from Separation related changes and were passed through to third parties with a corresponding offset in other expenses.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Net Investment Spread</w:t>
      </w:r>
      <w:r>
        <w:rPr>
          <w:rFonts w:ascii="Arial" w:cs="Arial" w:eastAsia="Arial" w:hAnsi="Arial"/>
          <w:sz w:val="16"/>
          <w:szCs w:val="16"/>
          <w:color w:val="auto"/>
        </w:rPr>
        <w:t>. Higher net investment spread increased adjusted earnings $42 million, primarily due to higher net investment income driven by</w:t>
      </w:r>
    </w:p>
    <w:p>
      <w:pPr>
        <w:spacing w:after="0" w:line="46" w:lineRule="exact"/>
        <w:rPr>
          <w:sz w:val="20"/>
          <w:szCs w:val="20"/>
          <w:color w:val="auto"/>
        </w:rPr>
      </w:pPr>
    </w:p>
    <w:p>
      <w:pPr>
        <w:ind w:firstLine="8"/>
        <w:spacing w:after="0" w:line="261" w:lineRule="auto"/>
        <w:tabs>
          <w:tab w:leader="none" w:pos="2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net impact from the Portfolio Realignment as well as the repositioning a portion of our portfolio into higher yielding assets, (ii) higher returns on other limited partnership interests driven by an improvement in equity market</w:t>
      </w:r>
    </w:p>
    <w:p>
      <w:pPr>
        <w:sectPr>
          <w:pgSz w:w="11900" w:h="16838" w:orient="portrait"/>
          <w:cols w:equalWidth="0" w:num="1">
            <w:col w:w="11420"/>
          </w:cols>
          <w:pgMar w:left="240" w:top="126" w:right="23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6" w:right="239" w:bottom="1440" w:gutter="0" w:footer="0" w:header="0"/>
          <w:type w:val="continuous"/>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 (iii) higher returns on real estate joint ventures and (iv) positive net flows. These increases were partially offset by lower income on derivatives as a result of the termination of interest rate swaps.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Insurance-Related Activities</w:t>
      </w:r>
      <w:r>
        <w:rPr>
          <w:rFonts w:ascii="Arial" w:cs="Arial" w:eastAsia="Arial" w:hAnsi="Arial"/>
          <w:sz w:val="17"/>
          <w:szCs w:val="17"/>
          <w:color w:val="auto"/>
        </w:rPr>
        <w:t>. Net costs from insurance-related activities increased $12 million, primarily due to an unfavorable change from higher</w:t>
      </w:r>
      <w:r>
        <w:rPr>
          <w:rFonts w:ascii="Arial" w:cs="Arial" w:eastAsia="Arial" w:hAnsi="Arial"/>
          <w:sz w:val="17"/>
          <w:szCs w:val="17"/>
          <w:i w:val="1"/>
          <w:iCs w:val="1"/>
          <w:color w:val="auto"/>
        </w:rPr>
        <w:t xml:space="preserve"> </w:t>
      </w:r>
      <w:r>
        <w:rPr>
          <w:rFonts w:ascii="Arial" w:cs="Arial" w:eastAsia="Arial" w:hAnsi="Arial"/>
          <w:sz w:val="17"/>
          <w:szCs w:val="17"/>
          <w:color w:val="auto"/>
        </w:rPr>
        <w:t>GMDB costs driven by an increase in liability balances resulting from growth in the in-force and higher claims, partially offset by a favorable change from the fair value of the underlying ceded separate account assets from a related party reinsurance agreement for certain variable annuity contracts.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Higher DAC and VOBA amortization had an unfavorable impact on comparative results of $49 million,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impacts from lower profits resulting from lower than expected separate account returns in the current period as well as changes in in-force and actuarial model refinements.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$48 million, primarily due to an increase in pass-through variable annuity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operating costs as a result of being a stand-alone company, partially offset by the impact of expenses incurred in the prior period related to reinsurance recapture activity. With respect to the variable annuity pass-through expenses, we had an increase of $50 million driven by Separation related changes to arrangements with third parties impacting the recognition of pass-through investment management and revenue sharing fees, most of which is offset by an increase in fee income.</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March 31, 2018 was $46 million, or 17%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$82 million, or 26% of pre-tax adjusted earnings, for the three months ended March 31, 2017. Our effective tax rates in both periods differ from the U.S. statutory rates primarily due to the impacts of the dividend received deductions.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Life segment:</w:t>
      </w:r>
    </w:p>
    <w:p>
      <w:pPr>
        <w:spacing w:after="0" w:line="32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p>
      <w:pPr>
        <w:ind w:left="8620"/>
        <w:spacing w:after="0"/>
        <w:tabs>
          <w:tab w:leader="none" w:pos="10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expenses, net of DAC capitalization</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Pre-tax adjusted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Provisions for income tax expense (benefit)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1320" w:val="left"/>
          <w:tab w:leader="none" w:pos="1820" w:val="left"/>
          <w:tab w:leader="none" w:pos="3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83</w:t>
      </w:r>
    </w:p>
    <w:p>
      <w:pPr>
        <w:spacing w:after="0" w:line="86" w:lineRule="exact"/>
        <w:rPr>
          <w:sz w:val="20"/>
          <w:szCs w:val="20"/>
          <w:color w:val="auto"/>
        </w:rPr>
      </w:pPr>
    </w:p>
    <w:p>
      <w:pPr>
        <w:ind w:left="1420"/>
        <w:spacing w:after="0"/>
        <w:tabs>
          <w:tab w:leader="none" w:pos="320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34925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420"/>
        <w:spacing w:after="0"/>
        <w:tabs>
          <w:tab w:leader="none" w:pos="31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(20)</w:t>
      </w:r>
    </w:p>
    <w:p>
      <w:pPr>
        <w:spacing w:after="0" w:line="86" w:lineRule="exact"/>
        <w:rPr>
          <w:sz w:val="20"/>
          <w:szCs w:val="20"/>
          <w:color w:val="auto"/>
        </w:rPr>
      </w:pPr>
    </w:p>
    <w:p>
      <w:pPr>
        <w:jc w:val="both"/>
        <w:ind w:left="1360"/>
        <w:spacing w:after="0"/>
        <w:tabs>
          <w:tab w:leader="none" w:pos="316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34925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360"/>
        <w:spacing w:after="0"/>
        <w:tabs>
          <w:tab w:leader="none" w:pos="316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jc w:val="both"/>
        <w:ind w:left="1420"/>
        <w:spacing w:after="0"/>
        <w:tabs>
          <w:tab w:leader="none" w:pos="316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34925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420"/>
        <w:spacing w:after="0"/>
        <w:tabs>
          <w:tab w:leader="none" w:pos="324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spacing w:after="0"/>
        <w:tabs>
          <w:tab w:leader="none" w:pos="1400" w:val="left"/>
          <w:tab w:leader="none" w:pos="1820" w:val="left"/>
          <w:tab w:leader="none" w:pos="3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6" w:right="239" w:bottom="1440" w:gutter="0" w:footer="0" w:header="0"/>
          <w:type w:val="continuous"/>
        </w:sectPr>
      </w:pP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Compared with the Three Months Ended March 31,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Adjusted earnings increased $73 million, primarily due to favorable underwriting, lower expenses and higher fee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Fee income increased $20 million, primarily due to the reimbursement of fees for previously recaptured universal life business.</w:t>
      </w:r>
    </w:p>
    <w:p>
      <w:pPr>
        <w:spacing w:after="0" w:line="1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Net Investment Spread. </w:t>
      </w:r>
      <w:r>
        <w:rPr>
          <w:rFonts w:ascii="Arial" w:cs="Arial" w:eastAsia="Arial" w:hAnsi="Arial"/>
          <w:sz w:val="17"/>
          <w:szCs w:val="17"/>
          <w:color w:val="auto"/>
        </w:rPr>
        <w:t>Net investment spread decreased $6 million, primarily driven by higher interest on policyholder account balances and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policy benefits resulting from continued positive net flows in the general account. Net investment income was largely unchanged as an increase from the net impacts from the Portfolio Realignment were mostly offset by the impact from prior period refinements to the intersegment allocation in connection with the re-segmentation of our universal life with secondary guarantees (“ULSG”) business to the Run-off segment.</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Insurance-related activities had a favorable impact on comparative results of $44 million, primarily due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2017 recapture from Metropolitan Life Insurance Company (“MLIC”) of a yearly renewable term reinsurance agreement for certain life contracts (“YRT Recapture”), which resulted in higher retained premiums in excess of the increase in retained claims.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had a favorable impact on comparative results of $16 million,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ongoing universal life amortization following prior year assumption updates to mortality and maintenance expenses.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$22 million primarily due to the impact of an allocation in the prior period of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fees from Corporate &amp; Other in connection with the creation of BRCD.</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expense for the three months ended March 31, 2018 was $15 million, or 19% of adjusted earnings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income tax, compared to a tax benefit of $8 million, or 53% of adjusted earnings before provision for income tax, for the three months ended March 31, 2017. Our effective tax rates typically differ from the U.S. statutory rates primarily due to the impacts of the dividend received deductions.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Run-off segment:</w:t>
      </w:r>
    </w:p>
    <w:p>
      <w:pPr>
        <w:spacing w:after="0" w:line="27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130</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1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900" w:type="dxa"/>
            <w:vAlign w:val="bottom"/>
          </w:tcPr>
          <w:p>
            <w:pPr>
              <w:ind w:left="200"/>
              <w:spacing w:after="0"/>
              <w:rPr>
                <w:sz w:val="20"/>
                <w:szCs w:val="20"/>
                <w:color w:val="auto"/>
              </w:rPr>
            </w:pPr>
            <w:r>
              <w:rPr>
                <w:rFonts w:ascii="Arial" w:cs="Arial" w:eastAsia="Arial" w:hAnsi="Arial"/>
                <w:sz w:val="16"/>
                <w:szCs w:val="16"/>
                <w:color w:val="auto"/>
              </w:rPr>
              <w:t>Pre-tax adjusted earnings</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Provisions for income tax expense (benefit)</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17"/>
        </w:trPr>
        <w:tc>
          <w:tcPr>
            <w:tcW w:w="7900" w:type="dxa"/>
            <w:vAlign w:val="bottom"/>
          </w:tcPr>
          <w:p>
            <w:pPr>
              <w:ind w:left="200"/>
              <w:spacing w:after="0"/>
              <w:rPr>
                <w:sz w:val="20"/>
                <w:szCs w:val="20"/>
                <w:color w:val="auto"/>
              </w:rPr>
            </w:pPr>
            <w:r>
              <w:rPr>
                <w:rFonts w:ascii="Arial" w:cs="Arial" w:eastAsia="Arial" w:hAnsi="Arial"/>
                <w:sz w:val="16"/>
                <w:szCs w:val="16"/>
                <w:color w:val="auto"/>
              </w:rPr>
              <w:t>Adjusted earnings</w:t>
            </w:r>
          </w:p>
        </w:tc>
        <w:tc>
          <w:tcPr>
            <w:tcW w:w="1160" w:type="dxa"/>
            <w:vAlign w:val="bottom"/>
            <w:tcBorders>
              <w:top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w:t>
            </w:r>
          </w:p>
        </w:tc>
      </w:tr>
      <w:tr>
        <w:trPr>
          <w:trHeight w:val="33"/>
        </w:trPr>
        <w:tc>
          <w:tcPr>
            <w:tcW w:w="7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Compared with the Three Months Ended March 31, 2017</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were largely unchanged as higher fee income, lower expenses and lower taxes were mostly offset by higher net costs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insurance-related activities and lower net investment spread.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increased $24 million, primarily due to the reimbursement of fees for previously recaptured universal life business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cost of insurance fees in the current period resulting from the YRT Recapture.</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Net Investment Spread. </w:t>
      </w:r>
      <w:r>
        <w:rPr>
          <w:rFonts w:ascii="Arial" w:cs="Arial" w:eastAsia="Arial" w:hAnsi="Arial"/>
          <w:sz w:val="17"/>
          <w:szCs w:val="17"/>
          <w:color w:val="auto"/>
        </w:rPr>
        <w:t>Net investment spread decreased $18 million, primarily due to lower net investment income resulting from lower income on</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due to the termination of interest rates swaps, as well as the net effects of the Portfolio Realignment. These decreases were partially offset by higher returns on other limited partnership interests driven by an improvement in equity market performance and the impact from prior period refinements to the intersegment allocation in connection with the re-segmentation of our ULSG business to the Run-off segment.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Insurance-Related Activities</w:t>
      </w:r>
      <w:r>
        <w:rPr>
          <w:rFonts w:ascii="Arial" w:cs="Arial" w:eastAsia="Arial" w:hAnsi="Arial"/>
          <w:sz w:val="16"/>
          <w:szCs w:val="16"/>
          <w:color w:val="auto"/>
        </w:rPr>
        <w:t>. Net costs from insurance-related activities increased $41 million, primarily due to unfavorable underwriting experience.</w:t>
      </w:r>
    </w:p>
    <w:p>
      <w:pPr>
        <w:spacing w:after="0" w:line="1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decreased $18 million, primarily due to lower costs related to reinsurance financing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terminated in the second quarter of 2017.</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March 31, 2018 was $13 million, or 21% of pre-tax adjusted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 million, or 34% of pre-tax adjusted earnings for the three months ended March 31, 2017. Our effective tax rates typically differ from the U.S. statutory rates primarily due to the impacts of the dividend received deductions.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Corporate &amp; Other:</w:t>
      </w:r>
    </w:p>
    <w:p>
      <w:pPr>
        <w:spacing w:after="0" w:line="27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66</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Pre-tax adjusted earnings, less net income attributable to noncontrolling interests</w:t>
            </w:r>
          </w:p>
        </w:tc>
        <w:tc>
          <w:tcPr>
            <w:tcW w:w="1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Provisions for income tax expense (benefit)</w:t>
            </w: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Compared with the Three Months Ended March 31,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Adjusted earnings decreased $69 million, primarily due to lower net investment spread combined with higher expenses.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$55 million, primarily driven by the net impacts from the Portfolio Realignment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income on derivatives due to the termination of interest rate swaps.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Other Expenses, Net of DAC Capitalization. </w:t>
      </w:r>
      <w:r>
        <w:rPr>
          <w:rFonts w:ascii="Arial" w:cs="Arial" w:eastAsia="Arial" w:hAnsi="Arial"/>
          <w:sz w:val="17"/>
          <w:szCs w:val="17"/>
          <w:color w:val="auto"/>
        </w:rPr>
        <w:t>Expenses increased $50 million, primarily due to higher establishment costs related to planned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and branding investments, as well as higher interest on debt which was issued in the second quarter of 2017. These increases were partially offset by a charge in the prior period related to sale of MPCG to MassMutual and lower letter of credit fees. Letter of credit fees decreased as a result of the issuance of debt in the second quarter of 2017, which more than offset the impact of an allocation to the Life segment in the prior period.</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March 31, 2018 was $29 million, or 33% of pre-tax adjusted earnings less</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attributable to noncontrolling interests, compared to an expense of $13 million, or 57% of pre-tax adjusted earnings less net income attributable to noncontrolling interests, for the three months ended March 31, 2017. Our effective tax rates typically differ from the U.S. statutory rates primarily due to the utilization of tax credits.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available to shareholders before provision for income tax from the performance of GMLB Riders, which includes (i) changes in carrying value of the GAAP liabilities, (ii) the mark-to-market of hedges and reinsurance, (iii) fees, and (iv) associated DAC offsets:</w:t>
      </w:r>
    </w:p>
    <w:p>
      <w:pPr>
        <w:spacing w:after="0" w:line="227"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w:t>
      </w:r>
    </w:p>
    <w:p>
      <w:pPr>
        <w:ind w:left="946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Liabilities (1)</w:t>
            </w: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Assumed Reinsurance Liabilities</w:t>
            </w:r>
          </w:p>
        </w:tc>
        <w:tc>
          <w:tcPr>
            <w:tcW w:w="1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Hedging Program (2)</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Ceded Reinsurance</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Hedging Program and Reinsurance</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Fees</w:t>
            </w:r>
          </w:p>
        </w:tc>
        <w:tc>
          <w:tcPr>
            <w:tcW w:w="1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Assumed Reinsurance Fees</w:t>
            </w:r>
          </w:p>
        </w:tc>
        <w:tc>
          <w:tcPr>
            <w:tcW w:w="1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Fees (3)</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GMLB Riders before DAC Offsets</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Offsets</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44"/>
        </w:trPr>
        <w:tc>
          <w:tcPr>
            <w:tcW w:w="790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116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0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changes in fair value of the Shield Annuities embedded derivatives of $58 million for the three months ended March 31, 2018. Changes in the fair value of the Shield Annuities embedded derivatives were not included in GMLB results for the three months ended March 31, 2017.</w:t>
      </w:r>
    </w:p>
    <w:p>
      <w:pPr>
        <w:spacing w:after="0" w:line="38" w:lineRule="exact"/>
        <w:rPr>
          <w:rFonts w:ascii="Arial" w:cs="Arial" w:eastAsia="Arial" w:hAnsi="Arial"/>
          <w:sz w:val="17"/>
          <w:szCs w:val="17"/>
          <w:color w:val="auto"/>
        </w:rPr>
      </w:pPr>
    </w:p>
    <w:p>
      <w:pPr>
        <w:jc w:val="both"/>
        <w:ind w:left="500" w:hanging="492"/>
        <w:spacing w:after="0" w:line="31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hedges of GMIB insurance liabilities were historically reported in policyholder benefits and claims. Amounts reported in policyholder benefits and claims were ($180) million for the three months ended March 31, 2017. Consistent with the hedge strategy now focused on a statutory target, with less emphasis on matching GAAP liabilities, all hedge program amounts are recorded in net derivative gains (losses) beginning in 2018.</w:t>
      </w:r>
    </w:p>
    <w:p>
      <w:pPr>
        <w:spacing w:after="0" w:line="38" w:lineRule="exact"/>
        <w:rPr>
          <w:rFonts w:ascii="Arial" w:cs="Arial" w:eastAsia="Arial" w:hAnsi="Arial"/>
          <w:sz w:val="16"/>
          <w:szCs w:val="16"/>
          <w:color w:val="auto"/>
        </w:rPr>
      </w:pPr>
    </w:p>
    <w:p>
      <w:pPr>
        <w:ind w:left="500" w:hanging="492"/>
        <w:spacing w:after="0"/>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Excludes living benefit fees, included as a component of adjusted earnings, of $18 million for both the three months ended March 31, 2018 and 2017.</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2018 Compared with the Three Months Ended March 31, 2017</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Comparative results from GMLB Riders before provision for income tax were favorable by $654 million. Of this amount, a favorable change of $914 million was recorded in net derivative gains (losses).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GMLB Riders Liabilities. </w:t>
      </w:r>
      <w:r>
        <w:rPr>
          <w:rFonts w:ascii="Arial" w:cs="Arial" w:eastAsia="Arial" w:hAnsi="Arial"/>
          <w:sz w:val="17"/>
          <w:szCs w:val="17"/>
          <w:color w:val="auto"/>
        </w:rPr>
        <w:t>The change in the carrying value of GMLB Riders liabilities resulted in an unfavorable impact on comparative results of $33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primarily due to unfavorable impacts from changes in equity markets in the current period compared to the prior period. This decrease was partially offset by favorable impacts from (i) changes in interest rates, (ii) the change in fair value of the Shield Annuities embedded derivatives and (iii) the change in the nonperformance risk adjustment as a result of changing to use of our own creditworthiness post-Separation.</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GMLB Riders Hedging Program and Reinsurance. </w:t>
      </w:r>
      <w:r>
        <w:rPr>
          <w:rFonts w:ascii="Arial" w:cs="Arial" w:eastAsia="Arial" w:hAnsi="Arial"/>
          <w:sz w:val="18"/>
          <w:szCs w:val="18"/>
          <w:color w:val="auto"/>
        </w:rPr>
        <w:t>The change in the fair value of GMLB Riders hedging program and reinsurance had a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comparative results of $1.1 billion, primarily due:</w:t>
      </w:r>
    </w:p>
    <w:p>
      <w:pPr>
        <w:spacing w:after="0" w:line="62" w:lineRule="exact"/>
        <w:rPr>
          <w:sz w:val="20"/>
          <w:szCs w:val="20"/>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net favorable change of $699 million from the inverse impacts of the same interest rate and equity market factors that unfavorably impacted GMLB Riders liabilities;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favorable change of $265 million from the impact of a charge recognized in the prior period in connection with the recapture from MLIC of certain ceded and assumed variable annuity insurance agreements.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GMLB Riders Fees. </w:t>
      </w:r>
      <w:r>
        <w:rPr>
          <w:rFonts w:ascii="Arial" w:cs="Arial" w:eastAsia="Arial" w:hAnsi="Arial"/>
          <w:sz w:val="18"/>
          <w:szCs w:val="18"/>
          <w:color w:val="auto"/>
        </w:rPr>
        <w:t>Fees from GMLB Riders were largely unchanged.</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which are inversely related to the changes in certain components of GMLB Riders discussed above, resulted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impact on comparative results of $438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credit risk, relating to the uncertainty associated with the continued ability of a given obligor to make timely payments of principal and interest;</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where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foreign denominated investments.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the 2017 Annual Report.</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U.S. insurance company, we are affected by the monetary policy of the Federal Reserve Board in the United States. The Federal Open Market Committee has increased the federal funds rate four times since the start of 2017. The Federal Reserve may take further actions to influence interest rates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Selected Country and Sector Investments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Recent elevated levels of market volatility have affected the performance of various asset classes. Contributing factors include concerns about economic conditions and capital markets; declining sales and increased online competition in the retail sector and recent country and sector specific volatility due to local economic and/or political concerns have affected the performance of certain of our investments. See “Management’s Discussion and Analysis of Financial Condition and Results of Operations — Industry Trends — Financial and Economic Environment” included in the 2017 Annual Report.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have exposure to global market volatility, as we maintain general account investments in Puerto Rico, among other countries, through our global portfolio diversification. Our exposure to sovereign fixed maturity securities and total fixed maturity securities of Puerto Rico totaled $4 million and $20 million, at estimated fair value, respectively, at March 31, 2018.</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There has been an increased market focus on retail sector investments as a result of declining sales and the effects of online competition. Our exposure to retail sector corporate fixed maturity securities was $1.5 billion, of which 95% were investment grade, with unrealized gains of $42 million at March 31, 2018.</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direct and indirect investment exposure in Puerto Rico and the retail sector through fundamental credit analysis and we continually monitor and adjust our level of investment exposure. We do not expect that our general account investments in Puerto Rico and the retail sector will have a material adverse effect on our results of operations or financial condition.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Current Environment — Summary</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All of these factors have had and could continue to have an adverse effect on the financial results of companies in the financial services industry, including us. Such global economic conditions, as well as the global financial markets, continue to impact our net investment income, net investment gains (losses), net derivative gains (losses), level of unrealized gains (losses) within the various asset classes in our investment portfolio, and our level of investment in lower yielding cash equivalents, short-term investments and government securities. See “Management’s Discussion and Analysis of Financial Condition and Results of Operations — Industry Trends and Uncertainties” and “Risk Factors — Economic Environment and Capital Markets-Related Risks — We are exposed to significant financial and capital markets risks which may adversely affect our results of operations, financial condition and liquidity, and may cause our net investment income and net income to vary from period to period” included in the 2017 Annual Report.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4"/>
                <w:szCs w:val="14"/>
                <w:b w:val="1"/>
                <w:bCs w:val="1"/>
                <w:color w:val="auto"/>
                <w:w w:val="96"/>
              </w:rPr>
              <w:t>Three Months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66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r>
      <w:tr>
        <w:trPr>
          <w:trHeight w:val="250"/>
        </w:trPr>
        <w:tc>
          <w:tcPr>
            <w:tcW w:w="6600" w:type="dxa"/>
            <w:vAlign w:val="bottom"/>
          </w:tcPr>
          <w:p>
            <w:pPr>
              <w:spacing w:after="0"/>
              <w:rPr>
                <w:sz w:val="21"/>
                <w:szCs w:val="21"/>
                <w:color w:val="auto"/>
              </w:rPr>
            </w:pPr>
          </w:p>
        </w:tc>
        <w:tc>
          <w:tcPr>
            <w:tcW w:w="13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Yield% (1)</w:t>
            </w: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4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Yield% (1)</w:t>
            </w: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r>
      <w:tr>
        <w:trPr>
          <w:trHeight w:val="250"/>
        </w:trPr>
        <w:tc>
          <w:tcPr>
            <w:tcW w:w="6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520" w:type="dxa"/>
            <w:vAlign w:val="bottom"/>
            <w:gridSpan w:val="3"/>
          </w:tcPr>
          <w:p>
            <w:pPr>
              <w:jc w:val="right"/>
              <w:ind w:right="783"/>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spacing w:after="0"/>
              <w:rPr>
                <w:sz w:val="21"/>
                <w:szCs w:val="21"/>
                <w:color w:val="auto"/>
              </w:rPr>
            </w:pPr>
          </w:p>
        </w:tc>
      </w:tr>
      <w:tr>
        <w:trPr>
          <w:trHeight w:val="256"/>
        </w:trPr>
        <w:tc>
          <w:tcPr>
            <w:tcW w:w="6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Investment income</w:t>
            </w: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4.65 % $</w:t>
            </w:r>
          </w:p>
        </w:tc>
        <w:tc>
          <w:tcPr>
            <w:tcW w:w="96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BFE4FF"/>
            </w:tcBorders>
            <w:shd w:val="clear" w:color="auto" w:fill="BFE4FF"/>
          </w:tcPr>
          <w:p>
            <w:pPr>
              <w:spacing w:after="0"/>
              <w:rPr>
                <w:sz w:val="22"/>
                <w:szCs w:val="22"/>
                <w:color w:val="auto"/>
              </w:rPr>
            </w:pPr>
          </w:p>
        </w:tc>
        <w:tc>
          <w:tcPr>
            <w:tcW w:w="144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6"/>
                <w:szCs w:val="16"/>
                <w:color w:val="auto"/>
              </w:rPr>
              <w:t>4.89 % $</w:t>
            </w:r>
          </w:p>
        </w:tc>
        <w:tc>
          <w:tcPr>
            <w:tcW w:w="92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886</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Investment fees and expenses</w:t>
            </w:r>
          </w:p>
        </w:tc>
        <w:tc>
          <w:tcPr>
            <w:tcW w:w="1380" w:type="dxa"/>
            <w:vAlign w:val="bottom"/>
          </w:tcPr>
          <w:p>
            <w:pPr>
              <w:jc w:val="right"/>
              <w:ind w:right="103"/>
              <w:spacing w:after="0"/>
              <w:rPr>
                <w:sz w:val="20"/>
                <w:szCs w:val="20"/>
                <w:color w:val="auto"/>
              </w:rPr>
            </w:pPr>
            <w:r>
              <w:rPr>
                <w:rFonts w:ascii="Arial" w:cs="Arial" w:eastAsia="Arial" w:hAnsi="Arial"/>
                <w:sz w:val="16"/>
                <w:szCs w:val="16"/>
                <w:color w:val="auto"/>
              </w:rPr>
              <w:t>(0.15)%</w:t>
            </w: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40" w:type="dxa"/>
            <w:vAlign w:val="bottom"/>
          </w:tcPr>
          <w:p>
            <w:pPr>
              <w:jc w:val="right"/>
              <w:ind w:right="143"/>
              <w:spacing w:after="0"/>
              <w:rPr>
                <w:sz w:val="20"/>
                <w:szCs w:val="20"/>
                <w:color w:val="auto"/>
              </w:rPr>
            </w:pPr>
            <w:r>
              <w:rPr>
                <w:rFonts w:ascii="Arial" w:cs="Arial" w:eastAsia="Arial" w:hAnsi="Arial"/>
                <w:sz w:val="16"/>
                <w:szCs w:val="16"/>
                <w:color w:val="auto"/>
              </w:rPr>
              <w:t>(0.15)%</w:t>
            </w: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6600" w:type="dxa"/>
            <w:vAlign w:val="bottom"/>
            <w:tcBorders>
              <w:bottom w:val="single" w:sz="8" w:color="BFE4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Adjusted net investment income (2),(3)</w:t>
            </w:r>
          </w:p>
        </w:tc>
        <w:tc>
          <w:tcPr>
            <w:tcW w:w="13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4.50 % $</w:t>
            </w:r>
          </w:p>
        </w:tc>
        <w:tc>
          <w:tcPr>
            <w:tcW w:w="960" w:type="dxa"/>
            <w:vAlign w:val="bottom"/>
            <w:tcBorders>
              <w:bottom w:val="single" w:sz="8" w:color="auto"/>
            </w:tcBorders>
            <w:shd w:val="clear" w:color="auto" w:fill="BFE4FF"/>
          </w:tcPr>
          <w:p>
            <w:pPr>
              <w:jc w:val="right"/>
              <w:ind w:right="23"/>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auto"/>
            </w:tcBorders>
            <w:shd w:val="clear" w:color="auto" w:fill="BFE4FF"/>
          </w:tcPr>
          <w:p>
            <w:pPr>
              <w:jc w:val="right"/>
              <w:ind w:right="23"/>
              <w:spacing w:after="0"/>
              <w:rPr>
                <w:sz w:val="20"/>
                <w:szCs w:val="20"/>
                <w:color w:val="auto"/>
              </w:rPr>
            </w:pPr>
            <w:r>
              <w:rPr>
                <w:rFonts w:ascii="Arial" w:cs="Arial" w:eastAsia="Arial" w:hAnsi="Arial"/>
                <w:sz w:val="16"/>
                <w:szCs w:val="16"/>
                <w:color w:val="auto"/>
              </w:rPr>
              <w:t>4.74 % $</w:t>
            </w:r>
          </w:p>
        </w:tc>
        <w:tc>
          <w:tcPr>
            <w:tcW w:w="920" w:type="dxa"/>
            <w:vAlign w:val="bottom"/>
            <w:tcBorders>
              <w:bottom w:val="single" w:sz="8" w:color="auto"/>
            </w:tcBorders>
            <w:shd w:val="clear" w:color="auto" w:fill="BFE4FF"/>
          </w:tcPr>
          <w:p>
            <w:pPr>
              <w:jc w:val="right"/>
              <w:ind w:right="21"/>
              <w:spacing w:after="0"/>
              <w:rPr>
                <w:sz w:val="20"/>
                <w:szCs w:val="20"/>
                <w:color w:val="auto"/>
              </w:rPr>
            </w:pPr>
            <w:r>
              <w:rPr>
                <w:rFonts w:ascii="Arial" w:cs="Arial" w:eastAsia="Arial" w:hAnsi="Arial"/>
                <w:sz w:val="16"/>
                <w:szCs w:val="16"/>
                <w:color w:val="auto"/>
              </w:rPr>
              <w:t>858</w:t>
            </w:r>
          </w:p>
        </w:tc>
      </w:tr>
      <w:tr>
        <w:trPr>
          <w:trHeight w:val="20"/>
        </w:trPr>
        <w:tc>
          <w:tcPr>
            <w:tcW w:w="6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41" w:lineRule="exact"/>
        <w:rPr>
          <w:sz w:val="20"/>
          <w:szCs w:val="20"/>
          <w:color w:val="auto"/>
        </w:rPr>
      </w:pPr>
    </w:p>
    <w:p>
      <w:pPr>
        <w:jc w:val="both"/>
        <w:ind w:left="340" w:hanging="332"/>
        <w:spacing w:after="0" w:line="279"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collateral received from derivative counterparties and the effects of consolidating certain VIEs under GAAP that are treated as CSEs.</w:t>
      </w:r>
    </w:p>
    <w:p>
      <w:pPr>
        <w:spacing w:after="0" w:line="63" w:lineRule="exact"/>
        <w:rPr>
          <w:rFonts w:ascii="Arial" w:cs="Arial" w:eastAsia="Arial" w:hAnsi="Arial"/>
          <w:sz w:val="17"/>
          <w:szCs w:val="17"/>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net investment income included in yield calculations includes investment hedge adjustments.</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Adjusted net investment income presented in the yield table varies from the most directly comparable GAAP measure due to certain reclassifications and adjustments and excludes the effects of consolidating certain VIEs under GAAP that are treated as CSEs, as presented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50"/>
        </w:trPr>
        <w:tc>
          <w:tcPr>
            <w:tcW w:w="8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r>
      <w:tr>
        <w:trPr>
          <w:trHeight w:val="256"/>
        </w:trPr>
        <w:tc>
          <w:tcPr>
            <w:tcW w:w="8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Net investment income</w:t>
            </w:r>
          </w:p>
        </w:tc>
        <w:tc>
          <w:tcPr>
            <w:tcW w:w="1000" w:type="dxa"/>
            <w:vAlign w:val="bottom"/>
            <w:tcBorders>
              <w:bottom w:val="single" w:sz="8" w:color="BFE4FF"/>
            </w:tcBorders>
            <w:shd w:val="clear" w:color="auto" w:fill="BFE4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782</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Investment hedge adjustments</w:t>
            </w:r>
          </w:p>
        </w:tc>
        <w:tc>
          <w:tcPr>
            <w:tcW w:w="100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Incremental net investment income from CSEs</w:t>
            </w:r>
          </w:p>
        </w:tc>
        <w:tc>
          <w:tcPr>
            <w:tcW w:w="100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8360" w:type="dxa"/>
            <w:vAlign w:val="bottom"/>
          </w:tcPr>
          <w:p>
            <w:pPr>
              <w:ind w:left="40"/>
              <w:spacing w:after="0"/>
              <w:rPr>
                <w:sz w:val="20"/>
                <w:szCs w:val="20"/>
                <w:color w:val="auto"/>
              </w:rPr>
            </w:pPr>
            <w:r>
              <w:rPr>
                <w:rFonts w:ascii="Arial" w:cs="Arial" w:eastAsia="Arial" w:hAnsi="Arial"/>
                <w:sz w:val="16"/>
                <w:szCs w:val="16"/>
                <w:color w:val="auto"/>
              </w:rPr>
              <w:t>Adjusted net investment income — in the above yield table</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858</w:t>
            </w:r>
          </w:p>
        </w:tc>
      </w:tr>
      <w:tr>
        <w:trPr>
          <w:trHeight w:val="20"/>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 Results of Operations — Consolidated Results for the Three Months Ended March 31, 2018 and 2017 — Adjusted Earnings” for an analysis of the period over period changes in net investment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 and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fixed maturity available-for-sale (“AFS”) and equity securities by type (public or private) held at:</w:t>
      </w:r>
    </w:p>
    <w:p>
      <w:pPr>
        <w:spacing w:after="0" w:line="392" w:lineRule="exact"/>
        <w:rPr>
          <w:sz w:val="20"/>
          <w:szCs w:val="20"/>
          <w:color w:val="auto"/>
        </w:rPr>
      </w:pPr>
    </w:p>
    <w:tbl>
      <w:tblPr>
        <w:tblLayout w:type="fixed"/>
        <w:tblInd w:w="6380" w:type="dxa"/>
        <w:tblCellMar>
          <w:top w:w="0" w:type="dxa"/>
          <w:left w:w="0" w:type="dxa"/>
          <w:bottom w:w="0" w:type="dxa"/>
          <w:right w:w="0" w:type="dxa"/>
        </w:tblCellMar>
      </w:tblPr>
      <w:tr>
        <w:trPr>
          <w:trHeight w:val="192"/>
        </w:trPr>
        <w:tc>
          <w:tcPr>
            <w:tcW w:w="24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24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132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Estimated</w:t>
            </w:r>
          </w:p>
        </w:tc>
        <w:tc>
          <w:tcPr>
            <w:tcW w:w="124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132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Estimated</w:t>
            </w:r>
          </w:p>
        </w:tc>
        <w:tc>
          <w:tcPr>
            <w:tcW w:w="1160" w:type="dxa"/>
            <w:vAlign w:val="bottom"/>
          </w:tcPr>
          <w:p>
            <w:pPr>
              <w:ind w:left="420"/>
              <w:spacing w:after="0" w:line="153" w:lineRule="exact"/>
              <w:rPr>
                <w:sz w:val="20"/>
                <w:szCs w:val="20"/>
                <w:color w:val="auto"/>
              </w:rPr>
            </w:pPr>
            <w:r>
              <w:rPr>
                <w:rFonts w:ascii="Arial" w:cs="Arial" w:eastAsia="Arial" w:hAnsi="Arial"/>
                <w:sz w:val="14"/>
                <w:szCs w:val="14"/>
                <w:b w:val="1"/>
                <w:bCs w:val="1"/>
                <w:color w:val="auto"/>
              </w:rPr>
              <w:t>% of</w:t>
            </w:r>
          </w:p>
        </w:tc>
      </w:tr>
      <w:tr>
        <w:trPr>
          <w:trHeight w:val="186"/>
        </w:trPr>
        <w:tc>
          <w:tcPr>
            <w:tcW w:w="1320" w:type="dxa"/>
            <w:vAlign w:val="bottom"/>
          </w:tcPr>
          <w:p>
            <w:pPr>
              <w:ind w:left="2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7620</wp:posOffset>
            </wp:positionV>
            <wp:extent cx="3198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Fixed maturity securities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80" w:type="dxa"/>
            <w:vAlign w:val="bottom"/>
          </w:tcPr>
          <w:p>
            <w:pPr>
              <w:ind w:left="280"/>
              <w:spacing w:after="0"/>
              <w:rPr>
                <w:sz w:val="20"/>
                <w:szCs w:val="20"/>
                <w:color w:val="auto"/>
              </w:rPr>
            </w:pPr>
            <w:r>
              <w:rPr>
                <w:rFonts w:ascii="Arial" w:cs="Arial" w:eastAsia="Arial" w:hAnsi="Arial"/>
                <w:sz w:val="16"/>
                <w:szCs w:val="16"/>
                <w:color w:val="auto"/>
              </w:rPr>
              <w:t>Publicly-traded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52,326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54,332</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33"/>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38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Privately-placed</w:t>
            </w:r>
          </w:p>
        </w:tc>
        <w:tc>
          <w:tcPr>
            <w:tcW w:w="34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10,852</w:t>
            </w:r>
          </w:p>
        </w:tc>
        <w:tc>
          <w:tcPr>
            <w:tcW w:w="1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10,659</w:t>
            </w:r>
          </w:p>
        </w:tc>
        <w:tc>
          <w:tcPr>
            <w:tcW w:w="12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16.4</w:t>
            </w:r>
          </w:p>
        </w:tc>
      </w:tr>
      <w:tr>
        <w:trPr>
          <w:trHeight w:val="284"/>
        </w:trPr>
        <w:tc>
          <w:tcPr>
            <w:tcW w:w="6380" w:type="dxa"/>
            <w:vAlign w:val="bottom"/>
            <w:tcBorders>
              <w:bottom w:val="single" w:sz="8" w:color="BFE4FF"/>
            </w:tcBorders>
          </w:tcPr>
          <w:p>
            <w:pPr>
              <w:ind w:left="600"/>
              <w:spacing w:after="0"/>
              <w:rPr>
                <w:sz w:val="20"/>
                <w:szCs w:val="20"/>
                <w:color w:val="auto"/>
              </w:rPr>
            </w:pPr>
            <w:r>
              <w:rPr>
                <w:rFonts w:ascii="Arial" w:cs="Arial" w:eastAsia="Arial" w:hAnsi="Arial"/>
                <w:sz w:val="16"/>
                <w:szCs w:val="16"/>
                <w:color w:val="auto"/>
              </w:rPr>
              <w:t>Total fixed maturity securities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63,178</w:t>
            </w:r>
          </w:p>
        </w:tc>
        <w:tc>
          <w:tcPr>
            <w:tcW w:w="100" w:type="dxa"/>
            <w:vAlign w:val="bottom"/>
            <w:tcBorders>
              <w:bottom w:val="single" w:sz="8" w:color="BFE4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BFE4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64,991</w:t>
            </w:r>
          </w:p>
        </w:tc>
        <w:tc>
          <w:tcPr>
            <w:tcW w:w="120" w:type="dxa"/>
            <w:vAlign w:val="bottom"/>
            <w:tcBorders>
              <w:bottom w:val="single" w:sz="8" w:color="BFE4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638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color w:val="auto"/>
              </w:rPr>
              <w:t>Percentage of cash and invested assets</w:t>
            </w:r>
          </w:p>
        </w:tc>
        <w:tc>
          <w:tcPr>
            <w:tcW w:w="340" w:type="dxa"/>
            <w:vAlign w:val="bottom"/>
            <w:tcBorders>
              <w:bottom w:val="single" w:sz="8" w:color="BFE4FF"/>
            </w:tcBorders>
            <w:shd w:val="clear" w:color="auto" w:fill="BFE4FF"/>
          </w:tcPr>
          <w:p>
            <w:pPr>
              <w:spacing w:after="0"/>
              <w:rPr>
                <w:sz w:val="19"/>
                <w:szCs w:val="19"/>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BFE4FF"/>
            </w:tcBorders>
            <w:shd w:val="clear" w:color="auto" w:fill="BFE4FF"/>
          </w:tcPr>
          <w:p>
            <w:pPr>
              <w:spacing w:after="0"/>
              <w:rPr>
                <w:sz w:val="19"/>
                <w:szCs w:val="19"/>
                <w:color w:val="auto"/>
              </w:rPr>
            </w:pPr>
          </w:p>
        </w:tc>
        <w:tc>
          <w:tcPr>
            <w:tcW w:w="118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BFE4FF"/>
            </w:tcBorders>
            <w:shd w:val="clear" w:color="auto" w:fill="BFE4FF"/>
          </w:tcPr>
          <w:p>
            <w:pPr>
              <w:spacing w:after="0"/>
              <w:rPr>
                <w:sz w:val="19"/>
                <w:szCs w:val="19"/>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Borders>
              <w:bottom w:val="single" w:sz="8" w:color="BFE4FF"/>
            </w:tcBorders>
            <w:shd w:val="clear" w:color="auto" w:fill="BFE4FF"/>
          </w:tcPr>
          <w:p>
            <w:pPr>
              <w:spacing w:after="0"/>
              <w:rPr>
                <w:sz w:val="19"/>
                <w:szCs w:val="19"/>
                <w:color w:val="auto"/>
              </w:rPr>
            </w:pPr>
          </w:p>
        </w:tc>
        <w:tc>
          <w:tcPr>
            <w:tcW w:w="1180" w:type="dxa"/>
            <w:vAlign w:val="bottom"/>
            <w:tcBorders>
              <w:bottom w:val="single" w:sz="8" w:color="BFE4FF"/>
            </w:tcBorders>
            <w:shd w:val="clear" w:color="auto" w:fill="BFE4FF"/>
          </w:tcPr>
          <w:p>
            <w:pPr>
              <w:spacing w:after="0"/>
              <w:rPr>
                <w:sz w:val="19"/>
                <w:szCs w:val="19"/>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8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Publicly-traded</w:t>
            </w: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96.9%</w:t>
            </w: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Privately-held</w:t>
            </w:r>
          </w:p>
        </w:tc>
        <w:tc>
          <w:tcPr>
            <w:tcW w:w="3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3.1</w:t>
            </w:r>
          </w:p>
        </w:tc>
      </w:tr>
      <w:tr>
        <w:trPr>
          <w:trHeight w:val="33"/>
        </w:trPr>
        <w:tc>
          <w:tcPr>
            <w:tcW w:w="638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color w:val="auto"/>
              </w:rPr>
              <w:t>Total equity securities</w:t>
            </w: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100.0%</w:t>
            </w: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6380" w:type="dxa"/>
            <w:vAlign w:val="bottom"/>
          </w:tcPr>
          <w:p>
            <w:pPr>
              <w:ind w:left="600"/>
              <w:spacing w:after="0"/>
              <w:rPr>
                <w:sz w:val="20"/>
                <w:szCs w:val="20"/>
                <w:color w:val="auto"/>
              </w:rPr>
            </w:pPr>
            <w:r>
              <w:rPr>
                <w:rFonts w:ascii="Arial" w:cs="Arial" w:eastAsia="Arial" w:hAnsi="Arial"/>
                <w:sz w:val="16"/>
                <w:szCs w:val="16"/>
                <w:color w:val="auto"/>
              </w:rPr>
              <w:t>Percentage of cash and invested assets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Valuation of Securities. </w:t>
      </w:r>
      <w:r>
        <w:rPr>
          <w:rFonts w:ascii="Arial" w:cs="Arial" w:eastAsia="Arial" w:hAnsi="Arial"/>
          <w:sz w:val="16"/>
          <w:szCs w:val="16"/>
          <w:color w:val="auto"/>
        </w:rPr>
        <w:t>We engage MetLife Investment Advisors, LLC (“MLIA”), a related party investment manager, to execute on our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and policies to determine the estimated fair value of our investments. The estimated fair value of publicly-traded securities is determined after considering one of three primary sources of information: quoted market prices in active markets, independent pricing services, or independent broker quotations. The estimated fair value of privately-placed securities is determined after considering one of three primary sources of information: market standard internal matrix pricing, market standard internal discounted cash flow techniques, or independent pricing services (after the independent pricing services’ use of available observable market data is determined). For publicly-traded securities, the number of quotations obtained varies by instrument and depends on the liquidity of the particular instrument. Generally, prices are obtained from multiple pricing services to cover all asset classes and obtain multiple prices for certain securities, but ultimately use the price with the highest placement in the fair value hierarchy. Independent pricing services that value these instruments use market standard valuation methodologies based on data about market transactions and inputs from multiple pricing sources that are market observable or can be derived principally from or corroborated by observable market data. See Note 6 of the Notes to the Interim Condensed Consolidated and Combined Financial Statements for a discussion of the types of market standard valuation methodologies utilized and key assumptions and observable inputs used in applying these standard valuation methodologies. When a price is not available in the active market or through an independent pricing service, the security is priced primarily using non-binding quotations from independent brokers who are knowledgeable about these securities. Independent non-binding broker quotations use inputs that may be difficult to corroborate with observable market data. As shown in the following section, less than 1% of our fixed maturity securities were valued using non-binding quotations from independent brokers at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 responsible for monitoring and providing the oversight over the valuation controls and policies, including reviewing and approving new transaction types and markets, for ensuring that observable market prices and market-based parameters are used for valuation, wherever possible, and for determining that valuation adjustments, when applied, are based upon established policies and are applied consistently over time. See Note 6 of the Notes to the Interim Condensed Consolidated and Combined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reviewed the significance and observability of inputs used in the valuation methodologies to determine the appropriate fair value hierarchy level for each of our securities. Based on the results of this review and investment class analysis, each instrument is categorized as Level 1, 2 or 3 based on the lowest level significant input to its valuation. See Note 6 of the Notes to the Interim Condensed Consolidated and Combined Financial Statements for information regarding the valuation techniques and inputs by level within the three-level fair value hierarchy by major classes of invested assets.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of Fixed Maturity Securities AFS and Equity Securities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Fixed maturity securities AFS and equity securities measured at estimated fair value on a recurring basis and their corresponding fair value pricing sources are as follows 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March 31, 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5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gridSpan w:val="3"/>
          </w:tcPr>
          <w:p>
            <w:pPr>
              <w:jc w:val="center"/>
              <w:ind w:left="241"/>
              <w:spacing w:after="0" w:line="153" w:lineRule="exact"/>
              <w:rPr>
                <w:sz w:val="20"/>
                <w:szCs w:val="20"/>
                <w:color w:val="auto"/>
              </w:rPr>
            </w:pPr>
            <w:r>
              <w:rPr>
                <w:rFonts w:ascii="Arial" w:cs="Arial" w:eastAsia="Arial" w:hAnsi="Arial"/>
                <w:sz w:val="14"/>
                <w:szCs w:val="14"/>
                <w:b w:val="1"/>
                <w:bCs w:val="1"/>
                <w:color w:val="auto"/>
                <w:w w:val="98"/>
              </w:rPr>
              <w:t>Fixed Maturity</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gridSpan w:val="3"/>
          </w:tcPr>
          <w:p>
            <w:pPr>
              <w:jc w:val="center"/>
              <w:ind w:left="1"/>
              <w:spacing w:after="0" w:line="153"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spacing w:after="0"/>
              <w:rPr>
                <w:sz w:val="13"/>
                <w:szCs w:val="13"/>
                <w:color w:val="auto"/>
              </w:rPr>
            </w:pPr>
          </w:p>
        </w:tc>
      </w:tr>
      <w:tr>
        <w:trPr>
          <w:trHeight w:val="192"/>
        </w:trPr>
        <w:tc>
          <w:tcPr>
            <w:tcW w:w="5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b w:val="1"/>
                <w:bCs w:val="1"/>
                <w:color w:val="auto"/>
                <w:w w:val="89"/>
              </w:rPr>
              <w:t>Securities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880" w:type="dxa"/>
            <w:vAlign w:val="bottom"/>
            <w:tcBorders>
              <w:bottom w:val="single" w:sz="8" w:color="auto"/>
            </w:tcBorders>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1</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Quoted prices in active markets for identical assets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6,453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53,037</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12.5</w:t>
            </w:r>
          </w:p>
        </w:tc>
      </w:tr>
      <w:tr>
        <w:trPr>
          <w:trHeight w:val="33"/>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120" w:type="dxa"/>
            <w:vAlign w:val="bottom"/>
          </w:tcPr>
          <w:p>
            <w:pPr>
              <w:ind w:left="360"/>
              <w:spacing w:after="0"/>
              <w:rPr>
                <w:sz w:val="20"/>
                <w:szCs w:val="20"/>
                <w:color w:val="auto"/>
              </w:rPr>
            </w:pPr>
            <w:r>
              <w:rPr>
                <w:rFonts w:ascii="Arial" w:cs="Arial" w:eastAsia="Arial" w:hAnsi="Arial"/>
                <w:sz w:val="16"/>
                <w:szCs w:val="16"/>
                <w:color w:val="auto"/>
              </w:rPr>
              <w:t>Significant other observable inputs</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53,613</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3</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2,581</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73.1</w:t>
            </w:r>
          </w:p>
        </w:tc>
      </w:tr>
      <w:tr>
        <w:trPr>
          <w:trHeight w:val="33"/>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r>
      <w:tr>
        <w:trPr>
          <w:trHeight w:val="237"/>
        </w:trPr>
        <w:tc>
          <w:tcPr>
            <w:tcW w:w="5120" w:type="dxa"/>
            <w:vAlign w:val="bottom"/>
          </w:tcPr>
          <w:p>
            <w:pPr>
              <w:ind w:left="200"/>
              <w:spacing w:after="0"/>
              <w:rPr>
                <w:sz w:val="20"/>
                <w:szCs w:val="20"/>
                <w:color w:val="auto"/>
              </w:rPr>
            </w:pPr>
            <w:r>
              <w:rPr>
                <w:rFonts w:ascii="Arial" w:cs="Arial" w:eastAsia="Arial" w:hAnsi="Arial"/>
                <w:sz w:val="16"/>
                <w:szCs w:val="16"/>
                <w:color w:val="auto"/>
              </w:rPr>
              <w:t>Independent broker quotations</w:t>
            </w:r>
          </w:p>
        </w:tc>
        <w:tc>
          <w:tcPr>
            <w:tcW w:w="5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Significant unobservable inputs</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76.9</w:t>
            </w:r>
          </w:p>
        </w:tc>
      </w:tr>
      <w:tr>
        <w:trPr>
          <w:trHeight w:val="217"/>
        </w:trPr>
        <w:tc>
          <w:tcPr>
            <w:tcW w:w="5120" w:type="dxa"/>
            <w:vAlign w:val="bottom"/>
          </w:tcPr>
          <w:p>
            <w:pPr>
              <w:ind w:left="40"/>
              <w:spacing w:after="0"/>
              <w:rPr>
                <w:sz w:val="20"/>
                <w:szCs w:val="20"/>
                <w:color w:val="auto"/>
              </w:rPr>
            </w:pPr>
            <w:r>
              <w:rPr>
                <w:rFonts w:ascii="Arial" w:cs="Arial" w:eastAsia="Arial" w:hAnsi="Arial"/>
                <w:sz w:val="16"/>
                <w:szCs w:val="16"/>
                <w:color w:val="auto"/>
              </w:rPr>
              <w:t>Total estimated fair value</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63,178</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the fixed maturity securities and equity securities AFS fair value hierarchy.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fair value pricing sources for and significant changes in Level 3 securities at March 31, 2018 are as follows:</w:t>
      </w:r>
    </w:p>
    <w:p>
      <w:pPr>
        <w:spacing w:after="0" w:line="117" w:lineRule="exact"/>
        <w:rPr>
          <w:sz w:val="20"/>
          <w:szCs w:val="20"/>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majority of the Level 3 fixed maturity securities AFS and equity securities were concentrated in three sectors: U.S. and foreign corporate securities and residential mortgage-backed securities (“RMBS”).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 fixed maturity securities are priced principally through market standard valuation methodologies, independent pricing services and, to a much lesser extent, independent non-binding broker quotations using inputs that are not market observable or cannot be derived principally from or corroborated by observable market data. Level 3 fixed maturity securities consist of less liquid securities with very limited trading activity or where less price transparency exists around the inputs to the valuation methodologies.</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the three months ended March 31, 2018, Level 3 fixed maturity securities decreased by $120 million, or 4%. The decrease was driven by net transfers out of Level 3.</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a rollforward of the fair value measurements for fixed maturity securities and equity securities AFS measured at estimated fair value on a recurring basis using significant unobservable (Level 3) inputs; transfers into and/or out of Level 3; and further information about the valuation techniques and inputs by level by major classes of invested assets that affect the amounts reported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fixed maturity securities AFS by sector, contractual maturities and continuous gross unrealized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See “Management’s Discussion and Analysis of Financial Condition and Results of Operations — Investments — Fixed Maturity and Equity Securities AFS — Fixed Maturity Securities Credit Quality — Ratings” included in the 2017 Annual Report for a discussion of the credit quality ratings assigned by Nationally Recognized Statistical Rating Organizations (“NRSRO”), credit quality designations assigned by and methodologies used by the Securities Valuation Office of the NAIC for fixed maturity securities and the revised methodologies adopted by the NAIC for certain structured securities.</w:t>
      </w:r>
    </w:p>
    <w:p>
      <w:pPr>
        <w:spacing w:after="0" w:line="46"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March 31, 2018</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December 31, 2017</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Estimated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Estimated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rPr>
              <w:t>NAIC</w:t>
            </w: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Fair</w:t>
            </w:r>
          </w:p>
        </w:tc>
        <w:tc>
          <w:tcPr>
            <w:tcW w:w="94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Amortized</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Fair</w:t>
            </w:r>
          </w:p>
        </w:tc>
        <w:tc>
          <w:tcPr>
            <w:tcW w:w="940" w:type="dxa"/>
            <w:vAlign w:val="bottom"/>
          </w:tcPr>
          <w:p>
            <w:pPr>
              <w:jc w:val="right"/>
              <w:ind w:right="270"/>
              <w:spacing w:after="0" w:line="135"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4"/>
        </w:trPr>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Designation</w:t>
            </w:r>
          </w:p>
        </w:tc>
        <w:tc>
          <w:tcPr>
            <w:tcW w:w="2520" w:type="dxa"/>
            <w:vAlign w:val="bottom"/>
            <w:gridSpan w:val="2"/>
          </w:tcPr>
          <w:p>
            <w:pPr>
              <w:ind w:left="780"/>
              <w:spacing w:after="0"/>
              <w:rPr>
                <w:sz w:val="20"/>
                <w:szCs w:val="20"/>
                <w:color w:val="auto"/>
              </w:rPr>
            </w:pPr>
            <w:r>
              <w:rPr>
                <w:rFonts w:ascii="Arial" w:cs="Arial" w:eastAsia="Arial" w:hAnsi="Arial"/>
                <w:sz w:val="13"/>
                <w:szCs w:val="13"/>
                <w:b w:val="1"/>
                <w:bCs w:val="1"/>
                <w:color w:val="auto"/>
              </w:rPr>
              <w:t>NRSRO Rating</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Gain (Loss)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94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Gain (Loss)</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Value</w:t>
            </w:r>
          </w:p>
        </w:tc>
        <w:tc>
          <w:tcPr>
            <w:tcW w:w="940" w:type="dxa"/>
            <w:vAlign w:val="bottom"/>
          </w:tcPr>
          <w:p>
            <w:pPr>
              <w:jc w:val="right"/>
              <w:ind w:right="2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shd w:val="clear" w:color="auto" w:fill="CCEEFF"/>
          </w:tcPr>
          <w:p>
            <w:pPr>
              <w:spacing w:after="0"/>
              <w:rPr>
                <w:sz w:val="17"/>
                <w:szCs w:val="17"/>
                <w:color w:val="auto"/>
              </w:rPr>
            </w:pPr>
          </w:p>
        </w:tc>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Aaa/Aa/A</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41,316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43,745</w:t>
            </w: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42,098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3,631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45,729</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80"/>
        </w:trPr>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2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Baa</w:t>
            </w: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15,801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16,504</w:t>
            </w:r>
          </w:p>
        </w:tc>
        <w:tc>
          <w:tcPr>
            <w:tcW w:w="1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15,137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1,113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16,250</w:t>
            </w:r>
          </w:p>
        </w:tc>
        <w:tc>
          <w:tcPr>
            <w:tcW w:w="120" w:type="dxa"/>
            <w:vAlign w:val="bottom"/>
          </w:tcPr>
          <w:p>
            <w:pPr>
              <w:spacing w:after="0"/>
              <w:rPr>
                <w:sz w:val="16"/>
                <w:szCs w:val="16"/>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74"/>
        </w:trPr>
        <w:tc>
          <w:tcPr>
            <w:tcW w:w="8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520" w:type="dxa"/>
            <w:vAlign w:val="bottom"/>
            <w:tcBorders>
              <w:bottom w:val="single" w:sz="8" w:color="CCEEFF"/>
            </w:tcBorders>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4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Subtotal investment grade</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57,117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60,249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57,235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61,979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91"/>
        </w:trPr>
        <w:tc>
          <w:tcPr>
            <w:tcW w:w="82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6"/>
                <w:szCs w:val="16"/>
                <w:color w:val="auto"/>
              </w:rPr>
            </w:pPr>
          </w:p>
        </w:tc>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Ba</w:t>
            </w: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2,067</w:t>
            </w:r>
          </w:p>
        </w:tc>
        <w:tc>
          <w:tcPr>
            <w:tcW w:w="1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16"/>
                <w:szCs w:val="16"/>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shd w:val="clear" w:color="auto" w:fill="CCEEFF"/>
          </w:tcPr>
          <w:p>
            <w:pPr>
              <w:spacing w:after="0"/>
              <w:rPr>
                <w:sz w:val="17"/>
                <w:szCs w:val="17"/>
                <w:color w:val="auto"/>
              </w:rPr>
            </w:pPr>
          </w:p>
        </w:tc>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6"/>
                <w:szCs w:val="16"/>
                <w:color w:val="auto"/>
              </w:rPr>
            </w:pPr>
          </w:p>
        </w:tc>
        <w:tc>
          <w:tcPr>
            <w:tcW w:w="2520" w:type="dxa"/>
            <w:vAlign w:val="bottom"/>
            <w:gridSpan w:val="2"/>
            <w:vMerge w:val="restart"/>
          </w:tcPr>
          <w:p>
            <w:pPr>
              <w:ind w:left="20"/>
              <w:spacing w:after="0"/>
              <w:rPr>
                <w:sz w:val="20"/>
                <w:szCs w:val="20"/>
                <w:color w:val="auto"/>
              </w:rPr>
            </w:pPr>
            <w:r>
              <w:rPr>
                <w:rFonts w:ascii="Arial" w:cs="Arial" w:eastAsia="Arial" w:hAnsi="Arial"/>
                <w:sz w:val="14"/>
                <w:szCs w:val="14"/>
                <w:color w:val="auto"/>
              </w:rPr>
              <w:t>Caa and lower</w:t>
            </w: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shd w:val="clear" w:color="auto" w:fill="CCEEFF"/>
          </w:tcPr>
          <w:p>
            <w:pPr>
              <w:spacing w:after="0"/>
              <w:rPr>
                <w:sz w:val="17"/>
                <w:szCs w:val="17"/>
                <w:color w:val="auto"/>
              </w:rPr>
            </w:pPr>
          </w:p>
        </w:tc>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or near default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4"/>
          </w:tcPr>
          <w:p>
            <w:pPr>
              <w:jc w:val="right"/>
              <w:ind w:right="1380"/>
              <w:spacing w:after="0"/>
              <w:rPr>
                <w:sz w:val="20"/>
                <w:szCs w:val="20"/>
                <w:color w:val="auto"/>
              </w:rPr>
            </w:pPr>
            <w:r>
              <w:rPr>
                <w:rFonts w:ascii="Arial" w:cs="Arial" w:eastAsia="Arial" w:hAnsi="Arial"/>
                <w:sz w:val="14"/>
                <w:szCs w:val="14"/>
                <w:color w:val="auto"/>
              </w:rPr>
              <w:t>Subtotal below investment grade</w:t>
            </w: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2,912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2,929</w:t>
            </w:r>
          </w:p>
        </w:tc>
        <w:tc>
          <w:tcPr>
            <w:tcW w:w="1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2,938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3,012</w:t>
            </w:r>
          </w:p>
        </w:tc>
        <w:tc>
          <w:tcPr>
            <w:tcW w:w="1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gridSpan w:val="4"/>
            <w:shd w:val="clear" w:color="auto" w:fill="CCEEFF"/>
          </w:tcPr>
          <w:p>
            <w:pPr>
              <w:jc w:val="right"/>
              <w:ind w:right="13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60,029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63,178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60,173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64,991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12"/>
          </w:tcPr>
          <w:p>
            <w:pPr>
              <w:jc w:val="center"/>
              <w:ind w:left="58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Aaa/Aa/A</w:t>
            </w:r>
          </w:p>
        </w:tc>
        <w:tc>
          <w:tcPr>
            <w:tcW w:w="26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Baa</w:t>
            </w:r>
          </w:p>
        </w:tc>
        <w:tc>
          <w:tcPr>
            <w:tcW w:w="280" w:type="dxa"/>
            <w:vAlign w:val="bottom"/>
          </w:tcPr>
          <w:p>
            <w:pPr>
              <w:spacing w:after="0"/>
              <w:rPr>
                <w:sz w:val="13"/>
                <w:szCs w:val="13"/>
                <w:color w:val="auto"/>
              </w:rPr>
            </w:pPr>
          </w:p>
        </w:tc>
        <w:tc>
          <w:tcPr>
            <w:tcW w:w="7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B</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Caa and</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In or Near</w:t>
            </w:r>
          </w:p>
        </w:tc>
        <w:tc>
          <w:tcPr>
            <w:tcW w:w="160" w:type="dxa"/>
            <w:vAlign w:val="bottom"/>
          </w:tcPr>
          <w:p>
            <w:pPr>
              <w:spacing w:after="0"/>
              <w:rPr>
                <w:sz w:val="13"/>
                <w:szCs w:val="13"/>
                <w:color w:val="auto"/>
              </w:rPr>
            </w:pPr>
          </w:p>
        </w:tc>
        <w:tc>
          <w:tcPr>
            <w:tcW w:w="90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3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Lower</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Default</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10,226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10,858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1,401</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23,252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13,958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7,787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7,915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6,916</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7"/>
        </w:trPr>
        <w:tc>
          <w:tcPr>
            <w:tcW w:w="338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43,745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16,504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63,178</w:t>
            </w:r>
          </w:p>
        </w:tc>
        <w:tc>
          <w:tcPr>
            <w:tcW w:w="0" w:type="dxa"/>
            <w:vAlign w:val="bottom"/>
          </w:tcPr>
          <w:p>
            <w:pPr>
              <w:spacing w:after="0"/>
              <w:rPr>
                <w:sz w:val="1"/>
                <w:szCs w:val="1"/>
                <w:color w:val="auto"/>
              </w:rPr>
            </w:pPr>
          </w:p>
        </w:tc>
      </w:tr>
      <w:tr>
        <w:trPr>
          <w:trHeight w:val="73"/>
        </w:trPr>
        <w:tc>
          <w:tcPr>
            <w:tcW w:w="3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0"/>
              <w:spacing w:after="0" w:line="177" w:lineRule="exact"/>
              <w:rPr>
                <w:sz w:val="20"/>
                <w:szCs w:val="20"/>
                <w:color w:val="auto"/>
              </w:rPr>
            </w:pPr>
            <w:r>
              <w:rPr>
                <w:rFonts w:ascii="Arial" w:cs="Arial" w:eastAsia="Arial" w:hAnsi="Arial"/>
                <w:sz w:val="16"/>
                <w:szCs w:val="16"/>
                <w:color w:val="auto"/>
              </w:rPr>
              <w:t>Percentage of total</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1,408</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22,957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16,292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4,657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4,181</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2,165</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64,991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Percentage of total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both March 31, 2018 and December 31, 2017. The tables below present our U.S. and foreign corporate securities holdings by industry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2018</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3"/>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3"/>
          </w:tcPr>
          <w:p>
            <w:pPr>
              <w:jc w:val="center"/>
              <w:ind w:right="1000"/>
              <w:spacing w:after="0" w:line="153" w:lineRule="exact"/>
              <w:rPr>
                <w:sz w:val="20"/>
                <w:szCs w:val="20"/>
                <w:color w:val="auto"/>
              </w:rPr>
            </w:pPr>
            <w:r>
              <w:rPr>
                <w:rFonts w:ascii="Arial" w:cs="Arial" w:eastAsia="Arial" w:hAnsi="Arial"/>
                <w:sz w:val="14"/>
                <w:szCs w:val="14"/>
                <w:b w:val="1"/>
                <w:bCs w:val="1"/>
                <w:color w:val="auto"/>
                <w:w w:val="95"/>
              </w:rPr>
              <w:t>Estimated</w:t>
            </w: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2000" w:type="dxa"/>
            <w:vAlign w:val="bottom"/>
            <w:gridSpan w:val="3"/>
          </w:tcPr>
          <w:p>
            <w:pPr>
              <w:jc w:val="center"/>
              <w:ind w:right="1020"/>
              <w:spacing w:after="0" w:line="153" w:lineRule="exact"/>
              <w:rPr>
                <w:sz w:val="20"/>
                <w:szCs w:val="20"/>
                <w:color w:val="auto"/>
              </w:rPr>
            </w:pPr>
            <w:r>
              <w:rPr>
                <w:rFonts w:ascii="Arial" w:cs="Arial" w:eastAsia="Arial" w:hAnsi="Arial"/>
                <w:sz w:val="14"/>
                <w:szCs w:val="14"/>
                <w:b w:val="1"/>
                <w:bCs w:val="1"/>
                <w:color w:val="auto"/>
                <w:w w:val="92"/>
              </w:rPr>
              <w:t>Estimated</w:t>
            </w:r>
          </w:p>
        </w:tc>
        <w:tc>
          <w:tcPr>
            <w:tcW w:w="1020" w:type="dxa"/>
            <w:vAlign w:val="bottom"/>
            <w:vMerge w:val="restart"/>
          </w:tcPr>
          <w:p>
            <w:pPr>
              <w:jc w:val="right"/>
              <w:ind w:right="581"/>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rPr>
              <w:t>Fair</w:t>
            </w: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rPr>
              <w:t>Fair</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96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80" w:type="dxa"/>
            <w:vAlign w:val="bottom"/>
            <w:gridSpan w:val="6"/>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Industrial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9,448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9,459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6"/>
                <w:szCs w:val="16"/>
                <w:color w:val="auto"/>
              </w:rPr>
              <w:t>Consumer</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7,213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7,213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Finance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6"/>
                <w:szCs w:val="16"/>
                <w:color w:val="auto"/>
              </w:rPr>
              <w:t>Utility</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2,338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30,168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29,980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We held $13.7 billion and $13.2 billion of structured securities, at estimated fair value, at March 31, 2018 and December 31, 2017, respectively, as presented in the RMBS, commercial mortgage-backed securities (“CMBS”) and asset-backed securities (“ABS”) sections below.</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RMBS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8"/>
              </w:rPr>
              <w:t>March 31, 2018</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Estimated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Estimated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5"/>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type: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4,473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4,623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Pass-through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3,442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24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7,915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73"/>
        </w:trPr>
        <w:tc>
          <w:tcPr>
            <w:tcW w:w="42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By risk profile: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2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5,498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5,439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Prime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424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7,915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73"/>
        </w:trPr>
        <w:tc>
          <w:tcPr>
            <w:tcW w:w="42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2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Rated Aaa/AAA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5,575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5,553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7,787</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7,830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Historically, we have managed our exposure to sub-prime RMBS holdings by focusing primarily on senior tranche securities, stress 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$935 million and $976 million at March 31, 2018 and December 31, 2017,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respectively, with unrealized gains (losses) of $65 million and $65 million at March 31, 2018 and December 31, 2017,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CMBS holdings are diversified by vintage year. The following tables present our CMBS holdings by rating agency rating and by vintage year at: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March 31, 2018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560"/>
              <w:spacing w:after="0"/>
              <w:rPr>
                <w:sz w:val="20"/>
                <w:szCs w:val="20"/>
                <w:color w:val="auto"/>
              </w:rPr>
            </w:pPr>
            <w:r>
              <w:rPr>
                <w:rFonts w:ascii="Arial" w:cs="Arial" w:eastAsia="Arial" w:hAnsi="Arial"/>
                <w:sz w:val="11"/>
                <w:szCs w:val="11"/>
                <w:b w:val="1"/>
                <w:bCs w:val="1"/>
                <w:color w:val="auto"/>
                <w:w w:val="92"/>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440"/>
              <w:spacing w:after="0" w:line="122" w:lineRule="exact"/>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8"/>
              </w:rPr>
              <w:t>Aaa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9"/>
              </w:rPr>
              <w:t>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8"/>
              </w:rPr>
              <w:t>Baa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540"/>
              <w:spacing w:after="0"/>
              <w:rPr>
                <w:sz w:val="20"/>
                <w:szCs w:val="20"/>
                <w:color w:val="auto"/>
              </w:rPr>
            </w:pPr>
            <w:r>
              <w:rPr>
                <w:rFonts w:ascii="Arial" w:cs="Arial" w:eastAsia="Arial" w:hAnsi="Arial"/>
                <w:sz w:val="11"/>
                <w:szCs w:val="11"/>
                <w:b w:val="1"/>
                <w:bCs w:val="1"/>
                <w:color w:val="auto"/>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3"/>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20"/>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520" w:type="dxa"/>
            <w:vAlign w:val="bottom"/>
          </w:tcPr>
          <w:p>
            <w:pPr>
              <w:jc w:val="center"/>
              <w:ind w:left="226"/>
              <w:spacing w:after="0"/>
              <w:rPr>
                <w:sz w:val="20"/>
                <w:szCs w:val="20"/>
                <w:color w:val="auto"/>
              </w:rPr>
            </w:pPr>
            <w:r>
              <w:rPr>
                <w:rFonts w:ascii="Arial" w:cs="Arial" w:eastAsia="Arial" w:hAnsi="Arial"/>
                <w:sz w:val="11"/>
                <w:szCs w:val="11"/>
                <w:b w:val="1"/>
                <w:bCs w:val="1"/>
                <w:color w:val="auto"/>
                <w:w w:val="81"/>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2003 — 2010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864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1,074</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2016</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2017</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357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2018</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2,702</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2,673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853</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844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322</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319</w:t>
            </w:r>
          </w:p>
        </w:tc>
        <w:tc>
          <w:tcPr>
            <w:tcW w:w="620" w:type="dxa"/>
            <w:vAlign w:val="bottom"/>
            <w:gridSpan w:val="2"/>
            <w:vMerge w:val="restart"/>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3,879</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3,840</w:t>
            </w: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Ratings Distribution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December 31, 2017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560"/>
              <w:spacing w:after="0"/>
              <w:rPr>
                <w:sz w:val="20"/>
                <w:szCs w:val="20"/>
                <w:color w:val="auto"/>
              </w:rPr>
            </w:pPr>
            <w:r>
              <w:rPr>
                <w:rFonts w:ascii="Arial" w:cs="Arial" w:eastAsia="Arial" w:hAnsi="Arial"/>
                <w:sz w:val="11"/>
                <w:szCs w:val="11"/>
                <w:b w:val="1"/>
                <w:bCs w:val="1"/>
                <w:color w:val="auto"/>
                <w:w w:val="92"/>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440"/>
              <w:spacing w:after="0" w:line="122" w:lineRule="exact"/>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8"/>
              </w:rPr>
              <w:t>Aaa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9"/>
              </w:rPr>
              <w:t>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8"/>
              </w:rPr>
              <w:t>Baa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540"/>
              <w:spacing w:after="0"/>
              <w:rPr>
                <w:sz w:val="20"/>
                <w:szCs w:val="20"/>
                <w:color w:val="auto"/>
              </w:rPr>
            </w:pPr>
            <w:r>
              <w:rPr>
                <w:rFonts w:ascii="Arial" w:cs="Arial" w:eastAsia="Arial" w:hAnsi="Arial"/>
                <w:sz w:val="11"/>
                <w:szCs w:val="11"/>
                <w:b w:val="1"/>
                <w:bCs w:val="1"/>
                <w:color w:val="auto"/>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3"/>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9"/>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20"/>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520" w:type="dxa"/>
            <w:vAlign w:val="bottom"/>
          </w:tcPr>
          <w:p>
            <w:pPr>
              <w:jc w:val="center"/>
              <w:ind w:left="226"/>
              <w:spacing w:after="0"/>
              <w:rPr>
                <w:sz w:val="20"/>
                <w:szCs w:val="20"/>
                <w:color w:val="auto"/>
              </w:rPr>
            </w:pPr>
            <w:r>
              <w:rPr>
                <w:rFonts w:ascii="Arial" w:cs="Arial" w:eastAsia="Arial" w:hAnsi="Arial"/>
                <w:sz w:val="11"/>
                <w:szCs w:val="11"/>
                <w:b w:val="1"/>
                <w:bCs w:val="1"/>
                <w:color w:val="auto"/>
                <w:w w:val="81"/>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2003 — 2010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1,064</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2016</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40"/>
              <w:spacing w:after="0"/>
              <w:rPr>
                <w:sz w:val="20"/>
                <w:szCs w:val="20"/>
                <w:color w:val="auto"/>
              </w:rPr>
            </w:pPr>
            <w:r>
              <w:rPr>
                <w:rFonts w:ascii="Arial" w:cs="Arial" w:eastAsia="Arial" w:hAnsi="Arial"/>
                <w:sz w:val="13"/>
                <w:szCs w:val="13"/>
                <w:color w:val="auto"/>
              </w:rPr>
              <w:t>2017</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91"/>
        </w:trPr>
        <w:tc>
          <w:tcPr>
            <w:tcW w:w="12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2,251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838</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844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323</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3,386</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3,423</w:t>
            </w:r>
          </w:p>
        </w:tc>
        <w:tc>
          <w:tcPr>
            <w:tcW w:w="0" w:type="dxa"/>
            <w:vAlign w:val="bottom"/>
          </w:tcPr>
          <w:p>
            <w:pPr>
              <w:spacing w:after="0"/>
              <w:rPr>
                <w:sz w:val="1"/>
                <w:szCs w:val="1"/>
                <w:color w:val="auto"/>
              </w:rPr>
            </w:pPr>
          </w:p>
        </w:tc>
      </w:tr>
      <w:tr>
        <w:trPr>
          <w:trHeight w:val="77"/>
        </w:trPr>
        <w:tc>
          <w:tcPr>
            <w:tcW w:w="12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60" w:type="dxa"/>
            <w:vAlign w:val="bottom"/>
          </w:tcPr>
          <w:p>
            <w:pPr>
              <w:ind w:left="40"/>
              <w:spacing w:after="0"/>
              <w:rPr>
                <w:sz w:val="20"/>
                <w:szCs w:val="20"/>
                <w:color w:val="auto"/>
              </w:rPr>
            </w:pPr>
            <w:r>
              <w:rPr>
                <w:rFonts w:ascii="Arial" w:cs="Arial" w:eastAsia="Arial" w:hAnsi="Arial"/>
                <w:sz w:val="13"/>
                <w:szCs w:val="13"/>
                <w:color w:val="auto"/>
              </w:rPr>
              <w:t>Ratings Distribution</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tables above reflect rating agency ratings assigned by NRSROs, including Moody’s Investors Service (“Moody’s”), Standard &amp; Poor’s Global Rating (“S&amp;P”), Fitch Ratings (“Fitch”) and Morningstar. CMBS designated NAIC 1 were 100.0% of total CMBS at both March 31, 2018 and December 31,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ABS are diversified both by collateral type and by issuer. The following table presents our ABS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March 31, 2018</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Estimated</w:t>
            </w:r>
          </w:p>
        </w:tc>
        <w:tc>
          <w:tcPr>
            <w:tcW w:w="10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4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Estimated</w:t>
            </w: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1280" w:type="dxa"/>
            <w:vAlign w:val="bottom"/>
          </w:tcPr>
          <w:p>
            <w:pPr>
              <w:jc w:val="center"/>
              <w:ind w:right="222"/>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w:t>
            </w: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w:t>
            </w: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Gains (Losses)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40"/>
              <w:spacing w:after="0"/>
              <w:rPr>
                <w:sz w:val="20"/>
                <w:szCs w:val="20"/>
                <w:color w:val="auto"/>
              </w:rPr>
            </w:pPr>
            <w:r>
              <w:rPr>
                <w:rFonts w:ascii="Arial" w:cs="Arial" w:eastAsia="Arial" w:hAnsi="Arial"/>
                <w:sz w:val="16"/>
                <w:szCs w:val="16"/>
                <w:color w:val="auto"/>
              </w:rPr>
              <w:t>By collateral type: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Collateralized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Consumer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Automobile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Student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Credit card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Other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Ratings profile: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Rated Aaa/AAA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Designated NAIC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Fixed Maturity Securities AFS for OTTI and Evaluating Temporarily Impaired Fixed Maturity Securities AFS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the evaluation of fixed maturity securities and equity securities AFS for OTTI and evaluation of temporarily impaired AFS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OTTI Losses on Fixed Maturity Securities AFS Recognized in Earnings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OTTI losses and gross gains and gross losses on AFS securities sold.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Overview of Fixed Maturity Security OTTI Losses Recognized in Earnings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of fixed maturity securities for both the three months ended March 31, 2018 and 2017.</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Future Impairments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Future OTTI will depend primarily on economic fundamentals, issuer performance (including changes in the present value of future cash flows expected to be collected), and changes in credit ratings, collateral valuation, interest rates and credit spreads, as well as a change in our intention to hold or sell a security that is in an unrealized loss position. If economic fundamentals deteriorate or if there are adverse changes in the above factors, OTTI may be incurred in upcoming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 Liquidity and Capital Resources — The Company — Liquidity and Capital Uses — Securities Lending” and Note 4 of the Notes to the Interim Condensed Consolidated and Combined Financial Statements for information regarding our securities lending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Mortgage loans and the related valuation allowances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March 31, 2018</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December 31, 2017</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Valuation</w:t>
            </w:r>
          </w:p>
        </w:tc>
        <w:tc>
          <w:tcPr>
            <w:tcW w:w="12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Valuation</w:t>
            </w:r>
          </w:p>
        </w:tc>
        <w:tc>
          <w:tcPr>
            <w:tcW w:w="1180" w:type="dxa"/>
            <w:vAlign w:val="bottom"/>
          </w:tcPr>
          <w:p>
            <w:pPr>
              <w:jc w:val="center"/>
              <w:ind w:left="4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Allowance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5"/>
              </w:rPr>
              <w:t>Allowance</w:t>
            </w:r>
          </w:p>
        </w:tc>
        <w:tc>
          <w:tcPr>
            <w:tcW w:w="118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7,629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7,260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36</w:t>
            </w: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20"/>
                <w:szCs w:val="20"/>
                <w:color w:val="auto"/>
              </w:rPr>
            </w:pPr>
          </w:p>
        </w:tc>
        <w:tc>
          <w:tcPr>
            <w:tcW w:w="1080" w:type="dxa"/>
            <w:vAlign w:val="bottom"/>
          </w:tcPr>
          <w:p>
            <w:pPr>
              <w:jc w:val="right"/>
              <w:ind w:right="83"/>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20"/>
                <w:szCs w:val="20"/>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10,674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tables herein exclude mortgage loans where we elected the fair value option (“FVO”). Such amounts are presented in Note 4 of the Notes to the Interim Condensed Consolidated and Combined Financial Statements.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diversify our mortgage loan portfolio by both geographic region and property type to reduce the risk of concentration. Of our commercial and agricultural mortgage loan portfolios, at both March 31, 2018 and December 31, 2017, 97% were collateralized by properties located in the U.S. and the remainder was collateralized by properties located outside of the U.S. The carrying value as a percentage of total commercial and agricultural mortgage loans for the top three states in the U.S. is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19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March 31, 2018</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State</w:t>
            </w: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60"/>
        </w:trPr>
        <w:tc>
          <w:tcPr>
            <w:tcW w:w="6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200" w:type="dxa"/>
            <w:vAlign w:val="bottom"/>
            <w:gridSpan w:val="2"/>
          </w:tcPr>
          <w:p>
            <w:pPr>
              <w:ind w:left="40"/>
              <w:spacing w:after="0"/>
              <w:rPr>
                <w:sz w:val="20"/>
                <w:szCs w:val="20"/>
                <w:color w:val="auto"/>
              </w:rPr>
            </w:pPr>
            <w:r>
              <w:rPr>
                <w:rFonts w:ascii="Arial" w:cs="Arial" w:eastAsia="Arial" w:hAnsi="Arial"/>
                <w:sz w:val="16"/>
                <w:szCs w:val="16"/>
                <w:color w:val="auto"/>
              </w:rPr>
              <w:t>New York</w:t>
            </w: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6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our residential mortgage loan portfolio in a similar manner to reduce risk of concentration. All residential mortgage loans were collateralized by properties located in the U.S. at both March 31, 2018 and December 31, 2017. The carrying value as a percentage of total residential mortgage loans for the top three states in the U.S. is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19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March 31, 2018</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State</w:t>
            </w: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60"/>
        </w:trPr>
        <w:tc>
          <w:tcPr>
            <w:tcW w:w="6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820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tables below present the diversification across geographic regions and property types of commercial mortgage loans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March 31, 2018</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300" w:type="dxa"/>
            <w:vAlign w:val="bottom"/>
          </w:tcPr>
          <w:p>
            <w:pPr>
              <w:jc w:val="right"/>
              <w:ind w:right="42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20" w:type="dxa"/>
            <w:vAlign w:val="bottom"/>
          </w:tcPr>
          <w:p>
            <w:pPr>
              <w:ind w:left="40"/>
              <w:spacing w:after="0"/>
              <w:rPr>
                <w:sz w:val="20"/>
                <w:szCs w:val="20"/>
                <w:color w:val="auto"/>
              </w:rPr>
            </w:pPr>
            <w:r>
              <w:rPr>
                <w:rFonts w:ascii="Arial" w:cs="Arial" w:eastAsia="Arial" w:hAnsi="Arial"/>
                <w:sz w:val="16"/>
                <w:szCs w:val="16"/>
                <w:b w:val="1"/>
                <w:bCs w:val="1"/>
                <w:color w:val="auto"/>
              </w:rPr>
              <w:t>Region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Pacific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Middle Atlantic</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1,699</w:t>
            </w:r>
          </w:p>
        </w:tc>
        <w:tc>
          <w:tcPr>
            <w:tcW w:w="1400" w:type="dxa"/>
            <w:vAlign w:val="bottom"/>
            <w:gridSpan w:val="2"/>
          </w:tcPr>
          <w:p>
            <w:pPr>
              <w:jc w:val="right"/>
              <w:ind w:right="83"/>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 Atlantic</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1,190</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West South Central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777</w:t>
            </w:r>
          </w:p>
        </w:tc>
        <w:tc>
          <w:tcPr>
            <w:tcW w:w="1400" w:type="dxa"/>
            <w:vAlign w:val="bottom"/>
            <w:gridSpan w:val="2"/>
          </w:tcPr>
          <w:p>
            <w:pPr>
              <w:jc w:val="right"/>
              <w:ind w:right="83"/>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North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Mountain</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266</w:t>
            </w:r>
          </w:p>
        </w:tc>
        <w:tc>
          <w:tcPr>
            <w:tcW w:w="1400" w:type="dxa"/>
            <w:vAlign w:val="bottom"/>
            <w:gridSpan w:val="2"/>
          </w:tcPr>
          <w:p>
            <w:pPr>
              <w:jc w:val="right"/>
              <w:ind w:right="83"/>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New England</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1400" w:type="dxa"/>
            <w:vAlign w:val="bottom"/>
            <w:gridSpan w:val="2"/>
          </w:tcPr>
          <w:p>
            <w:pPr>
              <w:jc w:val="right"/>
              <w:ind w:right="83"/>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North Central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East South Central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400" w:type="dxa"/>
            <w:vAlign w:val="bottom"/>
            <w:gridSpan w:val="2"/>
          </w:tcPr>
          <w:p>
            <w:pPr>
              <w:jc w:val="right"/>
              <w:ind w:right="83"/>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Multi-Region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recorded investment</w:t>
            </w:r>
          </w:p>
        </w:tc>
        <w:tc>
          <w:tcPr>
            <w:tcW w:w="2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7,629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7,260</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valuation allowances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020" w:type="dxa"/>
            <w:vAlign w:val="bottom"/>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7,224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6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Property Type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Office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3,391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3,246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1,933</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Apartment</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968</w:t>
            </w:r>
          </w:p>
        </w:tc>
        <w:tc>
          <w:tcPr>
            <w:tcW w:w="1400" w:type="dxa"/>
            <w:vAlign w:val="bottom"/>
            <w:gridSpan w:val="2"/>
          </w:tcPr>
          <w:p>
            <w:pPr>
              <w:jc w:val="right"/>
              <w:ind w:right="83"/>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Hotel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683</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385</w:t>
            </w:r>
          </w:p>
        </w:tc>
        <w:tc>
          <w:tcPr>
            <w:tcW w:w="1400" w:type="dxa"/>
            <w:vAlign w:val="bottom"/>
            <w:gridSpan w:val="2"/>
          </w:tcPr>
          <w:p>
            <w:pPr>
              <w:jc w:val="right"/>
              <w:ind w:right="8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40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recorded investment</w:t>
            </w:r>
          </w:p>
        </w:tc>
        <w:tc>
          <w:tcPr>
            <w:tcW w:w="2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7,629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7,260</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valuation allowances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020" w:type="dxa"/>
            <w:vAlign w:val="bottom"/>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7,224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Mortgage Loan Credit Quality — Monitoring Process</w:t>
      </w:r>
      <w:r>
        <w:rPr>
          <w:rFonts w:ascii="Arial" w:cs="Arial" w:eastAsia="Arial" w:hAnsi="Arial"/>
          <w:sz w:val="17"/>
          <w:szCs w:val="17"/>
          <w:color w:val="auto"/>
        </w:rPr>
        <w:t>. We monitor our mortgage loan investments on an ongoing basis, including a review of loans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current, past due, restructured and under foreclosure. See Note 4 of the Notes to the Interim Condensed Consolidated and Combined Financial Statements for information on mortgage loans by credit quality indicator, past due and nonaccrual mortgage loans, as well as impaired mortgage loans.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review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6 of the Notes to the Consolidated and Combined Financial Statements included in the 2017 Annual Report for information on our evaluation of residential mortgage loans and related valuation allowance methodology.</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Loan-to-value ratios and debt service coverage ratios are common measures in the assessment of the quality of commercial mortgage loans. Loan-to-value ratios are a common measure in the assessment of the quality of agricultural mortgage loans.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 service coverage ratio compares a property’s net operating income to amounts needed to service the principal and interest due under the loan. Generally, the lower the debt service coverage ratio, the higher the risk of experiencing a credit loss. For our commercial mortgage loans, our average loan-to-value ratio was 51% at both March 31, 2018 and December 31, 2017, and our average debt service coverage ratio was 2.3x at both March 31, 2018 and December 31, 2017.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45% and 43% at March 31, 2018 and December 31, 2017, respectively. The values utilized in calculating the agricultural mortgage loan loan-to-value ratio are developed in connection with the ongoing review of the agricultural loan portfolio and are routinely updated.</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Mortgage Loan Valuation Allowances</w:t>
      </w:r>
      <w:r>
        <w:rPr>
          <w:rFonts w:ascii="Arial" w:cs="Arial" w:eastAsia="Arial" w:hAnsi="Arial"/>
          <w:sz w:val="18"/>
          <w:szCs w:val="18"/>
          <w:color w:val="auto"/>
        </w:rPr>
        <w:t>. Our valuation allowances are established both on a loan specific basis for those loans considered impaired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specific or market specific risk has been identified that could likely result in a future loss, as well as for pools of loans with similar risk characteristics where a property specific or market specific risk has not been identified, but for which we expect to incur a loss. Accordingly, a valuation allowance is provided to absorb these estimated probable credit losses.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determination of the amount of valuation allowances is based upon our periodic evaluation and assessment of known and inherent risks associated with our loan portfolios. Such evaluations and assessments are based upon several factors, including our experience for loan losses, defaults and loss severity, and loss expectations for loans with similar risk characteristics. These evaluations and assessments are revised as conditions change and new information becomes available, which can cause the valuation allowances to increase or decrease over time as such evaluations are revised. Negative credit migration, including an actual or expected increase in the level of problem loans, will result in an increase in the valuation allowance. Positive credit migration, including an actual or expected decrease in the level of problem loans, will result in a decrease in the valuation allowance.</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Notes 4 and 6 of the Notes to the Interim Condensed Consolidated and Combined Financial Statements for information about how valuation allowances are established and monitored, activity in and balances of the valuation allowance, and the estimated fair value of impaired mortgage loans and related impairments included within net investment gains (losses) at and for the three months ended March 31, 2018 and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Joint Ventures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Real estate joint ventures is comprised of joint ventures with interests in single property income-producing real estate, and to a lesser extent joint ventures with interests in multi-property projects with varying strategies ranging from the development of properties to the operation of income-producing properties, as well as a runoff portfolio of real estate private equity funds.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estimated fair value of the real estate joint venture investment portfolios was $553 million and $594 million at March 31, 2018 and December 31,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Limited Partnership Interests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Other limited partnership interests are comprised of private equity funds and hedge funds. The carrying value of other limited partnership interests was $1.7 billion at both March 31, 2018 and December 31, 2017, which included $104 million of hedge funds at both March 31, 2018 and December 31, 2017. Cash distributions on these investments are generated from investment gains, operating income from the underlying investments of the funds and liquidation of the underlying investments of the funds. We estimate that the underlying investments of the funds will be liquidated over the next two to 10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other invested assets by type at:</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4"/>
              </w:rPr>
              <w:t>March 31, 2018</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December 31, 2017</w:t>
            </w:r>
          </w:p>
        </w:tc>
      </w:tr>
      <w:tr>
        <w:trPr>
          <w:trHeight w:val="220"/>
        </w:trPr>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300" w:type="dxa"/>
            <w:vAlign w:val="bottom"/>
          </w:tcPr>
          <w:p>
            <w:pPr>
              <w:jc w:val="right"/>
              <w:ind w:right="421"/>
              <w:spacing w:after="0"/>
              <w:rPr>
                <w:sz w:val="20"/>
                <w:szCs w:val="20"/>
                <w:color w:val="auto"/>
              </w:rPr>
            </w:pPr>
            <w:r>
              <w:rPr>
                <w:rFonts w:ascii="Arial" w:cs="Arial" w:eastAsia="Arial" w:hAnsi="Arial"/>
                <w:sz w:val="14"/>
                <w:szCs w:val="14"/>
                <w:b w:val="1"/>
                <w:bCs w:val="1"/>
                <w:color w:val="auto"/>
              </w:rPr>
              <w:t>% of</w:t>
            </w:r>
          </w:p>
        </w:tc>
      </w:t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6"/>
              </w:rPr>
              <w:t>Value</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r>
      <w:tr>
        <w:trPr>
          <w:trHeight w:val="250"/>
        </w:trPr>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21"/>
                <w:szCs w:val="21"/>
                <w:color w:val="auto"/>
              </w:rPr>
            </w:pP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4.1</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FHLB Stock (1)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2.6</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r>
      <w:tr>
        <w:trPr>
          <w:trHeight w:val="217"/>
        </w:trPr>
        <w:tc>
          <w:tcPr>
            <w:tcW w:w="596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2,507</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20955</wp:posOffset>
            </wp:positionV>
            <wp:extent cx="34302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-98425</wp:posOffset>
            </wp:positionV>
            <wp:extent cx="3430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reclassified Federal Home Loan Bank (“FHLB”) stock in prior periods from equity securities to other invested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and Combined Financial Statements for:</w:t>
      </w:r>
    </w:p>
    <w:p>
      <w:pPr>
        <w:spacing w:after="0" w:line="7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comprehensive description of the nature of our derivatives, including the strategies for which derivatives are used in managing various risks.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March 31, 2018 and December 31, 2017.</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ended March 31, 2018 and 2017.</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“Business — Segments and Corporate &amp; Other — Annuities”, “Business — Risk Management Strategies — ULSG Market Risk Exposure Management” and “Management’s Discussion and Analysis of Financial Condition and Results of Operations — Results of Operations — Actuarial Assumption Review” included in the 2017 Annual Report for more information about our use of derivatives by major hedge programs.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Derivatives categorized as Level 3 at March 31, 2018 include: credit default swaps priced using unobservable credit spreads, or that are priced through independent broker quotations; equity variance swaps with unobservable volatility inputs; and equity index options with unobservable correlation inputs. The estimated fair value of our derivatives priced through independent broker quotations were less than1% and 1% at March 31, 2018 and December 31, 2017, respectively.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Interim Condensed Consolidated and Combined Financial Statements for a rollforward of the fair value measurements for derivatives measured at estimated fair value on a recurring basis using significant unobservable (Level 3) inputs.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gross notional amount and estimated fair value of credit default swaps at: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4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40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116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Credit Default Swaps</w:t>
            </w:r>
          </w:p>
        </w:tc>
        <w:tc>
          <w:tcPr>
            <w:tcW w:w="3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Notional</w:t>
            </w:r>
          </w:p>
        </w:tc>
        <w:tc>
          <w:tcPr>
            <w:tcW w:w="4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Notional</w:t>
            </w: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160" w:type="dxa"/>
            <w:vAlign w:val="bottom"/>
          </w:tcPr>
          <w:p>
            <w:pPr>
              <w:jc w:val="right"/>
              <w:ind w:right="24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5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Written</w:t>
            </w:r>
          </w:p>
        </w:tc>
        <w:tc>
          <w:tcPr>
            <w:tcW w:w="340" w:type="dxa"/>
            <w:vAlign w:val="bottom"/>
          </w:tcPr>
          <w:p>
            <w:pPr>
              <w:spacing w:after="0"/>
              <w:rPr>
                <w:sz w:val="20"/>
                <w:szCs w:val="20"/>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In addition, given the shorter tenor of the credit default swaps (generally five-year tenors) versus a long-dated corporate bond, we have more flexibility in managing our credit exposures.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information about embedded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a rollforward of the fair value measurements for embedded derivatives measured at estimated fair value on a recurring basis using significant unobservable (Level 3) inputs.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information about the nonperformance risk adjustment included in the valuation of guaranteed minimum benefits accounted for as embedded derivatives.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“Management’s Discussion and Analysis of Financial Condition and Results of Operations — Summary of Critical Accounting Estimates</w:t>
      </w:r>
    </w:p>
    <w:p>
      <w:pPr>
        <w:spacing w:after="0" w:line="35" w:lineRule="exact"/>
        <w:rPr>
          <w:sz w:val="20"/>
          <w:szCs w:val="20"/>
          <w:color w:val="auto"/>
        </w:rPr>
      </w:pPr>
    </w:p>
    <w:p>
      <w:pPr>
        <w:ind w:left="5620" w:right="1080" w:hanging="5616"/>
        <w:spacing w:after="0" w:line="542" w:lineRule="auto"/>
        <w:rPr>
          <w:sz w:val="20"/>
          <w:szCs w:val="20"/>
          <w:color w:val="auto"/>
        </w:rPr>
      </w:pPr>
      <w:r>
        <w:rPr>
          <w:rFonts w:ascii="Arial" w:cs="Arial" w:eastAsia="Arial" w:hAnsi="Arial"/>
          <w:sz w:val="18"/>
          <w:szCs w:val="18"/>
          <w:color w:val="auto"/>
        </w:rPr>
        <w:t>— Derivatives” included in the 2017 Annual Report for further information on the estimates and assumptions that affect embedded derivatives. 87</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Committed Facilities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a senior unsecured revolving credit facility, (the “Revolving Credit Facility”) as well as an unsecured delayed draw term loan agreement with a syndicate of banks (the “Term Loan Facility”). At March 31, 2018, there were no drawdowns under the Revolving Credit Facility and there was $600 million outstanding under the Term Loan Facility, resulting in unused commitments totaling $2.0 billion in comparison to the maximum capacity of $2.6 billion under these facilities. For the classification of expenses on such credit and committed facilities and the nature of the associated liability for letters of credit issued and drawdowns on these credit and committed facilities, see Note 9 of the Notes to the Consolidated and Combined Financial Statements included in the 2017 Annual Report.</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reinsurance subsidiary, BRCD, was formed to manage our capital and risk exposures and to support our various operations, through the use of affiliated reinsurance arrangements and related reserve financing. BRCD has a $10.0 billion reinsurance financing arrangement with a pool of highly rated third-party reinsurers. This financing arrangement consists of credit-linked notes that each have a term of 20 years. At March 31, 2018, there were no drawdowns on such notes and there was $8.9 billion of funding available under this financing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Repurchase Programs and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balance sheets. The amount of this collateral was $42 million and $29 million at estimated fair value at March 31, 2018 and December 31, 2017, respectively. See Note 4 of the Notes to the Interim Condensed Consolidated and Combined Financial Statements, as well as “—Investments — Securities Lending” for discussion of our securities lending program, the classification of revenues and expenses, and the nature of the secured financing arrangement and associated liability.</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balance sheets. The amount of this non-cash collateral was $300 million, and $368 million at March 31, 2018 and December 31, 2017, respectively. See “— Liquidity and Capital Resources — The Company — Liquidity and Capital Uses — Pledged Collateral” and Note 5 of the Notes to the Interim Condensed Consolidated and Combined Financial Statements for information regarding the earned income on and the gross notional amount, estimated fair value of assets and liabilities and primary underlying risk exposure of our derivatives.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10 of the Notes to the Interim Condensed Consolidated and Combined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enter into commitments in the normal course of business for the purpose of enhancing the total return on our investment portfolio: mortgage loan commitments and commitments to fund partnerships, bank credit facilities and private corporate bond investments. See “Net Investment Income” and “Net Investment Gains (Losses)” in Note 4 of the Notes to the Interim Condensed Consolidated and Combined Financial Statements for information on the investment income, investment expense, gains and losses from such investments. See also “— Investments — Fixed Maturity AFS and Equity Securities” and “— Investments — Mortgage Loans” for information on our investments in fixed maturity securities and mortgage loans. See “— Investments — Real Estate Joint Ventures” and “— Investments — Other Limited Partnership Interests” for information on our partnership investments.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the commitments disclosed in Note 10 of the Notes to the Interim Condensed Consolidated and Combined Financial Statements, there are no other material obligations or liabilities arising from the commitments to fund mortgage loans, partnerships,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2017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Results of Operations — Summary of Critical Accounting Estimates” and “Management’s Discussion and Analysis of Financial Condition and Results of Operations — Policyholder Liabilities” included in the 2017 Annual Report. Except as otherwise discussed below, there have been no material changes to our actuarial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establish liabilities for amounts payable under insurance policies. See Note 3 of the Notes to the Interim Condensed Consolidated and Combined Financial Statements. A discussion of future policy benefits by segment (as well as Corporate &amp; Other) can be found in “Management’s Discussion and Analysis of Financial Condition and Results of Operations — Policyholder Liabilities” included in the 2017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(“PABs”) are generally equal to the account value, which includes accrued interest credited, but excludes the impact of any applicable charge that may be incurred upon surrender. See Note 3 of the Notes to the Interim Condensed Consolidated and Combined Financial Statements. A discussion of PABs by segment (as well as Corporate &amp; Other) can be found in “Management’s Discussion and Analysis of Financial Condition and Results of Operations — Policyholder Liabilities” included in the 2017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issue directly and assume from an affiliate through reinsurance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and Combined Financial Statements. See also “Quantitative and Qualitative Disclosures About Market Risk — Market Risk - Fair Value Exposures — Interest Rates” and “Business — Segments and Corporate &amp; Other — Annuities — Current Products — Variable Annuities” included in the 2017 Annual Report for additional information.</w:t>
      </w:r>
    </w:p>
    <w:p>
      <w:pPr>
        <w:spacing w:after="0" w:line="85" w:lineRule="exact"/>
        <w:rPr>
          <w:sz w:val="20"/>
          <w:szCs w:val="20"/>
          <w:color w:val="auto"/>
        </w:rPr>
      </w:pPr>
    </w:p>
    <w:p>
      <w:pPr>
        <w:ind w:right="640" w:firstLine="324"/>
        <w:spacing w:after="0" w:line="375"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amount at risk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NAR for the GMWB and GMAB is the amount of guaranteed benefits in excess of the account values (if any) at the balance sheet date. The NAR assumes utilization of benefits by all contract holders at the balance sheet date. For the GMWB benefits, only a small portion of the Benefit Base is available for withdrawal on an annual basis. For the GMAB, the NAR would not be available until the GMAB maturity date.</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Segments and Corporate &amp; Other — Annuities — Net Amount at Risk” included in the 2017 Annual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 values and NAR of contract owners by type of guaranteed minimum benefit for variable annuity contracts are summarized below at: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 2018 (1)</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2017 (1)</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Account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Death Benefit</w:t>
            </w:r>
          </w:p>
        </w:tc>
        <w:tc>
          <w:tcPr>
            <w:tcW w:w="180" w:type="dxa"/>
            <w:vAlign w:val="bottom"/>
          </w:tcPr>
          <w:p>
            <w:pPr>
              <w:spacing w:after="0"/>
              <w:rPr>
                <w:sz w:val="13"/>
                <w:szCs w:val="13"/>
                <w:color w:val="auto"/>
              </w:rPr>
            </w:pPr>
          </w:p>
        </w:tc>
        <w:tc>
          <w:tcPr>
            <w:tcW w:w="72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Living</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 of Account Value</w:t>
            </w:r>
          </w:p>
        </w:tc>
        <w:tc>
          <w:tcPr>
            <w:tcW w:w="160" w:type="dxa"/>
            <w:vAlign w:val="bottom"/>
          </w:tcPr>
          <w:p>
            <w:pPr>
              <w:spacing w:after="0"/>
              <w:rPr>
                <w:sz w:val="13"/>
                <w:szCs w:val="13"/>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Account</w:t>
            </w:r>
          </w:p>
        </w:tc>
        <w:tc>
          <w:tcPr>
            <w:tcW w:w="180" w:type="dxa"/>
            <w:vAlign w:val="bottom"/>
          </w:tcPr>
          <w:p>
            <w:pPr>
              <w:spacing w:after="0"/>
              <w:rPr>
                <w:sz w:val="13"/>
                <w:szCs w:val="13"/>
                <w:color w:val="auto"/>
              </w:rPr>
            </w:pPr>
          </w:p>
        </w:tc>
        <w:tc>
          <w:tcPr>
            <w:tcW w:w="8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Death</w:t>
            </w:r>
          </w:p>
        </w:tc>
        <w:tc>
          <w:tcPr>
            <w:tcW w:w="180" w:type="dxa"/>
            <w:vAlign w:val="bottom"/>
          </w:tcPr>
          <w:p>
            <w:pPr>
              <w:spacing w:after="0"/>
              <w:rPr>
                <w:sz w:val="13"/>
                <w:szCs w:val="13"/>
                <w:color w:val="auto"/>
              </w:rPr>
            </w:pPr>
          </w:p>
        </w:tc>
        <w:tc>
          <w:tcPr>
            <w:tcW w:w="72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Living</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Account Value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Benefit NAR</w:t>
            </w: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Benefit NAR</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Benefit NAR</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In-the-Money (2)</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In-the-Money (2)</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00" w:type="dxa"/>
            <w:vAlign w:val="bottom"/>
            <w:gridSpan w:val="5"/>
          </w:tcPr>
          <w:p>
            <w:pPr>
              <w:ind w:left="8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GMIB Max w/ Enhanced DB</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12,487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13,035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&lt;0.1%</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2,428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4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4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4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EDB Only</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ind w:left="96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4"/>
        </w:trPr>
        <w:tc>
          <w:tcPr>
            <w:tcW w:w="2640" w:type="dxa"/>
            <w:vAlign w:val="bottom"/>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111,311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6,256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3,179</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115,144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2,924</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17"/>
          <w:szCs w:val="17"/>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$4.3 billion at March 31, 2018,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PABs with changes reported in net derivative gains (losses). These liabilities, valued at $878 million at March 31, 2018,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PABs with changes reported in net derivative gains (losses) and valued at $690 million at March 31, 2018. See “Management’s Discussion and Analysis of Financial Condition and Results of Operations — Summary of Critical Accounting Estimates” included in the 2017 Annual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the GAAP variable annuity reserve balances by guarantee type and accounting model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Reserves</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0"/>
              </w:rPr>
              <w:t>Future Policy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Policyholder</w:t>
            </w:r>
          </w:p>
        </w:tc>
        <w:tc>
          <w:tcPr>
            <w:tcW w:w="12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Future Policy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120" w:type="dxa"/>
            <w:vAlign w:val="bottom"/>
          </w:tcPr>
          <w:p>
            <w:pPr>
              <w:spacing w:after="0"/>
              <w:rPr>
                <w:sz w:val="13"/>
                <w:szCs w:val="13"/>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Account</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Account Balances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Reserves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Benefits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3"/>
              </w:rPr>
              <w:t>Reserves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GMDB</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1,216</w:t>
            </w:r>
          </w:p>
        </w:tc>
        <w:tc>
          <w:tcPr>
            <w:tcW w:w="26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6"/>
                <w:szCs w:val="16"/>
                <w:color w:val="auto"/>
              </w:rPr>
              <w:t>1,216</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1,163</w:t>
            </w:r>
          </w:p>
        </w:tc>
        <w:tc>
          <w:tcPr>
            <w:tcW w:w="300" w:type="dxa"/>
            <w:vAlign w:val="bottom"/>
            <w:tcBorders>
              <w:bottom w:val="single" w:sz="8" w:color="BFE4FF"/>
            </w:tcBorders>
            <w:gridSpan w:val="3"/>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GMIB</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2,351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3,560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GMIB Max</w:t>
            </w:r>
          </w:p>
        </w:tc>
        <w:tc>
          <w:tcPr>
            <w:tcW w:w="1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399</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GMWB</w:t>
            </w:r>
          </w:p>
        </w:tc>
        <w:tc>
          <w:tcPr>
            <w:tcW w:w="12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GMWB4L</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BFE4FF"/>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2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3"/>
                <w:szCs w:val="23"/>
                <w:color w:val="auto"/>
              </w:rPr>
            </w:pPr>
          </w:p>
        </w:tc>
        <w:tc>
          <w:tcPr>
            <w:tcW w:w="140" w:type="dxa"/>
            <w:vAlign w:val="bottom"/>
            <w:tcBorders>
              <w:bottom w:val="single" w:sz="8" w:color="auto"/>
            </w:tcBorders>
            <w:shd w:val="clear" w:color="auto" w:fill="BFE4FF"/>
          </w:tcPr>
          <w:p>
            <w:pPr>
              <w:spacing w:after="0"/>
              <w:rPr>
                <w:sz w:val="23"/>
                <w:szCs w:val="23"/>
                <w:color w:val="auto"/>
              </w:rPr>
            </w:pPr>
          </w:p>
        </w:tc>
        <w:tc>
          <w:tcPr>
            <w:tcW w:w="1020" w:type="dxa"/>
            <w:vAlign w:val="bottom"/>
            <w:tcBorders>
              <w:bottom w:val="single" w:sz="8" w:color="auto"/>
            </w:tcBorders>
            <w:shd w:val="clear" w:color="auto" w:fill="BFE4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3"/>
                <w:szCs w:val="23"/>
                <w:color w:val="auto"/>
              </w:rPr>
            </w:pPr>
          </w:p>
        </w:tc>
        <w:tc>
          <w:tcPr>
            <w:tcW w:w="120" w:type="dxa"/>
            <w:vAlign w:val="bottom"/>
            <w:tcBorders>
              <w:bottom w:val="single" w:sz="8" w:color="auto"/>
            </w:tcBorders>
            <w:shd w:val="clear" w:color="auto" w:fill="BFE4FF"/>
          </w:tcPr>
          <w:p>
            <w:pPr>
              <w:spacing w:after="0"/>
              <w:rPr>
                <w:sz w:val="23"/>
                <w:szCs w:val="23"/>
                <w:color w:val="auto"/>
              </w:rPr>
            </w:pPr>
          </w:p>
        </w:tc>
        <w:tc>
          <w:tcPr>
            <w:tcW w:w="680" w:type="dxa"/>
            <w:vAlign w:val="bottom"/>
            <w:tcBorders>
              <w:bottom w:val="single" w:sz="8" w:color="auto"/>
            </w:tcBorders>
            <w:shd w:val="clear" w:color="auto" w:fill="BFE4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BFE4FF"/>
          </w:tcPr>
          <w:p>
            <w:pPr>
              <w:spacing w:after="0"/>
              <w:rPr>
                <w:sz w:val="23"/>
                <w:szCs w:val="23"/>
                <w:color w:val="auto"/>
              </w:rPr>
            </w:pPr>
          </w:p>
        </w:tc>
        <w:tc>
          <w:tcPr>
            <w:tcW w:w="220" w:type="dxa"/>
            <w:vAlign w:val="bottom"/>
            <w:tcBorders>
              <w:bottom w:val="single" w:sz="8" w:color="auto"/>
            </w:tcBorders>
            <w:shd w:val="clear" w:color="auto" w:fill="BFE4FF"/>
          </w:tcPr>
          <w:p>
            <w:pPr>
              <w:spacing w:after="0"/>
              <w:rPr>
                <w:sz w:val="23"/>
                <w:szCs w:val="23"/>
                <w:color w:val="auto"/>
              </w:rPr>
            </w:pPr>
          </w:p>
        </w:tc>
        <w:tc>
          <w:tcPr>
            <w:tcW w:w="7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40" w:type="dxa"/>
            <w:vAlign w:val="bottom"/>
            <w:tcBorders>
              <w:bottom w:val="single" w:sz="8" w:color="auto"/>
            </w:tcBorders>
            <w:shd w:val="clear" w:color="auto" w:fill="BFE4FF"/>
          </w:tcPr>
          <w:p>
            <w:pPr>
              <w:spacing w:after="0"/>
              <w:rPr>
                <w:sz w:val="23"/>
                <w:szCs w:val="23"/>
                <w:color w:val="auto"/>
              </w:rPr>
            </w:pPr>
          </w:p>
        </w:tc>
        <w:tc>
          <w:tcPr>
            <w:tcW w:w="980" w:type="dxa"/>
            <w:vAlign w:val="bottom"/>
            <w:tcBorders>
              <w:bottom w:val="single" w:sz="8" w:color="auto"/>
            </w:tcBorders>
            <w:shd w:val="clear" w:color="auto" w:fill="BFE4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shd w:val="clear" w:color="auto" w:fill="BFE4FF"/>
          </w:tcPr>
          <w:p>
            <w:pPr>
              <w:spacing w:after="0"/>
              <w:rPr>
                <w:sz w:val="23"/>
                <w:szCs w:val="23"/>
                <w:color w:val="auto"/>
              </w:rPr>
            </w:pPr>
          </w:p>
        </w:tc>
        <w:tc>
          <w:tcPr>
            <w:tcW w:w="120" w:type="dxa"/>
            <w:vAlign w:val="bottom"/>
            <w:tcBorders>
              <w:bottom w:val="single" w:sz="8" w:color="auto"/>
            </w:tcBorders>
            <w:shd w:val="clear" w:color="auto" w:fill="BFE4FF"/>
          </w:tcPr>
          <w:p>
            <w:pPr>
              <w:spacing w:after="0"/>
              <w:rPr>
                <w:sz w:val="23"/>
                <w:szCs w:val="23"/>
                <w:color w:val="auto"/>
              </w:rPr>
            </w:pPr>
          </w:p>
        </w:tc>
        <w:tc>
          <w:tcPr>
            <w:tcW w:w="660" w:type="dxa"/>
            <w:vAlign w:val="bottom"/>
            <w:tcBorders>
              <w:bottom w:val="single" w:sz="8" w:color="auto"/>
            </w:tcBorders>
            <w:shd w:val="clear" w:color="auto" w:fill="BFE4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4"/>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4,261</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4,149</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gross notional amount and estimated fair value of the derivatives in our variable annuity hedging program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Primary Underlying Risk</w:t>
            </w: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Notional</w:t>
            </w: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2"/>
                <w:szCs w:val="2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Gross Notional</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71"/>
        </w:trPr>
        <w:tc>
          <w:tcPr>
            <w:tcW w:w="1840" w:type="dxa"/>
            <w:vAlign w:val="bottom"/>
            <w:gridSpan w:val="2"/>
            <w:vMerge w:val="continue"/>
          </w:tcPr>
          <w:p>
            <w:pPr>
              <w:spacing w:after="0"/>
              <w:rPr>
                <w:sz w:val="6"/>
                <w:szCs w:val="6"/>
                <w:color w:val="auto"/>
              </w:rPr>
            </w:pPr>
          </w:p>
        </w:tc>
        <w:tc>
          <w:tcPr>
            <w:tcW w:w="286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Instrument Type</w:t>
            </w:r>
          </w:p>
        </w:tc>
        <w:tc>
          <w:tcPr>
            <w:tcW w:w="11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8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Exposure</w:t>
            </w:r>
          </w:p>
        </w:tc>
        <w:tc>
          <w:tcPr>
            <w:tcW w:w="2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Interest Rate</w:t>
            </w:r>
          </w:p>
        </w:tc>
        <w:tc>
          <w:tcPr>
            <w:tcW w:w="28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BFE4FF"/>
            </w:tcBorders>
            <w:shd w:val="clear" w:color="auto" w:fill="BFE4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12,251</w:t>
            </w:r>
          </w:p>
        </w:tc>
        <w:tc>
          <w:tcPr>
            <w:tcW w:w="12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14,586</w:t>
            </w:r>
          </w:p>
        </w:tc>
        <w:tc>
          <w:tcPr>
            <w:tcW w:w="320" w:type="dxa"/>
            <w:vAlign w:val="bottom"/>
            <w:tcBorders>
              <w:bottom w:val="single" w:sz="8" w:color="BFE4FF"/>
            </w:tcBorders>
            <w:gridSpan w:val="2"/>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Interest rate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8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Interest rate options</w:t>
            </w:r>
          </w:p>
        </w:tc>
        <w:tc>
          <w:tcPr>
            <w:tcW w:w="2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20,700</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20,800</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Equity Market</w:t>
            </w: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futures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8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Equity index options</w:t>
            </w:r>
          </w:p>
        </w:tc>
        <w:tc>
          <w:tcPr>
            <w:tcW w:w="2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47,373</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1,566</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47,066</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6"/>
                <w:szCs w:val="16"/>
                <w:color w:val="auto"/>
              </w:rPr>
              <w:t>Equity variance swaps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9,575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28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Equity total return swaps</w:t>
            </w:r>
          </w:p>
        </w:tc>
        <w:tc>
          <w:tcPr>
            <w:tcW w:w="2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93,942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96,212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hedges of guarantees that are accounted for under the insurance accrual based model the change in estimated fair value of our derivatives is reported in policyholder benefits and claims. For hedges of guarantees that are accounted for as embedded derivatives the change in estimated fair value of our derivatives is recorded in net derivative gains (losses). Period to period changes in the estimated fair value of these hedges affect our net income, as well as stockholders’ equity and these effects can be material in any given period. See “Risk Factors — Risks Related to Our Business — Our variable annuity exposure management strategy may not be effective, may result in net income volatility and may negatively affect our statutory capital” and “Management’s Discussion and Analysis of Financial Condition and Results of Operations — Summary of Critical Accounting Estimates,” both included in the 2017 Annual Report.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Liquidity refers to our ability to generate adequate cash flows from our normal operations to meet the cash requirements of our operating, investing and financing activities. Capital refers to our long-term financial resources available to support our business operations and contribute to future growth. Our ability to generate and maintain sufficient liquidity and capital depends on the profitability of the businesses, timing of cash flows on investments and products, general economic conditions and access to the Revolving Credit Facility and the Term Loan Facility and access to the capital markets and the alternate sources of liquidity and capital described herein.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evaluating liquidity, it is important to distinguish the cash flow needs of the parent company, Brighthouse Financial, Inc., from the cash flow needs of the combined group of companies. Brighthouse Financial, Inc. is largely dependent on cash flows from its insurance subsidiaries to meet its obligations. The principal sources of funds available to Brighthouse Financial, Inc. include dividends and returns of capital from its insurance and non-insurance subsidiaries, as well as its own cash and short-term investments. Such funds are paid to Brighthouse Financial, Inc. by BH Holdings, its direct wholly-owned holding company subsidiary.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 Assets and Short-term Liquidity</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An integral part of our liquidity management includes managing our levels of liquid assets and short-term liquidity. Our non-insurance company liquid assets and short-term liquidity are generated through borrowings, as well as through dividends and returns of capital from our insurance subsidiaries, offset by payments for certain services provided from our insurance and non-insurance subsidiaries, which include, but are not limited to, executive oversight, treasury, finance, legal, human resources, tax planning, internal audit, financial reporting, information technology, distribution services and investor relations. Insurance subsidiary dividends are subject to local insurance regulatory requirements, as discussed in “— The Company — Capital — Restrictions on Dividends and Returns of Capital from Insurance Company Subsidiaries.”</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Liquid assets and short-term liquidity were made available from the issuance of $3.0 billion of senior notes in June 2017 and from drawdowns under the Term Loan Facility in the third quarter of 2017. In addition, any undrawn capacity under the Revolving Credit Facility is a potential source of liquidity. In order to manage our capital more efficiently, we have established internal liquidity facilities to provide liquidity within and across our combined group of companies. At March 31, 2018 and December 31, 2017, total obligations outstanding under these internal liquidity facilities were $79 million and $136 million, respectively.</w:t>
      </w:r>
    </w:p>
    <w:p>
      <w:pPr>
        <w:spacing w:after="0" w:line="8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At March 31, 2018 and December 31, 2017, Brighthouse Financial, Inc. and certain of its non-insurance subsidiaries had $647 million and $656 million, respectively, in liquid assets. Of these amounts, $545 million and $563 million were held by Brighthouse Financial, Inc. at March 31, 2018 and December 31, 2017, respectively. Liquid assets include cash and cash equivalents, short-term investments and publicly-traded securities excluding assets that are pledged or otherwise committed. Assets pledged or otherwise committed include amounts received in connection with derivatives and collateral financing arrangements.</w:t>
      </w:r>
    </w:p>
    <w:p>
      <w:pPr>
        <w:spacing w:after="0" w:line="8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At March 31, 2018 and December 31, 2017, Brighthouse Financial, Inc. and certain of its non-insurance subsidiaries had $413 million and $419 million, respectively in short-term liquidity. Short-term liquidity includes cash and cash equivalents and short-term investments, excluding assets that are pledged or otherwise committed, including amounts received in connection with securities lending, repurchase agreements, derivatives and secured borrowings.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expect to maintain adequate liquidity at Brighthouse Financial, Inc., a debt-to-capital ratio of approximately 25% and a funding of $2.0 billion to $3.0 billion of assets in excess of CTE95 to support our variable annuity contracts during normal markets. We define CTE95 as the amount of assets required to satisfy contract holder obligations across market environments in the average of the worst five percent of 1,000 capital markets scenarios over the life of the contracts. We monitor our financial leverage ratio based on an average of our key leverage calculations of A.M. Best Company, Fitch, Moody’s and S&amp;P. At March 31, 2018, assets above CTE95 were $2.7 billion.</w:t>
      </w:r>
    </w:p>
    <w:p>
      <w:pPr>
        <w:spacing w:after="0" w:line="8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We may opportunistically look to pursue additional debt financing over time to reach our targeted debt-to-capital ratio of 25% and to refinance borrowings outstanding under the Term Loan Facility. Such debt financing may include the incurrence of term loans or the issuance of senior or subordinated debt securities. There can be no assurance that we will be able to complete any such debt financing transactions on terms and conditions favorable to us or at all.</w:t>
      </w:r>
    </w:p>
    <w:p>
      <w:pPr>
        <w:spacing w:after="0" w:line="79"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We do not currently anticipate declaring or paying regular cash dividends or making other distributions on our common stock in the near term. Any future declaration and payment of dividends or other distributions of capital will be at the discretion of our Board of Directors and depend on and be subject to our financial conditions, results of operations, earnings, cash needs, regulatory and other constraints, capital requirements (including capital requirements of our subsidiaries), contractual restrictions and any other factors that our Board of Directors deems relevant in making such a determination, including, without limitation, the Company’s continued development as a standalone public company. Therefore, there can be no assurance that we will pay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any dividends or make other distributions on our common stock, or as to the amount of any such dividends or distribution of capital.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also “— The Company — Capital” for a discussion of how we manage our capital for the combined group of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Our principal sources of liquidity are insurance premiums and annuity considerations, net investment income and proceeds from the maturity and sale of investments. The primary uses of these funds are investing activities, payments of policyholder benefits, commissions and operational expenses, contract maturities, withdrawals and surrenders.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 of the Primary Sources and Uses of Liquidity and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the primary sources and uses of liquidity and capital: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Sources: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360</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160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224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received from MetLife in connection with shareholder’s net investment</w:t>
            </w:r>
          </w:p>
        </w:tc>
        <w:tc>
          <w:tcPr>
            <w:tcW w:w="8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768</w:t>
            </w: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Uses:</w:t>
            </w: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r>
      <w:tr>
        <w:trPr>
          <w:trHeight w:val="60"/>
        </w:trPr>
        <w:tc>
          <w:tcPr>
            <w:tcW w:w="8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139</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repaid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to MetLife in connection with shareholder’s net investment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184</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7"/>
              </w:rPr>
              <w:t>584</w:t>
            </w:r>
          </w:p>
        </w:tc>
      </w:tr>
      <w:tr>
        <w:trPr>
          <w:trHeight w:val="33"/>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right="200" w:firstLine="324"/>
        <w:spacing w:after="0" w:line="312"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The principal cash inflows from our insurance activities come from insurance premiums, annuity considerations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net investment income. The principal cash outflows are the result of various life insurance and annuity products, operating expenses and income tax, as well as interest expense. A primary liquidity concern with respect to these cash flows is the risk of early contract holder and policyholder withdrawal.</w:t>
      </w:r>
    </w:p>
    <w:p>
      <w:pPr>
        <w:spacing w:after="0" w:line="39" w:lineRule="exact"/>
        <w:rPr>
          <w:sz w:val="20"/>
          <w:szCs w:val="20"/>
          <w:color w:val="auto"/>
        </w:rPr>
      </w:pPr>
    </w:p>
    <w:p>
      <w:pPr>
        <w:ind w:left="340" w:right="80" w:firstLine="324"/>
        <w:spacing w:after="0" w:line="255" w:lineRule="auto"/>
        <w:rPr>
          <w:sz w:val="20"/>
          <w:szCs w:val="20"/>
          <w:color w:val="auto"/>
        </w:rPr>
      </w:pPr>
      <w:r>
        <w:rPr>
          <w:rFonts w:ascii="Arial" w:cs="Arial" w:eastAsia="Arial" w:hAnsi="Arial"/>
          <w:sz w:val="18"/>
          <w:szCs w:val="18"/>
          <w:i w:val="1"/>
          <w:iCs w:val="1"/>
          <w:color w:val="auto"/>
        </w:rPr>
        <w:t xml:space="preserve">Cash Flows from Investments. </w:t>
      </w:r>
      <w:r>
        <w:rPr>
          <w:rFonts w:ascii="Arial" w:cs="Arial" w:eastAsia="Arial" w:hAnsi="Arial"/>
          <w:sz w:val="18"/>
          <w:szCs w:val="18"/>
          <w:color w:val="auto"/>
        </w:rPr>
        <w:t>The principal cash inflows from our investment activities come from repayments of principal,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85" w:lineRule="exact"/>
        <w:rPr>
          <w:sz w:val="20"/>
          <w:szCs w:val="20"/>
          <w:color w:val="auto"/>
        </w:rPr>
      </w:pPr>
    </w:p>
    <w:p>
      <w:pPr>
        <w:ind w:left="340" w:right="140" w:firstLine="324"/>
        <w:spacing w:after="0" w:line="259" w:lineRule="auto"/>
        <w:rPr>
          <w:sz w:val="20"/>
          <w:szCs w:val="20"/>
          <w:color w:val="auto"/>
        </w:rPr>
      </w:pPr>
      <w:r>
        <w:rPr>
          <w:rFonts w:ascii="Arial" w:cs="Arial" w:eastAsia="Arial" w:hAnsi="Arial"/>
          <w:sz w:val="18"/>
          <w:szCs w:val="18"/>
          <w:i w:val="1"/>
          <w:iCs w:val="1"/>
          <w:color w:val="auto"/>
        </w:rPr>
        <w:t xml:space="preserve">Cash Flows from Financing, The Company. </w:t>
      </w:r>
      <w:r>
        <w:rPr>
          <w:rFonts w:ascii="Arial" w:cs="Arial" w:eastAsia="Arial" w:hAnsi="Arial"/>
          <w:sz w:val="18"/>
          <w:szCs w:val="18"/>
          <w:color w:val="auto"/>
        </w:rPr>
        <w:t>The principal cash inflows from our financing activities come from issuances of debt, deposits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policyholder account balances and lending of securities. The principal cash outflows come from repayments of debt, withdrawals associated with policyholder account balances and the return of securities on loan. The primary liquidity concerns with respect to these cash flows are market disruption and the risk of early contract holder and policyholder withdrawal.</w:t>
      </w:r>
    </w:p>
    <w:p>
      <w:pPr>
        <w:spacing w:after="0" w:line="79" w:lineRule="exact"/>
        <w:rPr>
          <w:sz w:val="20"/>
          <w:szCs w:val="20"/>
          <w:color w:val="auto"/>
        </w:rPr>
      </w:pPr>
    </w:p>
    <w:p>
      <w:pPr>
        <w:ind w:left="340" w:right="80" w:firstLine="324"/>
        <w:spacing w:after="0" w:line="277" w:lineRule="auto"/>
        <w:rPr>
          <w:sz w:val="20"/>
          <w:szCs w:val="20"/>
          <w:color w:val="auto"/>
        </w:rPr>
      </w:pPr>
      <w:r>
        <w:rPr>
          <w:rFonts w:ascii="Arial" w:cs="Arial" w:eastAsia="Arial" w:hAnsi="Arial"/>
          <w:sz w:val="18"/>
          <w:szCs w:val="18"/>
          <w:i w:val="1"/>
          <w:iCs w:val="1"/>
          <w:color w:val="auto"/>
        </w:rPr>
        <w:t xml:space="preserve">Cash Flows from Financing, Parent Company. </w:t>
      </w:r>
      <w:r>
        <w:rPr>
          <w:rFonts w:ascii="Arial" w:cs="Arial" w:eastAsia="Arial" w:hAnsi="Arial"/>
          <w:sz w:val="18"/>
          <w:szCs w:val="18"/>
          <w:color w:val="auto"/>
        </w:rPr>
        <w:t>The principal cash inflows from parent company financing activities come from issuance of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from subsidiaries. The principal cash outflows from parent company financing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activities relate to interest expense on and repayments of debt, and payment of dividends on and repurchases of common or preferred stock.</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Liquidity Management</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Based upon our capitalization, expectations regarding maintaining our ratings, business mix and funding sources available to us, we believe we have sufficient liquidity to meet business requirements under current market conditions and certain stress scenarios. We continuously monitor and adjust our liquidity and capital plans in light of market conditions, as well as changing needs and opportunities.</w:t>
      </w:r>
    </w:p>
    <w:p>
      <w:pPr>
        <w:spacing w:after="0" w:line="73"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include various scenarios of the potential increase to post or return collateral, reduction to new business sales, and risk of early contract holder and policyholder withdrawals, and lapses and surrenders of existing policies and contracts. We include provisions limiting withdrawal rights on many of our products. Certain of these provisions prevent the customer from making withdrawals prior to the maturity date of the product. In the event of significant cash requirements beyond anticipated liquidity needs, we have various alternatives available depending on market conditions and the amount and timing of the liquidity need. These potential available alternative sources of liquidity include cash flows from operations, sales of liquid assets, internal liquidity facilities, collateralized borrowing arrangements, such as from FHLB, and any undrawn capacity under the Revolving Credit Facility.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Consolidated Liquid Assets and Short-term Liquidity</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Consolidated liquid assets were $35.8 billion and $38.3 billion at March 31, 2018 and December 31, 2017, respectively. Consolidated short-term liquidity was $1.4 billion and $1.6 billion at March 31, 2018 and December 31, 2017,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will be supported by our ability to generate cash flows within our insurance companies, our ability to effectively manage the risk of our businesses, and our expected ability to borrow funds and raise additional capital to meet operating and growth needs in the event of adverse market and economic conditions.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Capital Management</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Our Board of Directors and senior management are directly involved in the governance of the capital management process, including proposed changes to the annual capital plan and capital targets. In connection with the Separation, we undertook various capitalization activities. For example, we have eliminated intercompany financing arrangements with or guaranteed by MetLife. We are targeting a debt-to-total capitalization ratio commensurate with our parent company credit ratings and our insurance subsidiaries’ financial strength ratings.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companies have statutory surplus above the level needed to meet current regulatory requirements.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the date of the most recent annual statutory financial statements filed with insurance regulators, the total adjusted capital of each of these insurance subsidiaries subject to these requirements was in excess of each of those RBC levels.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Restrictions on Dividends and Returns of Capital from Insurance Subsidiaries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Our business is primarily conducted through our insurance subsidiaries. The insurance subsidiaries are subject to regulatory restrictions on the payment of dividends and other distributions imposed by the regulators of their respective state domiciles. For more information, see “Business — Regulation — Insurance Regulation — Holding Company Regulation” in our 2017 Annual Report.</w:t>
      </w:r>
    </w:p>
    <w:p>
      <w:pPr>
        <w:spacing w:after="0" w:line="73"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Any requested payment of dividends by Brighthouse Life Insurance Company and NELICO to Brighthouse Financial, Inc., or by BHNY to Brighthouse Life Insurance Company, in excess of the 2018 limit on the permitted payment of dividends without approval would be considered an extraordinary dividend and would require prior approval from the Delaware Department of Insurance or the Massachusetts Division of Insurance, and the New York State Department of Financial Services, respectively. Statutory accounting practices, as prescribed by insurance regulators of various states in which we conduct business, differ in certain respects from accounting principles used in financial statements prepared in conformity with GAAP.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6"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significant differences relate to the treatment of DAC, certain deferred income tax, required investment liabilities, statutory reserve calculation assumptions and surplus notes.</w:t>
      </w:r>
    </w:p>
    <w:p>
      <w:pPr>
        <w:spacing w:after="0" w:line="62"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The table below sets forth the dividends permitted to be paid in 2018 by our insurance subsidiaries without insurance regulatory approval and the respective dividends paid during the three months ended March 31, 2018.</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Company</w:t>
            </w:r>
          </w:p>
        </w:tc>
        <w:tc>
          <w:tcPr>
            <w:tcW w:w="11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Paid</w:t>
            </w:r>
          </w:p>
        </w:tc>
        <w:tc>
          <w:tcPr>
            <w:tcW w:w="5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Permitted without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tcPr>
          <w:p>
            <w:pPr>
              <w:jc w:val="right"/>
              <w:ind w:right="103"/>
              <w:spacing w:after="0"/>
              <w:rPr>
                <w:sz w:val="20"/>
                <w:szCs w:val="20"/>
                <w:color w:val="auto"/>
              </w:rPr>
            </w:pPr>
            <w:r>
              <w:rPr>
                <w:rFonts w:ascii="Arial" w:cs="Arial" w:eastAsia="Arial" w:hAnsi="Arial"/>
                <w:sz w:val="14"/>
                <w:szCs w:val="14"/>
                <w:b w:val="1"/>
                <w:bCs w:val="1"/>
                <w:color w:val="auto"/>
              </w:rPr>
              <w:t>Approval (1)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gridSpan w:val="2"/>
          </w:tcPr>
          <w:p>
            <w:pPr>
              <w:jc w:val="right"/>
              <w:ind w:right="102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84</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New England Life Insurance Company</w:t>
            </w:r>
          </w:p>
        </w:tc>
        <w:tc>
          <w:tcPr>
            <w:tcW w:w="1180" w:type="dxa"/>
            <w:vAlign w:val="bottom"/>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65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 of NY (2)</w:t>
            </w: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2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4"/>
                <w:szCs w:val="14"/>
                <w:color w:val="auto"/>
              </w:rPr>
              <w:t>______________</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340" w:hanging="332"/>
        <w:spacing w:after="0" w:line="342"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Reflects dividend amounts that may be paid during 2018 without prior regulatory approval. However, because dividend tests may be based on dividends previously paid over rolling 12-month periods, if paid before a specified date during 2018, some or all of such dividends may require regulatory approval.</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Dividends are not anticipated to be paid by BHNY in 2018.</w:t>
      </w:r>
    </w:p>
    <w:p>
      <w:pPr>
        <w:spacing w:after="0" w:line="11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Brighthouse Financial, Inc. received a $52 million cash distribution from BH Holdings during the three months ended March 31, 2018. There were no cash dividends or returns of capital paid by our non-insurance subsidiaries for the three months ended March 31, 2017.</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Rating agencies use an “outlook statement” of “positive,” “stable,” ‘‘negative’’ or “developing” to indicate a medium- or long-term trend in credit fundamentals which, if continued, may lead to a rating change. A rating may have a “stable” outlook to indicate that the rating is not expected to change; however, a “stable” rating does not preclude a rating agency from changing a rating at any time, without notice. Certain rating agencies assign rating modifiers such as “CreditWatch” or “under review” to indicate their opinion regarding the potential direction of a rating. These ratings modifiers are generally assigned in connection with certain events such as potential mergers, acquisitions, dispositions or material changes in a company’s results, in order for the rating agency to perform its analysis to fully determine the rating implications of the event.</w:t>
      </w:r>
    </w:p>
    <w:p>
      <w:pPr>
        <w:spacing w:after="0" w:line="7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Information about financial strength ratings and credit ratings can be found in the 2017 Annual Report, as well as on the respective websites of the rating agencies.</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Rating agencies may continue to review and adjust our ratings. A downgrade in the credit ratings of Brighthouse Financial, Inc., the parent company, would likely impact us in many ways, including the cost and availability of financing for Brighthouse Financial, Inc., and its subsidiaries. See Note 5 of the Notes to the Interim Condensed Consolidated and Combined Financial Statements.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Downgrades in our financial strength ratings could have a material adverse effect on our financial condition and results of operations in many ways, including:</w:t>
      </w:r>
    </w:p>
    <w:p>
      <w:pPr>
        <w:spacing w:after="0" w:line="62"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 holders and policyholders;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triggering termination and recapture rights under certain of our ceded reinsurance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requiring us to post additional collateral under certain of our financing and derivative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Additionally, downgrades in the credit ratings of Brighthouse Financial, Inc. or financial strength ratings of our insurance subsidiaries would likely impact us in the following ways: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6"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impact our ability to generate cash flows from the sale of funding agreements and other capital market products we offer;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impact the cost and availability of financing for Brighthouse.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Financing Arrangement</w:t>
      </w:r>
    </w:p>
    <w:p>
      <w:pPr>
        <w:spacing w:after="0" w:line="117" w:lineRule="exact"/>
        <w:rPr>
          <w:sz w:val="20"/>
          <w:szCs w:val="20"/>
          <w:color w:val="auto"/>
        </w:rPr>
      </w:pPr>
    </w:p>
    <w:p>
      <w:pPr>
        <w:jc w:val="both"/>
        <w:ind w:left="180" w:right="20" w:firstLine="324"/>
        <w:spacing w:after="0" w:line="259" w:lineRule="auto"/>
        <w:rPr>
          <w:sz w:val="20"/>
          <w:szCs w:val="20"/>
          <w:color w:val="auto"/>
        </w:rPr>
      </w:pPr>
      <w:r>
        <w:rPr>
          <w:rFonts w:ascii="Arial" w:cs="Arial" w:eastAsia="Arial" w:hAnsi="Arial"/>
          <w:sz w:val="18"/>
          <w:szCs w:val="18"/>
          <w:color w:val="auto"/>
        </w:rPr>
        <w:t>Our reinsurance subsidiary, BRCD, was formed to manage our capital and risk exposures and to support our various operations, through the use of affiliated reinsurance arrangements and related reserve financing. BRCD has a $10.0 billion financing arrangement with a pool of highly rated third-party reinsurers. This financing arrangement consists of credit-linked notes that each have a term of 20 years. At March 31, 2018, there were no drawdowns on such notes and there was $8.9 billion of funding available under this financing arrangement.</w:t>
      </w:r>
    </w:p>
    <w:p>
      <w:pPr>
        <w:spacing w:after="0" w:line="7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BRCD is capitalized with cash and invested assets, including funds withheld (“Minimum Initial Target Assets”) at a level that is sufficient to satisfy its future cash obligations assuming a permanent level yield curve, consistent with NAIC cash flow testing scenarios. BRCD utilizes a financing program to cover the difference between full required statutory assets (i.e., XXX/AXXX reserves plus target risk margin appropriate to meet capital needs) and Minimum Initial Target Assets. An admitted deferred tax asset, if any, would also serve to reduce the amount of funding required under this financing program.</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Liquidity is provided by a variety of funding sources, including funding agreements. Capital is provided by a variety of funding sources, including long-term debt, credit facilities and reserve financing facilities. The diversity of our funding sources enhances our funding flexibility, limits dependence on any one market or source of funds and generally lowers the cost of funds. In addition to our senior note issuances and credit facilities discussed in more detail in “— Outstanding Debt,” and our reinsurance financing arrangement, our other funding sources include or have included: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Home Loan Bank Funding Agreements, Reported in Policyholder Account Balances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BLIC is a member of the FHLB of Pittsburgh as of March 31, 2018 and has obligations outstanding with certain regional banks in the FHLB system. During the three months ended March 31, 2018 and 2017, there were no issuances or repayments under funding agreements with certain regional FHLBs. At both March 31, 2018 and December 31, 2017, total obligations outstanding under these funding agreements were $595 million. Activity related to these funding agreements is reported in the Run-off segment.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Special Purpose Entity Funding Agreements, Reported in Policyholder Account Balances</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BLIC issued fixed and floating rate funding agreements which are denominated in either U.S. dollars or foreign currencies, to certain special purpose entities that have issued either debt securities or commercial paper for which payment of interest and principal is secured by such funding agreements. During the three months ended March 31, 2018 and 2017, there were no issuances and we repaid $0 and $1 million, respectively, under such funding agreements. At March 31, 2018 and December 31, 2017, total obligations outstanding under these funding agreements were $144 million and $141 million, respectively. Activity related to these funding agreements is reported in the Run-off segment.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Agricultural Mortgage Corporation Funding Agreements, Reported in Policyholder Account Balances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BLIC may issue funding agreements to a subsidiary of the Federal Agricultural Mortgage Corporation. The obligations under all such funding agreements are secured by a pledge of certain eligible agricultural real estate mortgage loans. During the three months ended March 31, 2018 and 2017, there were no issuances or repayments under such funding agreements. At March 31, 2018 and December 31, 2017, there were no obligations outstanding under these funding agreements. Activities related to these funding agreements are reported in the Run-off segment.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6" w:right="2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Outstanding 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debt at: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3.700%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Senior notes (1)</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4.700%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2047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(2)</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7.028%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Term loan</w:t>
            </w: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LIBOR plus 1.5%</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 (3)</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3,601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_________</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$34 million for senior notes due 2027 and 2047 on a combined basis at both March 31, 2018 and December 31, 2017.</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Excludes $8 million and $11 million of long term debt related to CSEs at March 31, 2018 and December 31, 2017, respectively. See Note 4 of the Notes to the Interim Condensed Consolidated and Combined Financial Statements for more information regarding CSEs.</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Credit Facilities</w:t>
      </w:r>
    </w:p>
    <w:p>
      <w:pPr>
        <w:spacing w:after="0" w:line="11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At March 31, 2018, there were no drawdowns under the Revolving Credit Facility and there was $600 million outstanding under the Term Loan Facility, resulting in unused commitments totaling $2.0 billion in comparison to the maximum capacity of $2.6 billion under these facilities.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Company’s debt instruments and committed facilities contain certain administrative, reporting and legal covenants. Additionally, the 2017 Term Loan Facility and the Revolving Credit Facility contain financial covenants, including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The Company is not aware of any non-compliance with these financial covenants at March 31, 2018.</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 and Capital Uses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general description of liquidity and capital uses in “— Primary Sources of Liquidity and Capital,” the following additional information is provided regarding our primary uses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debt repayments made during either the three months ended March 31, 2018 or 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Liabilities arising from our insurance activities primarily relate to benefit payments under various life insurance products, and annuity products, as well as payments for policy surrenders, withdrawals and loans. For annuity or deposit type products, surrender or lapse behavior differs somewhat by segment. In the Annuities segment, lapses and surrenders tend to occur in the normal course of business. During the three months ended March 31, 2018 and 2017, general account surrenders and withdrawals from annuity products were $449 million and $630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6"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We pledge collateral to, and have collateral pledged to us by, counterparties in connection with our derivatives. At March 31, 2018 and December 31, 2017, counterparties were obligated to return cash collateral pledged by us of $0 and $44 million, respectively. At March 31, 2018 and December 31, 2017, we were obligated to return cash collateral pledged to us by counterparties of $467 million and $379 million, respectively. See Note 5 of the Notes to the Interim Condensed Consolidated and Combined Financial Statements for additional information about pledged collateral.</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pledge collateral from time to time in connection with funding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$3.8 billion at both March 31, 2018 and December 31, 2017. Of these amounts, $1.3 billion and $1.6 billion at March 31, 2018 and December 31, 2017, respectively, were on open, meaning that the related loaned security could be returned to us on the next business day requiring the immediate return of cash collateral we hold. The estimated fair value of the securities on loan related to the cash collateral on open at March 31, 2018 was $1.2 billion, all of which were U.S. government and agency securities which, if put to us, could be immediately sold to satisfy the cash requirements to immediately return the cash collateral. See Note 4 of the Notes to the Interim Condensed Consolidated and Combined Financial Statements.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Repurchase Agreement</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In April 2018, Brighthouse Life Insurance Company entered into a committed repurchase facility (the “Repurchase Facility”) with a financial institution, pursuant to which Brighthouse Life Insurance Company may enter into repurchase transactions in an aggregate amount up to $2.0 billion, in respect of certain eligible securities. The Repurchase Facility has a term of three years, beginning on July 31, 2018 and ending on July 31, 2021. Under the Repurchase Facility, Brighthouse Life Insurance Company may sell securities at a purchase price based on the market value of the securities less an applicable margin, with a concurrent agreement to repurchase such securities at a predetermined future date (ranging from two weeks to three months) and price which represents the original purchase price plus interest.</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10 of the Notes to the Interim Condensed Consolidated and Combined Financial Statements.</w:t>
      </w:r>
    </w:p>
    <w:p>
      <w:pPr>
        <w:spacing w:after="0" w:line="64"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We establish liabilities for litigation and regulatory loss contingencies when it is probable that a loss has been incurred and the amount of the loss can be reasonably estimated. For material matters where a loss is believed to be reasonably possible but not probable, no accrual is made but we disclose the nature of the contingency and an aggregate estimate of the reasonably possible range of loss in excess of amounts accrued, when such an estimate can be made. It is not possible to predict or determine the ultimate outcome of all pending investigations and legal proceedings. In some of the matters referred to herein, very large and/or indeterminate amounts, including punitive and treble damages, are sought. Although in light of these considerations, it is possible that an adverse outcome in certain cases could have a material adverse effect upon our financial position, based on information currently known by us, in our opinion, the outcome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adverse effect on our combined net income or cash flows in particular quarterly or annual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6" w:right="2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and other written or oral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“forecast,” “objective,” “continue,” “aim,” “plan,” “believe” and other words and terms of similar meaning, or are tied to future periods, in connection with a discussion of future operating or financial performance. In particular, these include, without limitation, statements relating to future actions, prospective services or products, future performance or results of current and anticipated services or products, sales efforts, expenses, the outcome of contingencies such as legal proceedings, trends in operating and financial results, as well as statements regarding the expected benefits of the Separation and the recapitalization actions.</w:t>
      </w:r>
    </w:p>
    <w:p>
      <w:pPr>
        <w:spacing w:after="0" w:line="11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the Company.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7" w:lineRule="exact"/>
        <w:rPr>
          <w:sz w:val="20"/>
          <w:szCs w:val="20"/>
          <w:color w:val="auto"/>
        </w:rPr>
      </w:pPr>
    </w:p>
    <w:p>
      <w:pPr>
        <w:ind w:left="720" w:hanging="388"/>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counterparty risk due to guarantees within certain of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effectiveness of our exposure management strategy and the impact of such strategy on net income volatility and negative effects on our statutory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additional reserves we will be required to hold against our variable annuities as a result of actuarial guidelines;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sustained period of low equity market prices and interest rates that are lower than those we assumed when we issued our variable annuity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degree of leverage due to indebtedness incurred in connection with the Separation;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 adverse capital and credit market conditions may have on our ability to meet liquidity needs and our access to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our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accounting standards, practices and/or policies applicable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these third parties and any inability to obtain information or assistance we need from third parties, including MetLife;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whether the operational, strategic and other benefits of the Separation can be achieved, and our ability to implement our business strategy;</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all or any portion of the Separation tax consequences are not as expected, leading to material additional taxes or material adverse consequences to tax attributes that impact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6" w:right="2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including the potential of outcomes adverse to us that could cause us to owe MetLife material tax reimbursements or payments or disagreements regarding MetLife’s or our obligations under our other agreements;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impact on our business structure, profitability, cost of capital and flexibility due to restrictions we have agreed to that preserve the tax-free treatment of certain parts of the Separation;</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material negative tax impact of the Tax Cuts and Jobs Act and other potential future tax legislation that could decrease the value of our tax attributes, lead to increased RBC requirements and cause other cash expenses, such as reserves, to increase materially and make some of our products less attractive to consumers;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Distribution will qualify for non-recognition treatment for U.S. federal income tax purposes and potential indemnification to MetLife if the Distribution does not so qualify;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factors described in our 2017 Annual Report, this report, and from time to time in documents that we file with the SEC.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reasons described above, we caution you against relying on any forward-looking statements, which should also be read in conjunction with the other cautionary statements included and the risks, uncertainties and other factors identified in our 2017 Annual Report, particularly in the sections entitled “Risk Factors” and “Quantitative and Qualitative Disclosures About Market Risk,” and included elsewhere herein, as well as in our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 Please consult any further disclosures the Company makes on related subjects in reports to the SEC.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announce financial and other information about Brighthouse to our investors through the Brighthouse Investor Relations web page at www.brighthousefinancial.com, as well as SEC filings, news releases, public conference calls and webcasts. Brighthouse encourages investors to visit the Investor Relations web page from time to time, as information is updated and new information is posted. The information found on our website is not incorporated by reference in this report or in any other report or document we file with the SEC, and any references to our website are intended to be inactive textual references only.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regularly analyze our market risk exposure to interest rate, equity market price, credit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fair value resulting from changes in interest rates, equity market prices, credit spreads and foreign currency exchange rates. We may have additional financial impacts other than changes in fair value, which are beyond the scope of this discussion. A description of our market risk exposures may be found under “Quantitative and Qualitative Disclosures About Market Risk” in the 2017 Annual Report. There have been no material changes to our market risk exposures from the market risk exposures previously disclosed in the 2017 Annual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with the participation of the Chief Executive Officer and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Chief Financial Officer have concluded that these disclosure controls and procedures were effective as of March 31, 2018.</w:t>
      </w:r>
    </w:p>
    <w:p>
      <w:pPr>
        <w:spacing w:after="0" w:line="6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MetLife continues to provide certain services to the Company on a transitional basis through services agreements. The Company continues to change business processes as a standalone entity, and identifies, documents and evaluates controls to ensure controls over our financial reporting are effective. We consider these to be a material change in our internal control over financial reporting.</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March 31, 2018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6" w:right="2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should be read in conjunction with (i) Part I, Item 3 of the 2017 Annual Report and Note 15 to the Notes to the Consolidated Financial Statements included in the 2017 Annual Report; and (ii) Note 10 of the Notes to the Interim Condensed Consolidated and Combined Financial Statements in Part I of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Lending Group Litigations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Hartshorne v. NELICO, et al. (Los Angeles County Superior Court, filed March 25, 2015)</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Plaintiffs have named New England Life Insurance Company (“NELICO”), MetLife, Inc. and MetLife Securities, Inc. in twelve related lawsuits in California state court alleging various causes of action including multiple negligence and statutory claims relating to the Diversified Lending Group Ponzi scheme. All but one of the plaintiffs have resolved their claims with the defendants. The last remaining plaintiff settled with the defendants and the Company anticipates the plaintiff’s claims will be dismissed in May 2018.</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the matter discussed above, various litigation, claims and assessments against the Company, in addition to those discussed previously and those otherwise provided for in the Company’s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net income or cash flows in particular quarterly or annual periods.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following should be read in conjunction with, and supplements and amends, the factors that may affect the Company’s business or operations described under “Risk Factors” in the 2017 Annual Report. In addition, “Management’s Discussion and Analysis of Financial Condition and Results of Operations — Industry Trends” and “Management’s Discussion and Analysis of Financial Condition and Results of Operations — Note Regarding Forward-Looking Statements” included in this report are incorporated by reference herein. Other than as described herein, there have been no other material changes to our risk factors from the risk factors previously disclosed in the 2017 Annual Report.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of third parties to provide various services, or any failure of the practices and procedures that these third parties use to provide services to us, could have a material adverse effect on our business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key part of our operating strategy is to outsource certain services important to our business. In July 2016, we entered into a multi-year outsourcing arrangement for the administration of certain in-force policies currently housed on up to 20 systems. Pursuant to this arrangement, at least 13 of such systems will be consolidated down to one. In December 2017, we formalized an arrangement for the administration of life and annuities new business and approximately 1.3 million in-force life and annuities contracts. We intend to focus on further outsourcing opportunities with third-party vendors, including after the Transition Services Agreement, Investment Management Agreement and other agreements with MetLife companies expire. See “— Risks Related to Our Separation from, and Continuing Relationship with, MetLife — Our contractual arrangements with MetLife may not be adequate to meet our operational and business needs. The terms of our arrangements with MetLife may be more favorable than we would be able to obtain from an unaffiliated third party, and we may be unable to replace those services in a timely manner or on comparable terms” for information regarding the potential effect that the Separation from MetLife will have on the pricing of such services. It may be difficult and disruptive for us to replace some of our third-party vendors in a timely manner if they were unwilling or unable to provide us with these services in the future (as a result of their financial or business conditions or otherwise), and our business and operations likely could be materially adversely affected.</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if a third-party provider fails to provide the administrative, operational, financial or actuarial services we require, fails to meet contractual requirements, such as compliance with applicable laws and regulations, suffers a cyberattack or other security breach or fails to provide material information on a timely basis, our business could suffer economic and reputational harm that could have a material adverse effect on our business and results of operations. See the risk factor referenced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6"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preceding paragraph and “Risk Factors — Operational Risks — The failure in cyber- or other information security systems, as well as the occurrence of events unanticipated in Brighthouse’s and MetLife’s disaster recovery systems and business continuity planning could result in a loss or disclosure of confidential information, damage to our reputation and impairment of our ability to conduct business effectively” in the 2017 Annual Report.</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Similarly, if any third-party provider experiences any deficiency in internal controls, determines that its practices and procedures used in administering our policies require review or otherwise fails to administer our policies in accordance with acceptable standards, we could incur expenses and experience other adverse effects as a result. In these situations, we may be unable to resolve any issues on our own without assistance from the third-party provider, and we may have limited ability to influence the speed and effectiveness of that resolution.</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December 2017, for example, MetLife announced that it was undertaking a review of practices and procedures used to estimate its reserves related to certain group annuitants that have been unresponsive or missing over time. As a result of this review, MetLife identified a material weakness in its internal control over financial reporting relating to certain group annuity reserves and announced that it was recording charges to reinstate reserves previously released. As a result of that review and based on information provided by MetLife, we identified approximately 14,000 group annuitants across Brighthouse entities who may be owed annuity payments now or in the future. We announced a related increase in reserves of $38 million, after tax, during the fourth quarter of 2017 relating to legacy non-retail group annuity contracts that are pension risk transfers included in our Run-off segment.</w:t>
      </w:r>
    </w:p>
    <w:p>
      <w:pPr>
        <w:spacing w:after="0" w:line="5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These group annuity contracts and many of our other products are administered by MetLife under the Transition Services Agreement, and we depend on MetLife for the information and assistance in modifying administrative practices and procedures. We also depend on MetLife for information and assistance in reviewing administrative practices and procedures and reserves with respect to other products it administers for us. From time to time, MetLife has brought to our attention practices, procedures and reserves with respect to other products that require further review. While we do not believe, based on the information made available to us to date by MetLife, that any of the matters MetLife has brought to our attention will require material modifications to reserves or have a material effect on our financial condition or results of operations, we are reliant upon MetLife to provide further information and assistance with respect to those products. There can also be no assurance that such matters will not require material modifications to reserves or have a material effect on our financial condition or results of operations in the future, or that MetLife will provide further information and assistance.</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material issues were to arise with respect to any of our products administered by third parties, whether involving MetLife or another third-party provider, any resulting expenses or other economic or reputational harm could have a material adverse effect on our business and results of operations, particularly if they involved our core annuity and life insurance businesses. In addition, we could be subject to litigation or regulatory investigations and actions resulting from any such issues, which could have a material adverse effect on our financial condition and results of operations.</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Changes in our deferred income tax assets or liabilities, including changes in our ability to realize our deferred income tax assets, or any changes resulting from preparing our first U.S. federal income tax returns, could adversely affect our results of operations or financial condition</w:t>
      </w:r>
    </w:p>
    <w:p>
      <w:pPr>
        <w:spacing w:after="0" w:line="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Deferred income tax represents the tax effect of the differences between the book and tax bases of assets and liabilities. Deferred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net income. Such charges could have a material adverse effect on our results of operations or financial position. Changes in the corporate tax rates could also affect the value of our deferred tax assets and may require a write-off of some of those assets. In addition, we have not yet been required to file U.S. federal income tax returns since our Separation from MetLife, and we will depend on information from MetLife in order to do so. If the information we receive from MetLife in the course of preparing our U.S. federal income tax returns is materially different from information received in the past or if we do not receive full information, we could find it necessary to change the deferred income tax assets and liabilities recorded on our balance sheet or to record provisions for income taxes on our statement of operations, which could adversely affect our financial condition and results of operations. See Note 13 of the Notes to the Consolidated and Combined Financial Statements in the 2017 Annual Report for the impact of the Tax Act on our financial statements. Also, see “Management’s Discussion and Analysis of Financial Condition and Results of Operations — Summary of Critical Accounting Estimates” in the 2017 Annual Report.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6"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Gaps in our risk management policies and procedures may leave us exposed to unidentified or unanticipated risk, which could negatively affect our business</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have developed and continue to develop risk management policies and procedures to reflect the ongoing review of our risks and expect to continue to do so in the future. Nonetheless, our policies and procedures may not be comprehensive and may not identify every risk to which we are exposed. In addition, we rely on third-party providers to administer and service many of our products, and our risk management policies and procedures may not be successful in identifying every risk with respect to those products, especially to the extent we rely on those providers for detailed information regarding the holders of our products and other relevant information. Many of our methods for managing risk and exposures are based upon the use of observed historical market behavior to model or project potential future exposure. Models used by our business are based on assumptions and projections which may be inaccurate. Business decisions based on incorrect or misused model output and reports could have a material adverse impact on our results of operations. Model risk may be the result of a model being misspecified for its intended purpose, being misused or producing incorrect or inappropriate results. Models used by our business may not operate properly and could contain errors related to model inputs, data, assumptions, calculations, or output which could give rise to adjustments to models that may adversely impact our results of operations. As a result, these methods may not fully predict future exposures, which can be significantly greater than our historical measures indicate. Other risk management methods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risk management policies and procedures, nor can there be any assurance that our risk management policies and procedures, or the risk management policies and procedures of third parties that administer or service our products, will enable us to accurately identify all risks and limit our exposures based on our assessments. In addition, we may have to implement more extensive and perhaps different risk management policies and procedures under pending regulations. See “Risk Factors — Risks Related to Our Business — Our variable annuity exposure management strategy may not be effective, may result in net income volatility and may negatively affect our statutory capital” included in the 2017 Annual Report.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Separation from, and Continuing Relationship with, MetLife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contractual arrangements with MetLife may not be adequate to meet our operational and business needs. The terms of our arrangements with MetLife may be more favorable than we would be able to obtain from an unaffiliated third party, and we may be unable to replace those services in a timely manner or on comparable terms</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contractual arrangements, such as the Transition Services Agreement, the Investment Management Agreements, the Intellectual Property License Agreement, the Investment Finance Services Agreements entered into in connection with the Investment Management Agreements and other agreements that require MetLife affiliates to provide certain services to us, including certain IT services pursuant to software license agreements that MetLife affiliates have with certain third-party software vendors, and investment management and related accounting, reporting, actuarial and other administrative services by MLIA with respect to Brighthouse’s general and separate account investment portfolios. See “Certain Relationships and Related Person Transactions” included in the 2017 Annual Report. There can be no assurance that the services to be provided by the MetLife affiliates will be sufficient to meet our operational and business needs, that the MetLife affiliates will be able to perform such functions in a manner satisfactory to us, that MetLife’s practices and procedures will enable it to adequately administer the policies it handles, that we will receive sufficient information from MetLife with respect to the policies it administers for us or that any remedies available under these arrangements will be sufficient to us in the event of a dispute or nonperformance. See “— Risks Related to Our Business — The failure of third parties to provide various services, or any failure of the practices and procedures that these third parties use to provide services to us, could have a material adverse effect on our business.”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termination or expiration of any agreement between us and MetLife affiliates, there can be no assurance that these services will be sustained at the same levels as they were when we were receiving such services from MetLife or that we will be able to obtain the same benefits from another provider or our indemnity rights from such third parties will not be limited. We may not be able to replace services and arrangements in a timely manner or on terms and conditions, including cost, as favorable as those we have previously received from MetLife. The agreements with the MetLife affiliates were entered into in the context of intercompany relationships that arose from enterprise-wide agreements with vendors, and we may have to pay higher prices for similar services from MetLife or unaffiliated third parties in the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sales by us or our existing stockholders may cause our stock price to decline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transfer or sales of substantial amounts of our common stock in the public market or the perception that such transfer or sales might occur may cause the market price of our common stock to decline. As of May 9, 2018, we had an aggregate of 119,773,106 shares of our common stock issued and outstanding. Shares will generally be freely tradeable without restriction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6" w:right="2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registration under the Securities Act, except for shares owned by one of our “affiliates,” as that term is defined in Rule 405 under the Securities Act. Shares held by “affiliates” may be sold in the public market if registered or if they qualify for an exemption from registration under Rule 144. Further, we plan to file one or more registration statements to cover the shares issuable under our equity-based benefit plans.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MetLife beneficially owns 23,169,597 shares of our common stock. MetLife has announced that, subject to market conditions and regulatory approval, it currently intends to divest of this remaining ownership interest during 2018 through one or more transactions, including an exchange offer for MetLife common stock, a direct sale of our shares held by MetLife or an exchange offer for MetLife debt securities. Any disposition by MetLife of our common stock in the public market in one or more offerings or the perception that such dispositions could occur, could adversely affect prevailing market prices for our common stock.</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a large shareholder base of former MetLife policyholder trust beneficiaries, and it is not possible to predict whether or not those shareholders will wish to sell their shares of our common stock. The sales of significant amounts of shares of our common stock or the perception in the market that this will occur may result in the lowering of the market price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6" w:right="2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(Note Regarding Reliance on Statements in Our Contracts: </w:t>
      </w:r>
      <w:r>
        <w:rPr>
          <w:rFonts w:ascii="Arial" w:cs="Arial" w:eastAsia="Arial" w:hAnsi="Arial"/>
          <w:sz w:val="17"/>
          <w:szCs w:val="17"/>
          <w:i w:val="1"/>
          <w:iCs w:val="1"/>
          <w:color w:val="auto"/>
        </w:rPr>
        <w:t>In reviewing the agreements included as exhibits herein, please remember that they are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780" w:type="dxa"/>
            <w:vAlign w:val="bottom"/>
            <w:gridSpan w:val="8"/>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978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10.1#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80" w:type="dxa"/>
            <w:vAlign w:val="bottom"/>
            <w:tcBorders>
              <w:top w:val="single" w:sz="8" w:color="auto"/>
            </w:tcBorders>
            <w:gridSpan w:val="8"/>
          </w:tcPr>
          <w:p>
            <w:pPr>
              <w:spacing w:after="0" w:line="202"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Amendment Number Two to the Brighthouse Services, LLC Auxiliary Savings Plan is incorporated by reference to Exhibit 10.9.2 to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our Annual Report Form 10-K, filed on March 16, 2018 (File No. 001-37905).</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8"/>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Amendment Number One to the Brighthouse Services, LLC Voluntary Deferred Compensation Plan is incorporated by reference to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Exhibit 10.11.1 to our Annual Report Form 10-K, filed on March 16, 2018 (File No. 001-37905).</w:t>
              </w:r>
            </w:hyperlink>
          </w:p>
        </w:tc>
        <w:tc>
          <w:tcPr>
            <w:tcW w:w="2460" w:type="dxa"/>
            <w:vAlign w:val="bottom"/>
            <w:tcBorders>
              <w:top w:val="single" w:sz="8" w:color="0000FF"/>
            </w:tcBorders>
            <w:gridSpan w:val="4"/>
          </w:tcPr>
          <w:p>
            <w:pPr>
              <w:spacing w:after="0"/>
              <w:rPr>
                <w:sz w:val="17"/>
                <w:szCs w:val="17"/>
                <w:color w:val="auto"/>
              </w:rPr>
            </w:pPr>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Certification of Chief Executive Officer pursuant to Section 302 of the Sarbanes-Oxley Act of 2002.</w:t>
              </w:r>
            </w:hyperlink>
          </w:p>
        </w:tc>
        <w:tc>
          <w:tcPr>
            <w:tcW w:w="25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Certification of Chief Financial Officer pursuant to Section 302 of the Sarbanes-Oxley Act of 2002.</w:t>
              </w:r>
            </w:hyperlink>
          </w:p>
        </w:tc>
        <w:tc>
          <w:tcPr>
            <w:tcW w:w="25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Certification of Chief Executive Officer pursuant to Section 906 of the Sarbanes-Oxley Act of 2002.</w:t>
              </w:r>
            </w:hyperlink>
          </w:p>
        </w:tc>
        <w:tc>
          <w:tcPr>
            <w:tcW w:w="25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8"/>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91"/>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23"/>
                <w:szCs w:val="23"/>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23"/>
                <w:szCs w:val="23"/>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3"/>
                <w:szCs w:val="23"/>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3"/>
                <w:szCs w:val="23"/>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3"/>
                <w:szCs w:val="23"/>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05"/>
        </w:trPr>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 Filed herewith.</w:t>
            </w:r>
          </w:p>
        </w:tc>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6" w:right="2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BRIGHTHOUSE FINANCIAL, INC.</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60" w:type="dxa"/>
            <w:vAlign w:val="bottom"/>
            <w:gridSpan w:val="2"/>
          </w:tcPr>
          <w:p>
            <w:pPr>
              <w:ind w:left="2280"/>
              <w:spacing w:after="0"/>
              <w:rPr>
                <w:sz w:val="20"/>
                <w:szCs w:val="20"/>
                <w:color w:val="auto"/>
              </w:rPr>
            </w:pPr>
            <w:r>
              <w:rPr>
                <w:rFonts w:ascii="Arial" w:cs="Arial" w:eastAsia="Arial" w:hAnsi="Arial"/>
                <w:sz w:val="18"/>
                <w:szCs w:val="18"/>
                <w:color w:val="auto"/>
              </w:rPr>
              <w:t>By:</w:t>
            </w:r>
          </w:p>
        </w:tc>
        <w:tc>
          <w:tcPr>
            <w:tcW w:w="5240" w:type="dxa"/>
            <w:vAlign w:val="bottom"/>
          </w:tcPr>
          <w:p>
            <w:pPr>
              <w:ind w:left="140"/>
              <w:spacing w:after="0"/>
              <w:rPr>
                <w:sz w:val="20"/>
                <w:szCs w:val="20"/>
                <w:color w:val="auto"/>
              </w:rPr>
            </w:pPr>
            <w:r>
              <w:rPr>
                <w:rFonts w:ascii="Arial" w:cs="Arial" w:eastAsia="Arial" w:hAnsi="Arial"/>
                <w:sz w:val="18"/>
                <w:szCs w:val="18"/>
                <w:color w:val="auto"/>
              </w:rPr>
              <w:t>/s/ Anant Bhalla</w:t>
            </w:r>
          </w:p>
        </w:tc>
      </w:tr>
      <w:tr>
        <w:trPr>
          <w:trHeight w:val="27"/>
        </w:trPr>
        <w:tc>
          <w:tcPr>
            <w:tcW w:w="2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5240" w:type="dxa"/>
            <w:vAlign w:val="bottom"/>
          </w:tcPr>
          <w:p>
            <w:pPr>
              <w:ind w:left="140"/>
              <w:spacing w:after="0"/>
              <w:rPr>
                <w:sz w:val="20"/>
                <w:szCs w:val="20"/>
                <w:color w:val="auto"/>
              </w:rPr>
            </w:pPr>
            <w:r>
              <w:rPr>
                <w:rFonts w:ascii="Arial" w:cs="Arial" w:eastAsia="Arial" w:hAnsi="Arial"/>
                <w:sz w:val="18"/>
                <w:szCs w:val="18"/>
                <w:color w:val="auto"/>
              </w:rPr>
              <w:t>Anant Bhalla</w:t>
            </w:r>
          </w:p>
        </w:tc>
      </w:tr>
      <w:tr>
        <w:trPr>
          <w:trHeight w:val="270"/>
        </w:trPr>
        <w:tc>
          <w:tcPr>
            <w:tcW w:w="262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52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(Authorized Signatory and Principal Financial Officer)</w:t>
            </w:r>
          </w:p>
        </w:tc>
      </w:tr>
      <w:tr>
        <w:trPr>
          <w:trHeight w:val="459"/>
        </w:trPr>
        <w:tc>
          <w:tcPr>
            <w:tcW w:w="3260" w:type="dxa"/>
            <w:vAlign w:val="bottom"/>
            <w:gridSpan w:val="2"/>
          </w:tcPr>
          <w:p>
            <w:pPr>
              <w:spacing w:after="0"/>
              <w:rPr>
                <w:sz w:val="20"/>
                <w:szCs w:val="20"/>
                <w:color w:val="auto"/>
              </w:rPr>
            </w:pPr>
            <w:r>
              <w:rPr>
                <w:rFonts w:ascii="Arial" w:cs="Arial" w:eastAsia="Arial" w:hAnsi="Arial"/>
                <w:sz w:val="18"/>
                <w:szCs w:val="18"/>
                <w:color w:val="auto"/>
              </w:rPr>
              <w:t>Date: May 9, 2018</w:t>
            </w:r>
          </w:p>
        </w:tc>
        <w:tc>
          <w:tcPr>
            <w:tcW w:w="5240" w:type="dxa"/>
            <w:vAlign w:val="bottom"/>
          </w:tcPr>
          <w:p>
            <w:pPr>
              <w:spacing w:after="0"/>
              <w:rPr>
                <w:sz w:val="24"/>
                <w:szCs w:val="24"/>
                <w:color w:val="auto"/>
              </w:rPr>
            </w:pPr>
          </w:p>
        </w:tc>
      </w:tr>
      <w:tr>
        <w:trPr>
          <w:trHeight w:val="459"/>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40" w:type="dxa"/>
            <w:vAlign w:val="bottom"/>
          </w:tcPr>
          <w:p>
            <w:pPr>
              <w:ind w:left="198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420"/>
          </w:cols>
          <w:pgMar w:left="240" w:top="126" w:right="239" w:bottom="1440" w:gutter="0" w:footer="0" w:header="0"/>
        </w:sectPr>
      </w:pPr>
    </w:p>
    <w:bookmarkStart w:id="107" w:name="page108"/>
    <w:bookmarkEnd w:id="107"/>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171"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0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President and</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08" w:name="page109"/>
    <w:bookmarkEnd w:id="108"/>
    <w:p>
      <w:pPr>
        <w:ind w:left="1048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Anant Bhalla, certify that:</w:t>
      </w:r>
    </w:p>
    <w:p>
      <w:pPr>
        <w:spacing w:after="0" w:line="171"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2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06"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 Eric T. Steigerwalt, certify that, to my knowledge, (i) Brighthouse Financial, Inc.'s Quarterly Report on Form 10-Q for the quarter ended March 31, 2018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322"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31750</wp:posOffset>
            </wp:positionV>
            <wp:extent cx="2992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President and</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 Anant Bhalla, certify that, to my knowledge, (i) Brighthouse Financial, Inc.’s Quarterly Report on Form 10-Q for the quarter ended March 31, 2018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322"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lvl w:ilvl="1">
      <w:lvlJc w:val="left"/>
      <w:lvlText w:val="☐"/>
      <w:numFmt w:val="bullet"/>
      <w:start w:val="1"/>
    </w:lvl>
  </w:abstractNum>
  <w:abstractNum w:abstractNumId="1">
    <w:nsid w:val="614FD4A1"/>
    <w:multiLevelType w:val="hybridMultilevel"/>
    <w:lvl w:ilvl="0">
      <w:lvlJc w:val="left"/>
      <w:lvlText w:val="%1"/>
      <w:numFmt w:val="decimal"/>
      <w:start w:val="105"/>
    </w:lvl>
    <w:lvl w:ilvl="1">
      <w:lvlJc w:val="left"/>
      <w:lvlText w:val="(%2)"/>
      <w:numFmt w:val="decimal"/>
      <w:start w:val="4"/>
    </w:lvl>
  </w:abstractNum>
  <w:abstractNum w:abstractNumId="2">
    <w:nsid w:val="419AC241"/>
    <w:multiLevelType w:val="hybridMultilevel"/>
    <w:lvl w:ilvl="0">
      <w:lvlJc w:val="left"/>
      <w:lvlText w:val="(%1)"/>
      <w:numFmt w:val="decimal"/>
      <w:start w:val="4"/>
    </w:lvl>
  </w:abstractNum>
  <w:abstractNum w:abstractNumId="3">
    <w:nsid w:val="5577F8E1"/>
    <w:multiLevelType w:val="hybridMultilevel"/>
    <w:lvl w:ilvl="0">
      <w:lvlJc w:val="left"/>
      <w:lvlText w:val="(%1)"/>
      <w:numFmt w:val="decimal"/>
      <w:start w:val="334"/>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lowerRoman"/>
      <w:start w:val="4"/>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lowerRoman"/>
      <w:start w:val="3"/>
    </w:lvl>
  </w:abstractNum>
  <w:abstractNum w:abstractNumId="12">
    <w:nsid w:val="51EAD36B"/>
    <w:multiLevelType w:val="hybridMultilevel"/>
    <w:lvl w:ilvl="0">
      <w:lvlJc w:val="left"/>
      <w:lvlText w:val="%1."/>
      <w:numFmt w:val="decimal"/>
      <w:start w:val="4"/>
    </w:lvl>
  </w:abstractNum>
  <w:abstractNum w:abstractNumId="13">
    <w:nsid w:val="2D517796"/>
    <w:multiLevelType w:val="hybridMultilevel"/>
    <w:lvl w:ilvl="0">
      <w:lvlJc w:val="left"/>
      <w:lvlText w:val="%1."/>
      <w:numFmt w:val="decimal"/>
      <w:start w:val="4"/>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lowerRoman"/>
      <w:start w:val="2"/>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5"/>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4"/>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7"/>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8"/>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lvl w:ilvl="1">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lowerRoman"/>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lowerRoman"/>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emdash "/>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97" Type="http://schemas.openxmlformats.org/officeDocument/2006/relationships/hyperlink" Target="http://www.sec.gov/Archives/edgar/data/1685040/000116760918000005/bhf-12312017xex1092.htm" TargetMode="External"/><Relationship Id="rId98" Type="http://schemas.openxmlformats.org/officeDocument/2006/relationships/hyperlink" Target="http://www.sec.gov/Archives/edgar/data/1685040/000116760918000005/bhf-12312017xex101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2019-12-28T22:14:25Z</dcterms:created>
  <dcterms:modified xsi:type="dcterms:W3CDTF">2019-12-28T22:14:25Z</dcterms:modified>
</cp:coreProperties>
</file>