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440690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280670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10-Q</w:t>
      </w:r>
    </w:p>
    <w:p>
      <w:pPr>
        <w:spacing w:after="0" w:line="346" w:lineRule="exact"/>
        <w:rPr>
          <w:sz w:val="24"/>
          <w:szCs w:val="24"/>
          <w:color w:val="auto"/>
        </w:rPr>
      </w:pPr>
    </w:p>
    <w:p>
      <w:pPr>
        <w:ind w:left="4300" w:right="3400" w:hanging="3907"/>
        <w:spacing w:after="0" w:line="563" w:lineRule="auto"/>
        <w:tabs>
          <w:tab w:leader="none" w:pos="70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71" w:lineRule="exact"/>
        <w:rPr>
          <w:sz w:val="24"/>
          <w:szCs w:val="24"/>
          <w:color w:val="auto"/>
        </w:rPr>
      </w:pPr>
    </w:p>
    <w:p>
      <w:pPr>
        <w:ind w:left="820" w:hanging="326"/>
        <w:spacing w:after="0"/>
        <w:tabs>
          <w:tab w:leader="none" w:pos="8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3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323850</wp:posOffset>
            </wp:positionV>
            <wp:extent cx="221234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Brighthouse Financial, Inc.</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182"/>
        </w:trPr>
        <w:tc>
          <w:tcPr>
            <w:tcW w:w="6640" w:type="dxa"/>
            <w:vAlign w:val="bottom"/>
          </w:tcPr>
          <w:p>
            <w:pPr>
              <w:jc w:val="right"/>
              <w:ind w:right="169"/>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300" w:type="dxa"/>
            <w:vAlign w:val="bottom"/>
          </w:tcPr>
          <w:p>
            <w:pPr>
              <w:spacing w:after="0"/>
              <w:rPr>
                <w:sz w:val="15"/>
                <w:szCs w:val="15"/>
                <w:color w:val="auto"/>
              </w:rPr>
            </w:pPr>
          </w:p>
        </w:tc>
      </w:tr>
      <w:tr>
        <w:trPr>
          <w:trHeight w:val="351"/>
        </w:trPr>
        <w:tc>
          <w:tcPr>
            <w:tcW w:w="6640" w:type="dxa"/>
            <w:vAlign w:val="bottom"/>
          </w:tcPr>
          <w:p>
            <w:pPr>
              <w:jc w:val="center"/>
              <w:ind w:right="2589"/>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jc w:val="right"/>
              <w:ind w:right="608"/>
              <w:spacing w:after="0"/>
              <w:rPr>
                <w:sz w:val="20"/>
                <w:szCs w:val="20"/>
                <w:color w:val="auto"/>
              </w:rPr>
            </w:pPr>
            <w:r>
              <w:rPr>
                <w:rFonts w:ascii="Arial" w:cs="Arial" w:eastAsia="Arial" w:hAnsi="Arial"/>
                <w:sz w:val="14"/>
                <w:szCs w:val="14"/>
                <w:b w:val="1"/>
                <w:bCs w:val="1"/>
                <w:color w:val="auto"/>
              </w:rPr>
              <w:t>81-3846992</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5"/>
              </w:rPr>
              <w:t>(State of incorporation)</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6640" w:type="dxa"/>
            <w:vAlign w:val="bottom"/>
          </w:tcPr>
          <w:p>
            <w:pPr>
              <w:jc w:val="center"/>
              <w:ind w:right="2569"/>
              <w:spacing w:after="0"/>
              <w:rPr>
                <w:sz w:val="20"/>
                <w:szCs w:val="20"/>
                <w:color w:val="auto"/>
              </w:rPr>
            </w:pPr>
            <w:r>
              <w:rPr>
                <w:rFonts w:ascii="Arial" w:cs="Arial" w:eastAsia="Arial" w:hAnsi="Arial"/>
                <w:sz w:val="14"/>
                <w:szCs w:val="14"/>
                <w:b w:val="1"/>
                <w:bCs w:val="1"/>
                <w:color w:val="auto"/>
                <w:w w:val="95"/>
              </w:rPr>
              <w:t>11225 North Community House Road, Charlotte, North Carolina</w:t>
            </w:r>
          </w:p>
        </w:tc>
        <w:tc>
          <w:tcPr>
            <w:tcW w:w="2300" w:type="dxa"/>
            <w:vAlign w:val="bottom"/>
          </w:tcPr>
          <w:p>
            <w:pPr>
              <w:jc w:val="right"/>
              <w:ind w:right="768"/>
              <w:spacing w:after="0"/>
              <w:rPr>
                <w:sz w:val="20"/>
                <w:szCs w:val="20"/>
                <w:color w:val="auto"/>
              </w:rPr>
            </w:pPr>
            <w:r>
              <w:rPr>
                <w:rFonts w:ascii="Arial" w:cs="Arial" w:eastAsia="Arial" w:hAnsi="Arial"/>
                <w:sz w:val="14"/>
                <w:szCs w:val="14"/>
                <w:b w:val="1"/>
                <w:bCs w:val="1"/>
                <w:color w:val="auto"/>
              </w:rPr>
              <w:t>28277</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3"/>
              </w:rPr>
              <w:t>(Zip Code)</w:t>
            </w:r>
          </w:p>
        </w:tc>
      </w:tr>
      <w:tr>
        <w:trPr>
          <w:trHeight w:val="284"/>
        </w:trPr>
        <w:tc>
          <w:tcPr>
            <w:tcW w:w="6640" w:type="dxa"/>
            <w:vAlign w:val="bottom"/>
          </w:tcPr>
          <w:p>
            <w:pPr>
              <w:jc w:val="right"/>
              <w:ind w:right="1069"/>
              <w:spacing w:after="0"/>
              <w:rPr>
                <w:sz w:val="20"/>
                <w:szCs w:val="20"/>
                <w:color w:val="auto"/>
              </w:rPr>
            </w:pPr>
            <w:r>
              <w:rPr>
                <w:rFonts w:ascii="Arial" w:cs="Arial" w:eastAsia="Arial" w:hAnsi="Arial"/>
                <w:sz w:val="14"/>
                <w:szCs w:val="14"/>
                <w:b w:val="1"/>
                <w:bCs w:val="1"/>
                <w:color w:val="auto"/>
              </w:rPr>
              <w:t>(980) 365-7100</w:t>
            </w:r>
          </w:p>
        </w:tc>
        <w:tc>
          <w:tcPr>
            <w:tcW w:w="2300" w:type="dxa"/>
            <w:vAlign w:val="bottom"/>
          </w:tcPr>
          <w:p>
            <w:pPr>
              <w:spacing w:after="0"/>
              <w:rPr>
                <w:sz w:val="24"/>
                <w:szCs w:val="24"/>
                <w:color w:val="auto"/>
              </w:rPr>
            </w:pPr>
          </w:p>
        </w:tc>
      </w:tr>
      <w:tr>
        <w:trPr>
          <w:trHeight w:val="307"/>
        </w:trPr>
        <w:tc>
          <w:tcPr>
            <w:tcW w:w="6640" w:type="dxa"/>
            <w:vAlign w:val="bottom"/>
          </w:tcPr>
          <w:p>
            <w:pPr>
              <w:jc w:val="right"/>
              <w:ind w:right="169"/>
              <w:spacing w:after="0"/>
              <w:rPr>
                <w:sz w:val="20"/>
                <w:szCs w:val="20"/>
                <w:color w:val="auto"/>
              </w:rPr>
            </w:pPr>
            <w:r>
              <w:rPr>
                <w:rFonts w:ascii="Arial" w:cs="Arial" w:eastAsia="Arial" w:hAnsi="Arial"/>
                <w:sz w:val="13"/>
                <w:szCs w:val="13"/>
                <w:i w:val="1"/>
                <w:iCs w:val="1"/>
                <w:color w:val="auto"/>
              </w:rPr>
              <w:t>(Registrant’s telephone number, including area code)</w:t>
            </w:r>
          </w:p>
        </w:tc>
        <w:tc>
          <w:tcPr>
            <w:tcW w:w="2300" w:type="dxa"/>
            <w:vAlign w:val="bottom"/>
          </w:tcPr>
          <w:p>
            <w:pPr>
              <w:spacing w:after="0"/>
              <w:rPr>
                <w:sz w:val="24"/>
                <w:szCs w:val="24"/>
                <w:color w:val="auto"/>
              </w:rPr>
            </w:pPr>
          </w:p>
        </w:tc>
      </w:tr>
    </w:tbl>
    <w:p>
      <w:pPr>
        <w:spacing w:after="0" w:line="204"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56" w:right="239" w:bottom="1440" w:gutter="0" w:footer="0" w:header="0"/>
        </w:sectPr>
      </w:pPr>
    </w:p>
    <w:p>
      <w:pPr>
        <w:spacing w:after="0" w:line="371" w:lineRule="exact"/>
        <w:rPr>
          <w:sz w:val="24"/>
          <w:szCs w:val="24"/>
          <w:color w:val="auto"/>
        </w:rPr>
      </w:pPr>
    </w:p>
    <w:p>
      <w:pPr>
        <w:ind w:left="4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160" w:space="60"/>
            <w:col w:w="6760" w:space="720"/>
            <w:col w:w="840" w:space="60"/>
            <w:col w:w="1820"/>
          </w:cols>
          <w:pgMar w:left="240" w:top="756" w:right="23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180" w:lineRule="exact"/>
        <w:rPr>
          <w:sz w:val="24"/>
          <w:szCs w:val="24"/>
          <w:color w:val="auto"/>
        </w:rPr>
      </w:pPr>
    </w:p>
    <w:p>
      <w:pPr>
        <w:sectPr>
          <w:pgSz w:w="11900" w:h="16838" w:orient="portrait"/>
          <w:cols w:equalWidth="0" w:num="4">
            <w:col w:w="1100" w:space="120"/>
            <w:col w:w="6760" w:space="720"/>
            <w:col w:w="1380" w:space="60"/>
            <w:col w:w="1280"/>
          </w:cols>
          <w:pgMar w:left="240" w:top="756" w:right="23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6"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At November 2, 2018, 118,601,232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gridSpan w:val="10"/>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50"/>
        </w:trPr>
        <w:tc>
          <w:tcPr>
            <w:tcW w:w="1068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25"/>
          </w:tcPr>
          <w:p>
            <w:pPr>
              <w:spacing w:after="0"/>
              <w:rPr>
                <w:sz w:val="20"/>
                <w:szCs w:val="20"/>
                <w:color w:val="auto"/>
              </w:rPr>
            </w:pPr>
            <w:r>
              <w:rPr>
                <w:rFonts w:ascii="Arial" w:cs="Arial" w:eastAsia="Arial" w:hAnsi="Arial"/>
                <w:sz w:val="18"/>
                <w:szCs w:val="18"/>
                <w:color w:val="auto"/>
                <w:w w:val="91"/>
              </w:rPr>
              <w:t>Consolidated Financial Statements (at September 30, 2018 (Unaudited) and December 31, 2017 and for the Three Months and Nine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40" w:type="dxa"/>
            <w:vAlign w:val="bottom"/>
            <w:gridSpan w:val="25"/>
          </w:tcPr>
          <w:p>
            <w:pPr>
              <w:ind w:left="160"/>
              <w:spacing w:after="0"/>
              <w:rPr>
                <w:sz w:val="20"/>
                <w:szCs w:val="20"/>
                <w:color w:val="auto"/>
              </w:rPr>
            </w:pPr>
            <w:r>
              <w:rPr>
                <w:rFonts w:ascii="Arial" w:cs="Arial" w:eastAsia="Arial" w:hAnsi="Arial"/>
                <w:sz w:val="18"/>
                <w:szCs w:val="18"/>
                <w:color w:val="auto"/>
              </w:rPr>
              <w:t>Months Ended September 30, 2018 and 2017 (Unaudited)):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Interim Condensed Consolidated Balance Sheets</w:t>
              </w:r>
            </w:hyperlink>
          </w:p>
        </w:tc>
        <w:tc>
          <w:tcPr>
            <w:tcW w:w="5920" w:type="dxa"/>
            <w:vAlign w:val="bottom"/>
            <w:gridSpan w:val="10"/>
          </w:tcPr>
          <w:p>
            <w:pPr>
              <w:spacing w:after="0"/>
              <w:rPr>
                <w:sz w:val="19"/>
                <w:szCs w:val="19"/>
                <w:color w:val="auto"/>
              </w:rPr>
            </w:pPr>
          </w:p>
        </w:tc>
        <w:tc>
          <w:tcPr>
            <w:tcW w:w="580" w:type="dxa"/>
            <w:vAlign w:val="bottom"/>
            <w:gridSpan w:val="6"/>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Condensed Consolidated Statements of Operations and Comprehensive Income (Loss)</w:t>
              </w:r>
            </w:hyperlink>
          </w:p>
        </w:tc>
        <w:tc>
          <w:tcPr>
            <w:tcW w:w="680" w:type="dxa"/>
            <w:vAlign w:val="bottom"/>
            <w:gridSpan w:val="7"/>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0" w:type="dxa"/>
            <w:vAlign w:val="bottom"/>
            <w:tcBorders>
              <w:top w:val="single" w:sz="8" w:color="0000EE"/>
            </w:tcBorders>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Condensed Consolidated Statements of Equity</w:t>
              </w:r>
            </w:hyperlink>
          </w:p>
        </w:tc>
        <w:tc>
          <w:tcPr>
            <w:tcW w:w="2640" w:type="dxa"/>
            <w:vAlign w:val="bottom"/>
          </w:tcPr>
          <w:p>
            <w:pPr>
              <w:spacing w:after="0"/>
              <w:rPr>
                <w:sz w:val="21"/>
                <w:szCs w:val="21"/>
                <w:color w:val="auto"/>
              </w:rPr>
            </w:pPr>
          </w:p>
        </w:tc>
        <w:tc>
          <w:tcPr>
            <w:tcW w:w="580" w:type="dxa"/>
            <w:vAlign w:val="bottom"/>
            <w:gridSpan w:val="6"/>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Condensed Consolidated Statements of Cash Flows</w:t>
              </w:r>
            </w:hyperlink>
          </w:p>
        </w:tc>
        <w:tc>
          <w:tcPr>
            <w:tcW w:w="5140" w:type="dxa"/>
            <w:vAlign w:val="bottom"/>
            <w:gridSpan w:val="7"/>
          </w:tcPr>
          <w:p>
            <w:pPr>
              <w:spacing w:after="0"/>
              <w:rPr>
                <w:sz w:val="21"/>
                <w:szCs w:val="21"/>
                <w:color w:val="auto"/>
              </w:rPr>
            </w:pPr>
          </w:p>
        </w:tc>
        <w:tc>
          <w:tcPr>
            <w:tcW w:w="580" w:type="dxa"/>
            <w:vAlign w:val="bottom"/>
            <w:gridSpan w:val="6"/>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4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Interim Condensed Consolidated Financial Statements:</w:t>
              </w:r>
            </w:hyperlink>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2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 1 — Business, Basis of Presentation and Summary of Significant Accounting Policies</w:t>
              </w:r>
            </w:hyperlink>
          </w:p>
        </w:tc>
        <w:tc>
          <w:tcPr>
            <w:tcW w:w="680" w:type="dxa"/>
            <w:vAlign w:val="bottom"/>
            <w:gridSpan w:val="7"/>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80" w:type="dxa"/>
            <w:vAlign w:val="bottom"/>
            <w:tcBorders>
              <w:top w:val="single" w:sz="8" w:color="0000FF"/>
            </w:tcBorders>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2 — Segment Information</w:t>
              </w:r>
            </w:hyperlink>
          </w:p>
        </w:tc>
        <w:tc>
          <w:tcPr>
            <w:tcW w:w="2740" w:type="dxa"/>
            <w:vAlign w:val="bottom"/>
            <w:gridSpan w:val="2"/>
          </w:tcPr>
          <w:p>
            <w:pPr>
              <w:spacing w:after="0"/>
              <w:rPr>
                <w:sz w:val="21"/>
                <w:szCs w:val="21"/>
                <w:color w:val="auto"/>
              </w:rPr>
            </w:pPr>
          </w:p>
        </w:tc>
        <w:tc>
          <w:tcPr>
            <w:tcW w:w="580" w:type="dxa"/>
            <w:vAlign w:val="bottom"/>
            <w:gridSpan w:val="6"/>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7"/>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Note 3 — Insurance</w:t>
              </w:r>
            </w:hyperlink>
          </w:p>
        </w:tc>
        <w:tc>
          <w:tcPr>
            <w:tcW w:w="760" w:type="dxa"/>
            <w:vAlign w:val="bottom"/>
            <w:gridSpan w:val="4"/>
          </w:tcPr>
          <w:p>
            <w:pPr>
              <w:spacing w:after="0"/>
              <w:rPr>
                <w:sz w:val="21"/>
                <w:szCs w:val="21"/>
                <w:color w:val="auto"/>
              </w:rPr>
            </w:pPr>
          </w:p>
        </w:tc>
        <w:tc>
          <w:tcPr>
            <w:tcW w:w="7100" w:type="dxa"/>
            <w:vAlign w:val="bottom"/>
            <w:gridSpan w:val="12"/>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2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Note 4 — Investments</w:t>
              </w:r>
            </w:hyperlink>
          </w:p>
        </w:tc>
        <w:tc>
          <w:tcPr>
            <w:tcW w:w="680" w:type="dxa"/>
            <w:vAlign w:val="bottom"/>
            <w:gridSpan w:val="7"/>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9"/>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Note 5 — Derivatives</w:t>
              </w:r>
            </w:hyperlink>
          </w:p>
        </w:tc>
        <w:tc>
          <w:tcPr>
            <w:tcW w:w="7740" w:type="dxa"/>
            <w:vAlign w:val="bottom"/>
            <w:gridSpan w:val="14"/>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Note 6 — Fair Value</w:t>
              </w:r>
            </w:hyperlink>
          </w:p>
        </w:tc>
        <w:tc>
          <w:tcPr>
            <w:tcW w:w="80" w:type="dxa"/>
            <w:vAlign w:val="bottom"/>
          </w:tcPr>
          <w:p>
            <w:pPr>
              <w:spacing w:after="0"/>
              <w:rPr>
                <w:sz w:val="21"/>
                <w:szCs w:val="21"/>
                <w:color w:val="auto"/>
              </w:rPr>
            </w:pPr>
          </w:p>
        </w:tc>
        <w:tc>
          <w:tcPr>
            <w:tcW w:w="7740" w:type="dxa"/>
            <w:vAlign w:val="bottom"/>
            <w:gridSpan w:val="14"/>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10"/>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Note 7 — Long-term Debt</w:t>
              </w:r>
            </w:hyperlink>
          </w:p>
        </w:tc>
        <w:tc>
          <w:tcPr>
            <w:tcW w:w="7400" w:type="dxa"/>
            <w:vAlign w:val="bottom"/>
            <w:gridSpan w:val="13"/>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6"/>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Note 8 — Equity</w:t>
              </w:r>
            </w:hyperlink>
          </w:p>
        </w:tc>
        <w:tc>
          <w:tcPr>
            <w:tcW w:w="680" w:type="dxa"/>
            <w:vAlign w:val="bottom"/>
            <w:gridSpan w:val="4"/>
          </w:tcPr>
          <w:p>
            <w:pPr>
              <w:spacing w:after="0"/>
              <w:rPr>
                <w:sz w:val="21"/>
                <w:szCs w:val="21"/>
                <w:color w:val="auto"/>
              </w:rPr>
            </w:pPr>
          </w:p>
        </w:tc>
        <w:tc>
          <w:tcPr>
            <w:tcW w:w="7400" w:type="dxa"/>
            <w:vAlign w:val="bottom"/>
            <w:gridSpan w:val="13"/>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3"/>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Note 9 — Other Revenues and Other Expenses</w:t>
              </w:r>
            </w:hyperlink>
          </w:p>
        </w:tc>
        <w:tc>
          <w:tcPr>
            <w:tcW w:w="5920" w:type="dxa"/>
            <w:vAlign w:val="bottom"/>
            <w:gridSpan w:val="10"/>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Note 10 — Earnings Per Share</w:t>
              </w:r>
            </w:hyperlink>
          </w:p>
        </w:tc>
        <w:tc>
          <w:tcPr>
            <w:tcW w:w="5920" w:type="dxa"/>
            <w:vAlign w:val="bottom"/>
            <w:gridSpan w:val="10"/>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gridSpan w:val="15"/>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Note 11 — Contingencies, Commitments and Guarantees</w:t>
              </w:r>
            </w:hyperlink>
          </w:p>
        </w:tc>
        <w:tc>
          <w:tcPr>
            <w:tcW w:w="5180" w:type="dxa"/>
            <w:vAlign w:val="bottom"/>
            <w:gridSpan w:val="8"/>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Note 12 — Related Party Transactions</w:t>
              </w:r>
            </w:hyperlink>
          </w:p>
        </w:tc>
        <w:tc>
          <w:tcPr>
            <w:tcW w:w="1360" w:type="dxa"/>
            <w:vAlign w:val="bottom"/>
            <w:gridSpan w:val="3"/>
          </w:tcPr>
          <w:p>
            <w:pPr>
              <w:spacing w:after="0"/>
              <w:rPr>
                <w:sz w:val="21"/>
                <w:szCs w:val="21"/>
                <w:color w:val="auto"/>
              </w:rPr>
            </w:pPr>
          </w:p>
        </w:tc>
        <w:tc>
          <w:tcPr>
            <w:tcW w:w="5180" w:type="dxa"/>
            <w:vAlign w:val="bottom"/>
            <w:gridSpan w:val="8"/>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2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Management’s Discussion and Analysis of Financial Condition and Results of Operations</w:t>
              </w:r>
            </w:hyperlink>
          </w:p>
        </w:tc>
        <w:tc>
          <w:tcPr>
            <w:tcW w:w="680" w:type="dxa"/>
            <w:vAlign w:val="bottom"/>
            <w:gridSpan w:val="7"/>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2"/>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Quantitative and Qualitative Disclosures About Market Risk</w:t>
              </w:r>
            </w:hyperlink>
          </w:p>
        </w:tc>
        <w:tc>
          <w:tcPr>
            <w:tcW w:w="2820" w:type="dxa"/>
            <w:vAlign w:val="bottom"/>
            <w:gridSpan w:val="3"/>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20"/>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Controls and Procedures</w:t>
              </w:r>
            </w:hyperlink>
          </w:p>
        </w:tc>
        <w:tc>
          <w:tcPr>
            <w:tcW w:w="4980" w:type="dxa"/>
            <w:vAlign w:val="bottom"/>
            <w:gridSpan w:val="5"/>
          </w:tcPr>
          <w:p>
            <w:pPr>
              <w:spacing w:after="0"/>
              <w:rPr>
                <w:sz w:val="21"/>
                <w:szCs w:val="21"/>
                <w:color w:val="auto"/>
              </w:rPr>
            </w:pPr>
          </w:p>
        </w:tc>
        <w:tc>
          <w:tcPr>
            <w:tcW w:w="680" w:type="dxa"/>
            <w:vAlign w:val="bottom"/>
            <w:gridSpan w:val="7"/>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24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113">
              <w:r>
                <w:rPr>
                  <w:rFonts w:ascii="Arial" w:cs="Arial" w:eastAsia="Arial" w:hAnsi="Arial"/>
                  <w:sz w:val="18"/>
                  <w:szCs w:val="18"/>
                  <w:b w:val="1"/>
                  <w:bCs w:val="1"/>
                  <w:color w:val="0000EE"/>
                  <w:w w:val="96"/>
                </w:rPr>
                <w:t>Part II — Other Information</w:t>
              </w:r>
            </w:hyperlink>
          </w:p>
        </w:tc>
        <w:tc>
          <w:tcPr>
            <w:tcW w:w="8440" w:type="dxa"/>
            <w:vAlign w:val="bottom"/>
            <w:gridSpan w:val="20"/>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7"/>
          </w:tcPr>
          <w:p>
            <w:pPr>
              <w:spacing w:after="0"/>
              <w:rPr>
                <w:rFonts w:ascii="Arial" w:cs="Arial" w:eastAsia="Arial" w:hAnsi="Arial"/>
                <w:sz w:val="18"/>
                <w:szCs w:val="18"/>
                <w:b w:val="1"/>
                <w:bCs w:val="1"/>
                <w:color w:val="0000EE"/>
                <w:w w:val="86"/>
              </w:rPr>
            </w:pPr>
            <w:hyperlink w:anchor="page113">
              <w:r>
                <w:rPr>
                  <w:rFonts w:ascii="Arial" w:cs="Arial" w:eastAsia="Arial" w:hAnsi="Arial"/>
                  <w:sz w:val="18"/>
                  <w:szCs w:val="18"/>
                  <w:b w:val="1"/>
                  <w:bCs w:val="1"/>
                  <w:color w:val="0000EE"/>
                  <w:w w:val="86"/>
                </w:rPr>
                <w:t>Legal Proceedings</w:t>
              </w:r>
            </w:hyperlink>
          </w:p>
        </w:tc>
        <w:tc>
          <w:tcPr>
            <w:tcW w:w="8240" w:type="dxa"/>
            <w:vAlign w:val="bottom"/>
            <w:gridSpan w:val="18"/>
          </w:tcPr>
          <w:p>
            <w:pPr>
              <w:spacing w:after="0"/>
              <w:rPr>
                <w:sz w:val="21"/>
                <w:szCs w:val="21"/>
                <w:color w:val="auto"/>
              </w:rPr>
            </w:pPr>
          </w:p>
        </w:tc>
        <w:tc>
          <w:tcPr>
            <w:tcW w:w="400" w:type="dxa"/>
            <w:vAlign w:val="bottom"/>
            <w:gridSpan w:val="2"/>
          </w:tcPr>
          <w:p>
            <w:pPr>
              <w:spacing w:after="0"/>
              <w:rPr>
                <w:sz w:val="21"/>
                <w:szCs w:val="21"/>
                <w:color w:val="auto"/>
              </w:rPr>
            </w:pPr>
          </w:p>
        </w:tc>
        <w:tc>
          <w:tcPr>
            <w:tcW w:w="28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112</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1A.</w:t>
            </w:r>
          </w:p>
        </w:tc>
        <w:tc>
          <w:tcPr>
            <w:tcW w:w="9640" w:type="dxa"/>
            <w:vAlign w:val="bottom"/>
            <w:gridSpan w:val="25"/>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Risk Factors</w:t>
              </w:r>
            </w:hyperlink>
          </w:p>
        </w:tc>
        <w:tc>
          <w:tcPr>
            <w:tcW w:w="680" w:type="dxa"/>
            <w:vAlign w:val="bottom"/>
            <w:gridSpan w:val="7"/>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gridSpan w:val="1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25"/>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Unregistered Sales of Equity Securities and Use of Proceeds</w:t>
              </w:r>
            </w:hyperlink>
          </w:p>
        </w:tc>
        <w:tc>
          <w:tcPr>
            <w:tcW w:w="680" w:type="dxa"/>
            <w:vAlign w:val="bottom"/>
            <w:gridSpan w:val="7"/>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115">
              <w:r>
                <w:rPr>
                  <w:rFonts w:ascii="Arial" w:cs="Arial" w:eastAsia="Arial" w:hAnsi="Arial"/>
                  <w:sz w:val="18"/>
                  <w:szCs w:val="18"/>
                  <w:b w:val="1"/>
                  <w:bCs w:val="1"/>
                  <w:color w:val="0000EE"/>
                  <w:w w:val="88"/>
                </w:rPr>
                <w:t>Exhibits</w:t>
              </w:r>
            </w:hyperlink>
          </w:p>
        </w:tc>
        <w:tc>
          <w:tcPr>
            <w:tcW w:w="3920" w:type="dxa"/>
            <w:vAlign w:val="bottom"/>
            <w:tcBorders>
              <w:top w:val="single" w:sz="8" w:color="0000EE"/>
            </w:tcBorders>
            <w:gridSpan w:val="16"/>
          </w:tcPr>
          <w:p>
            <w:pPr>
              <w:spacing w:after="0"/>
              <w:rPr>
                <w:sz w:val="21"/>
                <w:szCs w:val="21"/>
                <w:color w:val="auto"/>
              </w:rPr>
            </w:pPr>
          </w:p>
        </w:tc>
        <w:tc>
          <w:tcPr>
            <w:tcW w:w="5080" w:type="dxa"/>
            <w:vAlign w:val="bottom"/>
            <w:gridSpan w:val="6"/>
          </w:tcPr>
          <w:p>
            <w:pPr>
              <w:spacing w:after="0"/>
              <w:rPr>
                <w:sz w:val="21"/>
                <w:szCs w:val="21"/>
                <w:color w:val="auto"/>
              </w:rPr>
            </w:pPr>
          </w:p>
        </w:tc>
        <w:tc>
          <w:tcPr>
            <w:tcW w:w="400" w:type="dxa"/>
            <w:vAlign w:val="bottom"/>
            <w:gridSpan w:val="2"/>
          </w:tcPr>
          <w:p>
            <w:pPr>
              <w:spacing w:after="0"/>
              <w:rPr>
                <w:sz w:val="21"/>
                <w:szCs w:val="21"/>
                <w:color w:val="auto"/>
              </w:rPr>
            </w:pPr>
          </w:p>
        </w:tc>
        <w:tc>
          <w:tcPr>
            <w:tcW w:w="280" w:type="dxa"/>
            <w:vAlign w:val="bottom"/>
            <w:tcBorders>
              <w:top w:val="single" w:sz="8" w:color="0000EE"/>
              <w:bottom w:val="single" w:sz="8" w:color="0000EE"/>
            </w:tcBorders>
            <w:gridSpan w:val="5"/>
          </w:tcPr>
          <w:p>
            <w:pPr>
              <w:jc w:val="right"/>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r>
      <w:tr>
        <w:trPr>
          <w:trHeight w:val="372"/>
        </w:trPr>
        <w:tc>
          <w:tcPr>
            <w:tcW w:w="820" w:type="dxa"/>
            <w:vAlign w:val="bottom"/>
            <w:tcBorders>
              <w:bottom w:val="single" w:sz="8" w:color="0000EE"/>
            </w:tcBorders>
          </w:tcPr>
          <w:p>
            <w:pPr>
              <w:spacing w:after="0"/>
              <w:rPr>
                <w:rFonts w:ascii="Arial" w:cs="Arial" w:eastAsia="Arial" w:hAnsi="Arial"/>
                <w:sz w:val="18"/>
                <w:szCs w:val="18"/>
                <w:b w:val="1"/>
                <w:bCs w:val="1"/>
                <w:color w:val="0000EE"/>
                <w:w w:val="85"/>
              </w:rPr>
            </w:pPr>
            <w:hyperlink w:anchor="page116">
              <w:r>
                <w:rPr>
                  <w:rFonts w:ascii="Arial" w:cs="Arial" w:eastAsia="Arial" w:hAnsi="Arial"/>
                  <w:sz w:val="18"/>
                  <w:szCs w:val="18"/>
                  <w:b w:val="1"/>
                  <w:bCs w:val="1"/>
                  <w:color w:val="0000EE"/>
                  <w:w w:val="85"/>
                </w:rPr>
                <w:t>Signatures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28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115</w:t>
              </w:r>
            </w:hyperlink>
          </w:p>
        </w:tc>
      </w:tr>
    </w:tbl>
    <w:p>
      <w:pPr>
        <w:sectPr>
          <w:pgSz w:w="11900" w:h="16838" w:orient="portrait"/>
          <w:cols w:equalWidth="0" w:num="1">
            <w:col w:w="11360"/>
          </w:cols>
          <w:pgMar w:left="280" w:top="526"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Item 1. Financial Statements</w:t>
      </w:r>
    </w:p>
    <w:p>
      <w:pPr>
        <w:spacing w:after="0" w:line="16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September 30, 2018 (Unaudited) and December 31, 2017</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2018</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3"/>
                <w:szCs w:val="13"/>
                <w:b w:val="1"/>
                <w:bCs w:val="1"/>
                <w:color w:val="auto"/>
                <w:w w:val="88"/>
              </w:rPr>
              <w:t>December 31, 2017</w:t>
            </w:r>
          </w:p>
        </w:tc>
        <w:tc>
          <w:tcPr>
            <w:tcW w:w="0" w:type="dxa"/>
            <w:vAlign w:val="bottom"/>
          </w:tcPr>
          <w:p>
            <w:pPr>
              <w:spacing w:after="0"/>
              <w:rPr>
                <w:sz w:val="1"/>
                <w:szCs w:val="1"/>
                <w:color w:val="auto"/>
              </w:rPr>
            </w:pPr>
          </w:p>
        </w:tc>
      </w:tr>
      <w:tr>
        <w:trPr>
          <w:trHeight w:val="17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available-for-sale, at estimated fair value (amortized cost: $60,705 and $60,173,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Equity securities, at estimated fair value (cost: $139 and $142, respectively)</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valuation allowances of $56 and $47, respectively; includes $93 and $115, respectively, at estimated fair value,</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relating to variable interest entities)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10,742</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joint ventures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81,329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82,338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 principally at estimated fair value</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 (includes $0 and $1, respectively, relating to variable interest entities)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13,551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13,525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216,946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224,192</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Future policy benefits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35,748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37,783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policy-related balances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2,907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Long-term debt (includes $3 and $11, respectively, at estimated fair value, relating to variable interest entities)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3,612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liability</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5,575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5,263</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liabilities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203,997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209,612</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Contingencies, Commitments and Guarantees (Note 11)</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Brighthouse Financial, Inc.’s stockholders’ equity:</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460" w:type="dxa"/>
            <w:vAlign w:val="bottom"/>
          </w:tcPr>
          <w:p>
            <w:pPr>
              <w:ind w:left="40"/>
              <w:spacing w:after="0" w:line="157" w:lineRule="exact"/>
              <w:rPr>
                <w:sz w:val="20"/>
                <w:szCs w:val="20"/>
                <w:color w:val="auto"/>
              </w:rPr>
            </w:pPr>
            <w:r>
              <w:rPr>
                <w:rFonts w:ascii="Arial" w:cs="Arial" w:eastAsia="Arial" w:hAnsi="Arial"/>
                <w:sz w:val="14"/>
                <w:szCs w:val="14"/>
                <w:color w:val="auto"/>
                <w:w w:val="99"/>
              </w:rPr>
              <w:t>Common stock, par value $0.01 per share; 1,000,000,000 shares authorized; 119,782,668 and 119,773,106 shares issued, respectively;</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60" w:type="dxa"/>
            <w:vAlign w:val="bottom"/>
          </w:tcPr>
          <w:p>
            <w:pPr>
              <w:ind w:left="200"/>
              <w:spacing w:after="0"/>
              <w:rPr>
                <w:sz w:val="20"/>
                <w:szCs w:val="20"/>
                <w:color w:val="auto"/>
              </w:rPr>
            </w:pPr>
            <w:r>
              <w:rPr>
                <w:rFonts w:ascii="Arial" w:cs="Arial" w:eastAsia="Arial" w:hAnsi="Arial"/>
                <w:sz w:val="14"/>
                <w:szCs w:val="14"/>
                <w:color w:val="auto"/>
              </w:rPr>
              <w:t>118,800,611 and 119,773,106 shares outstanding, respectively</w:t>
            </w:r>
          </w:p>
        </w:tc>
        <w:tc>
          <w:tcPr>
            <w:tcW w:w="16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Retained earnings (deficit)</w:t>
            </w:r>
          </w:p>
        </w:tc>
        <w:tc>
          <w:tcPr>
            <w:tcW w:w="16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at cost; 982,057 and 0 shares, respectively</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Brighthouse Financial, Inc.’s stockholders’ equity</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equity</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liabilities and equity</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216,946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224,192</w:t>
            </w:r>
          </w:p>
        </w:tc>
        <w:tc>
          <w:tcPr>
            <w:tcW w:w="0" w:type="dxa"/>
            <w:vAlign w:val="bottom"/>
          </w:tcPr>
          <w:p>
            <w:pPr>
              <w:spacing w:after="0"/>
              <w:rPr>
                <w:sz w:val="1"/>
                <w:szCs w:val="1"/>
                <w:color w:val="auto"/>
              </w:rPr>
            </w:pPr>
          </w:p>
        </w:tc>
      </w:tr>
      <w:tr>
        <w:trPr>
          <w:trHeight w:val="65"/>
        </w:trPr>
        <w:tc>
          <w:tcPr>
            <w:tcW w:w="846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420"/>
          </w:cols>
          <w:pgMar w:left="240" w:top="126" w:right="239" w:bottom="678"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6" w:right="239" w:bottom="678"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For the Three Months and Nine Months Ended September 30, 2018 and 2017 (Unaudited)</w:t>
      </w:r>
    </w:p>
    <w:p>
      <w:pPr>
        <w:spacing w:after="0" w:line="15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7"/>
                <w:szCs w:val="17"/>
                <w:color w:val="auto"/>
              </w:rPr>
            </w:pPr>
          </w:p>
        </w:tc>
        <w:tc>
          <w:tcPr>
            <w:tcW w:w="17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17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5,355</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Nine Months Ended September 30, 2018 and 2017 (Unaudited)</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Brighthouse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Retained</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6"/>
              </w:rPr>
              <w:t>Treasury</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54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9"/>
              </w:rPr>
              <w:t>Shareholder’s Net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Stock at</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Noncontrolling</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Investment</w:t>
            </w: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(Deficit)</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3"/>
              </w:rPr>
              <w:t>Interests</w:t>
            </w:r>
          </w:p>
        </w:tc>
        <w:tc>
          <w:tcPr>
            <w:tcW w:w="780" w:type="dxa"/>
            <w:vAlign w:val="bottom"/>
            <w:gridSpan w:val="2"/>
          </w:tcPr>
          <w:p>
            <w:pPr>
              <w:jc w:val="right"/>
              <w:ind w:right="17"/>
              <w:spacing w:after="0"/>
              <w:rPr>
                <w:sz w:val="20"/>
                <w:szCs w:val="20"/>
                <w:color w:val="auto"/>
              </w:rPr>
            </w:pPr>
            <w:r>
              <w:rPr>
                <w:rFonts w:ascii="Arial" w:cs="Arial" w:eastAsia="Arial" w:hAnsi="Arial"/>
                <w:sz w:val="12"/>
                <w:szCs w:val="12"/>
                <w:b w:val="1"/>
                <w:bCs w:val="1"/>
                <w:color w:val="auto"/>
                <w:w w:val="98"/>
              </w:rPr>
              <w:t>Total Equity</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December 31, 2017</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1,676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14,515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14,580</w:t>
            </w:r>
          </w:p>
        </w:tc>
      </w:tr>
      <w:tr>
        <w:trPr>
          <w:trHeight w:val="148"/>
        </w:trPr>
        <w:tc>
          <w:tcPr>
            <w:tcW w:w="2540" w:type="dxa"/>
            <w:vAlign w:val="bottom"/>
          </w:tcPr>
          <w:p>
            <w:pPr>
              <w:ind w:left="40"/>
              <w:spacing w:after="0" w:line="148" w:lineRule="exact"/>
              <w:rPr>
                <w:sz w:val="20"/>
                <w:szCs w:val="20"/>
                <w:color w:val="auto"/>
              </w:rPr>
            </w:pPr>
            <w:r>
              <w:rPr>
                <w:rFonts w:ascii="Arial" w:cs="Arial" w:eastAsia="Arial" w:hAnsi="Arial"/>
                <w:sz w:val="13"/>
                <w:szCs w:val="13"/>
                <w:color w:val="auto"/>
              </w:rPr>
              <w:t>Cumulative effect of change in accounting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2540" w:type="dxa"/>
            <w:vAlign w:val="bottom"/>
          </w:tcPr>
          <w:p>
            <w:pPr>
              <w:ind w:left="200"/>
              <w:spacing w:after="0" w:line="135" w:lineRule="exact"/>
              <w:rPr>
                <w:sz w:val="20"/>
                <w:szCs w:val="20"/>
                <w:color w:val="auto"/>
              </w:rPr>
            </w:pPr>
            <w:r>
              <w:rPr>
                <w:rFonts w:ascii="Arial" w:cs="Arial" w:eastAsia="Arial" w:hAnsi="Arial"/>
                <w:sz w:val="13"/>
                <w:szCs w:val="13"/>
                <w:color w:val="auto"/>
              </w:rPr>
              <w:t>principle and other, net of income tax</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0"/>
        </w:trPr>
        <w:tc>
          <w:tcPr>
            <w:tcW w:w="25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(Note 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57"/>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1, 2018</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1,597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14,511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14,576</w:t>
            </w:r>
          </w:p>
        </w:tc>
      </w:tr>
      <w:tr>
        <w:trPr>
          <w:trHeight w:val="148"/>
        </w:trPr>
        <w:tc>
          <w:tcPr>
            <w:tcW w:w="254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 in connection with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8"/>
        </w:trPr>
        <w:tc>
          <w:tcPr>
            <w:tcW w:w="2540" w:type="dxa"/>
            <w:vAlign w:val="bottom"/>
          </w:tcPr>
          <w:p>
            <w:pPr>
              <w:ind w:left="200"/>
              <w:spacing w:after="0"/>
              <w:rPr>
                <w:sz w:val="20"/>
                <w:szCs w:val="20"/>
                <w:color w:val="auto"/>
              </w:rPr>
            </w:pPr>
            <w:r>
              <w:rPr>
                <w:rFonts w:ascii="Arial" w:cs="Arial" w:eastAsia="Arial" w:hAnsi="Arial"/>
                <w:sz w:val="13"/>
                <w:szCs w:val="13"/>
                <w:color w:val="auto"/>
              </w:rPr>
              <w:t>share repurchases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78"/>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r>
      <w:tr>
        <w:trPr>
          <w:trHeight w:val="262"/>
        </w:trPr>
        <w:tc>
          <w:tcPr>
            <w:tcW w:w="2540" w:type="dxa"/>
            <w:vAlign w:val="bottom"/>
          </w:tcPr>
          <w:p>
            <w:pPr>
              <w:ind w:left="40"/>
              <w:spacing w:after="0"/>
              <w:rPr>
                <w:sz w:val="20"/>
                <w:szCs w:val="20"/>
                <w:color w:val="auto"/>
              </w:rPr>
            </w:pPr>
            <w:r>
              <w:rPr>
                <w:rFonts w:ascii="Arial" w:cs="Arial" w:eastAsia="Arial" w:hAnsi="Arial"/>
                <w:sz w:val="13"/>
                <w:szCs w:val="13"/>
                <w:color w:val="auto"/>
              </w:rPr>
              <w:t>Change in noncontrolling interests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8"/>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r>
      <w:tr>
        <w:trPr>
          <w:trHeight w:val="148"/>
        </w:trPr>
        <w:tc>
          <w:tcPr>
            <w:tcW w:w="2540" w:type="dxa"/>
            <w:vAlign w:val="bottom"/>
          </w:tcPr>
          <w:p>
            <w:pPr>
              <w:ind w:left="40"/>
              <w:spacing w:after="0" w:line="148" w:lineRule="exact"/>
              <w:rPr>
                <w:sz w:val="20"/>
                <w:szCs w:val="20"/>
                <w:color w:val="auto"/>
              </w:rPr>
            </w:pPr>
            <w:r>
              <w:rPr>
                <w:rFonts w:ascii="Arial" w:cs="Arial" w:eastAsia="Arial" w:hAnsi="Arial"/>
                <w:sz w:val="13"/>
                <w:szCs w:val="13"/>
                <w:color w:val="auto"/>
              </w:rPr>
              <w:t>Other comprehensive income (loss), net of</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25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income tax</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r>
      <w:tr>
        <w:trPr>
          <w:trHeight w:val="242"/>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September 30, 2018</w:t>
            </w: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12,469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12,884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12,949</w:t>
            </w: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60"/>
        </w:trPr>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Brighthouse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Retained</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6"/>
              </w:rPr>
              <w:t>Treasury</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54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9"/>
              </w:rPr>
              <w:t>Shareholder’s Net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Stock at</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Noncontrolling</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Investment</w:t>
            </w: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(Deficit)</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3"/>
              </w:rPr>
              <w:t>Interests</w:t>
            </w:r>
          </w:p>
        </w:tc>
        <w:tc>
          <w:tcPr>
            <w:tcW w:w="780" w:type="dxa"/>
            <w:vAlign w:val="bottom"/>
            <w:gridSpan w:val="2"/>
          </w:tcPr>
          <w:p>
            <w:pPr>
              <w:jc w:val="right"/>
              <w:ind w:right="17"/>
              <w:spacing w:after="0"/>
              <w:rPr>
                <w:sz w:val="20"/>
                <w:szCs w:val="20"/>
                <w:color w:val="auto"/>
              </w:rPr>
            </w:pPr>
            <w:r>
              <w:rPr>
                <w:rFonts w:ascii="Arial" w:cs="Arial" w:eastAsia="Arial" w:hAnsi="Arial"/>
                <w:sz w:val="12"/>
                <w:szCs w:val="12"/>
                <w:b w:val="1"/>
                <w:bCs w:val="1"/>
                <w:color w:val="auto"/>
                <w:w w:val="98"/>
              </w:rPr>
              <w:t>Total Equity</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0"/>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December 31, 2016</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13,597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1,265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14,862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14,862</w:t>
            </w:r>
          </w:p>
        </w:tc>
      </w:tr>
      <w:tr>
        <w:trPr>
          <w:trHeight w:val="262"/>
        </w:trPr>
        <w:tc>
          <w:tcPr>
            <w:tcW w:w="2540" w:type="dxa"/>
            <w:vAlign w:val="bottom"/>
          </w:tcPr>
          <w:p>
            <w:pPr>
              <w:ind w:left="40"/>
              <w:spacing w:after="0"/>
              <w:rPr>
                <w:sz w:val="20"/>
                <w:szCs w:val="20"/>
                <w:color w:val="auto"/>
              </w:rPr>
            </w:pPr>
            <w:r>
              <w:rPr>
                <w:rFonts w:ascii="Arial" w:cs="Arial" w:eastAsia="Arial" w:hAnsi="Arial"/>
                <w:sz w:val="13"/>
                <w:szCs w:val="13"/>
                <w:color w:val="auto"/>
              </w:rPr>
              <w:t>Issuance of Common Stock to MetLife, Inc.</w:t>
            </w:r>
          </w:p>
        </w:tc>
        <w:tc>
          <w:tcPr>
            <w:tcW w:w="16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8"/>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MetLife, Inc.</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(1,798)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r>
      <w:tr>
        <w:trPr>
          <w:trHeight w:val="262"/>
        </w:trPr>
        <w:tc>
          <w:tcPr>
            <w:tcW w:w="2540" w:type="dxa"/>
            <w:vAlign w:val="bottom"/>
          </w:tcPr>
          <w:p>
            <w:pPr>
              <w:ind w:left="40"/>
              <w:spacing w:after="0"/>
              <w:rPr>
                <w:sz w:val="20"/>
                <w:szCs w:val="20"/>
                <w:color w:val="auto"/>
              </w:rPr>
            </w:pPr>
            <w:r>
              <w:rPr>
                <w:rFonts w:ascii="Arial" w:cs="Arial" w:eastAsia="Arial" w:hAnsi="Arial"/>
                <w:sz w:val="13"/>
                <w:szCs w:val="13"/>
                <w:color w:val="auto"/>
              </w:rPr>
              <w:t>Other separation related transactions</w:t>
            </w:r>
          </w:p>
        </w:tc>
        <w:tc>
          <w:tcPr>
            <w:tcW w:w="16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1,704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1,704</w:t>
            </w:r>
          </w:p>
        </w:tc>
      </w:tr>
      <w:tr>
        <w:trPr>
          <w:trHeight w:val="278"/>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r>
      <w:tr>
        <w:trPr>
          <w:trHeight w:val="262"/>
        </w:trPr>
        <w:tc>
          <w:tcPr>
            <w:tcW w:w="2540" w:type="dxa"/>
            <w:vAlign w:val="bottom"/>
          </w:tcPr>
          <w:p>
            <w:pPr>
              <w:ind w:left="40"/>
              <w:spacing w:after="0"/>
              <w:rPr>
                <w:sz w:val="20"/>
                <w:szCs w:val="20"/>
                <w:color w:val="auto"/>
              </w:rPr>
            </w:pPr>
            <w:r>
              <w:rPr>
                <w:rFonts w:ascii="Arial" w:cs="Arial" w:eastAsia="Arial" w:hAnsi="Arial"/>
                <w:sz w:val="13"/>
                <w:szCs w:val="13"/>
                <w:color w:val="auto"/>
              </w:rPr>
              <w:t>Separation from MetLife, Inc.</w:t>
            </w:r>
          </w:p>
        </w:tc>
        <w:tc>
          <w:tcPr>
            <w:tcW w:w="160" w:type="dxa"/>
            <w:vAlign w:val="bottom"/>
          </w:tcPr>
          <w:p>
            <w:pPr>
              <w:spacing w:after="0"/>
              <w:rPr>
                <w:sz w:val="22"/>
                <w:szCs w:val="22"/>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(12,419)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12,418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noncontrolling interests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w:t>
            </w:r>
          </w:p>
        </w:tc>
      </w:tr>
      <w:tr>
        <w:trPr>
          <w:trHeight w:val="148"/>
        </w:trPr>
        <w:tc>
          <w:tcPr>
            <w:tcW w:w="2540" w:type="dxa"/>
            <w:vAlign w:val="bottom"/>
          </w:tcPr>
          <w:p>
            <w:pPr>
              <w:ind w:left="40"/>
              <w:spacing w:after="0" w:line="148" w:lineRule="exact"/>
              <w:rPr>
                <w:sz w:val="20"/>
                <w:szCs w:val="20"/>
                <w:color w:val="auto"/>
              </w:rPr>
            </w:pPr>
            <w:r>
              <w:rPr>
                <w:rFonts w:ascii="Arial" w:cs="Arial" w:eastAsia="Arial" w:hAnsi="Arial"/>
                <w:sz w:val="13"/>
                <w:szCs w:val="13"/>
                <w:color w:val="auto"/>
              </w:rPr>
              <w:t>Other comprehensive income (loss), net of</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25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income tax</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w:t>
            </w:r>
          </w:p>
        </w:tc>
      </w:tr>
      <w:tr>
        <w:trPr>
          <w:trHeight w:val="242"/>
        </w:trPr>
        <w:tc>
          <w:tcPr>
            <w:tcW w:w="2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September 30, 2017</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12,418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13,766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13,831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Nine Months Ended September 30, 2018 and 2017 (Unaudited)</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67"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85"/>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11,680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12,784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(12,005)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(2,771)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(3,382)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policy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other invested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(3,469)</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4,704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Withdrawals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(2,199)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issued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3,589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Long-term debt repaid</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Collateral financing arrangements repaid</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Treasury stock acquired in connection with share repurchases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MetLife, Inc.</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received from MetLife, Inc. in connection with shareholder’s net investment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to MetLife, Inc. in connection with shareholder’s net investment</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2,260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(3,006)</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paid (received) for:</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Income tax</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Non-cash transactions: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 of fixed maturity securities to former affiliates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420"/>
          </w:cols>
          <w:pgMar w:left="240" w:top="126" w:right="239" w:bottom="3"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3" w:gutter="0" w:footer="0" w:header="0"/>
          <w:type w:val="continuous"/>
        </w:sectPr>
      </w:pPr>
    </w:p>
    <w:bookmarkStart w:id="6" w:name="page7"/>
    <w:bookmarkEnd w:id="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and the “Company” refer to Brighthouse Financial, Inc. and its subsidiaries. Brighthouse Financial, Inc. is a holding company formed to own the legal entities that historically operated a substantial portion of the former Retail segment of MetLife, Inc. (together with its subsidiaries and affiliates, “MetLife”). Brighthouse Financial, Inc. was incorporated in Delaware on August 1, 2016 in preparation for MetLife, Inc.’s separation of a substantial portion of its former Retail segment, as well as certain portions of its Corporate Benefit Funding segment (the “Separation”), which was completed on August 4, 2017.</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Separation, 80.8% of MetLife, Inc.’s interest in Brighthouse Financial, Inc. was distributed to holders of MetLife, Inc.’s common stock and MetLife, Inc. retained the remaining 19.2%. On June 14, 2018, MetLife, Inc. divested its remaining shares of Brighthouse Financial, Inc. common stock (the “MetLife Divestiture”). As a result, MetLife, Inc. and its subsidiaries and affiliates are no longer considered related parties subsequent to the MetLife Divestiture.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offers a range of individual annuities and individual life insurance products. The Company reports results through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Annuities, Life and Run-off. In addition, the Company reports certain of its results in Corporate &amp; Other.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accompanying interim condensed consolidated financial statements include the accounts of Brighthouse Financial, Inc. and its subsidiaries, as well as partnerships and joint ventures in which the Company has control, and variable interest entities (“VIEs”) for which the Company is the primary beneficiary. Intercompany accounts and transactions have been eliminated.</w:t>
      </w:r>
    </w:p>
    <w:p>
      <w:pPr>
        <w:spacing w:after="0" w:line="7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the equity method of accounting for equity securities when it has significant influence or at least 20% interest and for real estate joint ventures and other limited partnership interests (“investee”)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Certain amounts in the prior year periods’ interim condensed consolidated financial statements and related footnotes thereto have been reclassified to conform to the 2018 presentation as discussed throughout the Notes to the Interim Condensed Consolidated Financial Statements. Additionally, effective January 1, 2018 the Company recorded an increase to other liabilities of $46 million, a decrease to deferred tax liabilities of $22 million, a decrease to accumulated other comprehensive income (“AOCI”) of $64 million, and an increase to retained earnings (deficit) of $40 million, to reflect an adjustment, net of tax, to prior year accretion of certain investments in redeemable preferred stock.</w:t>
      </w:r>
    </w:p>
    <w:p>
      <w:pPr>
        <w:spacing w:after="0" w:line="64"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2017 consolidated balance sheet data was derived from audited consolidated financial statements included in Brighthouse Financial, Inc.’s Annual Report on Form 10-K for the year ended December 31, 2017 (the “2017 Annual Report”), which include all disclosures required by GAAP. Therefore, these interim condensed consolidated financial statements should be read in conjunction with the consolidated and combined financial statements of the Company included in the 2017 Annual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The following table provides a description of new ASUs issued by the FASB and the expected impact of the adoption on the Company’s financial statements.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ASUs adopted as of September 30, 2018 are summarized in the table below.</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3120" w:type="dxa"/>
            <w:vAlign w:val="bottom"/>
            <w:tcBorders>
              <w:top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34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2016-01, Financial</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1"/>
              </w:rPr>
              <w:t>The new guidance changes the current accounting guidance related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1) reclassified net unrealized</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Overall:</w:t>
            </w:r>
          </w:p>
        </w:tc>
        <w:tc>
          <w:tcPr>
            <w:tcW w:w="3120" w:type="dxa"/>
            <w:vAlign w:val="bottom"/>
          </w:tcPr>
          <w:p>
            <w:pPr>
              <w:ind w:left="20"/>
              <w:spacing w:after="0"/>
              <w:rPr>
                <w:sz w:val="20"/>
                <w:szCs w:val="20"/>
                <w:color w:val="auto"/>
              </w:rPr>
            </w:pPr>
            <w:r>
              <w:rPr>
                <w:rFonts w:ascii="Arial" w:cs="Arial" w:eastAsia="Arial" w:hAnsi="Arial"/>
                <w:sz w:val="16"/>
                <w:szCs w:val="16"/>
                <w:color w:val="auto"/>
                <w:w w:val="99"/>
              </w:rPr>
              <w:t>to  (i)  the  classification  and  measurement</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of  certain  equity</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gains related to equity securities previously</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Recognition and Measurement</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investments, (ii) the presentation of changes in the fair value of</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classified as available-for-sale (“AFS”) from</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Financial Assets and</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financial liabilities measured under the fair value option (“FVO”)</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AOCI to retained earnings (deficit) and 2)</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Financial Liabilities</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that are due to instrument-specific credit risk, and (iii) certain</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increased the carrying value of equity</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disclosures associated with the fair value of financial instruments.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investments previously accounted for under</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Additionally, there will no longer be a requirement to assess equity</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cost method to estimated fair value. The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securities for impairment since such securities will be measured at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cumulative effect of the adoption is a net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fair value through net income.</w:t>
            </w: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increase to retained earnings (deficit) of $38</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million and a net decrease of $15 million to</w:t>
            </w: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AOCI, after taxes.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2014-09, Revenue from</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For those contracts that are impacted, the guidance will require an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adoption did not have an impact on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Contracts with Customers</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entity to recognize revenue upon the transfer of promised goods 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Company’s financial statements other than</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606)</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4"/>
              </w:rPr>
              <w:t>services to customers in an amount that reflects the consideration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expanded disclosures in Note 9.</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to which the entity expects to be entitled, in exchange for those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goods or services.</w:t>
            </w: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ASUs issued but not yet adopted as of September 30, 2018 are summarized in the table below.</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2018-15, Intangibles-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The amendments to Topic 350 require the capitalization of certain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Goodwill and Other-Internal-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implementation costs incurred in a cloud computing arrangement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prospective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Use Software (Subtopic 350-</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that is a service contract. The requirements align with the existing</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or 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statements.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40): Customer’s Accounting for</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requirements  to  capitalize  implementation  costs  incurred  to</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Implementation Costs Incurred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 or obtain internal-use software.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a Cloud Computing</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Arrangement That Is a Service</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34" w:right="2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2018-12, Financial</w:t>
            </w:r>
          </w:p>
        </w:tc>
        <w:tc>
          <w:tcPr>
            <w:tcW w:w="4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5"/>
              </w:rPr>
              <w:t>The amendments to Topic 944 will result in significant changes to</w:t>
            </w:r>
          </w:p>
        </w:tc>
        <w:tc>
          <w:tcPr>
            <w:tcW w:w="1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January 1, 2021 using 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 is in the early stages of</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Services -Insurance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accounting  for  long-duration  insurance  contracts.  These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modified retrospective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evaluating the new guidance and therefore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2"/>
              </w:rPr>
              <w:t>944): Targeted Improvements to</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changes (1) require all guarantees that qualify as market risk</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 for the new</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unable to estimate the impact to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Accounting for Long-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benefits to be measured at fair value, (2) require more frequent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market risk benefit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statements. The most significant impact will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Duration Contracts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updating  of  assumptions  and  modify  existing  discount  rate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guidance and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be the measurement of liabilities for variable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requirements  for  certain  insurance  liabilities,  (3)  modify  the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prospective methods for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annuity guarantees.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methods of amortization for deferred acquisition costs, and (4)</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the increased frequency</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require  new  qualitative  and  quantitative  disclosures  around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of updating assumptions,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Upon adoption of the ASU, all guarantees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insurance contract asset and liability balances and the judgments,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new discount rate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associated with variable annuities will be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assumptions and methods used to measure those balances.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requirements and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measured at fair value, with changes in fair</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deferred policy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value reported in net income (excluding the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costs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change in fair value attributable to</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(“DAC”) amortization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nonperformance risk, which would be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changes.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reported in other comprehensive income).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 permitted.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These changes will result in an impact to</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equity upon adoption and more volatility in</w:t>
            </w: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income going forward.</w:t>
            </w:r>
          </w:p>
        </w:tc>
      </w:tr>
      <w:tr>
        <w:trPr>
          <w:trHeight w:val="401"/>
        </w:trPr>
        <w:tc>
          <w:tcPr>
            <w:tcW w:w="2200" w:type="dxa"/>
            <w:vAlign w:val="bottom"/>
            <w:tcBorders>
              <w:left w:val="single" w:sz="8" w:color="auto"/>
              <w:right w:val="single" w:sz="8" w:color="auto"/>
            </w:tcBorders>
          </w:tcPr>
          <w:p>
            <w:pPr>
              <w:spacing w:after="0"/>
              <w:rPr>
                <w:sz w:val="24"/>
                <w:szCs w:val="24"/>
                <w:color w:val="auto"/>
              </w:rPr>
            </w:pPr>
          </w:p>
        </w:tc>
        <w:tc>
          <w:tcPr>
            <w:tcW w:w="44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Additionally, certain life insurance and payout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annuity contract liabilities will be affected by</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more frequent updating of cash flow</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assumptions and changes to the rate used to</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discount those cash flows. Most products will</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 impacted by the changes to deferred</w:t>
            </w: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cost amortization.</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ASU 2017-12, Derivatives and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The amendments to Topic 815 (i) refine and expand the criteria for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does not expect a material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Hedging (Topic 815): Targeted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achieving hedge accounting on certain hedging strategies, (ii)</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modified retrospective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on  its  financial  statements  from</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Improvements to Accounting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require the earnings effect of the hedging instrument be presented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 (with early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of the new guidance.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for Hedging Activities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 the same line item in which the earnings effect of the hedged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item is reported, and (iii) eliminate the requirement to separately</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measure and report hedge ineffectiveness.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Credit Losses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statements, with the most significant impact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to be earlier recognition of credit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guidance also requires that an other-than- temporary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beginning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losses on mortgage loan investments.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(“OTTI”) on a debt security will be recognized as an allowance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going forward, such that improvements in expected future cash</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flows  after  an  impairment  will  no  longer  be  reflected  as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prospective yield adjustment through net investment income, but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rather  a  reversal  of  the  previous  impairment  and  recognized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through realized investment gains and losses.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2016-02, Leases -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new guidance will require a lessee to recognize assets and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842</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liabilities for leases with lease terms of more than 12 months.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Leases would be classified as finance or operating leases and both</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statements, with the most significant impact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types of leases will be recognized on the balance sheet. Lessor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to be a gross-up of certain lease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accounting will remain largely unchanged from current guidance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assets and liabilities on the balance sheet.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except for certain targeted changes. The amendments also require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qualitative and quantitative disclosures.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234" w:right="219" w:bottom="1440" w:gutter="0" w:footer="0" w:header="0"/>
        </w:sectPr>
      </w:pPr>
    </w:p>
    <w:bookmarkStart w:id="9" w:name="page10"/>
    <w:bookmarkEnd w:id="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whole, universal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long-term care and workers compensation business reinsured through 100% quota share reinsurance agreements, and term life insurance sold direct to consumers, which is no longer being offered for new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Brighthouse Financial, Inc.’s common shareholders, and excludes net income (loss) attributable to noncontrolling interests.</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Adjusted earnings, which may be positive or negative, focuses on the Company’s primary businesses principally by excluding (i) the impact of market volatility, which could distort trends, and (ii) businesses that have been or will be sold or exited by the Company, referred to as divested businesses.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8" w:right="239" w:bottom="1440" w:gutter="0" w:footer="0" w:header="0"/>
        </w:sectPr>
      </w:pPr>
    </w:p>
    <w:bookmarkStart w:id="10" w:name="page11"/>
    <w:bookmarkEnd w:id="1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is calculated net of the U.S. statutory tax rate, which could differ from the Company’s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Set forth in the tables below is certain financial information with respect to the Company’s segments, as well as Corporate &amp; Other, for the three months and nine months ended September 30, 2018 and 2017 and at September 30, 2018 and December 31, 2017. The segment accounting policies are the same as those used to prepare the Company’s condensed consolidated financial statements, except for the adjustments to calculate adjusted earnings described above. In addition, segment accounting policies include the methods of capital allocation described below.</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the first quarter of 2018, the Company changed the methodology for how capital is allocated to segments and, in some cases, products (the “Portfolio Realignment”). Segment investment and capitalization targets are now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discussed in the 2017 Annual Report.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Previously, invested assets held in the segments were based on net GAAP liabilities. Excess capital was retained in Corporate &amp; Other and allocated to segments based on an internally developed statistics based capital model intended to capture the material risks to which the Company was exposed (referred to as “allocated equity”). Surplus assets in excess of the combined allocations to the segments were held in Corporate &amp; Other with net investment income being credited back to the segments at a predetermined rate. Any excess or shortfall in net investment income from surplus assets was recognized in Corporate &amp; Other.</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Portfolio Realignment had no effect on the Company’s consolidated net income (loss) available to Brighthouse Financial, Inc.’s common shareholders or adjusted earnings, but it did impact segment results for the nine months ended September 30, 2018. It was not practicable to determine the impact of the Portfolio Realignment to adjusted earnings in prior periods; however, the Company estimates that pre-tax adjusted earnings in the Life segment for the nine months ended September 30, 2018 increased between $90 million and $105 million as a result of the change, with most of the offsetting impact in the Run-off segment. Impacts to the Annuities segment and Corporate &amp; Other would not have been significantly different under the previous allocation method.</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total assets recognized in the segments changed as a result of the Portfolio Realignment. Total assets (on a book value basis) in the Annuities and Life segments increased approximately $2 billion and approximately $5 billion, respectively, under the new allocation method. The Run-off segment and Corporate &amp; Other experienced decreases in total assets of approximately $3 billion and approximately $4 billion, respectively, as a result of the Portfolio Realignment.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4" w:right="239" w:bottom="1440" w:gutter="0" w:footer="0" w:header="0"/>
        </w:sectPr>
      </w:pPr>
    </w:p>
    <w:bookmarkStart w:id="11" w:name="page12"/>
    <w:bookmarkEnd w:id="1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Operating Results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ind w:left="40"/>
              <w:spacing w:after="0"/>
              <w:rPr>
                <w:sz w:val="20"/>
                <w:szCs w:val="20"/>
                <w:color w:val="auto"/>
              </w:rPr>
            </w:pPr>
            <w:r>
              <w:rPr>
                <w:rFonts w:ascii="Arial" w:cs="Arial" w:eastAsia="Arial" w:hAnsi="Arial"/>
                <w:sz w:val="16"/>
                <w:szCs w:val="16"/>
                <w:color w:val="auto"/>
              </w:rPr>
              <w:t>Adjustments for:</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Net derivative gains (losses)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Operating Results</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Adjustments for:</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Net derivative gains (losses)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5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4" w:right="2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92"/>
              </w:rPr>
              <w:t>Operating Results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40" w:type="dxa"/>
            <w:vAlign w:val="bottom"/>
          </w:tcPr>
          <w:p>
            <w:pPr>
              <w:spacing w:after="0"/>
              <w:rPr>
                <w:sz w:val="13"/>
                <w:szCs w:val="1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Adjusted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ind w:left="40"/>
              <w:spacing w:after="0"/>
              <w:rPr>
                <w:sz w:val="20"/>
                <w:szCs w:val="20"/>
                <w:color w:val="auto"/>
              </w:rPr>
            </w:pPr>
            <w:r>
              <w:rPr>
                <w:rFonts w:ascii="Arial" w:cs="Arial" w:eastAsia="Arial" w:hAnsi="Arial"/>
                <w:sz w:val="16"/>
                <w:szCs w:val="16"/>
                <w:color w:val="auto"/>
              </w:rPr>
              <w:t>Adjustments for:</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Net derivative gains (losses)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Net income (loss) available to Brighthouse Financial, Inc.</w:t>
            </w:r>
            <w:r>
              <w:rPr>
                <w:rFonts w:ascii="Arial" w:cs="Arial" w:eastAsia="Arial" w:hAnsi="Arial"/>
                <w:sz w:val="16"/>
                <w:szCs w:val="16"/>
                <w:color w:val="auto"/>
              </w:rPr>
              <w:t>’</w:t>
            </w:r>
            <w:r>
              <w:rPr>
                <w:rFonts w:ascii="Arial" w:cs="Arial" w:eastAsia="Arial" w:hAnsi="Arial"/>
                <w:sz w:val="15"/>
                <w:szCs w:val="15"/>
                <w:color w:val="auto"/>
              </w:rPr>
              <w:t>s common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8"/>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Operating Results</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40" w:type="dxa"/>
            <w:vAlign w:val="bottom"/>
          </w:tcPr>
          <w:p>
            <w:pPr>
              <w:spacing w:after="0"/>
              <w:rPr>
                <w:sz w:val="13"/>
                <w:szCs w:val="13"/>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33"/>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Adjusted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Adjustments for:</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Net derivative gains (losses)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33"/>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Net income (loss) available to Brighthouse Financial, Inc.</w:t>
            </w:r>
            <w:r>
              <w:rPr>
                <w:rFonts w:ascii="Arial" w:cs="Arial" w:eastAsia="Arial" w:hAnsi="Arial"/>
                <w:sz w:val="16"/>
                <w:szCs w:val="16"/>
                <w:color w:val="auto"/>
              </w:rPr>
              <w:t>’</w:t>
            </w:r>
            <w:r>
              <w:rPr>
                <w:rFonts w:ascii="Arial" w:cs="Arial" w:eastAsia="Arial" w:hAnsi="Arial"/>
                <w:sz w:val="15"/>
                <w:szCs w:val="15"/>
                <w:color w:val="auto"/>
              </w:rPr>
              <w:t>s common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4"/>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34" w:right="239" w:bottom="1440" w:gutter="0" w:footer="0" w:header="0"/>
        </w:sectPr>
      </w:pPr>
    </w:p>
    <w:bookmarkStart w:id="13" w:name="page14"/>
    <w:bookmarkEnd w:id="1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16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1,160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Life</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982</w:t>
            </w:r>
          </w:p>
        </w:tc>
      </w:tr>
      <w:tr>
        <w:trPr>
          <w:trHeight w:val="33"/>
        </w:trPr>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230</w:t>
            </w:r>
          </w:p>
        </w:tc>
      </w:tr>
      <w:tr>
        <w:trPr>
          <w:trHeight w:val="33"/>
        </w:trPr>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17"/>
        </w:trPr>
        <w:tc>
          <w:tcPr>
            <w:tcW w:w="6080" w:type="dxa"/>
            <w:vAlign w:val="bottom"/>
          </w:tcPr>
          <w:p>
            <w:pPr>
              <w:ind w:left="20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tcBorders>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1,422</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1,972</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4,962</w:t>
            </w:r>
          </w:p>
        </w:tc>
      </w:tr>
      <w:tr>
        <w:trPr>
          <w:trHeight w:val="33"/>
        </w:trPr>
        <w:tc>
          <w:tcPr>
            <w:tcW w:w="6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with respect to the Company’s segments, as well as Corporate &amp; Other,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0"/>
              </w:rPr>
              <w:t>December 31, 2017</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152,342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154,667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22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20,485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18,049</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36,824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2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12,409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14,652</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216,946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224,192</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3 of the Notes to the Consolidated and Combined Financial Statements included in the 2017 Annual Report, the Company issues variable annuity products with guaranteed minimum benefits. Guaranteed minimum accumulation benefits (“GMABs”), the non-life 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issues universal and variable life contracts where the Company contractually guarantees to the contract holder a secondary guarantee.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September 30, 2018</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Pr>
          <w:p>
            <w:pPr>
              <w:spacing w:after="0"/>
              <w:rPr>
                <w:sz w:val="16"/>
                <w:szCs w:val="16"/>
                <w:color w:val="auto"/>
              </w:rPr>
            </w:pPr>
          </w:p>
        </w:tc>
      </w:tr>
      <w:tr>
        <w:trPr>
          <w:trHeight w:val="152"/>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Annuitization</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Annuitization</w:t>
            </w:r>
          </w:p>
        </w:tc>
        <w:tc>
          <w:tcPr>
            <w:tcW w:w="3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109,613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63,194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115,147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67,110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104,479</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61,945</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109,792</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65,782</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6,471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2,521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5,261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2,642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contract 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34" w:right="239" w:bottom="1440" w:gutter="0" w:footer="0" w:header="0"/>
        </w:sectPr>
      </w:pPr>
    </w:p>
    <w:bookmarkStart w:id="14" w:name="page15"/>
    <w:bookmarkEnd w:id="1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September 30, 2018</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3"/>
          </w:tcPr>
          <w:p>
            <w:pPr>
              <w:jc w:val="right"/>
              <w:ind w:right="1260"/>
              <w:spacing w:after="0"/>
              <w:rPr>
                <w:sz w:val="20"/>
                <w:szCs w:val="20"/>
                <w:color w:val="auto"/>
              </w:rPr>
            </w:pPr>
            <w:r>
              <w:rPr>
                <w:rFonts w:ascii="Arial" w:cs="Arial" w:eastAsia="Arial" w:hAnsi="Arial"/>
                <w:sz w:val="14"/>
                <w:szCs w:val="14"/>
                <w:b w:val="1"/>
                <w:bCs w:val="1"/>
                <w:color w:val="auto"/>
              </w:rPr>
              <w:t>Secondary Guarantees</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6,133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6,244</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73,680</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75,304</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65 years</w:t>
            </w:r>
          </w:p>
        </w:tc>
        <w:tc>
          <w:tcPr>
            <w:tcW w:w="380" w:type="dxa"/>
            <w:vAlign w:val="bottom"/>
          </w:tcPr>
          <w:p>
            <w:pPr>
              <w:spacing w:after="0"/>
              <w:rPr>
                <w:sz w:val="20"/>
                <w:szCs w:val="20"/>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64 years</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3,486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3,379</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23,250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24,546</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 years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 years</w:t>
            </w: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and Combined Financial Statements included in the 2017 Annual Report for a discussion of guaranteed minimum benefits which have been reinsured.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8"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about the fair value hierarchy for investments and the related valuation methodologies.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fixed maturity securities AFS by sector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3"/>
              </w:rPr>
              <w:t>September 30, 2018</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2017</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Gains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23,475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918</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23,935</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21,190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1,859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10,089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10,950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16,292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8,373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8,374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7,749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7,311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7,248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4,381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4,290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1,810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1,404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60,705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2,867</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62,279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60,173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5,180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Noncredit OTTI losses included in AOCI in an unrealized gain position are due to increases in estimated fair value subsequent to initial recognition of noncredit losses on such securities. See also “— Net Unrealized Investment Gains (Losses).”</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Redeemable preferred stock is reported within U.S. corporate and foreign corporate fixed maturity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less than $1 million and $4 million with unrealized gains (losses) of less than ($1) million and ($2) million at September 30,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September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Due in One</w:t>
            </w:r>
          </w:p>
        </w:tc>
        <w:tc>
          <w:tcPr>
            <w:tcW w:w="280" w:type="dxa"/>
            <w:vAlign w:val="bottom"/>
          </w:tcPr>
          <w:p>
            <w:pPr>
              <w:spacing w:after="0"/>
              <w:rPr>
                <w:sz w:val="14"/>
                <w:szCs w:val="14"/>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95"/>
              </w:rPr>
              <w:t>Due After One</w:t>
            </w:r>
          </w:p>
        </w:tc>
        <w:tc>
          <w:tcPr>
            <w:tcW w:w="28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w w:val="96"/>
              </w:rPr>
              <w:t>Due After Five</w:t>
            </w:r>
          </w:p>
        </w:tc>
        <w:tc>
          <w:tcPr>
            <w:tcW w:w="22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320" w:type="dxa"/>
            <w:vAlign w:val="bottom"/>
          </w:tcPr>
          <w:p>
            <w:pPr>
              <w:spacing w:after="0"/>
              <w:rPr>
                <w:sz w:val="14"/>
                <w:szCs w:val="14"/>
                <w:color w:val="auto"/>
              </w:rPr>
            </w:pPr>
          </w:p>
        </w:tc>
        <w:tc>
          <w:tcPr>
            <w:tcW w:w="114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4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Total Fixed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Year Through</w:t>
            </w:r>
          </w:p>
        </w:tc>
        <w:tc>
          <w:tcPr>
            <w:tcW w:w="1520" w:type="dxa"/>
            <w:vAlign w:val="bottom"/>
            <w:gridSpan w:val="2"/>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Years Through Ten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w w:val="99"/>
              </w:rPr>
              <w:t>Year or Less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Five Years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Securities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gridSpan w:val="3"/>
          </w:tcPr>
          <w:p>
            <w:pPr>
              <w:jc w:val="right"/>
              <w:ind w:right="963"/>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1,956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8,580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11,376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24,033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14,760</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60,705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1,962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8,638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4"/>
              <w:spacing w:after="0"/>
              <w:rPr>
                <w:sz w:val="20"/>
                <w:szCs w:val="20"/>
                <w:color w:val="auto"/>
              </w:rPr>
            </w:pPr>
            <w:r>
              <w:rPr>
                <w:rFonts w:ascii="Arial" w:cs="Arial" w:eastAsia="Arial" w:hAnsi="Arial"/>
                <w:sz w:val="16"/>
                <w:szCs w:val="16"/>
                <w:color w:val="auto"/>
              </w:rPr>
              <w:t>11,263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25,743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14,673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62,279</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AFS by Sector</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3"/>
                <w:szCs w:val="13"/>
                <w:b w:val="1"/>
                <w:bCs w:val="1"/>
                <w:color w:val="auto"/>
              </w:rPr>
              <w:t>September 30, 2018</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5"/>
          </w:tcPr>
          <w:p>
            <w:pPr>
              <w:ind w:left="420"/>
              <w:spacing w:after="0" w:line="144" w:lineRule="exact"/>
              <w:rPr>
                <w:sz w:val="20"/>
                <w:szCs w:val="20"/>
                <w:color w:val="auto"/>
              </w:rPr>
            </w:pPr>
            <w:r>
              <w:rPr>
                <w:rFonts w:ascii="Arial" w:cs="Arial" w:eastAsia="Arial" w:hAnsi="Arial"/>
                <w:sz w:val="13"/>
                <w:szCs w:val="13"/>
                <w:b w:val="1"/>
                <w:bCs w:val="1"/>
                <w:color w:val="auto"/>
              </w:rPr>
              <w:t>Equal to or Greater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right"/>
              <w:ind w:right="450"/>
              <w:spacing w:after="0" w:line="144" w:lineRule="exact"/>
              <w:rPr>
                <w:sz w:val="20"/>
                <w:szCs w:val="20"/>
                <w:color w:val="auto"/>
              </w:rPr>
            </w:pPr>
            <w:r>
              <w:rPr>
                <w:rFonts w:ascii="Arial" w:cs="Arial" w:eastAsia="Arial" w:hAnsi="Arial"/>
                <w:sz w:val="13"/>
                <w:szCs w:val="13"/>
                <w:b w:val="1"/>
                <w:bCs w:val="1"/>
                <w:color w:val="auto"/>
              </w:rPr>
              <w:t>Equal to or Greater</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3"/>
                <w:szCs w:val="13"/>
                <w:b w:val="1"/>
                <w:bCs w:val="1"/>
                <w:color w:val="auto"/>
              </w:rPr>
              <w:t>than 12 Months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than 12 Months</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86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6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84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2"/>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1"/>
                <w:szCs w:val="11"/>
                <w:color w:val="auto"/>
              </w:rPr>
            </w:pPr>
          </w:p>
        </w:tc>
        <w:tc>
          <w:tcPr>
            <w:tcW w:w="84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4"/>
          </w:tcPr>
          <w:p>
            <w:pPr>
              <w:jc w:val="right"/>
              <w:ind w:right="431"/>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9,484</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1,742</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1,783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1,451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1,901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3,838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1,619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3,410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3,078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6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620" w:type="dxa"/>
            <w:vAlign w:val="bottom"/>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24,863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6,655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10,863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5,543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16"/>
        </w:trPr>
        <w:tc>
          <w:tcPr>
            <w:tcW w:w="262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Total number of securities in an unrealized</w:t>
            </w: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2,978</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807</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638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position</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85" w:lineRule="auto"/>
        <w:rPr>
          <w:sz w:val="20"/>
          <w:szCs w:val="20"/>
          <w:color w:val="auto"/>
        </w:rPr>
      </w:pPr>
      <w:r>
        <w:rPr>
          <w:rFonts w:ascii="Arial" w:cs="Arial" w:eastAsia="Arial" w:hAnsi="Arial"/>
          <w:sz w:val="16"/>
          <w:szCs w:val="16"/>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2" w:lineRule="exact"/>
        <w:rPr>
          <w:sz w:val="20"/>
          <w:szCs w:val="20"/>
          <w:color w:val="auto"/>
        </w:rPr>
      </w:pPr>
    </w:p>
    <w:p>
      <w:pPr>
        <w:jc w:val="both"/>
        <w:ind w:left="340" w:hanging="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September 30, 2018.</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increased $931 million during the nine months ended September 30, 2018 to $1.3 billion. The increase in gross unrealized losses for the nine months ended September 30, 2018 was primarily attributable to increasing longer-term interest rates and widening credit spreads.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At September 30, 2018, $4 million of the total $1.3 billion of gross unrealized losses were from ten fixed maturity securities with an unrealized loss position of 20% or more of amortized cost for six months or greater.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22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8,405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7,260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12,996</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10,674</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Valuation allowances (2)</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mortgage loans, net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12,940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10,627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 mortgage loans held by CSEs — FVO</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13,033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$816 million and $1.4 billion for the three months and nine months ended September 30, 2018, respectively, and $147 million and $307 million for the three months and nine months ended September 30, 2017, respectively, and were primarily comprised of residential mortgage loans.</w:t>
      </w:r>
    </w:p>
    <w:p>
      <w:pPr>
        <w:spacing w:after="0" w:line="73" w:lineRule="exact"/>
        <w:rPr>
          <w:rFonts w:ascii="Arial" w:cs="Arial" w:eastAsia="Arial" w:hAnsi="Arial"/>
          <w:sz w:val="18"/>
          <w:szCs w:val="18"/>
          <w:color w:val="auto"/>
        </w:rPr>
      </w:pPr>
    </w:p>
    <w:p>
      <w:pPr>
        <w:ind w:left="500" w:right="3920" w:hanging="492"/>
        <w:spacing w:after="0" w:line="42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valuation allowances were primarily from collective evaluation (non-specific loan related). See “— Variable Interest Entities” for discussion of consolidated securitization entities (“CSEs”).</w:t>
      </w:r>
    </w:p>
    <w:p>
      <w:pPr>
        <w:spacing w:after="0" w:line="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Information on commercial, agricultural and residential mortgage loans is presented in the tables below. Information on commercial mortgage loans held by CSEs — FVO is presented in Note 6. The Company elects the FVO for certain commercial mortgage loans and related long-term debt that are managed on a total return basis.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Allowance Methodology</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2" w:lineRule="exact"/>
        <w:rPr>
          <w:sz w:val="20"/>
          <w:szCs w:val="20"/>
          <w:color w:val="auto"/>
        </w:rPr>
      </w:pPr>
    </w:p>
    <w:p>
      <w:pPr>
        <w:jc w:val="both"/>
        <w:ind w:left="180" w:hanging="10"/>
        <w:spacing w:after="0" w:line="290" w:lineRule="auto"/>
        <w:tabs>
          <w:tab w:leader="none" w:pos="50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commercial mortgage loans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1"/>
              <w:spacing w:after="0"/>
              <w:rPr>
                <w:sz w:val="20"/>
                <w:szCs w:val="20"/>
                <w:color w:val="auto"/>
              </w:rPr>
            </w:pPr>
            <w:r>
              <w:rPr>
                <w:rFonts w:ascii="Arial" w:cs="Arial" w:eastAsia="Arial" w:hAnsi="Arial"/>
                <w:sz w:val="14"/>
                <w:szCs w:val="14"/>
                <w:b w:val="1"/>
                <w:bCs w:val="1"/>
                <w:color w:val="auto"/>
                <w:w w:val="91"/>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840" w:type="dxa"/>
            <w:vAlign w:val="bottom"/>
            <w:vMerge w:val="restart"/>
          </w:tcPr>
          <w:p>
            <w:pPr>
              <w:jc w:val="right"/>
              <w:ind w:right="181"/>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8,263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8,405</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8,341</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7,260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7,419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2018</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7.2</w:t>
            </w:r>
          </w:p>
        </w:tc>
      </w:tr>
      <w:tr>
        <w:trPr>
          <w:trHeight w:val="217"/>
        </w:trPr>
        <w:tc>
          <w:tcPr>
            <w:tcW w:w="558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2,767</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estimated fair value of agricultural mortgage loans was $2.7 billion and $2.3 billion at September 30, 2018 and December 31, 2017,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residential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2018</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w:t>
            </w:r>
          </w:p>
        </w:tc>
      </w:tr>
      <w:tr>
        <w:trPr>
          <w:trHeight w:val="217"/>
        </w:trPr>
        <w:tc>
          <w:tcPr>
            <w:tcW w:w="558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240" w:firstLine="324"/>
        <w:spacing w:after="0" w:line="375" w:lineRule="auto"/>
        <w:rPr>
          <w:sz w:val="20"/>
          <w:szCs w:val="20"/>
          <w:color w:val="auto"/>
        </w:rPr>
      </w:pPr>
      <w:r>
        <w:rPr>
          <w:rFonts w:ascii="Arial" w:cs="Arial" w:eastAsia="Arial" w:hAnsi="Arial"/>
          <w:sz w:val="18"/>
          <w:szCs w:val="18"/>
          <w:color w:val="auto"/>
        </w:rPr>
        <w:t xml:space="preserve">The estimated fair value of residential mortgage loans was $1.8 billion and $1.2 billion at September 30, 2018 and December 31, 2017, respectively. </w:t>
      </w:r>
      <w:r>
        <w:rPr>
          <w:rFonts w:ascii="Arial" w:cs="Arial" w:eastAsia="Arial" w:hAnsi="Arial"/>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has a high quality, well performing mortgage loan portfolio, with over 99% of all mortgage loans classified as performing at both September 30, 2018 and December 31, 2017. The Company defines delinquency consistent with industry practice, when mortgage loans are past due as follows: commercial and residential mortgage loans — 60 days and agricultural mortgage loans — 90 days. The Company had no commercial or agricultural mortgage loans past due and no commercial or agricultural mortgage loans in nonaccrual status at either September 30, 2018 or December 31, 2017. The recorded investment of residential mortgage loans past due and in nonaccrual status was $32 million at both September 30, 2018 and December 31, 2017. During the three months and nine months ended September 30, 2018 and 2017, the Company did not have a significant amount of mortgage loans modified in a troubled debt restructuring.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of cash equivalents, which includes securities and other investments with an original or remaining maturity of three months or less at the time of purchase, was $1.1 billion and $1.4 billion at September 30,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Unrealized investment gains (losses) on fixed maturity and equity securities and the effect on DAC, VOBA, deferred sales inducements (“DSI”) and future policy benefits, that would result from the realization of the unrealized gains (losses), are included in net unrealized investment gains (losses) in AOCI.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w w:val="94"/>
              </w:rPr>
              <w:t>September 30, 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1,558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with noncredit OTTI losses included in AOCI</w:t>
            </w:r>
          </w:p>
        </w:tc>
        <w:tc>
          <w:tcPr>
            <w:tcW w:w="14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5,078</w:t>
            </w:r>
          </w:p>
        </w:tc>
        <w:tc>
          <w:tcPr>
            <w:tcW w:w="0" w:type="dxa"/>
            <w:vAlign w:val="bottom"/>
          </w:tcPr>
          <w:p>
            <w:pPr>
              <w:spacing w:after="0"/>
              <w:rPr>
                <w:sz w:val="1"/>
                <w:szCs w:val="1"/>
                <w:color w:val="auto"/>
              </w:rPr>
            </w:pP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Amounts allocated from:</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investment gains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601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change due to cumulative effect, net of income tax (1)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2018</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on which noncredit OTTI losses have been recognized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Balance, September 30, 2018</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73"/>
        </w:trPr>
        <w:tc>
          <w:tcPr>
            <w:tcW w:w="81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Change in net unrealized investment gains (losses)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1 for more information related to the cumulative effect of change in accounting principle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September 30, 2018 and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September 30, 2018</w:t>
            </w: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3,317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3,085</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3,664</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3,746</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3,791</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3,749</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3,823</w:t>
            </w: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30" w:lineRule="exact"/>
        <w:rPr>
          <w:sz w:val="20"/>
          <w:szCs w:val="20"/>
          <w:color w:val="auto"/>
        </w:rPr>
      </w:pPr>
    </w:p>
    <w:p>
      <w:pPr>
        <w:ind w:left="4940"/>
        <w:spacing w:after="0"/>
        <w:tabs>
          <w:tab w:leader="none" w:pos="89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55" w:lineRule="exact"/>
        <w:rPr>
          <w:sz w:val="20"/>
          <w:szCs w:val="20"/>
          <w:color w:val="auto"/>
        </w:rPr>
      </w:pPr>
    </w:p>
    <w:p>
      <w:pPr>
        <w:jc w:val="center"/>
        <w:ind w:left="298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13335</wp:posOffset>
            </wp:positionV>
            <wp:extent cx="1929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835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180" w:space="720"/>
            <w:col w:w="352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8"/>
              </w:rPr>
              <w:t>Open (1)</w:t>
            </w:r>
          </w:p>
        </w:tc>
        <w:tc>
          <w:tcPr>
            <w:tcW w:w="220" w:type="dxa"/>
            <w:vAlign w:val="bottom"/>
          </w:tcPr>
          <w:p>
            <w:pPr>
              <w:spacing w:after="0"/>
              <w:rPr>
                <w:sz w:val="14"/>
                <w:szCs w:val="14"/>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b w:val="1"/>
                <w:bCs w:val="1"/>
                <w:color w:val="auto"/>
                <w:w w:val="94"/>
              </w:rPr>
              <w:t>1 Month or</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 to 6 Months</w:t>
            </w:r>
          </w:p>
        </w:tc>
        <w:tc>
          <w:tcPr>
            <w:tcW w:w="9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6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8"/>
              </w:rPr>
              <w:t>Open (1)</w:t>
            </w:r>
          </w:p>
        </w:tc>
        <w:tc>
          <w:tcPr>
            <w:tcW w:w="1000" w:type="dxa"/>
            <w:vAlign w:val="bottom"/>
            <w:gridSpan w:val="2"/>
          </w:tcPr>
          <w:p>
            <w:pPr>
              <w:jc w:val="center"/>
              <w:ind w:left="23"/>
              <w:spacing w:after="0"/>
              <w:rPr>
                <w:sz w:val="20"/>
                <w:szCs w:val="20"/>
                <w:color w:val="auto"/>
              </w:rPr>
            </w:pPr>
            <w:r>
              <w:rPr>
                <w:rFonts w:ascii="Arial" w:cs="Arial" w:eastAsia="Arial" w:hAnsi="Arial"/>
                <w:sz w:val="14"/>
                <w:szCs w:val="14"/>
                <w:b w:val="1"/>
                <w:bCs w:val="1"/>
                <w:color w:val="auto"/>
                <w:w w:val="97"/>
              </w:rPr>
              <w:t>1 Month or</w:t>
            </w:r>
          </w:p>
        </w:tc>
        <w:tc>
          <w:tcPr>
            <w:tcW w:w="260" w:type="dxa"/>
            <w:vAlign w:val="bottom"/>
          </w:tcPr>
          <w:p>
            <w:pPr>
              <w:spacing w:after="0"/>
              <w:rPr>
                <w:sz w:val="14"/>
                <w:szCs w:val="14"/>
                <w:color w:val="auto"/>
              </w:rPr>
            </w:pPr>
          </w:p>
        </w:tc>
        <w:tc>
          <w:tcPr>
            <w:tcW w:w="740" w:type="dxa"/>
            <w:vAlign w:val="bottom"/>
          </w:tcPr>
          <w:p>
            <w:pPr>
              <w:jc w:val="center"/>
              <w:ind w:right="85"/>
              <w:spacing w:after="0"/>
              <w:rPr>
                <w:sz w:val="20"/>
                <w:szCs w:val="20"/>
                <w:color w:val="auto"/>
              </w:rPr>
            </w:pPr>
            <w:r>
              <w:rPr>
                <w:rFonts w:ascii="Arial" w:cs="Arial" w:eastAsia="Arial" w:hAnsi="Arial"/>
                <w:sz w:val="14"/>
                <w:szCs w:val="14"/>
                <w:b w:val="1"/>
                <w:bCs w:val="1"/>
                <w:color w:val="auto"/>
                <w:w w:val="92"/>
              </w:rPr>
              <w:t>1 to 6</w:t>
            </w:r>
          </w:p>
        </w:tc>
        <w:tc>
          <w:tcPr>
            <w:tcW w:w="88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Less</w:t>
            </w: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7"/>
              </w:rPr>
              <w:t>Less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6"/>
              </w:rPr>
              <w:t>Months</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0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jc w:val="right"/>
              <w:ind w:right="1543"/>
              <w:spacing w:after="0"/>
              <w:rPr>
                <w:sz w:val="20"/>
                <w:szCs w:val="20"/>
                <w:color w:val="auto"/>
              </w:rPr>
            </w:pPr>
            <w:r>
              <w:rPr>
                <w:rFonts w:ascii="Arial" w:cs="Arial" w:eastAsia="Arial" w:hAnsi="Arial"/>
                <w:sz w:val="16"/>
                <w:szCs w:val="16"/>
                <w:color w:val="auto"/>
                <w:w w:val="90"/>
              </w:rPr>
              <w:t>U.S. government and agency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2,015</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414</w:t>
            </w:r>
          </w:p>
        </w:tc>
        <w:tc>
          <w:tcPr>
            <w:tcW w:w="9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   3,746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1,626</w:t>
            </w: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1,201</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   3,791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jc w:val="right"/>
              <w:ind w:right="2163"/>
              <w:spacing w:after="0"/>
              <w:rPr>
                <w:sz w:val="20"/>
                <w:szCs w:val="20"/>
                <w:color w:val="auto"/>
              </w:rPr>
            </w:pPr>
            <w:r>
              <w:rPr>
                <w:rFonts w:ascii="Arial" w:cs="Arial" w:eastAsia="Arial" w:hAnsi="Arial"/>
                <w:sz w:val="14"/>
                <w:szCs w:val="14"/>
                <w:color w:val="auto"/>
                <w:w w:val="89"/>
              </w:rPr>
              <w:t>__________________</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September 30, 2018 was $1.3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U.S. government and agency securities, ABS, U.S. and foreign corporate securities, and non-agency RMBS) with 58% invested in agency RMBS, U.S. government and agency securities, cash equivalents, short-term investments or held in cash at September 30, 2018.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4" w:right="2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8,263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24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15,824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14,096</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$92 million and $34 million of the assets on deposit balance represents restricted cash at September 30, 2018 and December 31, 2017, respectively.</w:t>
      </w:r>
    </w:p>
    <w:p>
      <w:pPr>
        <w:spacing w:after="0" w:line="7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held in trust relating to certain reinsurance transactions. $27 million and $42 million of the assets held in trust balance represents restricted cash at September 30, 2018 and December 31, 2017, respectively.</w:t>
      </w:r>
    </w:p>
    <w:p>
      <w:pPr>
        <w:spacing w:after="0" w:line="62" w:lineRule="exact"/>
        <w:rPr>
          <w:rFonts w:ascii="Arial" w:cs="Arial" w:eastAsia="Arial" w:hAnsi="Arial"/>
          <w:sz w:val="18"/>
          <w:szCs w:val="18"/>
          <w:color w:val="auto"/>
        </w:rPr>
      </w:pPr>
    </w:p>
    <w:p>
      <w:pPr>
        <w:ind w:left="500" w:right="2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pledged invested assets in connection with various agreements and transactions, including funding agreements (see Note 3 of the Notes to the Consolidated and Combined Financial Statements included in the 2017 Annual Report) and derivative transactions (see Note 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invested in legal entities that are VIEs. In certain instances, the Company holds both the power to direct the most significant activities of the entity, as well as an economic interest in the entity and, as such, is deemed to be the primary beneficiary or consolidator of the entity.</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VIE’s primary beneficiary requires an evaluation of the contractual and implied rights and obligations associated with each party’s relationship with or involvement in the entity, an estimate of the entity’s expected losses and expected residual returns and the allocation of such estimates to each party involved in the entity.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Creditors or beneficial interest holders of VIEs where the Company is the primary beneficiary have no recourse to the general credit of the Company, as the Company’s obligation to the VIEs is limited to the amount of its committed investment.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total assets and total liabilities relating to VIEs for which the Company has concluded that it is the primary beneficiary and which are consolidated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30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4"/>
                <w:szCs w:val="14"/>
                <w:b w:val="1"/>
                <w:bCs w:val="1"/>
                <w:color w:val="auto"/>
                <w:w w:val="93"/>
              </w:rPr>
              <w:t>September 30, 2018</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225"/>
              <w:spacing w:after="0"/>
              <w:rPr>
                <w:sz w:val="20"/>
                <w:szCs w:val="20"/>
                <w:color w:val="auto"/>
              </w:rPr>
            </w:pPr>
            <w:r>
              <w:rPr>
                <w:rFonts w:ascii="Arial" w:cs="Arial" w:eastAsia="Arial" w:hAnsi="Arial"/>
                <w:sz w:val="14"/>
                <w:szCs w:val="14"/>
                <w:b w:val="1"/>
                <w:bCs w:val="1"/>
                <w:color w:val="auto"/>
                <w:w w:val="91"/>
              </w:rPr>
              <w:t>December 31, 2017</w:t>
            </w: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820" w:type="dxa"/>
            <w:vAlign w:val="bottom"/>
          </w:tcPr>
          <w:p>
            <w:pPr>
              <w:jc w:val="center"/>
              <w:ind w:left="266"/>
              <w:spacing w:after="0" w:line="153" w:lineRule="exact"/>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3"/>
                <w:szCs w:val="13"/>
                <w:color w:val="auto"/>
              </w:rPr>
            </w:pPr>
          </w:p>
        </w:tc>
        <w:tc>
          <w:tcPr>
            <w:tcW w:w="1120" w:type="dxa"/>
            <w:vAlign w:val="bottom"/>
          </w:tcPr>
          <w:p>
            <w:pPr>
              <w:jc w:val="center"/>
              <w:ind w:left="405"/>
              <w:spacing w:after="0" w:line="153"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center"/>
              <w:ind w:right="266"/>
              <w:spacing w:after="0" w:line="153"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3"/>
                <w:szCs w:val="13"/>
                <w:color w:val="auto"/>
              </w:rPr>
            </w:pPr>
          </w:p>
        </w:tc>
        <w:tc>
          <w:tcPr>
            <w:tcW w:w="1120" w:type="dxa"/>
            <w:vAlign w:val="bottom"/>
          </w:tcPr>
          <w:p>
            <w:pPr>
              <w:jc w:val="center"/>
              <w:ind w:right="165"/>
              <w:spacing w:after="0" w:line="153" w:lineRule="exact"/>
              <w:rPr>
                <w:sz w:val="20"/>
                <w:szCs w:val="20"/>
                <w:color w:val="auto"/>
              </w:rPr>
            </w:pPr>
            <w:r>
              <w:rPr>
                <w:rFonts w:ascii="Arial" w:cs="Arial" w:eastAsia="Arial" w:hAnsi="Arial"/>
                <w:sz w:val="14"/>
                <w:szCs w:val="14"/>
                <w:b w:val="1"/>
                <w:bCs w:val="1"/>
                <w:color w:val="auto"/>
                <w:w w:val="95"/>
              </w:rPr>
              <w:t>Total</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820" w:type="dxa"/>
            <w:vAlign w:val="bottom"/>
            <w:tcBorders>
              <w:bottom w:val="single" w:sz="8" w:color="auto"/>
            </w:tcBorders>
          </w:tcPr>
          <w:p>
            <w:pPr>
              <w:jc w:val="center"/>
              <w:ind w:left="266"/>
              <w:spacing w:after="0"/>
              <w:rPr>
                <w:sz w:val="20"/>
                <w:szCs w:val="20"/>
                <w:color w:val="auto"/>
              </w:rPr>
            </w:pPr>
            <w:r>
              <w:rPr>
                <w:rFonts w:ascii="Arial" w:cs="Arial" w:eastAsia="Arial" w:hAnsi="Arial"/>
                <w:sz w:val="14"/>
                <w:szCs w:val="14"/>
                <w:b w:val="1"/>
                <w:bCs w:val="1"/>
                <w:color w:val="auto"/>
                <w:w w:val="87"/>
              </w:rPr>
              <w:t>Assets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95"/>
              </w:rPr>
              <w:t>Liabilities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87"/>
              </w:rPr>
              <w:t>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5"/>
              </w:rPr>
              <w:t>Liabilities</w:t>
            </w: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jc w:val="right"/>
              <w:ind w:right="1703"/>
              <w:spacing w:after="0"/>
              <w:rPr>
                <w:sz w:val="20"/>
                <w:szCs w:val="20"/>
                <w:color w:val="auto"/>
              </w:rPr>
            </w:pPr>
            <w:r>
              <w:rPr>
                <w:rFonts w:ascii="Arial" w:cs="Arial" w:eastAsia="Arial" w:hAnsi="Arial"/>
                <w:sz w:val="16"/>
                <w:szCs w:val="16"/>
                <w:color w:val="auto"/>
                <w:w w:val="93"/>
              </w:rPr>
              <w:t>CSEs (assets (primarily loans) and liabilities (primarily debt)) (1)</w:t>
            </w:r>
          </w:p>
        </w:tc>
        <w:tc>
          <w:tcPr>
            <w:tcW w:w="820" w:type="dxa"/>
            <w:vAlign w:val="bottom"/>
            <w:tcBorders>
              <w:bottom w:val="single" w:sz="8" w:color="CCEEFF"/>
            </w:tcBorders>
            <w:shd w:val="clear" w:color="auto" w:fill="CCEEFF"/>
          </w:tcPr>
          <w:p>
            <w:pPr>
              <w:jc w:val="right"/>
              <w:ind w:right="646"/>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1120" w:type="dxa"/>
            <w:vAlign w:val="bottom"/>
            <w:tcBorders>
              <w:bottom w:val="single" w:sz="8" w:color="CCEEFF"/>
            </w:tcBorders>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116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w:t>
            </w:r>
          </w:p>
        </w:tc>
      </w:tr>
      <w:tr>
        <w:trPr>
          <w:trHeight w:val="182"/>
        </w:trPr>
        <w:tc>
          <w:tcPr>
            <w:tcW w:w="20" w:type="dxa"/>
            <w:vAlign w:val="bottom"/>
          </w:tcPr>
          <w:p>
            <w:pPr>
              <w:spacing w:after="0"/>
              <w:rPr>
                <w:sz w:val="15"/>
                <w:szCs w:val="15"/>
                <w:color w:val="auto"/>
              </w:rPr>
            </w:pPr>
          </w:p>
        </w:tc>
        <w:tc>
          <w:tcPr>
            <w:tcW w:w="6040" w:type="dxa"/>
            <w:vAlign w:val="bottom"/>
          </w:tcPr>
          <w:p>
            <w:pPr>
              <w:jc w:val="right"/>
              <w:ind w:right="4683"/>
              <w:spacing w:after="0"/>
              <w:rPr>
                <w:sz w:val="20"/>
                <w:szCs w:val="20"/>
                <w:color w:val="auto"/>
              </w:rPr>
            </w:pPr>
            <w:r>
              <w:rPr>
                <w:rFonts w:ascii="Arial" w:cs="Arial" w:eastAsia="Arial" w:hAnsi="Arial"/>
                <w:sz w:val="14"/>
                <w:szCs w:val="14"/>
                <w:color w:val="auto"/>
                <w:w w:val="89"/>
              </w:rPr>
              <w:t>__________________</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73" w:lineRule="exact"/>
        <w:rPr>
          <w:sz w:val="20"/>
          <w:szCs w:val="20"/>
          <w:color w:val="auto"/>
        </w:rPr>
      </w:pPr>
    </w:p>
    <w:p>
      <w:pPr>
        <w:jc w:val="both"/>
        <w:ind w:left="500" w:hanging="492"/>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consolidates entities that are structured as CMBS. The assets of these entities can only be used to settle their respective liabilities, and under no circumstances is the Company liable for any principal or interest shortfalls should any arise. The Company’s exposure was limited to that of its remaining investment in these entities of $72 million and $86 million at estimated fair value at September 30, 2018 and December 31, 2017, respectively.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Unconsolidated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relating to VIEs in which the Company holds a significant variable interest but is not the primary beneficiary and which have not been consolidated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Maximum</w:t>
            </w:r>
          </w:p>
        </w:tc>
        <w:tc>
          <w:tcPr>
            <w:tcW w:w="320" w:type="dxa"/>
            <w:vAlign w:val="bottom"/>
          </w:tcPr>
          <w:p>
            <w:pPr>
              <w:spacing w:after="0"/>
              <w:rPr>
                <w:sz w:val="13"/>
                <w:szCs w:val="13"/>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Exposure</w:t>
            </w: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to Loss (1)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to Loss (1)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AFS: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Structured Securities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11,560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11,560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11,461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11,461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and foreign 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 (3)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13,666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15,046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13,558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14,517</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86"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maximum exposure to loss relating to fixed maturity securities AFS is equal to their carrying amounts or the carrying amounts of retained interests. The maximum exposure to loss relating to other limited partnership interests and real estate joint ventures is equal to the carrying amounts plus any unfunded commitments. Such a maximum loss would be expected to occur only upon bankruptcy of the issuer or investee.</w:t>
      </w:r>
    </w:p>
    <w:p>
      <w:pPr>
        <w:spacing w:after="0" w:line="57"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these variable interests, the Company’s involvement is limited to that of a passive investor in mortgage-backed or asset-backed securities issued by trusts that do not have substantial equity.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investments is comprised of real estate joint ventures and other invested assets.</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As described in Note 11, the Company makes commitments to fund partnership investments in the normal course of business. Excluding these commitments, the Company did not provide financial or other support to investees designated as VIEs during both the three months and nine months ended September 30, 2018 and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r>
      <w:tr>
        <w:trPr>
          <w:trHeight w:val="192"/>
        </w:trPr>
        <w:tc>
          <w:tcPr>
            <w:tcW w:w="52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83"/>
              </w:rPr>
              <w:t>2017</w:t>
            </w:r>
          </w:p>
        </w:tc>
      </w:tr>
      <w:tr>
        <w:trPr>
          <w:trHeight w:val="196"/>
        </w:trPr>
        <w:tc>
          <w:tcPr>
            <w:tcW w:w="5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8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641</w:t>
            </w:r>
          </w:p>
        </w:tc>
        <w:tc>
          <w:tcPr>
            <w:tcW w:w="340" w:type="dxa"/>
            <w:vAlign w:val="bottom"/>
          </w:tcPr>
          <w:p>
            <w:pPr>
              <w:spacing w:after="0"/>
              <w:rPr>
                <w:sz w:val="20"/>
                <w:szCs w:val="20"/>
                <w:color w:val="auto"/>
              </w:rPr>
            </w:pP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601</w:t>
            </w:r>
          </w:p>
        </w:tc>
        <w:tc>
          <w:tcPr>
            <w:tcW w:w="36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1,907</w:t>
            </w:r>
          </w:p>
        </w:tc>
        <w:tc>
          <w:tcPr>
            <w:tcW w:w="36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1,809</w:t>
            </w:r>
          </w:p>
        </w:tc>
      </w:tr>
      <w:tr>
        <w:trPr>
          <w:trHeight w:val="33"/>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84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384</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332</w:t>
            </w:r>
          </w:p>
        </w:tc>
      </w:tr>
      <w:tr>
        <w:trPr>
          <w:trHeight w:val="33"/>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84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33"/>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84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33"/>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color w:val="auto"/>
              </w:rPr>
              <w:t>Subtotal</w:t>
            </w: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897</w:t>
            </w: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805</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2,608</w:t>
            </w:r>
          </w:p>
        </w:tc>
        <w:tc>
          <w:tcPr>
            <w:tcW w:w="3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2,438</w:t>
            </w:r>
          </w:p>
        </w:tc>
      </w:tr>
      <w:tr>
        <w:trPr>
          <w:trHeight w:val="33"/>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Investment expenses</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w:t>
            </w: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color w:val="auto"/>
              </w:rPr>
              <w:t>Subtotal, net</w:t>
            </w: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844</w:t>
            </w: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759</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2,463</w:t>
            </w:r>
          </w:p>
        </w:tc>
        <w:tc>
          <w:tcPr>
            <w:tcW w:w="3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r>
      <w:tr>
        <w:trPr>
          <w:trHeight w:val="33"/>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 — interest income — commercial mortgage loans</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17"/>
        </w:trPr>
        <w:tc>
          <w:tcPr>
            <w:tcW w:w="52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84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853</w:t>
            </w:r>
          </w:p>
        </w:tc>
        <w:tc>
          <w:tcPr>
            <w:tcW w:w="340" w:type="dxa"/>
            <w:vAlign w:val="bottom"/>
          </w:tcPr>
          <w:p>
            <w:pPr>
              <w:spacing w:after="0"/>
              <w:rPr>
                <w:sz w:val="18"/>
                <w:szCs w:val="18"/>
                <w:color w:val="auto"/>
              </w:rPr>
            </w:pPr>
          </w:p>
        </w:tc>
        <w:tc>
          <w:tcPr>
            <w:tcW w:w="88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761</w:t>
            </w: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2,476</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2,309</w:t>
            </w:r>
          </w:p>
        </w:tc>
      </w:tr>
      <w:tr>
        <w:trPr>
          <w:trHeight w:val="33"/>
        </w:trPr>
        <w:tc>
          <w:tcPr>
            <w:tcW w:w="5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Related Party Investment Transactions” for discussion of related party investment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10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r>
      <w:tr>
        <w:trPr>
          <w:trHeight w:val="192"/>
        </w:trPr>
        <w:tc>
          <w:tcPr>
            <w:tcW w:w="63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196"/>
        </w:trPr>
        <w:tc>
          <w:tcPr>
            <w:tcW w:w="6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56"/>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fixed maturity securities:</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24"/>
        </w:trPr>
        <w:tc>
          <w:tcPr>
            <w:tcW w:w="6380" w:type="dxa"/>
            <w:vAlign w:val="bottom"/>
          </w:tcPr>
          <w:p>
            <w:pPr>
              <w:ind w:left="180"/>
              <w:spacing w:after="0"/>
              <w:rPr>
                <w:sz w:val="20"/>
                <w:szCs w:val="20"/>
                <w:color w:val="auto"/>
              </w:rPr>
            </w:pPr>
            <w:r>
              <w:rPr>
                <w:rFonts w:ascii="Arial" w:cs="Arial" w:eastAsia="Arial" w:hAnsi="Arial"/>
                <w:sz w:val="16"/>
                <w:szCs w:val="16"/>
                <w:color w:val="auto"/>
              </w:rPr>
              <w:t>Total OTTI losses recognized — by sector:</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7"/>
        </w:trPr>
        <w:tc>
          <w:tcPr>
            <w:tcW w:w="6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7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State and political subdivision</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OTTI losses on fixed maturity securities recognized in earnings</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 net gains (losses) on sales and disposals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(15)</w:t>
            </w:r>
          </w:p>
        </w:tc>
      </w:tr>
      <w:tr>
        <w:trPr>
          <w:trHeight w:val="217"/>
        </w:trPr>
        <w:tc>
          <w:tcPr>
            <w:tcW w:w="6380" w:type="dxa"/>
            <w:vAlign w:val="bottom"/>
          </w:tcPr>
          <w:p>
            <w:pPr>
              <w:ind w:left="200"/>
              <w:spacing w:after="0"/>
              <w:rPr>
                <w:sz w:val="20"/>
                <w:szCs w:val="20"/>
                <w:color w:val="auto"/>
              </w:rPr>
            </w:pPr>
            <w:r>
              <w:rPr>
                <w:rFonts w:ascii="Arial" w:cs="Arial" w:eastAsia="Arial" w:hAnsi="Arial"/>
                <w:sz w:val="16"/>
                <w:szCs w:val="16"/>
                <w:color w:val="auto"/>
              </w:rPr>
              <w:t>Total gains (losses) on fixed maturity securities</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(34)</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(138)</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8"/>
              </w:rPr>
              <w:t>(16)</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4"/>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gains (losses) on equity securities: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60"/>
        </w:trPr>
        <w:tc>
          <w:tcPr>
            <w:tcW w:w="6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Equity securities — Mark to market and net gains (losses) on sales and disposals</w:t>
            </w:r>
          </w:p>
        </w:tc>
        <w:tc>
          <w:tcPr>
            <w:tcW w:w="760" w:type="dxa"/>
            <w:vAlign w:val="bottom"/>
          </w:tcPr>
          <w:p>
            <w:pPr>
              <w:spacing w:after="0"/>
              <w:rPr>
                <w:sz w:val="20"/>
                <w:szCs w:val="20"/>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4</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gains (losses) on equity securities</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joint ventures</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76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w w:val="98"/>
              </w:rPr>
              <w:t>(10)</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17"/>
        </w:trPr>
        <w:tc>
          <w:tcPr>
            <w:tcW w:w="6380" w:type="dxa"/>
            <w:vAlign w:val="bottom"/>
          </w:tcPr>
          <w:p>
            <w:pPr>
              <w:ind w:left="360"/>
              <w:spacing w:after="0"/>
              <w:rPr>
                <w:sz w:val="20"/>
                <w:szCs w:val="20"/>
                <w:color w:val="auto"/>
              </w:rPr>
            </w:pPr>
            <w:r>
              <w:rPr>
                <w:rFonts w:ascii="Arial" w:cs="Arial" w:eastAsia="Arial" w:hAnsi="Arial"/>
                <w:sz w:val="16"/>
                <w:szCs w:val="16"/>
                <w:color w:val="auto"/>
              </w:rPr>
              <w:t>Subtotal</w:t>
            </w: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(39)</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(110)</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8"/>
              </w:rPr>
              <w:t>(31)</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w:t>
            </w:r>
          </w:p>
        </w:tc>
        <w:tc>
          <w:tcPr>
            <w:tcW w:w="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6"/>
                <w:szCs w:val="16"/>
                <w:color w:val="auto"/>
              </w:rPr>
              <w:t>Commercial mortgage loans</w:t>
            </w:r>
          </w:p>
        </w:tc>
        <w:tc>
          <w:tcPr>
            <w:tcW w:w="760" w:type="dxa"/>
            <w:vAlign w:val="bottom"/>
          </w:tcPr>
          <w:p>
            <w:pPr>
              <w:spacing w:after="0"/>
              <w:rPr>
                <w:sz w:val="20"/>
                <w:szCs w:val="20"/>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Long-term debt — related to commercial mortgage loans</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200"/>
              <w:spacing w:after="0"/>
              <w:rPr>
                <w:sz w:val="20"/>
                <w:szCs w:val="20"/>
                <w:color w:val="auto"/>
              </w:rPr>
            </w:pPr>
            <w:r>
              <w:rPr>
                <w:rFonts w:ascii="Arial" w:cs="Arial" w:eastAsia="Arial" w:hAnsi="Arial"/>
                <w:sz w:val="16"/>
                <w:szCs w:val="16"/>
                <w:color w:val="auto"/>
              </w:rPr>
              <w:t>Non-investment portfolio gains (losses)</w:t>
            </w:r>
          </w:p>
        </w:tc>
        <w:tc>
          <w:tcPr>
            <w:tcW w:w="76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Subtotal</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Total net investment gains (losses)</w:t>
            </w:r>
          </w:p>
        </w:tc>
        <w:tc>
          <w:tcPr>
            <w:tcW w:w="760" w:type="dxa"/>
            <w:vAlign w:val="bottom"/>
            <w:tcBorders>
              <w:top w:val="single" w:sz="8" w:color="auto"/>
            </w:tcBorders>
          </w:tcPr>
          <w:p>
            <w:pPr>
              <w:jc w:val="right"/>
              <w:ind w:right="563"/>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23"/>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(121)</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8"/>
              </w:rPr>
              <w:t>(34)</w:t>
            </w:r>
          </w:p>
        </w:tc>
      </w:tr>
      <w:tr>
        <w:trPr>
          <w:trHeight w:val="33"/>
        </w:trPr>
        <w:tc>
          <w:tcPr>
            <w:tcW w:w="63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 Related Party Investment Transactions” for discussion of related party net investment gains (losses) related to transfers of invested assets.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and Impairments of Fixed Maturity Securities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6"/>
                <w:szCs w:val="16"/>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8,428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34" w:right="2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 Rollforward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table below presents a rollforward of the cumulative credit loss component of OTTI loss recognized in earnings on fixed maturity securities still held for which a portion of the OTTI loss was recognized in other comprehensive income (“OCI”):</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40" w:type="dxa"/>
            <w:vAlign w:val="bottom"/>
            <w:gridSpan w:val="4"/>
          </w:tcPr>
          <w:p>
            <w:pPr>
              <w:jc w:val="center"/>
              <w:ind w:left="303"/>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left="303"/>
              <w:spacing w:after="0"/>
              <w:rPr>
                <w:sz w:val="20"/>
                <w:szCs w:val="20"/>
                <w:color w:val="auto"/>
              </w:rPr>
            </w:pPr>
            <w:r>
              <w:rPr>
                <w:rFonts w:ascii="Arial" w:cs="Arial" w:eastAsia="Arial" w:hAnsi="Arial"/>
                <w:sz w:val="14"/>
                <w:szCs w:val="14"/>
                <w:b w:val="1"/>
                <w:bCs w:val="1"/>
                <w:color w:val="auto"/>
                <w:w w:val="93"/>
              </w:rPr>
              <w:t>Nine Months Ended</w:t>
            </w:r>
          </w:p>
        </w:tc>
        <w:tc>
          <w:tcPr>
            <w:tcW w:w="340" w:type="dxa"/>
            <w:vAlign w:val="bottom"/>
          </w:tcPr>
          <w:p>
            <w:pPr>
              <w:spacing w:after="0"/>
              <w:rPr>
                <w:sz w:val="14"/>
                <w:szCs w:val="14"/>
                <w:color w:val="auto"/>
              </w:rPr>
            </w:pPr>
          </w:p>
        </w:tc>
      </w:t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r>
      <w:tr>
        <w:trPr>
          <w:trHeight w:val="250"/>
        </w:trPr>
        <w:tc>
          <w:tcPr>
            <w:tcW w:w="6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68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Sales (maturities, pay downs or prepayments) of securities previously impaired as credit loss OTTI</w:t>
            </w:r>
          </w:p>
        </w:tc>
        <w:tc>
          <w:tcPr>
            <w:tcW w:w="6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(27)</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680" w:type="dxa"/>
            <w:vAlign w:val="bottom"/>
            <w:tcBorders>
              <w:top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463"/>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previously transferred invested assets, primarily consisting of fixed maturity securities, to former affiliates. During the three months and nine months ended September 30, 2018, the Company did not transfer any invested assets to former affiliates or receive transfers of invested assets from former affiliates. During the three months ended September 30, 2017, the Company did not transfer any invested assets to former affiliates or receive transfers of invested assets from former affiliates. The amortized cost and estimated fair value on transfers of invested assets to former affiliates was $294 million and $292 million, respectively, for the nine months ended September 30, 2017. The net investment gains (losses) recognized on transfers of invested assets to former affiliates was ($2) million for the nine months ended September 30, 2017.</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2017, the Company had $1.1 billion of loans due from MetLife, Inc., which were included in other invested assets. These loans were carried at fixed interest rates of 4.21% and 5.10%, payable semiannually, and were due on September 30, 2032 and December 31, 2033, respectively. In April 2017, these loans were satisfied in a non-cash exchange for $1.1 billion of notes due to MetLife, Inc. See Note 9 of the Notes to the Consolidated and Combined Financial Statements included in the 2017 Annual Report.</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2017, Metropolitan Life Insurance Company (“MLIC”), a former affiliate, recaptured risks related to guaranteed minimum benefit guarantees on certain variable annuities being reinsured by the Company. The Company transferred invested assets and cash and cash equivalents which are included in the table above. See Note 12 for additional information related to these transfers.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for $286 million. The operating joint venture was accounted for under the equity method and included in other invested assets. This sale resulted in an increase in additional paid-in capital of $202 million in the first quarter of 2017.</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receives investment administrative services from MetLife Investment Advisors, LLC (“MLIA”), which was considered a related party investment manager until the completion of the MetLife Divestiture. The related investment administrative service charges were $0 and $50 million for the three months and nine months ended September 30, 2018, respectively, and $22 million and $71 million for the three months and nine months ended September 30, 2017, respectively. All of the charges reported as related party activity in 2018 occurred prior to the MetLife Divestiture. See Note 1 regarding the MetLife Divestiture.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Accruals on derivatives are generally recorded in accrued investment income or within other liabilities. However, accruals that are not scheduled to settle within one year are included with the derivatives carrying value in other invested assets or other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4" w:right="239" w:bottom="1440" w:gutter="0" w:footer="0" w:header="0"/>
        </w:sectPr>
      </w:pPr>
    </w:p>
    <w:bookmarkStart w:id="27" w:name="page28"/>
    <w:bookmarkEnd w:id="2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If a derivative is not designated as an accounting hedge or its use in managing risk does not qualify for hedge accounting, changes in the estimated fair value of the derivative are generally reported in net derivative gains (losses) except for economic hedges of variable annuity guarantees which are presented in future policy benefits and claims.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Hedge Accounting</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 The Company also designates derivatives as a hedge of the estimated fair value of a recognized asset or liabilities (fair value hedge). When a derivative is designated as fair value hedge and is determined to be highly effective, changes in fair value are recorded in net derivative gains (losses), consistent with the change in estimated fair value of the hedged item attributable to the designated risk being hedged.</w:t>
      </w:r>
    </w:p>
    <w:p>
      <w:pPr>
        <w:spacing w:after="0" w:line="5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and the method that will be used to measure ineffectiveness.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81"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sells variable annuities and issues certain insurance products and investment contracts and is a party to certain reinsurance agreements that have embedded derivatives. The Company assesses each identified embedded derivative to determine whether it is required to be bifurcated. The embedded derivative is bifurcated from the host contract and accounted for as a freestanding derivative if:</w:t>
      </w:r>
    </w:p>
    <w:p>
      <w:pPr>
        <w:spacing w:after="0" w:line="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combined instrument is not accounted for in its entirety at estimated fair value with changes in estimated fair value recorded in earnings;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embedded derivative are not clearly and closely related to the economic characteristics of the host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separate instrument with the same terms as the embedded derivative would qualify as a derivative instrument.</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Such embedded derivatives are carried on the balance sheet at estimated fair value with the host contract and changes in their estimated fair value are generally reported in net derivative gains (losses), except for those in policyholder benefits and claims related to ceded reinsurance of GMIB.</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4" w:right="239" w:bottom="1440" w:gutter="0" w:footer="0" w:header="0"/>
        </w:sectPr>
      </w:pPr>
    </w:p>
    <w:bookmarkStart w:id="28" w:name="page29"/>
    <w:bookmarkEnd w:id="2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See “— Variable Annuity Guarantees” in Note 1 of the Notes to the Consolidated and Combined Financial Statements included in the 2017 Annual Report for additional information on the accounting policy for embedded derivatives bifurcated from variable annuity host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exposed to various risks relating to its ongoing business operations, including interest rate, foreign currency exchange rate, credit and equity market. The Company uses a variety of strategies to manage these risks, including the use of derivatives.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interest rate derivatives to reduce its exposure to changes in interest rates, including interest rate swaps, interest rate total return swaps, caps, floors, swaptions, futures and forwards.</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Interest rate total return swaps are swaps whereby the Company agrees with another party to exchange, at specified intervals, the difference between the economic risk and reward of an asset or a market index and the LIBOR (London Interbank Offered Rate),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8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46"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In exchange-traded interest rate (Treasury and swap) futures transactions, the Company agrees to purchase or sell a specified number of contracts, the value of which is determined by the different classes of interest rate securities. The Company enters into exchange-traded futures with regulated futures commission merchants that are members of the exchange. Exchange-traded interest rate (Treasury and swap)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or swap curve performance, and to hedge minimum guarantees embedded in certain variable annuity products offered by the Company. The Company utilizes exchange-traded interest rate futures in nonqualifying hedging relationships.</w:t>
      </w:r>
    </w:p>
    <w:p>
      <w:pPr>
        <w:spacing w:after="0" w:line="70"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4" w:right="239" w:bottom="1440" w:gutter="0" w:footer="0" w:header="0"/>
        </w:sectPr>
      </w:pPr>
    </w:p>
    <w:bookmarkStart w:id="29" w:name="page30"/>
    <w:bookmarkEnd w:id="2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 lesser extent, the Company uses foreign currency forwards in nonqualifying hedging relationships.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written credit default swaps to create synthetic credit investments that are either more expensive to acquire or otherwise unavailable in the cash markets. These transactions are a combination of a derivative and one or more cash instruments, such as U.S. government and agency securities or other fixed maturity securities. These credit default swaps are not designated as hedging instruments.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62"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Equity index options are used by the Company primarily to hedge minimum guarantees embedded in certain variable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and to pledge initial margin based on futures exchange requirements.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4" w:right="239" w:bottom="1440" w:gutter="0" w:footer="0" w:header="0"/>
        </w:sectPr>
      </w:pPr>
    </w:p>
    <w:bookmarkStart w:id="30" w:name="page31"/>
    <w:bookmarkEnd w:id="3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an equity total return swap, the Company agrees with another party to exchange, at specified intervals, the difference between the economic risk and reward of an asset or a market index and the LIBOR,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create synthetic investments. The Company utilizes equity total return swaps in nonqualifying hedging relationships.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primary underlying risk exposure, gross notional amount, and estimated fair value of the Company’s derivatives, excluding embedded derivatives, held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5"/>
              </w:rPr>
              <w:t>September 30, 2018</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31, 2017</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right="111"/>
              <w:spacing w:after="0"/>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Estimated Fair Value</w:t>
            </w:r>
          </w:p>
        </w:tc>
        <w:tc>
          <w:tcPr>
            <w:tcW w:w="180" w:type="dxa"/>
            <w:vAlign w:val="bottom"/>
          </w:tcPr>
          <w:p>
            <w:pPr>
              <w:spacing w:after="0"/>
              <w:rPr>
                <w:sz w:val="19"/>
                <w:szCs w:val="19"/>
                <w:color w:val="auto"/>
              </w:rPr>
            </w:pPr>
          </w:p>
        </w:tc>
        <w:tc>
          <w:tcPr>
            <w:tcW w:w="700" w:type="dxa"/>
            <w:vAlign w:val="bottom"/>
          </w:tcPr>
          <w:p>
            <w:pPr>
              <w:jc w:val="center"/>
              <w:ind w:right="111"/>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180"/>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ind w:right="111"/>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center"/>
              <w:ind w:right="91"/>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8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Pr>
          <w:p>
            <w:pPr>
              <w:spacing w:after="0"/>
              <w:rPr>
                <w:sz w:val="15"/>
                <w:szCs w:val="15"/>
                <w:color w:val="auto"/>
              </w:rPr>
            </w:pPr>
          </w:p>
        </w:tc>
        <w:tc>
          <w:tcPr>
            <w:tcW w:w="700" w:type="dxa"/>
            <w:vAlign w:val="bottom"/>
          </w:tcPr>
          <w:p>
            <w:pPr>
              <w:jc w:val="center"/>
              <w:ind w:right="111"/>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262"/>
        </w:trPr>
        <w:tc>
          <w:tcPr>
            <w:tcW w:w="2880" w:type="dxa"/>
            <w:vAlign w:val="bottom"/>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0"/>
              </w:rPr>
              <w:t>(In millions)</w:t>
            </w: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Fair value hedges:</w:t>
            </w: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2,347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1,854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0"/>
        </w:trPr>
        <w:tc>
          <w:tcPr>
            <w:tcW w:w="2880" w:type="dxa"/>
            <w:vAlign w:val="bottom"/>
          </w:tcPr>
          <w:p>
            <w:pPr>
              <w:ind w:left="180"/>
              <w:spacing w:after="0"/>
              <w:rPr>
                <w:sz w:val="20"/>
                <w:szCs w:val="20"/>
                <w:color w:val="auto"/>
              </w:rPr>
            </w:pPr>
            <w:r>
              <w:rPr>
                <w:rFonts w:ascii="Arial" w:cs="Arial" w:eastAsia="Arial" w:hAnsi="Arial"/>
                <w:sz w:val="14"/>
                <w:szCs w:val="14"/>
                <w:color w:val="auto"/>
              </w:rPr>
              <w:t>Total qualifying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2,347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15,237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20,213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774</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caps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Interest rate futures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options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Foreign currency swaps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Foreign currency exchange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Foreign currency exchange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Credit default swaps — purchased</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Credit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Credit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Equity futures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Equity market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1,664</w:t>
            </w: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Equity market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270"/>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3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market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250"/>
        </w:trPr>
        <w:tc>
          <w:tcPr>
            <w:tcW w:w="5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101,193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111,520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3,054</w:t>
            </w:r>
          </w:p>
        </w:tc>
      </w:tr>
      <w:tr>
        <w:trPr>
          <w:trHeight w:val="24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260" w:type="dxa"/>
            <w:vAlign w:val="bottom"/>
            <w:tcBorders>
              <w:bottom w:val="single" w:sz="8" w:color="CCEEFF"/>
            </w:tcBorders>
            <w:gridSpan w:val="2"/>
            <w:shd w:val="clear" w:color="auto" w:fill="CCEEFF"/>
          </w:tcPr>
          <w:p>
            <w:pPr>
              <w:ind w:left="30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103,540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3,129</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September 30, 2018 and December 31, 2017. The Company’s use of derivatives includes (i) derivatives that serve as macro hedges of the Company’s exposure to various risks and that generally do not qualify for hedge accounting due to the criteria required under the portfolio hedging rules;</w:t>
      </w:r>
    </w:p>
    <w:p>
      <w:pPr>
        <w:jc w:val="both"/>
        <w:ind w:firstLine="8"/>
        <w:spacing w:after="0" w:line="290" w:lineRule="auto"/>
        <w:tabs>
          <w:tab w:leader="none" w:pos="2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ectPr>
          <w:pgSz w:w="11900" w:h="16838" w:orient="portrait"/>
          <w:cols w:equalWidth="0" w:num="1">
            <w:col w:w="11420"/>
          </w:cols>
          <w:pgMar w:left="240" w:top="234"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234" w:right="239" w:bottom="1440" w:gutter="0" w:footer="0" w:header="0"/>
          <w:type w:val="continuous"/>
        </w:sectPr>
      </w:pPr>
    </w:p>
    <w:bookmarkStart w:id="31" w:name="page32"/>
    <w:bookmarkEnd w:id="3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Notes to the Interim Condensed Consolidated Financial Statements (Unaudited)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ectPr>
          <w:pgSz w:w="11900" w:h="16838" w:orient="portrait"/>
          <w:cols w:equalWidth="0" w:num="1">
            <w:col w:w="11420"/>
          </w:cols>
          <w:pgMar w:left="240" w:top="234" w:right="239" w:bottom="1440" w:gutter="0" w:footer="0" w:header="0"/>
        </w:sect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earned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Qualifying hedges: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Nonqualifying hedges: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derivative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Policyholder benefits and claims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r>
      <w:tr>
        <w:trPr>
          <w:trHeight w:val="192"/>
        </w:trPr>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6"/>
                <w:szCs w:val="16"/>
                <w:color w:val="auto"/>
              </w:rPr>
            </w:pPr>
          </w:p>
        </w:tc>
      </w:tr>
      <w:tr>
        <w:trPr>
          <w:trHeight w:val="264"/>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r>
      <w:tr>
        <w:trPr>
          <w:trHeight w:val="244"/>
        </w:trPr>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519"/>
        </w:trPr>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660" w:type="dxa"/>
            <w:vAlign w:val="bottom"/>
          </w:tcPr>
          <w:p>
            <w:pPr>
              <w:jc w:val="right"/>
              <w:ind w:right="46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6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540"/>
        </w:trPr>
        <w:tc>
          <w:tcPr>
            <w:tcW w:w="680" w:type="dxa"/>
            <w:vAlign w:val="bottom"/>
          </w:tcPr>
          <w:p>
            <w:pPr>
              <w:spacing w:after="0"/>
              <w:rPr>
                <w:sz w:val="24"/>
                <w:szCs w:val="24"/>
                <w:color w:val="auto"/>
              </w:rPr>
            </w:pPr>
          </w:p>
        </w:tc>
        <w:tc>
          <w:tcPr>
            <w:tcW w:w="380" w:type="dxa"/>
            <w:vAlign w:val="bottom"/>
          </w:tcPr>
          <w:p>
            <w:pPr>
              <w:jc w:val="right"/>
              <w:ind w:right="6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w w:val="89"/>
              </w:rPr>
              <w:t>124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253</w:t>
            </w:r>
          </w:p>
        </w:tc>
      </w:tr>
      <w:tr>
        <w:trPr>
          <w:trHeight w:val="270"/>
        </w:trPr>
        <w:tc>
          <w:tcPr>
            <w:tcW w:w="680" w:type="dxa"/>
            <w:vAlign w:val="bottom"/>
          </w:tcPr>
          <w:p>
            <w:pPr>
              <w:spacing w:after="0"/>
              <w:rPr>
                <w:sz w:val="23"/>
                <w:szCs w:val="23"/>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660" w:type="dxa"/>
            <w:vAlign w:val="bottom"/>
          </w:tcPr>
          <w:p>
            <w:pPr>
              <w:jc w:val="right"/>
              <w:ind w:right="46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w w:val="89"/>
              </w:rPr>
              <w:t>144</w:t>
            </w:r>
          </w:p>
        </w:tc>
        <w:tc>
          <w:tcPr>
            <w:tcW w:w="100" w:type="dxa"/>
            <w:vAlign w:val="bottom"/>
          </w:tcPr>
          <w:p>
            <w:pPr>
              <w:spacing w:after="0"/>
              <w:rPr>
                <w:sz w:val="18"/>
                <w:szCs w:val="18"/>
                <w:color w:val="auto"/>
              </w:rPr>
            </w:pPr>
          </w:p>
        </w:tc>
        <w:tc>
          <w:tcPr>
            <w:tcW w:w="6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278</w:t>
            </w:r>
          </w:p>
        </w:tc>
      </w:tr>
      <w:tr>
        <w:trPr>
          <w:trHeight w:val="33"/>
        </w:trPr>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440"/>
          </w:cols>
          <w:pgMar w:left="240" w:top="234"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34" w:right="239" w:bottom="1440" w:gutter="0" w:footer="0" w:header="0"/>
          <w:type w:val="continuous"/>
        </w:sectPr>
      </w:pPr>
    </w:p>
    <w:bookmarkStart w:id="32" w:name="page33"/>
    <w:bookmarkEnd w:id="3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the amount and location of gains (losses) recognized for derivatives and gains (losses) pertaining to hedged items presented in net derivative gains (losses):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 (1)</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 (2)</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and Claims (4)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5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tcPr>
          <w:p>
            <w:pPr>
              <w:spacing w:after="0"/>
              <w:rPr>
                <w:sz w:val="14"/>
                <w:szCs w:val="14"/>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65"/>
        </w:trPr>
        <w:tc>
          <w:tcPr>
            <w:tcW w:w="354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4" w:right="239" w:bottom="1440" w:gutter="0" w:footer="0" w:header="0"/>
        </w:sectPr>
      </w:pPr>
    </w:p>
    <w:bookmarkStart w:id="33" w:name="page34"/>
    <w:bookmarkEnd w:id="3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 (1)</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 (2)</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and Claims (4)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0"/>
        </w:trPr>
        <w:tc>
          <w:tcPr>
            <w:tcW w:w="35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Fair value hedges (5):</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fair value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 hedges (5):</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 cash flow hedges</w:t>
            </w:r>
          </w:p>
        </w:tc>
        <w:tc>
          <w:tcPr>
            <w:tcW w:w="100" w:type="dxa"/>
            <w:vAlign w:val="bottom"/>
          </w:tcPr>
          <w:p>
            <w:pPr>
              <w:spacing w:after="0"/>
              <w:rPr>
                <w:sz w:val="14"/>
                <w:szCs w:val="14"/>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Credit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0"/>
              <w:spacing w:after="0"/>
              <w:rPr>
                <w:sz w:val="20"/>
                <w:szCs w:val="20"/>
                <w:color w:val="auto"/>
              </w:rPr>
            </w:pPr>
            <w:r>
              <w:rPr>
                <w:rFonts w:ascii="Arial" w:cs="Arial" w:eastAsia="Arial" w:hAnsi="Arial"/>
                <w:sz w:val="14"/>
                <w:szCs w:val="14"/>
                <w:color w:val="auto"/>
              </w:rPr>
              <w:t>Embedded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non-qualifying hedges</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7620</wp:posOffset>
            </wp:positionV>
            <wp:extent cx="49999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gains (losses) reclassified from AOCI for cash flow hedges.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foreign currency transaction gains (losses) on hedged items in cash flow and nonqualifying hedging relationships. Hedged items in fair value hedging relationship includes fixed rate liabilities reported in policyholder account balances or future policy benefits and fixed maturity securities. Ineffective portion of the gains (losses) recognized in income is not significant.</w:t>
      </w:r>
    </w:p>
    <w:p>
      <w:pPr>
        <w:spacing w:after="0" w:line="7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changes in estimated fair value related to economic hedges of equity method investments in joint ventures and gains (losses) reclassified from AOCI for cash flow hedges.</w:t>
      </w:r>
    </w:p>
    <w:p>
      <w:pPr>
        <w:sectPr>
          <w:pgSz w:w="11900" w:h="16838" w:orient="portrait"/>
          <w:cols w:equalWidth="0" w:num="1">
            <w:col w:w="11420"/>
          </w:cols>
          <w:pgMar w:left="240" w:top="23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34" w:right="239" w:bottom="1440" w:gutter="0" w:footer="0" w:header="0"/>
          <w:type w:val="continuous"/>
        </w:sectPr>
      </w:pPr>
    </w:p>
    <w:bookmarkStart w:id="34" w:name="page35"/>
    <w:bookmarkEnd w:id="3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variable annuity guarantees included in future policy benefits.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instances, the Company discontinued cash flow hedge accounting because the forecasted transactions were no longer probable of occurring. Because certain of the forecasted transactions also were not probable of occurring within two months of the anticipated date, the Company reclassified amounts from AOCI into net derivative gains (losses). These amounts were $0 for both the three months and nine months ended September 30, 2018, and $0 and $12 million for the three months and nine months ended September 30, 2017, respectively.</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hedged forecasted transactions, other than the receipt or payment of variable interest payments, for the nine months ended September 30, 2018. At December 31, 2017, the maximum length of time over which the Company was hedging its exposure to variability in future cash flows for forecasted transactions did not exceed two years.</w:t>
      </w:r>
    </w:p>
    <w:p>
      <w:pPr>
        <w:spacing w:after="0" w:line="73" w:lineRule="exact"/>
        <w:rPr>
          <w:sz w:val="20"/>
          <w:szCs w:val="20"/>
          <w:color w:val="auto"/>
        </w:rPr>
      </w:pPr>
    </w:p>
    <w:p>
      <w:pPr>
        <w:ind w:right="80" w:firstLine="324"/>
        <w:spacing w:after="0" w:line="375" w:lineRule="auto"/>
        <w:rPr>
          <w:sz w:val="20"/>
          <w:szCs w:val="20"/>
          <w:color w:val="auto"/>
        </w:rPr>
      </w:pPr>
      <w:r>
        <w:rPr>
          <w:rFonts w:ascii="Arial" w:cs="Arial" w:eastAsia="Arial" w:hAnsi="Arial"/>
          <w:sz w:val="18"/>
          <w:szCs w:val="18"/>
          <w:color w:val="auto"/>
        </w:rPr>
        <w:t xml:space="preserve">At September 30, 2018 and December 31, 2017, the balance in AOCI associated with cash flow hedges was $202 million and $239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 can terminate these contracts at any time through cash settlement with the counterparty at an amount equal to the then current estimated fair value of the credit default swaps.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30, 2018</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3"/>
                <w:szCs w:val="13"/>
                <w:color w:val="auto"/>
              </w:rPr>
            </w:pPr>
          </w:p>
        </w:tc>
        <w:tc>
          <w:tcPr>
            <w:tcW w:w="132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5"/>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Amount of</w:t>
            </w:r>
          </w:p>
        </w:tc>
        <w:tc>
          <w:tcPr>
            <w:tcW w:w="12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6"/>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6"/>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3"/>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677</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558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4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5"/>
              <w:spacing w:after="0"/>
              <w:rPr>
                <w:sz w:val="20"/>
                <w:szCs w:val="20"/>
                <w:color w:val="auto"/>
              </w:rPr>
            </w:pPr>
            <w:r>
              <w:rPr>
                <w:rFonts w:ascii="Arial" w:cs="Arial" w:eastAsia="Arial" w:hAnsi="Arial"/>
                <w:sz w:val="16"/>
                <w:szCs w:val="16"/>
                <w:color w:val="auto"/>
              </w:rPr>
              <w:t>1,217</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1,317</w:t>
            </w: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1,894</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1,900</w:t>
            </w: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both single name credit default swaps that may be referenced to the credit of corporations, foreign governments or state and political subdivisions and credit default swaps referencing indices. The rating agency designations are based on availability and the midpoint of the applicable ratings among Moody’s Investors Service (“Moody’s”), Standard &amp; Poor’s Global Ratings (“S&amp;P”) and Fitch Ratings. If no rating is available from a rating agency, then an internally developed rating is used.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4" w:right="239" w:bottom="1440" w:gutter="0" w:footer="0" w:header="0"/>
        </w:sectPr>
      </w:pPr>
    </w:p>
    <w:bookmarkStart w:id="35" w:name="page36"/>
    <w:bookmarkEnd w:id="3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Subject to a Master Netting Arrangement or a Similar Arrangement</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64"/>
        </w:trPr>
        <w:tc>
          <w:tcPr>
            <w:tcW w:w="6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estimated fair value of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1,903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and Exchange-traded (1), (6)</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Arial" w:cs="Arial" w:eastAsia="Arial" w:hAnsi="Arial"/>
                <w:sz w:val="16"/>
                <w:szCs w:val="16"/>
                <w:color w:val="auto"/>
              </w:rPr>
              <w:t>Total gross estimated fair value of derivatives (1)</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Amounts offset on the consolidated balance sheets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Arial" w:cs="Arial" w:eastAsia="Arial" w:hAnsi="Arial"/>
                <w:sz w:val="16"/>
                <w:szCs w:val="16"/>
                <w:color w:val="auto"/>
              </w:rPr>
              <w:t>Estimated fair value of derivatives presented on the consolidated balance sheets (1), (6)</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amounts not offset on the consolidated balance sheets: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Gross estimated fair value of derivatives: (2)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collateral: (3), (4)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Securities collateral: (5)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amount after application of master netting agreements and collateral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September 30, 2018 and December 31, 2017, derivative assets included income or (expense) accruals reported in accrued investment income or in other liabilities of $69 million and $49 million, respectively, and derivative liabilities included (income) or expense accruals reported in accrued investment income or in other liabilities of ($8) million and ($8) million,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Estimated fair value of derivatives is limited to the amount that is subject to set-off and includes income or expense accruals.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4" w:right="239" w:bottom="1440" w:gutter="0" w:footer="0" w:header="0"/>
        </w:sectPr>
      </w:pPr>
    </w:p>
    <w:bookmarkStart w:id="36" w:name="page37"/>
    <w:bookmarkEnd w:id="3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500" w:hanging="492"/>
        <w:spacing w:after="0" w:line="25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September 30, 2018 and December 31, 2017, the Company received excess cash collateral of $39 million and $94 million, respectively, and provided excess cash collateral of $0 and $5 million, respectively, which is not included in the table above due to the foregoing limitation.</w:t>
      </w:r>
    </w:p>
    <w:p>
      <w:pPr>
        <w:spacing w:after="0" w:line="80" w:lineRule="exact"/>
        <w:rPr>
          <w:rFonts w:ascii="Arial" w:cs="Arial" w:eastAsia="Arial" w:hAnsi="Arial"/>
          <w:sz w:val="18"/>
          <w:szCs w:val="18"/>
          <w:color w:val="auto"/>
        </w:rPr>
      </w:pPr>
    </w:p>
    <w:p>
      <w:pPr>
        <w:jc w:val="both"/>
        <w:ind w:left="500" w:hanging="492"/>
        <w:spacing w:after="0" w:line="270"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Securities collateral received by the Company is held in separate custodial accounts and is not recorded on the balance sheet. Subject to certain constraints, the Company is permitted by contract to sell or re-pledge this collateral, but at September 30, 2018,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September 30, 2018 and December 31, 2017, the Company received excess securities collateral with an estimated fair value of $69 million and $337 million, respectively, for its OTC-bilateral derivatives, which are not included in the table above due to the foregoing limitation. At September 30, 2018 and December 31, 2017, the Company provided excess securities collateral with an estimated fair value of $307 million and $471 million, respectively, for its OTC-bilateral derivatives, and $79 million and $427 million, respectively, for its OTC-cleared derivatives, and $105 million and $118 million, respectively, for its exchange-traded derivatives, which are not included in the table above due to the foregoing limitation.</w:t>
      </w:r>
    </w:p>
    <w:p>
      <w:pPr>
        <w:spacing w:after="0" w:line="69"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January 16, 2018, the London Clearing House (“LCH”) amended its rulebook, resulting in the characterization of variation margin transfers as settlement payments, as opposed to adjustments to collateral. These amendments impacted the accounting treatment of the Company’s centrally cleared derivatives, for which the LCH serves as the central clearing party.</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collateral arrangements for its OTC-bilateral derivatives generally require the counterparty in a net liability position, after considering the effect of netting agreements, to pledge collateral when the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the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the Company would not be required to post additional collateral as a result of a downgrade in its financial strength rating. OTC-bilateral derivatives that are not subject to collateral agreements are excluded from this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30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1,726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1,138</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Fixed maturity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1,999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1,414</w:t>
            </w:r>
          </w:p>
        </w:tc>
      </w:tr>
      <w:tr>
        <w:trPr>
          <w:trHeight w:val="182"/>
        </w:trPr>
        <w:tc>
          <w:tcPr>
            <w:tcW w:w="20" w:type="dxa"/>
            <w:vAlign w:val="bottom"/>
          </w:tcPr>
          <w:p>
            <w:pPr>
              <w:spacing w:after="0"/>
              <w:rPr>
                <w:sz w:val="15"/>
                <w:szCs w:val="15"/>
                <w:color w:val="auto"/>
              </w:rPr>
            </w:pPr>
          </w:p>
        </w:tc>
        <w:tc>
          <w:tcPr>
            <w:tcW w:w="7880" w:type="dxa"/>
            <w:vAlign w:val="bottom"/>
          </w:tcPr>
          <w:p>
            <w:pPr>
              <w:jc w:val="right"/>
              <w:ind w:right="6521"/>
              <w:spacing w:after="0"/>
              <w:rPr>
                <w:sz w:val="20"/>
                <w:szCs w:val="20"/>
                <w:color w:val="auto"/>
              </w:rPr>
            </w:pPr>
            <w:r>
              <w:rPr>
                <w:rFonts w:ascii="Arial" w:cs="Arial" w:eastAsia="Arial" w:hAnsi="Arial"/>
                <w:sz w:val="14"/>
                <w:szCs w:val="14"/>
                <w:color w:val="auto"/>
                <w:w w:val="89"/>
              </w:rPr>
              <w:t>__________________</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34" w:right="239" w:bottom="1440" w:gutter="0" w:footer="0" w:header="0"/>
        </w:sectPr>
      </w:pPr>
    </w:p>
    <w:bookmarkStart w:id="37" w:name="page38"/>
    <w:bookmarkEnd w:id="3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issues certain products or purchases certain investments that contain embedded derivatives that are required to be separated from their host contracts and accounted for as freestanding derivatives. These host contracts principally include: variable annuities with guaranteed minimum benefits, including GMWBs, GMABs and certain GMIBs; related party ceded reinsurance of guaranteed minimum benefits related to GMWBs, GMABs and certain GMIBs; related party assumed reinsurance of guaranteed minimum benefits related to GMWBs and certain GMIBs; funds withheld on assumed and ceded reinsurance; assumed reinsurance on fixed deferred annuities; fixed annuities with equity-indexed returns; and certain debt and equity securities.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and balance sheet location of the Company’s embedded derivatives that have been separated from their host contracts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32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200" w:type="dxa"/>
            <w:vAlign w:val="bottom"/>
            <w:tcBorders>
              <w:top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Embedded derivatives within asset host contracts:</w:t>
            </w: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Ceded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embedded in debt or equity securities (1)</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Embedded derivatives within asset host contracts</w:t>
            </w:r>
          </w:p>
        </w:tc>
        <w:tc>
          <w:tcPr>
            <w:tcW w:w="3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Direct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Assumed reinsurance on fixed deferred annuities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Fixed annuities with equity indexed returns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18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319"/>
              <w:spacing w:after="0"/>
              <w:rPr>
                <w:sz w:val="20"/>
                <w:szCs w:val="20"/>
                <w:color w:val="auto"/>
              </w:rPr>
            </w:pPr>
            <w:r>
              <w:rPr>
                <w:rFonts w:ascii="Arial" w:cs="Arial" w:eastAsia="Arial" w:hAnsi="Arial"/>
                <w:sz w:val="14"/>
                <w:szCs w:val="14"/>
                <w:color w:val="auto"/>
                <w:w w:val="91"/>
              </w:rPr>
              <w:t>__________________</w:t>
            </w: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gridSpan w:val="2"/>
            <w:vMerge w:val="continue"/>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the adoption of new guidance related to the recognition and measurement of financial instruments (see Note 1), effective January 1, 2018, the Company is no longer required to bifurcate and account separately for derivatives embedded in equity securities. Beginning January 1, 2018, the entire change in the estimated fair value of equity securities is recognized as a component of net investment gains and losses.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estimated fair value related to embedded derivatives: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4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r>
      <w:tr>
        <w:trPr>
          <w:trHeight w:val="250"/>
        </w:trPr>
        <w:tc>
          <w:tcPr>
            <w:tcW w:w="6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 (1), (2)</w:t>
            </w:r>
          </w:p>
        </w:tc>
        <w:tc>
          <w:tcPr>
            <w:tcW w:w="68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8"/>
              </w:rPr>
              <w:t>(38)</w:t>
            </w:r>
          </w:p>
        </w:tc>
        <w:tc>
          <w:tcPr>
            <w:tcW w:w="74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664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890</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74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6"/>
              <w:spacing w:after="0"/>
              <w:rPr>
                <w:sz w:val="20"/>
                <w:szCs w:val="20"/>
                <w:color w:val="auto"/>
              </w:rPr>
            </w:pPr>
            <w:r>
              <w:rPr>
                <w:rFonts w:ascii="Arial" w:cs="Arial" w:eastAsia="Arial" w:hAnsi="Arial"/>
                <w:sz w:val="14"/>
                <w:szCs w:val="14"/>
                <w:color w:val="auto"/>
              </w:rPr>
              <w:t>(4)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2"/>
        </w:trPr>
        <w:tc>
          <w:tcPr>
            <w:tcW w:w="6980" w:type="dxa"/>
            <w:vAlign w:val="bottom"/>
          </w:tcPr>
          <w:p>
            <w:pPr>
              <w:jc w:val="right"/>
              <w:ind w:right="5602"/>
              <w:spacing w:after="0"/>
              <w:rPr>
                <w:sz w:val="20"/>
                <w:szCs w:val="20"/>
                <w:color w:val="auto"/>
              </w:rPr>
            </w:pPr>
            <w:r>
              <w:rPr>
                <w:rFonts w:ascii="Arial" w:cs="Arial" w:eastAsia="Arial" w:hAnsi="Arial"/>
                <w:sz w:val="14"/>
                <w:szCs w:val="14"/>
                <w:color w:val="auto"/>
                <w:w w:val="91"/>
              </w:rPr>
              <w:t>__________________</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valuation of direct and assumed guaranteed minimum benefits includes a nonperformance risk adjustment. The amounts included in net derivative gains (losses) in connection with this adjustment were ($150) million and ($116) million for the three months and nine months ended September 30, 2018, respectively, and $457 million and $385 million for the three months and nine months ended September 30, 2017, respectively.</w:t>
      </w:r>
    </w:p>
    <w:p>
      <w:pPr>
        <w:spacing w:after="0" w:line="38"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12 for discussion of related party net derivative gains (losses).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including those items for which the Company has elected the FVO, are presented below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September 30, 2018</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23,332</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23,935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4,072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6,878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10,950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7,291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8,374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6,206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4,069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CMBS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4,160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4,072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55,288</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62,279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Real estate joint ventures (1)</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limited partnership interests (1)</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assets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111,530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111,736</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168,677</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3,413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176,436</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(2)</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2,854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Long-term debt of CSEs — FVO</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2,857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4,909</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234" w:right="2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December 31, 2017</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22,048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8,304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16,292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5,935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CMBS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3,287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8,304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53,455</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40"/>
              <w:spacing w:after="0"/>
              <w:rPr>
                <w:sz w:val="20"/>
                <w:szCs w:val="20"/>
                <w:color w:val="auto"/>
              </w:rPr>
            </w:pPr>
            <w:r>
              <w:rPr>
                <w:rFonts w:ascii="Arial" w:cs="Arial" w:eastAsia="Arial" w:hAnsi="Arial"/>
                <w:sz w:val="14"/>
                <w:szCs w:val="14"/>
                <w:color w:val="auto"/>
              </w:rPr>
              <w:t>Equity securities (4)</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assets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2,079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117,842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8,890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173,666</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186,317</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(2)</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2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2,691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(3)</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Long-term debt of CSEs — FVO</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5,027</w:t>
            </w:r>
          </w:p>
        </w:tc>
        <w:tc>
          <w:tcPr>
            <w:tcW w:w="0" w:type="dxa"/>
            <w:vAlign w:val="bottom"/>
          </w:tcPr>
          <w:p>
            <w:pPr>
              <w:spacing w:after="0"/>
              <w:rPr>
                <w:sz w:val="1"/>
                <w:szCs w:val="1"/>
                <w:color w:val="auto"/>
              </w:rPr>
            </w:pPr>
          </w:p>
        </w:tc>
      </w:tr>
      <w:tr>
        <w:trPr>
          <w:trHeight w:val="60"/>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-98425</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8"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 At September 30, 2018 and December 31, 2017, debt and equity securities also included embedded derivatives of $0 and ($52) million, respectively.</w:t>
      </w:r>
    </w:p>
    <w:p>
      <w:pPr>
        <w:sectPr>
          <w:pgSz w:w="11900" w:h="16838" w:orient="portrait"/>
          <w:cols w:equalWidth="0" w:num="1">
            <w:col w:w="11420"/>
          </w:cols>
          <w:pgMar w:left="240" w:top="288" w:right="239" w:bottom="933"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88" w:right="239" w:bottom="933"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reclassified Federal Home Loan Bank (“FHLB”) stock in the prior period from equity securities to other invested assets.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MLIA.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based on changing market conditions. In addition, the Chief Accounting Officer periodically reports to the Audit Committee of Brighthouse’s Board of Directors regarding compliance with fair value accounting standards.</w:t>
      </w:r>
    </w:p>
    <w:p>
      <w:pPr>
        <w:spacing w:after="0" w:line="85" w:lineRule="exact"/>
        <w:rPr>
          <w:sz w:val="20"/>
          <w:szCs w:val="20"/>
          <w:color w:val="auto"/>
        </w:rPr>
      </w:pPr>
    </w:p>
    <w:p>
      <w:pPr>
        <w:jc w:val="both"/>
        <w:ind w:left="180" w:firstLine="324"/>
        <w:spacing w:after="0" w:line="287" w:lineRule="auto"/>
        <w:rPr>
          <w:sz w:val="20"/>
          <w:szCs w:val="20"/>
          <w:color w:val="auto"/>
        </w:rPr>
      </w:pPr>
      <w:r>
        <w:rPr>
          <w:rFonts w:ascii="Arial" w:cs="Arial" w:eastAsia="Arial" w:hAnsi="Arial"/>
          <w:sz w:val="16"/>
          <w:szCs w:val="16"/>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MLIA performs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Fixed maturity securities priced using independent non-binding broker quotations represent less than 1% of the total estimated fair value of fixed maturity securities and 5% of the total estimated fair value of Level 3 fixed maturity securities at September 30, 2018.</w:t>
      </w:r>
    </w:p>
    <w:p>
      <w:pPr>
        <w:spacing w:after="0" w:line="65"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MLIA also applies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MLIA will use the last available price.</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 reviews outputs of MLIA’s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2018.</w:t>
      </w:r>
    </w:p>
    <w:p>
      <w:pPr>
        <w:spacing w:after="0" w:line="63" w:lineRule="exact"/>
        <w:rPr>
          <w:sz w:val="20"/>
          <w:szCs w:val="20"/>
          <w:color w:val="auto"/>
        </w:rPr>
      </w:pPr>
    </w:p>
    <w:p>
      <w:pPr>
        <w:jc w:val="center"/>
        <w:ind w:right="89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7"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8"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18"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u w:val="single" w:color="auto"/>
          <w:color w:val="auto"/>
        </w:rPr>
        <w:t>Equity securities, short-term investments, real estate joint ventures, other limited partnership interests, commercial mortgage loans held by CSEs — FVO and long-term debt of CSEs — FVO</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1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Real Estate Joint Ventures and Other Limited Partnership Interests: </w:t>
      </w:r>
      <w:r>
        <w:rPr>
          <w:rFonts w:ascii="Arial" w:cs="Arial" w:eastAsia="Arial" w:hAnsi="Arial"/>
          <w:sz w:val="18"/>
          <w:szCs w:val="18"/>
          <w:color w:val="auto"/>
        </w:rPr>
        <w:t>Fair value is generally based on the Company’s share of the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(“NAV”) as provided on the financial statements of the investees.</w:t>
      </w:r>
    </w:p>
    <w:p>
      <w:pPr>
        <w:spacing w:after="0" w:line="11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Commercial mortgage loans held by CSEs — FVO and long-term debt of CSEs — FVO: </w:t>
      </w:r>
      <w:r>
        <w:rPr>
          <w:rFonts w:ascii="Arial" w:cs="Arial" w:eastAsia="Arial" w:hAnsi="Arial"/>
          <w:sz w:val="18"/>
          <w:szCs w:val="18"/>
          <w:color w:val="auto"/>
        </w:rPr>
        <w:t>Fair value is determined using third-party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services, with the primary input being quoted securitization market price determined principally by independent pricing services using observable inputs or quoted prices or reported NAV provided by the fund managers.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8"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Embedded derivatives principally include certain direct, assumed and ceded variable annuity guarantees, equity or bond indexed crediting rates within certain annuity contracts, and those related to funds withheld on ceded reinsurance agreements. Embedded derivatives are recorded at estimated fair value with changes in estimated fair value reported in net income.</w:t>
      </w:r>
    </w:p>
    <w:p>
      <w:pPr>
        <w:spacing w:after="0" w:line="73"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3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Company’s actuarial department calculates the fair value of these embedded derivatives, which are estimated as the present value of projected future benefits minus the present value of projected future fees using actuarial and capital market assumptions including expectations concerning policyholder behavior. The calculation is based on in-force business, and is performed using standard actuarial valuation software which projects future cash flows from the embedded derivative over multiple risk neutral stochastic scenarios using observable risk-free rates.</w:t>
      </w:r>
    </w:p>
    <w:p>
      <w:pPr>
        <w:spacing w:after="0" w:line="6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Brighthouse Financial, Inc.’s debt. These observable spreads are then adjusted to reflect the priority of these liabilities and claims paying ability of the issuing insurance subsidiaries as compared to Brighthouse Financial, Inc.’s overall financial strength.</w:t>
      </w:r>
    </w:p>
    <w:p>
      <w:pPr>
        <w:spacing w:after="0" w:line="63"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 These guarantees may be more costly than expected in volatile or declining equity markets. Market conditions including, but not limited to, changes in interest rates, equity indices, market volatility and foreign currency exchange rates; changes in nonperformance risk; and variations in actuarial assumptions regarding policyholder behavior, mortality and risk margins related to non-capital market inputs, may result in significant fluctuations in the estimated fair value of the guarantees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recaptured from a former affiliate the risk associated with certain GMIBs. These embedded derivatives are included in policyholder account balances on the consolidated balance sheets with changes in estimated fair value reported in net derivative gains (losses). The value of the embedded derivatives on these recaptured risks is determined using a methodology consistent with that described previously for the guarantees directly written by the Company.</w:t>
      </w:r>
    </w:p>
    <w:p>
      <w:pPr>
        <w:spacing w:after="0" w:line="79"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The Company ceded to a former affiliate the risk associated with certain of the GMIBs, GMABs and GMWBs described above that are also accounted for as embedded derivatives. In addition to ceding risks associated with guarantees that are accounted for as embedded derivatives, the Company also ceded, to a former affiliate, certain directly written GMIBs that are accounted for as insurance (i.e., not as embedded derivatives), but where the reinsurance agreement contains an embedded derivative. These embedded derivatives are included within premiums, reinsurance and other receivables on the consolidated balance sheets with changes in estimated fair value reported in net derivative gains (losses). The value of the embedded derivatives on the ceded risk is determined using a methodology consistent with that described previously for the guarantees directly written by the Company with the exception of the input for nonperformance risk that reflects the credit of the reinsurer.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8"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Equity securities, short-term investments, real estate joint ventures, other limited partnership interests, commercial mortgage loans held by CSEs — FVO and long-term debt of CSEs — FVO.” The estimated fair value of these embedded derivatives is included, along with their funds withheld hosts, in other liabilities on the consolidated balance sheets with changes in estimated fair value recorded in net derivative gains (losses). Changes in the credit spreads on the underlying assets, interest rates and market volatility may result in significant fluctuations in the estimated fair value of these embedded derivatives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certain annuity contracts which allow the policyholder to participate in returns from equity indices. These equity indexed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The estimated fair value of the embedded equity indexed derivatives, based on the present value of future equity returns to the policyholder using actuarial and present value assumptions including expectations concerning policyholder behavior, is calculated by the Company’s actuarial department. The calculation is based on in-force business and uses standard capital market techniques, such as Black-Scholes, to calculate the value of the portion of the embedded derivative for which the terms are set. The portion of the embedded derivative covering the period beyond where terms are set is calculated as the present value of amounts expected to be spent to provide equity indexed returns in those periods. The valuation of these embedded derivatives also includes the establishment of a risk margin, as well as changes in nonperformance risk.</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Transfers between Levels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Overall, transfers between levels occur when there are changes in the observability of inputs and market activity. Transfers into or out of any level are assumed to occur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between Levels 1 and 2:</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For assets and liabilities measured at estimated fair value and still held at September 30, 2018 and December 31, 2017, transfers between Levels 1 and 2 were not significant.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8"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4"/>
            <w:vMerge w:val="restart"/>
          </w:tcPr>
          <w:p>
            <w:pPr>
              <w:ind w:left="180"/>
              <w:spacing w:after="0"/>
              <w:rPr>
                <w:sz w:val="20"/>
                <w:szCs w:val="20"/>
                <w:color w:val="auto"/>
              </w:rPr>
            </w:pPr>
            <w:r>
              <w:rPr>
                <w:rFonts w:ascii="Arial" w:cs="Arial" w:eastAsia="Arial" w:hAnsi="Arial"/>
                <w:sz w:val="10"/>
                <w:szCs w:val="10"/>
                <w:b w:val="1"/>
                <w:bCs w:val="1"/>
                <w:color w:val="auto"/>
                <w:w w:val="89"/>
              </w:rPr>
              <w:t>September 30, 2018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4"/>
            <w:vMerge w:val="restart"/>
          </w:tcPr>
          <w:p>
            <w:pPr>
              <w:ind w:left="240"/>
              <w:spacing w:after="0"/>
              <w:rPr>
                <w:sz w:val="20"/>
                <w:szCs w:val="20"/>
                <w:color w:val="auto"/>
              </w:rPr>
            </w:pPr>
            <w:r>
              <w:rPr>
                <w:rFonts w:ascii="Arial" w:cs="Arial" w:eastAsia="Arial" w:hAnsi="Arial"/>
                <w:sz w:val="10"/>
                <w:szCs w:val="10"/>
                <w:b w:val="1"/>
                <w:bCs w:val="1"/>
                <w:color w:val="auto"/>
                <w:w w:val="93"/>
              </w:rPr>
              <w:t>December 31, 2017</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Impact of</w:t>
            </w:r>
          </w:p>
        </w:tc>
        <w:tc>
          <w:tcPr>
            <w:tcW w:w="0" w:type="dxa"/>
            <w:vAlign w:val="bottom"/>
          </w:tcPr>
          <w:p>
            <w:pPr>
              <w:spacing w:after="0"/>
              <w:rPr>
                <w:sz w:val="1"/>
                <w:szCs w:val="1"/>
                <w:color w:val="auto"/>
              </w:rPr>
            </w:pPr>
          </w:p>
        </w:tc>
      </w:tr>
      <w:tr>
        <w:trPr>
          <w:trHeight w:val="59"/>
        </w:trPr>
        <w:tc>
          <w:tcPr>
            <w:tcW w:w="2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79"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ind w:left="420"/>
              <w:spacing w:after="0"/>
              <w:rPr>
                <w:sz w:val="20"/>
                <w:szCs w:val="20"/>
                <w:color w:val="auto"/>
              </w:rPr>
            </w:pPr>
            <w:r>
              <w:rPr>
                <w:rFonts w:ascii="Arial" w:cs="Arial" w:eastAsia="Arial" w:hAnsi="Arial"/>
                <w:sz w:val="10"/>
                <w:szCs w:val="10"/>
                <w:b w:val="1"/>
                <w:bCs w:val="1"/>
                <w:color w:val="auto"/>
              </w:rPr>
              <w:t>Significant</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Weighted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4"/>
              <w:spacing w:after="0"/>
              <w:rPr>
                <w:sz w:val="20"/>
                <w:szCs w:val="20"/>
                <w:color w:val="auto"/>
              </w:rPr>
            </w:pPr>
            <w:r>
              <w:rPr>
                <w:rFonts w:ascii="Arial" w:cs="Arial" w:eastAsia="Arial" w:hAnsi="Arial"/>
                <w:sz w:val="10"/>
                <w:szCs w:val="10"/>
                <w:b w:val="1"/>
                <w:bCs w:val="1"/>
                <w:color w:val="auto"/>
                <w:w w:val="88"/>
              </w:rPr>
              <w:t>Weighted</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9"/>
              </w:rPr>
              <w:t>on Estimated</w:t>
            </w:r>
          </w:p>
        </w:tc>
        <w:tc>
          <w:tcPr>
            <w:tcW w:w="0" w:type="dxa"/>
            <w:vAlign w:val="bottom"/>
          </w:tcPr>
          <w:p>
            <w:pPr>
              <w:spacing w:after="0"/>
              <w:rPr>
                <w:sz w:val="1"/>
                <w:szCs w:val="1"/>
                <w:color w:val="auto"/>
              </w:rPr>
            </w:pPr>
          </w:p>
        </w:tc>
      </w:tr>
      <w:tr>
        <w:trPr>
          <w:trHeight w:val="126"/>
        </w:trPr>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ind w:left="200"/>
              <w:spacing w:after="0"/>
              <w:rPr>
                <w:sz w:val="20"/>
                <w:szCs w:val="20"/>
                <w:color w:val="auto"/>
              </w:rPr>
            </w:pPr>
            <w:r>
              <w:rPr>
                <w:rFonts w:ascii="Arial" w:cs="Arial" w:eastAsia="Arial" w:hAnsi="Arial"/>
                <w:sz w:val="10"/>
                <w:szCs w:val="10"/>
                <w:b w:val="1"/>
                <w:bCs w:val="1"/>
                <w:color w:val="auto"/>
              </w:rPr>
              <w:t>Valuation Techniques</w:t>
            </w:r>
          </w:p>
        </w:tc>
        <w:tc>
          <w:tcPr>
            <w:tcW w:w="18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Unobservable Inputs</w:t>
            </w:r>
          </w:p>
        </w:tc>
        <w:tc>
          <w:tcPr>
            <w:tcW w:w="520" w:type="dxa"/>
            <w:vAlign w:val="bottom"/>
          </w:tcPr>
          <w:p>
            <w:pPr>
              <w:spacing w:after="0"/>
              <w:rPr>
                <w:sz w:val="10"/>
                <w:szCs w:val="10"/>
                <w:color w:val="auto"/>
              </w:rPr>
            </w:pPr>
          </w:p>
        </w:tc>
        <w:tc>
          <w:tcPr>
            <w:tcW w:w="340" w:type="dxa"/>
            <w:vAlign w:val="bottom"/>
          </w:tcPr>
          <w:p>
            <w:pPr>
              <w:ind w:left="20"/>
              <w:spacing w:after="0"/>
              <w:rPr>
                <w:sz w:val="20"/>
                <w:szCs w:val="20"/>
                <w:color w:val="auto"/>
              </w:rPr>
            </w:pPr>
            <w:r>
              <w:rPr>
                <w:rFonts w:ascii="Arial" w:cs="Arial" w:eastAsia="Arial" w:hAnsi="Arial"/>
                <w:sz w:val="10"/>
                <w:szCs w:val="10"/>
                <w:b w:val="1"/>
                <w:bCs w:val="1"/>
                <w:color w:val="auto"/>
                <w:w w:val="98"/>
              </w:rPr>
              <w:t>Range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Average (1)</w:t>
            </w:r>
          </w:p>
        </w:tc>
        <w:tc>
          <w:tcPr>
            <w:tcW w:w="540" w:type="dxa"/>
            <w:vAlign w:val="bottom"/>
          </w:tcPr>
          <w:p>
            <w:pPr>
              <w:spacing w:after="0"/>
              <w:rPr>
                <w:sz w:val="10"/>
                <w:szCs w:val="10"/>
                <w:color w:val="auto"/>
              </w:rPr>
            </w:pPr>
          </w:p>
        </w:tc>
        <w:tc>
          <w:tcPr>
            <w:tcW w:w="380" w:type="dxa"/>
            <w:vAlign w:val="bottom"/>
          </w:tcPr>
          <w:p>
            <w:pPr>
              <w:jc w:val="right"/>
              <w:ind w:right="2"/>
              <w:spacing w:after="0"/>
              <w:rPr>
                <w:sz w:val="20"/>
                <w:szCs w:val="20"/>
                <w:color w:val="auto"/>
              </w:rPr>
            </w:pPr>
            <w:r>
              <w:rPr>
                <w:rFonts w:ascii="Arial" w:cs="Arial" w:eastAsia="Arial" w:hAnsi="Arial"/>
                <w:sz w:val="10"/>
                <w:szCs w:val="10"/>
                <w:b w:val="1"/>
                <w:bCs w:val="1"/>
                <w:color w:val="auto"/>
                <w:w w:val="98"/>
              </w:rPr>
              <w:t>Range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4"/>
              <w:spacing w:after="0"/>
              <w:rPr>
                <w:sz w:val="20"/>
                <w:szCs w:val="20"/>
                <w:color w:val="auto"/>
              </w:rPr>
            </w:pPr>
            <w:r>
              <w:rPr>
                <w:rFonts w:ascii="Arial" w:cs="Arial" w:eastAsia="Arial" w:hAnsi="Arial"/>
                <w:sz w:val="10"/>
                <w:szCs w:val="10"/>
                <w:b w:val="1"/>
                <w:bCs w:val="1"/>
                <w:color w:val="auto"/>
                <w:w w:val="88"/>
              </w:rPr>
              <w:t>Average (1)</w:t>
            </w: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Fair Value (2)</w:t>
            </w:r>
          </w:p>
        </w:tc>
        <w:tc>
          <w:tcPr>
            <w:tcW w:w="0" w:type="dxa"/>
            <w:vAlign w:val="bottom"/>
          </w:tcPr>
          <w:p>
            <w:pPr>
              <w:spacing w:after="0"/>
              <w:rPr>
                <w:sz w:val="1"/>
                <w:szCs w:val="1"/>
                <w:color w:val="auto"/>
              </w:rPr>
            </w:pPr>
          </w:p>
        </w:tc>
      </w:tr>
      <w:tr>
        <w:trPr>
          <w:trHeight w:val="26"/>
        </w:trPr>
        <w:tc>
          <w:tcPr>
            <w:tcW w:w="2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Fixed maturity securities (3)</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40"/>
              <w:spacing w:after="0"/>
              <w:rPr>
                <w:sz w:val="20"/>
                <w:szCs w:val="20"/>
                <w:color w:val="auto"/>
              </w:rPr>
            </w:pPr>
            <w:r>
              <w:rPr>
                <w:rFonts w:ascii="Arial" w:cs="Arial" w:eastAsia="Arial" w:hAnsi="Arial"/>
                <w:sz w:val="12"/>
                <w:szCs w:val="12"/>
                <w:color w:val="auto"/>
              </w:rPr>
              <w:t>U.S. corporate and foreign corporate</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Matrix pricing</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74"/>
              </w:rPr>
              <w:t>86</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9"/>
              </w:rPr>
              <w:t>126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4"/>
              <w:spacing w:after="0"/>
              <w:rPr>
                <w:sz w:val="20"/>
                <w:szCs w:val="20"/>
                <w:color w:val="auto"/>
              </w:rPr>
            </w:pPr>
            <w:r>
              <w:rPr>
                <w:rFonts w:ascii="Arial" w:cs="Arial" w:eastAsia="Arial" w:hAnsi="Arial"/>
                <w:sz w:val="12"/>
                <w:szCs w:val="12"/>
                <w:color w:val="auto"/>
                <w:w w:val="89"/>
              </w:rPr>
              <w:t>104</w:t>
            </w:r>
          </w:p>
        </w:tc>
        <w:tc>
          <w:tcPr>
            <w:tcW w:w="120" w:type="dxa"/>
            <w:vAlign w:val="bottom"/>
          </w:tcPr>
          <w:p>
            <w:pPr>
              <w:spacing w:after="0"/>
              <w:rPr>
                <w:sz w:val="14"/>
                <w:szCs w:val="14"/>
                <w:color w:val="auto"/>
              </w:rPr>
            </w:pPr>
          </w:p>
        </w:tc>
        <w:tc>
          <w:tcPr>
            <w:tcW w:w="540" w:type="dxa"/>
            <w:vAlign w:val="bottom"/>
          </w:tcPr>
          <w:p>
            <w:pPr>
              <w:jc w:val="center"/>
              <w:ind w:left="42"/>
              <w:spacing w:after="0"/>
              <w:rPr>
                <w:sz w:val="20"/>
                <w:szCs w:val="20"/>
                <w:color w:val="auto"/>
              </w:rPr>
            </w:pPr>
            <w:r>
              <w:rPr>
                <w:rFonts w:ascii="Arial" w:cs="Arial" w:eastAsia="Arial" w:hAnsi="Arial"/>
                <w:sz w:val="12"/>
                <w:szCs w:val="12"/>
                <w:color w:val="auto"/>
                <w:w w:val="89"/>
              </w:rPr>
              <w:t>93</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2"/>
                <w:szCs w:val="12"/>
                <w:color w:val="auto"/>
                <w:w w:val="89"/>
              </w:rPr>
              <w:t>111</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74"/>
              </w:rPr>
              <w:t>53</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9"/>
              </w:rPr>
              <w:t>316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101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443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44"/>
              <w:spacing w:after="0"/>
              <w:rPr>
                <w:sz w:val="20"/>
                <w:szCs w:val="20"/>
                <w:color w:val="auto"/>
              </w:rPr>
            </w:pPr>
            <w:r>
              <w:rPr>
                <w:rFonts w:ascii="Arial" w:cs="Arial" w:eastAsia="Arial" w:hAnsi="Arial"/>
                <w:sz w:val="12"/>
                <w:szCs w:val="12"/>
                <w:color w:val="auto"/>
                <w:w w:val="89"/>
              </w:rPr>
              <w:t>77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60" w:type="dxa"/>
            <w:vAlign w:val="bottom"/>
          </w:tcPr>
          <w:p>
            <w:pPr>
              <w:ind w:left="40"/>
              <w:spacing w:after="0"/>
              <w:rPr>
                <w:sz w:val="20"/>
                <w:szCs w:val="20"/>
                <w:color w:val="auto"/>
              </w:rPr>
            </w:pPr>
            <w:r>
              <w:rPr>
                <w:rFonts w:ascii="Arial" w:cs="Arial" w:eastAsia="Arial" w:hAnsi="Arial"/>
                <w:sz w:val="12"/>
                <w:szCs w:val="12"/>
                <w:color w:val="auto"/>
              </w:rPr>
              <w:t>RMBS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74"/>
              </w:rPr>
              <w:t>59</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9"/>
              </w:rPr>
              <w:t>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4"/>
              <w:spacing w:after="0"/>
              <w:rPr>
                <w:sz w:val="20"/>
                <w:szCs w:val="20"/>
                <w:color w:val="auto"/>
              </w:rPr>
            </w:pPr>
            <w:r>
              <w:rPr>
                <w:rFonts w:ascii="Arial" w:cs="Arial" w:eastAsia="Arial" w:hAnsi="Arial"/>
                <w:sz w:val="12"/>
                <w:szCs w:val="12"/>
                <w:color w:val="auto"/>
                <w:w w:val="89"/>
              </w:rPr>
              <w:t>95</w:t>
            </w:r>
          </w:p>
        </w:tc>
        <w:tc>
          <w:tcPr>
            <w:tcW w:w="120" w:type="dxa"/>
            <w:vAlign w:val="bottom"/>
          </w:tcPr>
          <w:p>
            <w:pPr>
              <w:spacing w:after="0"/>
              <w:rPr>
                <w:sz w:val="14"/>
                <w:szCs w:val="14"/>
                <w:color w:val="auto"/>
              </w:rPr>
            </w:pPr>
          </w:p>
        </w:tc>
        <w:tc>
          <w:tcPr>
            <w:tcW w:w="540" w:type="dxa"/>
            <w:vAlign w:val="bottom"/>
          </w:tcPr>
          <w:p>
            <w:pPr>
              <w:jc w:val="center"/>
              <w:ind w:left="62"/>
              <w:spacing w:after="0"/>
              <w:rPr>
                <w:sz w:val="20"/>
                <w:szCs w:val="20"/>
                <w:color w:val="auto"/>
              </w:rPr>
            </w:pPr>
            <w:r>
              <w:rPr>
                <w:rFonts w:ascii="Arial" w:cs="Arial" w:eastAsia="Arial" w:hAnsi="Arial"/>
                <w:sz w:val="12"/>
                <w:szCs w:val="12"/>
                <w:color w:val="auto"/>
                <w:w w:val="89"/>
              </w:rPr>
              <w:t>3</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4"/>
              <w:spacing w:after="0"/>
              <w:rPr>
                <w:sz w:val="20"/>
                <w:szCs w:val="20"/>
                <w:color w:val="auto"/>
              </w:rPr>
            </w:pPr>
            <w:r>
              <w:rPr>
                <w:rFonts w:ascii="Arial" w:cs="Arial" w:eastAsia="Arial" w:hAnsi="Arial"/>
                <w:sz w:val="12"/>
                <w:szCs w:val="12"/>
                <w:color w:val="auto"/>
                <w:w w:val="89"/>
              </w:rPr>
              <w:t>95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CMBS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74"/>
              </w:rPr>
              <w:t>67</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9"/>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right="44"/>
              <w:spacing w:after="0"/>
              <w:rPr>
                <w:sz w:val="20"/>
                <w:szCs w:val="20"/>
                <w:color w:val="auto"/>
              </w:rPr>
            </w:pPr>
            <w:r>
              <w:rPr>
                <w:rFonts w:ascii="Arial" w:cs="Arial" w:eastAsia="Arial" w:hAnsi="Arial"/>
                <w:sz w:val="12"/>
                <w:szCs w:val="12"/>
                <w:color w:val="auto"/>
                <w:w w:val="89"/>
              </w:rPr>
              <w:t>92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8</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104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44"/>
              <w:spacing w:after="0"/>
              <w:rPr>
                <w:sz w:val="20"/>
                <w:szCs w:val="20"/>
                <w:color w:val="auto"/>
              </w:rPr>
            </w:pPr>
            <w:r>
              <w:rPr>
                <w:rFonts w:ascii="Arial" w:cs="Arial" w:eastAsia="Arial" w:hAnsi="Arial"/>
                <w:sz w:val="12"/>
                <w:szCs w:val="12"/>
                <w:color w:val="auto"/>
                <w:w w:val="89"/>
              </w:rPr>
              <w:t>88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9"/>
              </w:rPr>
              <w:t>103</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9"/>
              </w:rPr>
              <w:t>103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4"/>
              <w:spacing w:after="0"/>
              <w:rPr>
                <w:sz w:val="20"/>
                <w:szCs w:val="20"/>
                <w:color w:val="auto"/>
              </w:rPr>
            </w:pPr>
            <w:r>
              <w:rPr>
                <w:rFonts w:ascii="Arial" w:cs="Arial" w:eastAsia="Arial" w:hAnsi="Arial"/>
                <w:sz w:val="12"/>
                <w:szCs w:val="12"/>
                <w:color w:val="auto"/>
                <w:w w:val="89"/>
              </w:rPr>
              <w:t>103</w:t>
            </w:r>
          </w:p>
        </w:tc>
        <w:tc>
          <w:tcPr>
            <w:tcW w:w="120" w:type="dxa"/>
            <w:vAlign w:val="bottom"/>
          </w:tcPr>
          <w:p>
            <w:pPr>
              <w:spacing w:after="0"/>
              <w:rPr>
                <w:sz w:val="14"/>
                <w:szCs w:val="14"/>
                <w:color w:val="auto"/>
              </w:rPr>
            </w:pPr>
          </w:p>
        </w:tc>
        <w:tc>
          <w:tcPr>
            <w:tcW w:w="540" w:type="dxa"/>
            <w:vAlign w:val="bottom"/>
          </w:tcPr>
          <w:p>
            <w:pPr>
              <w:jc w:val="center"/>
              <w:ind w:left="62"/>
              <w:spacing w:after="0"/>
              <w:rPr>
                <w:sz w:val="20"/>
                <w:szCs w:val="20"/>
                <w:color w:val="auto"/>
              </w:rPr>
            </w:pPr>
            <w:r>
              <w:rPr>
                <w:rFonts w:ascii="Arial" w:cs="Arial" w:eastAsia="Arial" w:hAnsi="Arial"/>
                <w:sz w:val="12"/>
                <w:szCs w:val="12"/>
                <w:color w:val="auto"/>
                <w:w w:val="89"/>
              </w:rPr>
              <w:t>105</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105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2"/>
                <w:szCs w:val="12"/>
                <w:color w:val="auto"/>
                <w:w w:val="89"/>
              </w:rPr>
              <w:t>105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74"/>
              </w:rPr>
              <w:t>99</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9"/>
              </w:rPr>
              <w:t>101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100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100</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104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w w:val="89"/>
              </w:rPr>
              <w:t>101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9"/>
              </w:rPr>
              <w:t>100</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9"/>
              </w:rPr>
              <w:t>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4"/>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4"/>
                <w:szCs w:val="14"/>
                <w:color w:val="auto"/>
              </w:rPr>
            </w:pPr>
          </w:p>
        </w:tc>
        <w:tc>
          <w:tcPr>
            <w:tcW w:w="540" w:type="dxa"/>
            <w:vAlign w:val="bottom"/>
          </w:tcPr>
          <w:p>
            <w:pPr>
              <w:jc w:val="center"/>
              <w:ind w:left="62"/>
              <w:spacing w:after="0"/>
              <w:rPr>
                <w:sz w:val="20"/>
                <w:szCs w:val="20"/>
                <w:color w:val="auto"/>
              </w:rPr>
            </w:pPr>
            <w:r>
              <w:rPr>
                <w:rFonts w:ascii="Arial" w:cs="Arial" w:eastAsia="Arial" w:hAnsi="Arial"/>
                <w:sz w:val="12"/>
                <w:szCs w:val="12"/>
                <w:color w:val="auto"/>
                <w:w w:val="89"/>
              </w:rPr>
              <w:t>100</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Derivatives</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40"/>
              <w:spacing w:after="0"/>
              <w:rPr>
                <w:sz w:val="20"/>
                <w:szCs w:val="20"/>
                <w:color w:val="auto"/>
              </w:rPr>
            </w:pPr>
            <w:r>
              <w:rPr>
                <w:rFonts w:ascii="Arial" w:cs="Arial" w:eastAsia="Arial" w:hAnsi="Arial"/>
                <w:sz w:val="12"/>
                <w:szCs w:val="12"/>
                <w:color w:val="auto"/>
              </w:rPr>
              <w:t>Foreign currency exchange rate</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Present value techniques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Swap yield (17)</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4"/>
              </w:rPr>
              <w:t>(23)</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left="42"/>
              <w:spacing w:after="0"/>
              <w:rPr>
                <w:sz w:val="20"/>
                <w:szCs w:val="20"/>
                <w:color w:val="auto"/>
              </w:rPr>
            </w:pPr>
            <w:r>
              <w:rPr>
                <w:rFonts w:ascii="Arial" w:cs="Arial" w:eastAsia="Arial" w:hAnsi="Arial"/>
                <w:sz w:val="12"/>
                <w:szCs w:val="12"/>
                <w:color w:val="auto"/>
                <w:w w:val="99"/>
              </w:rPr>
              <w:t>—</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center"/>
              <w:ind w:right="240"/>
              <w:spacing w:after="0"/>
              <w:rPr>
                <w:sz w:val="20"/>
                <w:szCs w:val="20"/>
                <w:color w:val="auto"/>
              </w:rPr>
            </w:pPr>
            <w:r>
              <w:rPr>
                <w:rFonts w:ascii="Arial" w:cs="Arial" w:eastAsia="Arial" w:hAnsi="Arial"/>
                <w:sz w:val="12"/>
                <w:szCs w:val="12"/>
                <w:color w:val="auto"/>
                <w:w w:val="99"/>
              </w:rPr>
              <w: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(6)</w:t>
            </w:r>
          </w:p>
        </w:tc>
        <w:tc>
          <w:tcPr>
            <w:tcW w:w="0" w:type="dxa"/>
            <w:vAlign w:val="bottom"/>
          </w:tcPr>
          <w:p>
            <w:pPr>
              <w:spacing w:after="0"/>
              <w:rPr>
                <w:sz w:val="1"/>
                <w:szCs w:val="1"/>
                <w:color w:val="auto"/>
              </w:rPr>
            </w:pPr>
          </w:p>
        </w:tc>
      </w:tr>
      <w:tr>
        <w:trPr>
          <w:trHeight w:val="101"/>
        </w:trPr>
        <w:tc>
          <w:tcPr>
            <w:tcW w:w="2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Credit</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Present value techniques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Credit spreads (7)</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74"/>
              </w:rPr>
              <w:t>97</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center"/>
              <w:ind w:right="240"/>
              <w:spacing w:after="0"/>
              <w:rPr>
                <w:sz w:val="20"/>
                <w:szCs w:val="20"/>
                <w:color w:val="auto"/>
              </w:rPr>
            </w:pPr>
            <w:r>
              <w:rPr>
                <w:rFonts w:ascii="Arial" w:cs="Arial" w:eastAsia="Arial" w:hAnsi="Arial"/>
                <w:sz w:val="12"/>
                <w:szCs w:val="12"/>
                <w:color w:val="auto"/>
                <w:w w:val="99"/>
              </w:rPr>
              <w:t>—</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Decrease (6)</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(8)</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Equity market</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Present value techniques or</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Volatility (9)</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91"/>
              </w:rPr>
              <w:t>12%</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1"/>
              </w:rPr>
              <w:t>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91"/>
              </w:rPr>
              <w:t>11%</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(6)</w:t>
            </w:r>
          </w:p>
        </w:tc>
        <w:tc>
          <w:tcPr>
            <w:tcW w:w="0" w:type="dxa"/>
            <w:vAlign w:val="bottom"/>
          </w:tcPr>
          <w:p>
            <w:pPr>
              <w:spacing w:after="0"/>
              <w:rPr>
                <w:sz w:val="1"/>
                <w:szCs w:val="1"/>
                <w:color w:val="auto"/>
              </w:rPr>
            </w:pPr>
          </w:p>
        </w:tc>
      </w:tr>
      <w:tr>
        <w:trPr>
          <w:trHeight w:val="148"/>
        </w:trPr>
        <w:tc>
          <w:tcPr>
            <w:tcW w:w="20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option pricing models</w:t>
            </w:r>
          </w:p>
        </w:tc>
        <w:tc>
          <w:tcPr>
            <w:tcW w:w="1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Correlation (10)</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91"/>
              </w:rPr>
              <w:t>30%</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91"/>
              </w:rPr>
              <w:t>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left="62"/>
              <w:spacing w:after="0"/>
              <w:rPr>
                <w:sz w:val="20"/>
                <w:szCs w:val="20"/>
                <w:color w:val="auto"/>
              </w:rPr>
            </w:pPr>
            <w:r>
              <w:rPr>
                <w:rFonts w:ascii="Arial" w:cs="Arial" w:eastAsia="Arial" w:hAnsi="Arial"/>
                <w:sz w:val="12"/>
                <w:szCs w:val="12"/>
                <w:color w:val="auto"/>
                <w:w w:val="91"/>
              </w:rPr>
              <w:t>10%</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91"/>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Embedded derivatives</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60" w:type="dxa"/>
            <w:vAlign w:val="bottom"/>
          </w:tcPr>
          <w:p>
            <w:pPr>
              <w:ind w:left="40"/>
              <w:spacing w:after="0"/>
              <w:rPr>
                <w:sz w:val="20"/>
                <w:szCs w:val="20"/>
                <w:color w:val="auto"/>
              </w:rPr>
            </w:pPr>
            <w:r>
              <w:rPr>
                <w:rFonts w:ascii="Arial" w:cs="Arial" w:eastAsia="Arial" w:hAnsi="Arial"/>
                <w:sz w:val="12"/>
                <w:szCs w:val="12"/>
                <w:color w:val="auto"/>
                <w:w w:val="95"/>
              </w:rPr>
              <w:t>Direct, assumed and ceded guaranteed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Option pricing techniques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Mortality rates:</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200"/>
              <w:spacing w:after="0"/>
              <w:rPr>
                <w:sz w:val="20"/>
                <w:szCs w:val="20"/>
                <w:color w:val="auto"/>
              </w:rPr>
            </w:pPr>
            <w:r>
              <w:rPr>
                <w:rFonts w:ascii="Arial" w:cs="Arial" w:eastAsia="Arial" w:hAnsi="Arial"/>
                <w:sz w:val="12"/>
                <w:szCs w:val="12"/>
                <w:color w:val="auto"/>
              </w:rPr>
              <w:t>minimum benefits</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Ages 0 - 40</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0"/>
              </w:rPr>
              <w:t>0%</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0.08%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1"/>
              </w:rPr>
              <w:t>0%</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0.09%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Decrease (11)</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2"/>
                <w:szCs w:val="12"/>
                <w:color w:val="auto"/>
              </w:rPr>
              <w:t>Ages 41 - 60</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8"/>
              </w:rPr>
              <w:t>0.04%</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8"/>
              </w:rPr>
              <w:t>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left="62"/>
              <w:spacing w:after="0"/>
              <w:rPr>
                <w:sz w:val="20"/>
                <w:szCs w:val="20"/>
                <w:color w:val="auto"/>
              </w:rPr>
            </w:pPr>
            <w:r>
              <w:rPr>
                <w:rFonts w:ascii="Arial" w:cs="Arial" w:eastAsia="Arial" w:hAnsi="Arial"/>
                <w:sz w:val="12"/>
                <w:szCs w:val="12"/>
                <w:color w:val="auto"/>
                <w:w w:val="88"/>
              </w:rPr>
              <w:t>0.04%</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8"/>
              </w:rPr>
              <w:t>0.65%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6"/>
              </w:rPr>
              <w:t>Decrease (11)</w:t>
            </w:r>
          </w:p>
        </w:tc>
        <w:tc>
          <w:tcPr>
            <w:tcW w:w="0" w:type="dxa"/>
            <w:vAlign w:val="bottom"/>
          </w:tcPr>
          <w:p>
            <w:pPr>
              <w:spacing w:after="0"/>
              <w:rPr>
                <w:sz w:val="1"/>
                <w:szCs w:val="1"/>
                <w:color w:val="auto"/>
              </w:rPr>
            </w:pPr>
          </w:p>
        </w:tc>
      </w:tr>
      <w:tr>
        <w:trPr>
          <w:trHeight w:val="101"/>
        </w:trPr>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Ages 61 - 115</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8"/>
              </w:rPr>
              <w:t>0.26%</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4"/>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8"/>
              </w:rPr>
              <w:t>0.26%</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Decrease (11)</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Lapse rates:</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Durations 1 - 10</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8"/>
              </w:rPr>
              <w:t>0.25%</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4"/>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8"/>
              </w:rPr>
              <w:t>0.25%</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Decrease (12)</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2"/>
                <w:szCs w:val="12"/>
                <w:color w:val="auto"/>
              </w:rPr>
              <w:t>Durations 11 - 20</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0"/>
              </w:rPr>
              <w:t>2%</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4"/>
              </w:rPr>
              <w:t>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left="42"/>
              <w:spacing w:after="0"/>
              <w:rPr>
                <w:sz w:val="20"/>
                <w:szCs w:val="20"/>
                <w:color w:val="auto"/>
              </w:rPr>
            </w:pPr>
            <w:r>
              <w:rPr>
                <w:rFonts w:ascii="Arial" w:cs="Arial" w:eastAsia="Arial" w:hAnsi="Arial"/>
                <w:sz w:val="12"/>
                <w:szCs w:val="12"/>
                <w:color w:val="auto"/>
                <w:w w:val="91"/>
              </w:rPr>
              <w:t>2%</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6"/>
              </w:rPr>
              <w:t>Decrease (12)</w:t>
            </w:r>
          </w:p>
        </w:tc>
        <w:tc>
          <w:tcPr>
            <w:tcW w:w="0" w:type="dxa"/>
            <w:vAlign w:val="bottom"/>
          </w:tcPr>
          <w:p>
            <w:pPr>
              <w:spacing w:after="0"/>
              <w:rPr>
                <w:sz w:val="1"/>
                <w:szCs w:val="1"/>
                <w:color w:val="auto"/>
              </w:rPr>
            </w:pPr>
          </w:p>
        </w:tc>
      </w:tr>
      <w:tr>
        <w:trPr>
          <w:trHeight w:val="101"/>
        </w:trPr>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Durations 21 - 116</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0"/>
              </w:rPr>
              <w:t>2%</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4"/>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1"/>
              </w:rPr>
              <w:t>2%</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Decrease (12)</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Utilization rates</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0"/>
              </w:rPr>
              <w:t>0%</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91"/>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left="42"/>
              <w:spacing w:after="0"/>
              <w:rPr>
                <w:sz w:val="20"/>
                <w:szCs w:val="20"/>
                <w:color w:val="auto"/>
              </w:rPr>
            </w:pPr>
            <w:r>
              <w:rPr>
                <w:rFonts w:ascii="Arial" w:cs="Arial" w:eastAsia="Arial" w:hAnsi="Arial"/>
                <w:sz w:val="12"/>
                <w:szCs w:val="12"/>
                <w:color w:val="auto"/>
                <w:w w:val="91"/>
              </w:rPr>
              <w:t>0%</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91"/>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(13)</w:t>
            </w:r>
          </w:p>
        </w:tc>
        <w:tc>
          <w:tcPr>
            <w:tcW w:w="0" w:type="dxa"/>
            <w:vAlign w:val="bottom"/>
          </w:tcPr>
          <w:p>
            <w:pPr>
              <w:spacing w:after="0"/>
              <w:rPr>
                <w:sz w:val="1"/>
                <w:szCs w:val="1"/>
                <w:color w:val="auto"/>
              </w:rPr>
            </w:pPr>
          </w:p>
        </w:tc>
      </w:tr>
      <w:tr>
        <w:trPr>
          <w:trHeight w:val="101"/>
        </w:trPr>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5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8"/>
              </w:rPr>
              <w:t>0.25%</w:t>
            </w: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1"/>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8"/>
              </w:rPr>
              <w:t>0.25%</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93"/>
              </w:rPr>
              <w:t>(14)</w:t>
            </w:r>
          </w:p>
        </w:tc>
        <w:tc>
          <w:tcPr>
            <w:tcW w:w="0" w:type="dxa"/>
            <w:vAlign w:val="bottom"/>
          </w:tcPr>
          <w:p>
            <w:pPr>
              <w:spacing w:after="0"/>
              <w:rPr>
                <w:sz w:val="1"/>
                <w:szCs w:val="1"/>
                <w:color w:val="auto"/>
              </w:rPr>
            </w:pPr>
          </w:p>
        </w:tc>
      </w:tr>
      <w:tr>
        <w:trPr>
          <w:trHeight w:val="101"/>
        </w:trPr>
        <w:tc>
          <w:tcPr>
            <w:tcW w:w="2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Long-term equity volatilities</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93"/>
              </w:rPr>
              <w:t>17.40%</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91"/>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left="42"/>
              <w:spacing w:after="0"/>
              <w:rPr>
                <w:sz w:val="20"/>
                <w:szCs w:val="20"/>
                <w:color w:val="auto"/>
              </w:rPr>
            </w:pPr>
            <w:r>
              <w:rPr>
                <w:rFonts w:ascii="Arial" w:cs="Arial" w:eastAsia="Arial" w:hAnsi="Arial"/>
                <w:sz w:val="12"/>
                <w:szCs w:val="12"/>
                <w:color w:val="auto"/>
                <w:w w:val="88"/>
              </w:rPr>
              <w:t>17.40%</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91"/>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(15)</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Nonperformance risk spread</w:t>
            </w:r>
          </w:p>
        </w:tc>
        <w:tc>
          <w:tcPr>
            <w:tcW w:w="520" w:type="dxa"/>
            <w:vAlign w:val="bottom"/>
          </w:tcPr>
          <w:p>
            <w:pPr>
              <w:jc w:val="center"/>
              <w:ind w:left="82"/>
              <w:spacing w:after="0"/>
              <w:rPr>
                <w:sz w:val="20"/>
                <w:szCs w:val="20"/>
                <w:color w:val="auto"/>
              </w:rPr>
            </w:pPr>
            <w:r>
              <w:rPr>
                <w:rFonts w:ascii="Arial" w:cs="Arial" w:eastAsia="Arial" w:hAnsi="Arial"/>
                <w:sz w:val="12"/>
                <w:szCs w:val="12"/>
                <w:color w:val="auto"/>
                <w:w w:val="88"/>
              </w:rPr>
              <w:t>1.05%</w:t>
            </w: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center"/>
              <w:ind w:right="42"/>
              <w:spacing w:after="0"/>
              <w:rPr>
                <w:sz w:val="20"/>
                <w:szCs w:val="20"/>
                <w:color w:val="auto"/>
              </w:rPr>
            </w:pPr>
            <w:r>
              <w:rPr>
                <w:rFonts w:ascii="Arial" w:cs="Arial" w:eastAsia="Arial" w:hAnsi="Arial"/>
                <w:sz w:val="12"/>
                <w:szCs w:val="12"/>
                <w:color w:val="auto"/>
                <w:w w:val="88"/>
              </w:rPr>
              <w:t>1.91%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center"/>
              <w:ind w:left="62"/>
              <w:spacing w:after="0"/>
              <w:rPr>
                <w:sz w:val="20"/>
                <w:szCs w:val="20"/>
                <w:color w:val="auto"/>
              </w:rPr>
            </w:pPr>
            <w:r>
              <w:rPr>
                <w:rFonts w:ascii="Arial" w:cs="Arial" w:eastAsia="Arial" w:hAnsi="Arial"/>
                <w:sz w:val="12"/>
                <w:szCs w:val="12"/>
                <w:color w:val="auto"/>
                <w:w w:val="88"/>
              </w:rPr>
              <w:t>0.64%</w:t>
            </w:r>
          </w:p>
        </w:tc>
        <w:tc>
          <w:tcPr>
            <w:tcW w:w="3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8"/>
              </w:rPr>
              <w:t>1.43%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6"/>
              </w:rPr>
              <w:t>Decrease (16)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1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for fixed maturity securities is determined based on the estimated fair value of the securities.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of a decrease in input would have the opposite impact on estimated fair value. For embedded derivatives, changes to direct and assumed guaranteed minimum benefits are based on liability positions; changes to ceded guaranteed minimum benefits are based on asset positions.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increases (decreases) in expected default rates in isolation would result in substantially lower (higher) valuations.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Range and weighted average are presented in accordance with the market convention for fixed maturity securities of dollars per hundred dollars of par.</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assumptions used for the probability of default is accompanied by a directionally similar change in the assumption used for the loss severity and a directionally opposite change in the assumptions used for prepayment rates.</w:t>
      </w:r>
    </w:p>
    <w:p>
      <w:pPr>
        <w:sectPr>
          <w:pgSz w:w="11900" w:h="16838" w:orient="portrait"/>
          <w:cols w:equalWidth="0" w:num="1">
            <w:col w:w="11420"/>
          </w:cols>
          <w:pgMar w:left="240" w:top="2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88"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estimated fair value are based on long U.S. dollar net asset positions and will be inversely impacted for short U.S. dollar net asset positions.</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risk quoted in basis points of a credit default event on the underlying instrument. Credit derivatives with significant unobservable inputs are primarily comprised of written credit default swaps.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September 30, 2018 and December 31, 2017, independent non-binding broker quotations were used in the determination of less than 1% and 1% of the total net derivative estimated fair value, respectively.</w:t>
      </w:r>
    </w:p>
    <w:p>
      <w:pPr>
        <w:spacing w:after="0" w:line="62"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Ranges represent the underlying equity volatility quoted in percentage points. Since this valuation methodology uses a range of inputs across multiple volatility surfaces to value the derivative, presenting a range is more representative of the unobservable input used in the valuation.</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Ranges represent the different correlation factors utilized as components within the valuation methodology. Presenting a range of correlation factors is more representative of the unobservable input used in the valuation. Increases (decreases) in correlation in isolation will increase (decrease) the significance of the change in valuations.</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Mortality rate assumptions are based on company experience. A mortality improvement assumption is also applied. For any given contract, mortality rates vary throughout the period over which cash flows are projected for purposes of valuing the embedded derivative.</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 the money contracts are less likely to lapse. Lapse rates are also generally assumed to be lower in periods when a surrender charge applies. For any given contract, lapse rates vary throughout the period over which cash flows are projected for purposes of valuing the embedded derivative.</w:t>
      </w:r>
    </w:p>
    <w:p>
      <w:pPr>
        <w:spacing w:after="0" w:line="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utilization rate assumption estimates the percentage of contract holders with a GMIB or lifetime withdrawal benefit who will elect to utilize the benefit upon becoming eligible. The rates may vary by the type of guarantee, the amount by which the guaranteed amount is greater than the account value, the contract’s withdrawal history and by the age of the policyholder. For any given contract, utilization rates vary throughout the period over which cash flows are projected for purposes of valuing the embedded derivative.</w:t>
      </w:r>
    </w:p>
    <w:p>
      <w:pPr>
        <w:spacing w:after="0" w:line="78"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Nonperformance risk spread varies by duration and by currency. For any given contract, multiple nonperformance risk spreads will apply, depending on the duration of the cash flow being discounted for purposes of valuing the embedded derivative.</w:t>
      </w:r>
    </w:p>
    <w:p>
      <w:pPr>
        <w:spacing w:after="0" w:line="62" w:lineRule="exact"/>
        <w:rPr>
          <w:rFonts w:ascii="Arial" w:cs="Arial" w:eastAsia="Arial" w:hAnsi="Arial"/>
          <w:sz w:val="18"/>
          <w:szCs w:val="18"/>
          <w:color w:val="auto"/>
        </w:rPr>
      </w:pPr>
    </w:p>
    <w:p>
      <w:pPr>
        <w:jc w:val="both"/>
        <w:ind w:left="500" w:hanging="492"/>
        <w:spacing w:after="0" w:line="31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Ranges represent the rates across different yield curves and are presented in basis points. The swap yield curves are utilized among different types of derivatives to project cash flows, as well as to discount future cash flows to present value. Since this valuation methodology uses a range of inputs across a yield curve to value the derivative, presenting a range is more representative of the unobservable input used in the valuation.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8"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following is a summary of the valuation techniques and significant unobservable inputs used in the fair value measurement of assets and liabilities classified within Level 3 that are not included in the preceding table. Generally, all other classes of securities classified within Level 3, including those within separate account assets and embedded derivatives within funds withheld related to certain assumed reinsurance, use the same valuation techniques and significant unobservable inputs as previously described for Level 3 securities. This includes matrix pricing and discounted cash flow methodologies, inputs such as quoted prices for identical or similar securities that are less liquid and based on lower levels of trading activity than securities classified in Level 2, as well as independent non-binding broker quotations. The sensitivity of the estimated fair value to changes in the significant unobservable inputs for these other assets and liabilities is similar in nature to that described in the preceding table.</w:t>
      </w:r>
    </w:p>
    <w:p>
      <w:pPr>
        <w:spacing w:after="0" w:line="7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12"/>
          </w:tcPr>
          <w:p>
            <w:pPr>
              <w:jc w:val="center"/>
              <w:ind w:right="68"/>
              <w:spacing w:after="0"/>
              <w:rPr>
                <w:sz w:val="20"/>
                <w:szCs w:val="20"/>
                <w:color w:val="auto"/>
              </w:rPr>
            </w:pPr>
            <w:r>
              <w:rPr>
                <w:rFonts w:ascii="Arial" w:cs="Arial" w:eastAsia="Arial" w:hAnsi="Arial"/>
                <w:sz w:val="13"/>
                <w:szCs w:val="13"/>
                <w:b w:val="1"/>
                <w:bCs w:val="1"/>
                <w:color w:val="auto"/>
                <w:w w:val="87"/>
              </w:rPr>
              <w:t>Fair Value Measurements Using Significant Unobservable Inputs (Level 3)</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Fixed Maturity Securities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State and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Structured</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Political</w:t>
            </w:r>
          </w:p>
        </w:tc>
        <w:tc>
          <w:tcPr>
            <w:tcW w:w="160" w:type="dxa"/>
            <w:vAlign w:val="bottom"/>
          </w:tcPr>
          <w:p>
            <w:pPr>
              <w:spacing w:after="0"/>
              <w:rPr>
                <w:sz w:val="11"/>
                <w:szCs w:val="11"/>
                <w:color w:val="auto"/>
              </w:rPr>
            </w:pPr>
          </w:p>
        </w:tc>
        <w:tc>
          <w:tcPr>
            <w:tcW w:w="106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1"/>
                <w:szCs w:val="11"/>
                <w:color w:val="auto"/>
              </w:rPr>
            </w:pPr>
          </w:p>
        </w:tc>
        <w:tc>
          <w:tcPr>
            <w:tcW w:w="920" w:type="dxa"/>
            <w:vAlign w:val="bottom"/>
          </w:tcPr>
          <w:p>
            <w:pPr>
              <w:jc w:val="right"/>
              <w:ind w:right="309"/>
              <w:spacing w:after="0" w:line="135"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5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Corporate (1)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Subdivision</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Government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w w:val="96"/>
              </w:rPr>
              <w:t>Securities</w:t>
            </w:r>
          </w:p>
        </w:tc>
        <w:tc>
          <w:tcPr>
            <w:tcW w:w="0" w:type="dxa"/>
            <w:vAlign w:val="bottom"/>
          </w:tcPr>
          <w:p>
            <w:pPr>
              <w:spacing w:after="0"/>
              <w:rPr>
                <w:sz w:val="1"/>
                <w:szCs w:val="1"/>
                <w:color w:val="auto"/>
              </w:rPr>
            </w:pPr>
          </w:p>
        </w:tc>
      </w:tr>
      <w:tr>
        <w:trPr>
          <w:trHeight w:val="249"/>
        </w:trPr>
        <w:tc>
          <w:tcPr>
            <w:tcW w:w="5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Balance,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1,872</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3"/>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net income (loss) (6) (7)</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5280" w:type="dxa"/>
            <w:vAlign w:val="bottom"/>
          </w:tcPr>
          <w:p>
            <w:pPr>
              <w:ind w:left="40"/>
              <w:spacing w:after="0" w:line="157" w:lineRule="exact"/>
              <w:rPr>
                <w:sz w:val="20"/>
                <w:szCs w:val="20"/>
                <w:color w:val="auto"/>
              </w:rPr>
            </w:pPr>
            <w:r>
              <w:rPr>
                <w:rFonts w:ascii="Arial" w:cs="Arial" w:eastAsia="Arial" w:hAnsi="Arial"/>
                <w:sz w:val="14"/>
                <w:szCs w:val="14"/>
                <w:color w:val="auto"/>
              </w:rPr>
              <w:t>Total realized/unrealized gains (losses)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tcPr>
          <w:p>
            <w:pPr>
              <w:ind w:left="200"/>
              <w:spacing w:after="0"/>
              <w:rPr>
                <w:sz w:val="20"/>
                <w:szCs w:val="20"/>
                <w:color w:val="auto"/>
              </w:rPr>
            </w:pPr>
            <w:r>
              <w:rPr>
                <w:rFonts w:ascii="Arial" w:cs="Arial" w:eastAsia="Arial" w:hAnsi="Arial"/>
                <w:sz w:val="14"/>
                <w:szCs w:val="14"/>
                <w:color w:val="auto"/>
              </w:rPr>
              <w:t>included in AOCI</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(8)</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Sales (8)</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Issuances (8)</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Settlements (8)</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into Level 3 (9)</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Transfers out of Level 3 (9)</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52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4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60"/>
        </w:trPr>
        <w:tc>
          <w:tcPr>
            <w:tcW w:w="52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40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4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1,489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400" w:type="dxa"/>
            <w:vAlign w:val="bottom"/>
            <w:gridSpan w:val="3"/>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280" w:type="dxa"/>
            <w:vAlign w:val="bottom"/>
          </w:tcPr>
          <w:p>
            <w:pPr>
              <w:ind w:left="40"/>
              <w:spacing w:after="0" w:line="157" w:lineRule="exact"/>
              <w:rPr>
                <w:sz w:val="20"/>
                <w:szCs w:val="20"/>
                <w:color w:val="auto"/>
              </w:rPr>
            </w:pPr>
            <w:r>
              <w:rPr>
                <w:rFonts w:ascii="Arial" w:cs="Arial" w:eastAsia="Arial" w:hAnsi="Arial"/>
                <w:sz w:val="14"/>
                <w:szCs w:val="14"/>
                <w:color w:val="auto"/>
              </w:rPr>
              <w:t>Total realized/unrealized gains (losses)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tcPr>
          <w:p>
            <w:pPr>
              <w:ind w:left="200"/>
              <w:spacing w:after="0"/>
              <w:rPr>
                <w:sz w:val="20"/>
                <w:szCs w:val="20"/>
                <w:color w:val="auto"/>
              </w:rPr>
            </w:pPr>
            <w:r>
              <w:rPr>
                <w:rFonts w:ascii="Arial" w:cs="Arial" w:eastAsia="Arial" w:hAnsi="Arial"/>
                <w:sz w:val="14"/>
                <w:szCs w:val="14"/>
                <w:color w:val="auto"/>
              </w:rPr>
              <w:t>included in net income (loss) (6) (7)</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AOCI</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Purchases (8)</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(8)</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Issuances (8)</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Settlements (8)</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Transfers into Level 3 (9)</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out of Level 3 (9)</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40"/>
              <w:spacing w:after="0"/>
              <w:rPr>
                <w:sz w:val="20"/>
                <w:szCs w:val="20"/>
                <w:color w:val="auto"/>
              </w:rPr>
            </w:pPr>
            <w:r>
              <w:rPr>
                <w:rFonts w:ascii="Arial" w:cs="Arial" w:eastAsia="Arial" w:hAnsi="Arial"/>
                <w:sz w:val="14"/>
                <w:szCs w:val="14"/>
                <w:color w:val="auto"/>
              </w:rPr>
              <w:t>Balance, end of period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2,599</w:t>
            </w:r>
          </w:p>
        </w:tc>
        <w:tc>
          <w:tcPr>
            <w:tcW w:w="4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00"/>
        </w:trPr>
        <w:tc>
          <w:tcPr>
            <w:tcW w:w="52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280" w:type="dxa"/>
            <w:vAlign w:val="bottom"/>
            <w:tcBorders>
              <w:top w:val="single" w:sz="8" w:color="CCEEFF"/>
            </w:tcBorders>
            <w:shd w:val="clear" w:color="auto" w:fill="CCEEFF"/>
          </w:tcPr>
          <w:p>
            <w:pPr>
              <w:ind w:left="40"/>
              <w:spacing w:after="0" w:line="116" w:lineRule="exact"/>
              <w:rPr>
                <w:sz w:val="20"/>
                <w:szCs w:val="20"/>
                <w:color w:val="auto"/>
              </w:rPr>
            </w:pPr>
            <w:r>
              <w:rPr>
                <w:rFonts w:ascii="Arial" w:cs="Arial" w:eastAsia="Arial" w:hAnsi="Arial"/>
                <w:sz w:val="13"/>
                <w:szCs w:val="13"/>
                <w:color w:val="auto"/>
              </w:rPr>
              <w:t>Changes in unrealized gains (losses) included</w:t>
            </w: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net income (loss) for the instruments still</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held at September 30, 2018 (10)</w:t>
            </w:r>
          </w:p>
        </w:tc>
        <w:tc>
          <w:tcPr>
            <w:tcW w:w="16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auto"/>
              </w:rPr>
              <w:t>Changes in unrealized gains (losses) included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2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200"/>
              <w:spacing w:after="0" w:line="149" w:lineRule="exact"/>
              <w:rPr>
                <w:sz w:val="20"/>
                <w:szCs w:val="20"/>
                <w:color w:val="auto"/>
              </w:rPr>
            </w:pPr>
            <w:r>
              <w:rPr>
                <w:rFonts w:ascii="Arial" w:cs="Arial" w:eastAsia="Arial" w:hAnsi="Arial"/>
                <w:sz w:val="14"/>
                <w:szCs w:val="14"/>
                <w:color w:val="auto"/>
              </w:rPr>
              <w:t>in net income (loss) for the instruments still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280" w:type="dxa"/>
            <w:vAlign w:val="bottom"/>
          </w:tcPr>
          <w:p>
            <w:pPr>
              <w:ind w:left="200"/>
              <w:spacing w:after="0"/>
              <w:rPr>
                <w:sz w:val="20"/>
                <w:szCs w:val="20"/>
                <w:color w:val="auto"/>
              </w:rPr>
            </w:pPr>
            <w:r>
              <w:rPr>
                <w:rFonts w:ascii="Arial" w:cs="Arial" w:eastAsia="Arial" w:hAnsi="Arial"/>
                <w:sz w:val="14"/>
                <w:szCs w:val="14"/>
                <w:color w:val="auto"/>
              </w:rPr>
              <w:t>held at September 30, 2017 (10)</w:t>
            </w:r>
          </w:p>
        </w:tc>
        <w:tc>
          <w:tcPr>
            <w:tcW w:w="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8"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Interim Condensed Consolidated Financial Statements (Unaudited)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right="720"/>
        <w:spacing w:after="0" w:line="355" w:lineRule="auto"/>
        <w:rPr>
          <w:sz w:val="20"/>
          <w:szCs w:val="20"/>
          <w:color w:val="auto"/>
        </w:rPr>
      </w:pPr>
      <w:r>
        <w:rPr>
          <w:rFonts w:ascii="Arial" w:cs="Arial" w:eastAsia="Arial" w:hAnsi="Arial"/>
          <w:sz w:val="14"/>
          <w:szCs w:val="14"/>
          <w:b w:val="1"/>
          <w:bCs w:val="1"/>
          <w:color w:val="auto"/>
        </w:rPr>
        <w:t xml:space="preserve">Three Months Ended September 30, 2018 </w:t>
      </w:r>
      <w:r>
        <w:rPr>
          <w:rFonts w:ascii="Arial" w:cs="Arial" w:eastAsia="Arial" w:hAnsi="Arial"/>
          <w:sz w:val="14"/>
          <w:szCs w:val="14"/>
          <w:color w:val="auto"/>
        </w:rPr>
        <w:t>Balance, beginning of period</w:t>
      </w:r>
    </w:p>
    <w:p>
      <w:pPr>
        <w:jc w:val="right"/>
        <w:ind w:right="102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02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right="720"/>
        <w:spacing w:after="0" w:line="339" w:lineRule="auto"/>
        <w:rPr>
          <w:sz w:val="20"/>
          <w:szCs w:val="20"/>
          <w:color w:val="auto"/>
        </w:rPr>
      </w:pPr>
      <w:r>
        <w:rPr>
          <w:rFonts w:ascii="Arial" w:cs="Arial" w:eastAsia="Arial" w:hAnsi="Arial"/>
          <w:sz w:val="14"/>
          <w:szCs w:val="14"/>
          <w:b w:val="1"/>
          <w:bCs w:val="1"/>
          <w:color w:val="auto"/>
        </w:rPr>
        <w:t xml:space="preserve">Three Months Ended September 30, 2017 </w:t>
      </w:r>
      <w:r>
        <w:rPr>
          <w:rFonts w:ascii="Arial" w:cs="Arial" w:eastAsia="Arial" w:hAnsi="Arial"/>
          <w:sz w:val="14"/>
          <w:szCs w:val="14"/>
          <w:color w:val="auto"/>
        </w:rPr>
        <w:t>Balance, beginning of period</w:t>
      </w:r>
    </w:p>
    <w:p>
      <w:pPr>
        <w:spacing w:after="0" w:line="22" w:lineRule="exact"/>
        <w:rPr>
          <w:sz w:val="20"/>
          <w:szCs w:val="20"/>
          <w:color w:val="auto"/>
        </w:rPr>
      </w:pPr>
    </w:p>
    <w:p>
      <w:pPr>
        <w:jc w:val="right"/>
        <w:ind w:right="102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02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58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2018 (10)</w:t>
      </w:r>
    </w:p>
    <w:p>
      <w:pPr>
        <w:spacing w:after="0" w:line="6" w:lineRule="exact"/>
        <w:rPr>
          <w:sz w:val="20"/>
          <w:szCs w:val="20"/>
          <w:color w:val="auto"/>
        </w:rPr>
      </w:pPr>
    </w:p>
    <w:p>
      <w:pPr>
        <w:jc w:val="both"/>
        <w:ind w:left="200" w:right="58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699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 Limited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5"/>
        </w:trPr>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 Estate Joint</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Partnership</w:t>
            </w:r>
          </w:p>
        </w:tc>
        <w:tc>
          <w:tcPr>
            <w:tcW w:w="180" w:type="dxa"/>
            <w:vAlign w:val="bottom"/>
          </w:tcPr>
          <w:p>
            <w:pPr>
              <w:spacing w:after="0"/>
              <w:rPr>
                <w:sz w:val="11"/>
                <w:szCs w:val="11"/>
                <w:color w:val="auto"/>
              </w:rPr>
            </w:pPr>
          </w:p>
        </w:tc>
        <w:tc>
          <w:tcPr>
            <w:tcW w:w="10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Short-term</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200" w:type="dxa"/>
            <w:vAlign w:val="bottom"/>
          </w:tcPr>
          <w:p>
            <w:pPr>
              <w:spacing w:after="0"/>
              <w:rPr>
                <w:sz w:val="11"/>
                <w:szCs w:val="11"/>
                <w:color w:val="auto"/>
              </w:rPr>
            </w:pPr>
          </w:p>
        </w:tc>
        <w:tc>
          <w:tcPr>
            <w:tcW w:w="920" w:type="dxa"/>
            <w:vAlign w:val="bottom"/>
          </w:tcPr>
          <w:p>
            <w:pPr>
              <w:jc w:val="right"/>
              <w:ind w:right="248"/>
              <w:spacing w:after="0" w:line="135" w:lineRule="exact"/>
              <w:rPr>
                <w:sz w:val="20"/>
                <w:szCs w:val="20"/>
                <w:color w:val="auto"/>
              </w:rPr>
            </w:pPr>
            <w:r>
              <w:rPr>
                <w:rFonts w:ascii="Arial" w:cs="Arial" w:eastAsia="Arial" w:hAnsi="Arial"/>
                <w:sz w:val="13"/>
                <w:szCs w:val="13"/>
                <w:b w:val="1"/>
                <w:bCs w:val="1"/>
                <w:color w:val="auto"/>
              </w:rPr>
              <w:t>Separate</w:t>
            </w:r>
          </w:p>
        </w:tc>
      </w:tr>
      <w:tr>
        <w:trPr>
          <w:trHeight w:val="174"/>
        </w:trPr>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Ventures (2)</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Interests (2)</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Derivatives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Derivatives (4)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Account Assets (5)</w:t>
            </w:r>
          </w:p>
        </w:tc>
      </w:tr>
      <w:tr>
        <w:trPr>
          <w:trHeight w:val="241"/>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6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44"/>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15"/>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-4647565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-4304665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-3858260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-3515360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-3172460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-2829560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-2469515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-2074545</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-1680210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-1337310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-994410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-650875</wp:posOffset>
            </wp:positionV>
            <wp:extent cx="72466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40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288" w:right="2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5" w:lineRule="exact"/>
        <w:rPr>
          <w:sz w:val="20"/>
          <w:szCs w:val="20"/>
          <w:color w:val="auto"/>
        </w:rPr>
      </w:pPr>
    </w:p>
    <w:p>
      <w:pPr>
        <w:jc w:val="right"/>
        <w:ind w:right="106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19685</wp:posOffset>
            </wp:positionV>
            <wp:extent cx="3902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 2018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228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28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228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28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84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2018 (10)</w:t>
      </w:r>
    </w:p>
    <w:p>
      <w:pPr>
        <w:spacing w:after="0" w:line="6" w:lineRule="exact"/>
        <w:rPr>
          <w:sz w:val="20"/>
          <w:szCs w:val="20"/>
          <w:color w:val="auto"/>
        </w:rPr>
      </w:pPr>
    </w:p>
    <w:p>
      <w:pPr>
        <w:jc w:val="both"/>
        <w:ind w:left="200" w:right="184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(10)</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Fixed Maturity Securities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4"/>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State and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Structured</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Political</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Foreign</w:t>
            </w:r>
          </w:p>
        </w:tc>
        <w:tc>
          <w:tcPr>
            <w:tcW w:w="200" w:type="dxa"/>
            <w:vAlign w:val="bottom"/>
          </w:tcPr>
          <w:p>
            <w:pPr>
              <w:spacing w:after="0"/>
              <w:rPr>
                <w:sz w:val="11"/>
                <w:szCs w:val="11"/>
                <w:color w:val="auto"/>
              </w:rPr>
            </w:pPr>
          </w:p>
        </w:tc>
        <w:tc>
          <w:tcPr>
            <w:tcW w:w="920" w:type="dxa"/>
            <w:vAlign w:val="bottom"/>
          </w:tcPr>
          <w:p>
            <w:pPr>
              <w:jc w:val="right"/>
              <w:ind w:right="309"/>
              <w:spacing w:after="0" w:line="135" w:lineRule="exact"/>
              <w:rPr>
                <w:sz w:val="20"/>
                <w:szCs w:val="20"/>
                <w:color w:val="auto"/>
              </w:rPr>
            </w:pPr>
            <w:r>
              <w:rPr>
                <w:rFonts w:ascii="Arial" w:cs="Arial" w:eastAsia="Arial" w:hAnsi="Arial"/>
                <w:sz w:val="13"/>
                <w:szCs w:val="13"/>
                <w:b w:val="1"/>
                <w:bCs w:val="1"/>
                <w:color w:val="auto"/>
              </w:rPr>
              <w:t>Equity</w:t>
            </w:r>
          </w:p>
        </w:tc>
      </w:tr>
      <w:tr>
        <w:trPr>
          <w:trHeight w:val="174"/>
        </w:trPr>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Corporate (1)</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Subdivision</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8"/>
              </w:rPr>
              <w:t>Government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w w:val="96"/>
              </w:rPr>
              <w:t>Securities</w:t>
            </w:r>
          </w:p>
        </w:tc>
      </w:tr>
      <w:tr>
        <w:trPr>
          <w:trHeight w:val="241"/>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4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124</w:t>
            </w:r>
          </w:p>
        </w:tc>
      </w:tr>
      <w:tr>
        <w:trPr>
          <w:trHeight w:val="351"/>
        </w:trPr>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51"/>
        </w:trPr>
        <w:tc>
          <w:tcPr>
            <w:tcW w:w="16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w:t>
            </w:r>
          </w:p>
        </w:tc>
      </w:tr>
      <w:tr>
        <w:trPr>
          <w:trHeight w:val="276"/>
        </w:trPr>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15"/>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137</w:t>
            </w:r>
          </w:p>
        </w:tc>
      </w:tr>
      <w:tr>
        <w:trPr>
          <w:trHeight w:val="351"/>
        </w:trPr>
        <w:tc>
          <w:tcPr>
            <w:tcW w:w="16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w:t>
            </w:r>
          </w:p>
        </w:tc>
      </w:tr>
      <w:tr>
        <w:trPr>
          <w:trHeight w:val="270"/>
        </w:trPr>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w:t>
            </w:r>
          </w:p>
        </w:tc>
      </w:tr>
      <w:tr>
        <w:trPr>
          <w:trHeight w:val="270"/>
        </w:trPr>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-4647565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-4304665</wp:posOffset>
            </wp:positionV>
            <wp:extent cx="724662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-3858260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-3515360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-3172460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-2829560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-2469515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-2074545</wp:posOffset>
            </wp:positionV>
            <wp:extent cx="72466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-1680210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-1337310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-994410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-650875</wp:posOffset>
            </wp:positionV>
            <wp:extent cx="7246620"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140"/>
          </w:cols>
          <w:pgMar w:left="240" w:top="288"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288" w:right="2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gridSpan w:val="11"/>
          </w:tcPr>
          <w:p>
            <w:pPr>
              <w:jc w:val="center"/>
              <w:ind w:right="260"/>
              <w:spacing w:after="0"/>
              <w:rPr>
                <w:sz w:val="20"/>
                <w:szCs w:val="20"/>
                <w:color w:val="auto"/>
              </w:rPr>
            </w:pPr>
            <w:r>
              <w:rPr>
                <w:rFonts w:ascii="Arial" w:cs="Arial" w:eastAsia="Arial" w:hAnsi="Arial"/>
                <w:sz w:val="13"/>
                <w:szCs w:val="13"/>
                <w:b w:val="1"/>
                <w:bCs w:val="1"/>
                <w:color w:val="auto"/>
                <w:w w:val="87"/>
              </w:rPr>
              <w:t>Fair Value Measurements Using Significant Unobservable Inputs (Level 3)</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Other Limited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 Estate Joint</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Partnership</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Short-term</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200" w:type="dxa"/>
            <w:vAlign w:val="bottom"/>
          </w:tcPr>
          <w:p>
            <w:pPr>
              <w:spacing w:after="0"/>
              <w:rPr>
                <w:sz w:val="11"/>
                <w:szCs w:val="11"/>
                <w:color w:val="auto"/>
              </w:rPr>
            </w:pPr>
          </w:p>
        </w:tc>
        <w:tc>
          <w:tcPr>
            <w:tcW w:w="92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Separate</w:t>
            </w: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Ventures (2)</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Interests (2)</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Investments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Derivatives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Derivatives (4)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Account Assets (5)</w:t>
            </w:r>
          </w:p>
        </w:tc>
        <w:tc>
          <w:tcPr>
            <w:tcW w:w="0" w:type="dxa"/>
            <w:vAlign w:val="bottom"/>
          </w:tcPr>
          <w:p>
            <w:pPr>
              <w:spacing w:after="0"/>
              <w:rPr>
                <w:sz w:val="1"/>
                <w:szCs w:val="1"/>
                <w:color w:val="auto"/>
              </w:rPr>
            </w:pPr>
          </w:p>
        </w:tc>
      </w:tr>
      <w:tr>
        <w:trPr>
          <w:trHeight w:val="249"/>
        </w:trPr>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Pr>
          <w:p>
            <w:pPr>
              <w:ind w:left="40"/>
              <w:spacing w:after="0"/>
              <w:rPr>
                <w:sz w:val="20"/>
                <w:szCs w:val="20"/>
                <w:color w:val="auto"/>
              </w:rPr>
            </w:pPr>
            <w:r>
              <w:rPr>
                <w:rFonts w:ascii="Arial" w:cs="Arial" w:eastAsia="Arial" w:hAnsi="Arial"/>
                <w:sz w:val="14"/>
                <w:szCs w:val="14"/>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2"/>
                <w:szCs w:val="22"/>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net income (loss) (6) (7)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20" w:type="dxa"/>
            <w:vAlign w:val="bottom"/>
          </w:tcPr>
          <w:p>
            <w:pPr>
              <w:ind w:left="200"/>
              <w:spacing w:after="0" w:line="157" w:lineRule="exact"/>
              <w:rPr>
                <w:sz w:val="20"/>
                <w:szCs w:val="20"/>
                <w:color w:val="auto"/>
              </w:rPr>
            </w:pPr>
            <w:r>
              <w:rPr>
                <w:rFonts w:ascii="Arial" w:cs="Arial" w:eastAsia="Arial" w:hAnsi="Arial"/>
                <w:sz w:val="14"/>
                <w:szCs w:val="14"/>
                <w:color w:val="auto"/>
              </w:rPr>
              <w:t>Total realized/unrealized gains (losses)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20" w:type="dxa"/>
            <w:vAlign w:val="bottom"/>
          </w:tcPr>
          <w:p>
            <w:pPr>
              <w:ind w:left="200"/>
              <w:spacing w:after="0"/>
              <w:rPr>
                <w:sz w:val="20"/>
                <w:szCs w:val="20"/>
                <w:color w:val="auto"/>
              </w:rPr>
            </w:pPr>
            <w:r>
              <w:rPr>
                <w:rFonts w:ascii="Arial" w:cs="Arial" w:eastAsia="Arial" w:hAnsi="Arial"/>
                <w:sz w:val="14"/>
                <w:szCs w:val="14"/>
                <w:color w:val="auto"/>
              </w:rPr>
              <w:t>included in AOCI</w:t>
            </w: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(8)</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40"/>
              <w:spacing w:after="0"/>
              <w:rPr>
                <w:sz w:val="20"/>
                <w:szCs w:val="20"/>
                <w:color w:val="auto"/>
              </w:rPr>
            </w:pPr>
            <w:r>
              <w:rPr>
                <w:rFonts w:ascii="Arial" w:cs="Arial" w:eastAsia="Arial" w:hAnsi="Arial"/>
                <w:sz w:val="14"/>
                <w:szCs w:val="14"/>
                <w:color w:val="auto"/>
              </w:rPr>
              <w:t>Sales (8)</w:t>
            </w:r>
          </w:p>
        </w:tc>
        <w:tc>
          <w:tcPr>
            <w:tcW w:w="10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4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Issuances (8)</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40"/>
              <w:spacing w:after="0"/>
              <w:rPr>
                <w:sz w:val="20"/>
                <w:szCs w:val="20"/>
                <w:color w:val="auto"/>
              </w:rPr>
            </w:pPr>
            <w:r>
              <w:rPr>
                <w:rFonts w:ascii="Arial" w:cs="Arial" w:eastAsia="Arial" w:hAnsi="Arial"/>
                <w:sz w:val="14"/>
                <w:szCs w:val="14"/>
                <w:color w:val="auto"/>
              </w:rPr>
              <w:t>Settlements (8)</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4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into Level 3 (9)</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40"/>
              <w:spacing w:after="0"/>
              <w:rPr>
                <w:sz w:val="20"/>
                <w:szCs w:val="20"/>
                <w:color w:val="auto"/>
              </w:rPr>
            </w:pPr>
            <w:r>
              <w:rPr>
                <w:rFonts w:ascii="Arial" w:cs="Arial" w:eastAsia="Arial" w:hAnsi="Arial"/>
                <w:sz w:val="14"/>
                <w:szCs w:val="14"/>
                <w:color w:val="auto"/>
              </w:rPr>
              <w:t>Transfers out of Level 3 (9)</w:t>
            </w:r>
          </w:p>
        </w:tc>
        <w:tc>
          <w:tcPr>
            <w:tcW w:w="10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0"/>
        </w:trPr>
        <w:tc>
          <w:tcPr>
            <w:tcW w:w="40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1020"/>
        <w:spacing w:after="0"/>
        <w:rPr>
          <w:sz w:val="20"/>
          <w:szCs w:val="20"/>
          <w:color w:val="auto"/>
        </w:rPr>
      </w:pPr>
      <w:r>
        <w:rPr>
          <w:rFonts w:ascii="Arial" w:cs="Arial" w:eastAsia="Arial" w:hAnsi="Arial"/>
          <w:sz w:val="13"/>
          <w:szCs w:val="13"/>
          <w:color w:val="auto"/>
        </w:rPr>
        <w:t>Total realized/unrealized gains (losses)</w:t>
      </w:r>
    </w:p>
    <w:p>
      <w:pPr>
        <w:spacing w:after="0" w:line="11" w:lineRule="exact"/>
        <w:rPr>
          <w:sz w:val="20"/>
          <w:szCs w:val="20"/>
          <w:color w:val="auto"/>
        </w:rPr>
      </w:pPr>
    </w:p>
    <w:p>
      <w:pPr>
        <w:jc w:val="right"/>
        <w:ind w:right="102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58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2018 (10)</w:t>
      </w:r>
    </w:p>
    <w:p>
      <w:pPr>
        <w:spacing w:after="0" w:line="6" w:lineRule="exact"/>
        <w:rPr>
          <w:sz w:val="20"/>
          <w:szCs w:val="20"/>
          <w:color w:val="auto"/>
        </w:rPr>
      </w:pPr>
    </w:p>
    <w:p>
      <w:pPr>
        <w:jc w:val="both"/>
        <w:ind w:left="200" w:right="58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(10)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(2,383)</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351"/>
        </w:trPr>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37"/>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-2074545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-1680210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-1337310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-994410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-650875</wp:posOffset>
            </wp:positionV>
            <wp:extent cx="7246620"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300" w:space="720"/>
            <w:col w:w="7400"/>
          </w:cols>
          <w:pgMar w:left="240" w:top="288" w:right="239" w:bottom="1440" w:gutter="0" w:footer="0" w:header="0"/>
          <w:type w:val="continuous"/>
        </w:sect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ectPr>
          <w:pgSz w:w="11900" w:h="16838" w:orient="portrait"/>
          <w:cols w:equalWidth="0" w:num="1">
            <w:col w:w="11420"/>
          </w:cols>
          <w:pgMar w:left="240" w:top="28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88" w:right="2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Option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information for certain assets and liabilities of CSEs, which are accounted for under the FVO. These assets and liabilities were initially measured at fair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September 30, 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(1)</w:t>
            </w:r>
          </w:p>
        </w:tc>
        <w:tc>
          <w:tcPr>
            <w:tcW w:w="1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Unpaid principal balance</w:t>
            </w:r>
          </w:p>
        </w:tc>
        <w:tc>
          <w:tcPr>
            <w:tcW w:w="1860" w:type="dxa"/>
            <w:vAlign w:val="bottom"/>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unpaid principal balance</w:t>
            </w:r>
          </w:p>
        </w:tc>
        <w:tc>
          <w:tcPr>
            <w:tcW w:w="1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860" w:type="dxa"/>
            <w:vAlign w:val="bottom"/>
            <w:tcBorders>
              <w:top w:val="single" w:sz="8" w:color="auto"/>
            </w:tcBorders>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(1)</w:t>
            </w:r>
          </w:p>
        </w:tc>
        <w:tc>
          <w:tcPr>
            <w:tcW w:w="1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Contractual principal balance</w:t>
            </w:r>
          </w:p>
        </w:tc>
        <w:tc>
          <w:tcPr>
            <w:tcW w:w="1860" w:type="dxa"/>
            <w:vAlign w:val="bottom"/>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contractual principal balance</w:t>
            </w:r>
          </w:p>
        </w:tc>
        <w:tc>
          <w:tcPr>
            <w:tcW w:w="1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860" w:type="dxa"/>
            <w:vAlign w:val="bottom"/>
            <w:tcBorders>
              <w:top w:val="single" w:sz="8" w:color="auto"/>
            </w:tcBorders>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assets and liabilities are comprised of commercial mortgage loans and long-term debt. Changes in estimated fair value on these assets and liabilities and gains or losses on sales of these assets are recognized in net investment gains (losses). Interest income on commercial mortgage loans held by CSEs — FVO is recognized in net investment income. Interest expense from long-term debt of CSEs — FVO is recognized in other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such as time deposits,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8"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September 30, 2018</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12,940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12,914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12,914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1,443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77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64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1,636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16,026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14,871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14,871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3,963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2,992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515</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1,227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1,227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10,627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10,871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1,523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 (1)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 (1)</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invested assets (2)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71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71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1,758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15,791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15,927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3,601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3,039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314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1,210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Arial" w:cs="Arial" w:eastAsia="Arial" w:hAnsi="Arial"/>
                <w:sz w:val="14"/>
                <w:szCs w:val="14"/>
                <w:color w:val="auto"/>
              </w:rPr>
              <w:t>_________________</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reclassified FHLB stock in the prior period from equity securities to other invested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8"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12, 2018, Brighthouse Financial, Inc. issued $375 million of junior subordinated debentures (the “debentures”) due September 2058, which bear interest at a fixed rate of 6.250%, payable quarterly, subject to Brighthouse Financial, Inc.’s right to defer interest payments in accordance with the terms of the debentures. The debentures are unsecured obligations and are subordinate and junior in right of payment to Brighthouse Financial, Inc.’s senior indebtedness.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Facility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 At September 30, 2018, there were no drawdowns under the Repurchase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5, 2018, Brighthouse Financial, Inc.’s Board of Directors authorized the repurchase of up to $200 million of common stock. Repurchases made under such authorization may be made through open market purchases, pursuant to 10b5-1 plans, or pursuant to accelerated stock repurchase plans from time to time at management's discretion in accordance with applicable federal securities laws. As of September 30, 2018, the Company repurchased 982,057 shares of its common stock through open market purchases for $42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share-based compensation plans provide awards to employees and non-employee directors and may be in the form of nonqualified stock options, stock appreciation rights, restricted stock, restricted stock units, performance shares, performance units, and other share-based awards. Additionally, employees may purchase shares at a discount under an employee stock purchase plan. The Company also granted restricted stock units to certain employees and non-employee directors on September 8, 2017, shortly following the Separation (the “Founders’ Grant”). The employee stock incentive plan and the non-employee director stock compensation plan were each approved at the Brighthouse Financial, Inc. annual meeting of stockholders held on May 23, 2018. The aggregate number of authorized shares available for issuance at September 30, 2018 under the Company’s various share-based compensation plans was 7,330,377.</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share-based compensation is measured at fair value as of the grant date. The Company recognizes compensation expense related to share-based awards based on the number of awards expected to vest, which represents the awards granted less expected forfeitures over the life of the award, as estimated at the date of grant.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with other costs incurred relating to stock options and performance units. With the exception of the Founders’ Grant, the Company grants the majority of each year’s awards in the first quarter of the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 Related to Share-Based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share-based compensation expense:</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tcPr>
          <w:p>
            <w:pPr>
              <w:jc w:val="right"/>
              <w:ind w:right="442"/>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40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 2018</w:t>
            </w: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0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1"/>
                <w:szCs w:val="2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Founders’ Grant</w:t>
            </w:r>
          </w:p>
        </w:tc>
        <w:tc>
          <w:tcPr>
            <w:tcW w:w="4520" w:type="dxa"/>
            <w:vAlign w:val="bottom"/>
            <w:tcBorders>
              <w:bottom w:val="single" w:sz="8" w:color="CCEEFF"/>
            </w:tcBorders>
            <w:gridSpan w:val="2"/>
            <w:shd w:val="clear" w:color="auto" w:fill="CCEEFF"/>
          </w:tcPr>
          <w:p>
            <w:pPr>
              <w:jc w:val="right"/>
              <w:ind w:right="168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4520" w:type="dxa"/>
            <w:vAlign w:val="bottom"/>
            <w:gridSpan w:val="2"/>
          </w:tcPr>
          <w:p>
            <w:pPr>
              <w:jc w:val="right"/>
              <w:ind w:right="1688"/>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2"/>
              <w:spacing w:after="0"/>
              <w:rPr>
                <w:sz w:val="20"/>
                <w:szCs w:val="20"/>
                <w:color w:val="auto"/>
              </w:rPr>
            </w:pPr>
            <w:r>
              <w:rPr>
                <w:rFonts w:ascii="Arial" w:cs="Arial" w:eastAsia="Arial" w:hAnsi="Arial"/>
                <w:sz w:val="16"/>
                <w:szCs w:val="16"/>
                <w:color w:val="auto"/>
              </w:rPr>
              <w:t>4</w:t>
            </w:r>
          </w:p>
        </w:tc>
      </w:tr>
      <w:tr>
        <w:trPr>
          <w:trHeight w:val="33"/>
        </w:trPr>
        <w:tc>
          <w:tcPr>
            <w:tcW w:w="4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520" w:type="dxa"/>
            <w:vAlign w:val="bottom"/>
            <w:tcBorders>
              <w:bottom w:val="single" w:sz="8" w:color="CCEEFF"/>
            </w:tcBorders>
            <w:gridSpan w:val="2"/>
            <w:shd w:val="clear" w:color="auto" w:fill="CCEEFF"/>
          </w:tcPr>
          <w:p>
            <w:pPr>
              <w:jc w:val="right"/>
              <w:ind w:right="168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4520" w:type="dxa"/>
            <w:vAlign w:val="bottom"/>
            <w:gridSpan w:val="2"/>
          </w:tcPr>
          <w:p>
            <w:pPr>
              <w:jc w:val="right"/>
              <w:ind w:right="1688"/>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492"/>
        </w:trPr>
        <w:tc>
          <w:tcPr>
            <w:tcW w:w="4060" w:type="dxa"/>
            <w:vAlign w:val="bottom"/>
          </w:tcPr>
          <w:p>
            <w:pPr>
              <w:spacing w:after="0"/>
              <w:rPr>
                <w:sz w:val="24"/>
                <w:szCs w:val="24"/>
                <w:color w:val="auto"/>
              </w:rPr>
            </w:pPr>
          </w:p>
        </w:tc>
        <w:tc>
          <w:tcPr>
            <w:tcW w:w="2640" w:type="dxa"/>
            <w:vAlign w:val="bottom"/>
          </w:tcPr>
          <w:p>
            <w:pPr>
              <w:jc w:val="right"/>
              <w:ind w:right="897"/>
              <w:spacing w:after="0"/>
              <w:rPr>
                <w:sz w:val="20"/>
                <w:szCs w:val="20"/>
                <w:color w:val="auto"/>
              </w:rPr>
            </w:pPr>
            <w:r>
              <w:rPr>
                <w:rFonts w:ascii="Arial" w:cs="Arial" w:eastAsia="Arial" w:hAnsi="Arial"/>
                <w:sz w:val="18"/>
                <w:szCs w:val="18"/>
                <w:color w:val="auto"/>
              </w:rPr>
              <w:t>52</w:t>
            </w: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sectPr>
      </w:pPr>
    </w:p>
    <w:bookmarkStart w:id="53" w:name="page54"/>
    <w:bookmarkEnd w:id="5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3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share-based compensation cost for the Founders’ Grant was fully recognized at September 30, 2018. Unrecognized share-based compensation for other grants related to restricted stock units, stock options and performance share units was $16 million at September 30, 2018 with a weighted average recognition period of six quarters.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Restricted Share Units (“RSUs”)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RSUs are units that, if vested, are payable in shares of Brighthouse Financial, Inc. common stock. The Company does not credit RSUs with dividend-equivalents as RSUs do not accrue dividends. Accordingly, the estimated fair value of RSUs is based upon the closing price of shares on the date of grant, less a forfeiture rate. With the exception of the Founders’ Grant, most RSUs use graded vesting and vest in thirds on, or shortly after, the first three anniversaries of their grant date, while other RSUs vest in their entirety on the third or later anniversary of their grant date. Vesting is subject to continued service, except for employees who meet specified age and service criteria, and in certain other limited circumstances.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Performance Share Units (“PSUs”)</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PSUs are units that, if vested, are multiplied by a performance factor to produce a number of final PSUs, which are payable in shares of Brighthouse Financial, Inc. common stock. PSUs cliff vest at the end of the three-year performance period. Vesting is subject to continued service, except for employees who meet specified age and service criteria, and in certain other limited circumstances. The performance factors will be based on the achievement of corporate expense reductions and the capital return targets over the respective three-year period.</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For awards granted for performance periods in progress through September 30, 2018, the vested PSUs will be multiplied by a performance factor of 0% to 150%. Assuming the Company has met certain threshold performance goals, the Compensation Committee of Brighthouse Financial, Inc.’s Board of Directors will determine the performance factor in its discretion. The Company estimates the fair value of performance shares semi-annually until they become payable.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PSU and RSU activity: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042"/>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922"/>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Grant-Date Fair</w:t>
            </w:r>
          </w:p>
        </w:tc>
        <w:tc>
          <w:tcPr>
            <w:tcW w:w="13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January 1, 2018</w:t>
            </w:r>
          </w:p>
        </w:tc>
        <w:tc>
          <w:tcPr>
            <w:tcW w:w="13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995,861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48.06</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73,849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15,007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Paid</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September 30, 2018</w:t>
            </w: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980,854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48.05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73,849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Vested at September 30, 2018</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648,561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48.10</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Stock options represent the contingent right of award holders to purchase shares of Brighthouse Financial, Inc. common stock at a stated price for a limited time. All stock options have an exercise price equal to the closing price of a share on the date of grant and have a maximum term of ten years. Certain stock options granted are exercisable at a rate of one-third of each award on each of the first three anniversaries of the grant date, while others are exercisable entirely on the third anniversary of the grant date. Vesting is subject to continued service, except for employees who meet specified age and service criteria, and in certain other limited circumstances. In May 2018, the Company granted 242,560 options at a weighted average exercise price of $53.47 for aggregate intrinsic value of $0. No stock options were exercised, expired or forfeited during the period ended September 30, 2018.</w:t>
      </w:r>
    </w:p>
    <w:p>
      <w:pPr>
        <w:spacing w:after="0" w:line="5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8" w:right="239" w:bottom="1440" w:gutter="0" w:footer="0" w:header="0"/>
        </w:sectPr>
      </w:pPr>
    </w:p>
    <w:bookmarkStart w:id="54" w:name="page55"/>
    <w:bookmarkEnd w:id="5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weighted average assumptions used to determine the grant-date fair value of stock options that Brighthouse Financial, Inc. has granted: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September 30, 2018</w:t>
            </w:r>
          </w:p>
        </w:tc>
      </w:tr>
      <w:tr>
        <w:trPr>
          <w:trHeight w:val="23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rate of return</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2.93%</w:t>
            </w:r>
          </w:p>
        </w:tc>
      </w:tr>
      <w:tr>
        <w:trPr>
          <w:trHeight w:val="224"/>
        </w:trPr>
        <w:tc>
          <w:tcPr>
            <w:tcW w:w="914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6"/>
                <w:szCs w:val="16"/>
                <w:color w:val="auto"/>
                <w:w w:val="92"/>
              </w:rPr>
              <w:t>25.00%</w:t>
            </w:r>
          </w:p>
        </w:tc>
      </w:tr>
      <w:tr>
        <w:trPr>
          <w:trHeight w:val="33"/>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option life, years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5.80</w:t>
            </w:r>
          </w:p>
        </w:tc>
      </w:tr>
      <w:tr>
        <w:trPr>
          <w:trHeight w:val="224"/>
        </w:trPr>
        <w:tc>
          <w:tcPr>
            <w:tcW w:w="9140" w:type="dxa"/>
            <w:vAlign w:val="bottom"/>
          </w:tcPr>
          <w:p>
            <w:pPr>
              <w:ind w:left="40"/>
              <w:spacing w:after="0"/>
              <w:rPr>
                <w:sz w:val="20"/>
                <w:szCs w:val="20"/>
                <w:color w:val="auto"/>
              </w:rPr>
            </w:pPr>
            <w:r>
              <w:rPr>
                <w:rFonts w:ascii="Arial" w:cs="Arial" w:eastAsia="Arial" w:hAnsi="Arial"/>
                <w:sz w:val="16"/>
                <w:szCs w:val="16"/>
                <w:color w:val="auto"/>
              </w:rPr>
              <w:t>Weighted average exercise price of stock options granted</w:t>
            </w: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$53.47</w:t>
            </w:r>
          </w:p>
        </w:tc>
      </w:tr>
      <w:tr>
        <w:trPr>
          <w:trHeight w:val="33"/>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4"/>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stock options granted</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$12.54</w:t>
            </w:r>
          </w:p>
        </w:tc>
      </w:tr>
      <w:tr>
        <w:trPr>
          <w:trHeight w:val="33"/>
        </w:trPr>
        <w:tc>
          <w:tcPr>
            <w:tcW w:w="9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Three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September 30, 2018</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77"/>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060" w:type="dxa"/>
            <w:vAlign w:val="bottom"/>
          </w:tcPr>
          <w:p>
            <w:pPr>
              <w:jc w:val="center"/>
              <w:ind w:left="357"/>
              <w:spacing w:after="0" w:line="135" w:lineRule="exact"/>
              <w:rPr>
                <w:sz w:val="20"/>
                <w:szCs w:val="20"/>
                <w:color w:val="auto"/>
              </w:rPr>
            </w:pPr>
            <w:r>
              <w:rPr>
                <w:rFonts w:ascii="Arial" w:cs="Arial" w:eastAsia="Arial" w:hAnsi="Arial"/>
                <w:sz w:val="13"/>
                <w:szCs w:val="13"/>
                <w:b w:val="1"/>
                <w:bCs w:val="1"/>
                <w:color w:val="auto"/>
                <w:w w:val="91"/>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060" w:type="dxa"/>
            <w:vAlign w:val="bottom"/>
          </w:tcPr>
          <w:p>
            <w:pPr>
              <w:jc w:val="center"/>
              <w:ind w:left="37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4"/>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June 30, 2018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168</w:t>
            </w:r>
          </w:p>
        </w:tc>
        <w:tc>
          <w:tcPr>
            <w:tcW w:w="1180" w:type="dxa"/>
            <w:vAlign w:val="bottom"/>
            <w:gridSpan w:val="2"/>
            <w:vMerge w:val="restart"/>
            <w:shd w:val="clear" w:color="auto" w:fill="CCEEFF"/>
          </w:tcPr>
          <w:p>
            <w:pPr>
              <w:jc w:val="right"/>
              <w:ind w:right="897"/>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74"/>
        </w:trPr>
        <w:tc>
          <w:tcPr>
            <w:tcW w:w="4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4"/>
                <w:szCs w:val="14"/>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40"/>
              <w:spacing w:after="0"/>
              <w:rPr>
                <w:sz w:val="20"/>
                <w:szCs w:val="20"/>
                <w:color w:val="auto"/>
              </w:rPr>
            </w:pPr>
            <w:r>
              <w:rPr>
                <w:rFonts w:ascii="Arial" w:cs="Arial" w:eastAsia="Arial" w:hAnsi="Arial"/>
                <w:sz w:val="14"/>
                <w:szCs w:val="14"/>
                <w:color w:val="auto"/>
              </w:rPr>
              <w:t>Balance, September 30, 2018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125</w:t>
            </w:r>
          </w:p>
        </w:tc>
        <w:tc>
          <w:tcPr>
            <w:tcW w:w="1180" w:type="dxa"/>
            <w:vAlign w:val="bottom"/>
            <w:gridSpan w:val="2"/>
            <w:vMerge w:val="restart"/>
          </w:tcPr>
          <w:p>
            <w:pPr>
              <w:jc w:val="right"/>
              <w:ind w:right="897"/>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(24)</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60"/>
        </w:trPr>
        <w:tc>
          <w:tcPr>
            <w:tcW w:w="4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September 30, 2017</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57"/>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06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7"/>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06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8"/>
              </w:rPr>
              <w:t>Adjustments</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2"/>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June 30, 2017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1,721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223</w:t>
            </w:r>
          </w:p>
        </w:tc>
        <w:tc>
          <w:tcPr>
            <w:tcW w:w="1180" w:type="dxa"/>
            <w:vAlign w:val="bottom"/>
            <w:gridSpan w:val="2"/>
            <w:vMerge w:val="restart"/>
            <w:shd w:val="clear" w:color="auto" w:fill="CCEEFF"/>
          </w:tcPr>
          <w:p>
            <w:pPr>
              <w:jc w:val="right"/>
              <w:ind w:right="897"/>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(33)</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1,894</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74"/>
        </w:trPr>
        <w:tc>
          <w:tcPr>
            <w:tcW w:w="4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4"/>
                <w:szCs w:val="14"/>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40"/>
              <w:spacing w:after="0"/>
              <w:rPr>
                <w:sz w:val="20"/>
                <w:szCs w:val="20"/>
                <w:color w:val="auto"/>
              </w:rPr>
            </w:pPr>
            <w:r>
              <w:rPr>
                <w:rFonts w:ascii="Arial" w:cs="Arial" w:eastAsia="Arial" w:hAnsi="Arial"/>
                <w:sz w:val="14"/>
                <w:szCs w:val="14"/>
                <w:color w:val="auto"/>
              </w:rPr>
              <w:t>Balance, September 30, 2017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190</w:t>
            </w:r>
          </w:p>
        </w:tc>
        <w:tc>
          <w:tcPr>
            <w:tcW w:w="1180" w:type="dxa"/>
            <w:vAlign w:val="bottom"/>
            <w:gridSpan w:val="2"/>
            <w:vMerge w:val="restart"/>
          </w:tcPr>
          <w:p>
            <w:pPr>
              <w:jc w:val="right"/>
              <w:ind w:right="897"/>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(26)</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60"/>
        </w:trPr>
        <w:tc>
          <w:tcPr>
            <w:tcW w:w="4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8" w:right="239" w:bottom="1440" w:gutter="0" w:footer="0" w:header="0"/>
        </w:sectPr>
      </w:pPr>
    </w:p>
    <w:bookmarkStart w:id="55" w:name="page56"/>
    <w:bookmarkEnd w:id="5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322" w:lineRule="exact"/>
        <w:rPr>
          <w:sz w:val="20"/>
          <w:szCs w:val="20"/>
          <w:color w:val="auto"/>
        </w:rPr>
      </w:pPr>
    </w:p>
    <w:p>
      <w:pPr>
        <w:jc w:val="right"/>
        <w:ind w:right="3040"/>
        <w:spacing w:after="0"/>
        <w:rPr>
          <w:sz w:val="20"/>
          <w:szCs w:val="20"/>
          <w:color w:val="auto"/>
        </w:rPr>
      </w:pPr>
      <w:r>
        <w:rPr>
          <w:rFonts w:ascii="Arial" w:cs="Arial" w:eastAsia="Arial" w:hAnsi="Arial"/>
          <w:sz w:val="13"/>
          <w:szCs w:val="13"/>
          <w:b w:val="1"/>
          <w:bCs w:val="1"/>
          <w:color w:val="auto"/>
        </w:rPr>
        <w:t>Nine Months Ended</w:t>
      </w:r>
    </w:p>
    <w:p>
      <w:pPr>
        <w:jc w:val="right"/>
        <w:ind w:right="3040"/>
        <w:spacing w:after="0"/>
        <w:rPr>
          <w:sz w:val="20"/>
          <w:szCs w:val="20"/>
          <w:color w:val="auto"/>
        </w:rPr>
      </w:pPr>
      <w:r>
        <w:rPr>
          <w:rFonts w:ascii="Arial" w:cs="Arial" w:eastAsia="Arial" w:hAnsi="Arial"/>
          <w:sz w:val="13"/>
          <w:szCs w:val="13"/>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15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Unrealized</w:t>
            </w:r>
          </w:p>
        </w:tc>
        <w:tc>
          <w:tcPr>
            <w:tcW w:w="1400" w:type="dxa"/>
            <w:vAlign w:val="bottom"/>
          </w:tcPr>
          <w:p>
            <w:pPr>
              <w:spacing w:after="0"/>
              <w:rPr>
                <w:sz w:val="13"/>
                <w:szCs w:val="13"/>
                <w:color w:val="auto"/>
              </w:rPr>
            </w:pPr>
          </w:p>
        </w:tc>
        <w:tc>
          <w:tcPr>
            <w:tcW w:w="1520" w:type="dxa"/>
            <w:vAlign w:val="bottom"/>
          </w:tcPr>
          <w:p>
            <w:pPr>
              <w:jc w:val="center"/>
              <w:ind w:left="197"/>
              <w:spacing w:after="0"/>
              <w:rPr>
                <w:sz w:val="20"/>
                <w:szCs w:val="20"/>
                <w:color w:val="auto"/>
              </w:rPr>
            </w:pPr>
            <w:r>
              <w:rPr>
                <w:rFonts w:ascii="Arial" w:cs="Arial" w:eastAsia="Arial" w:hAnsi="Arial"/>
                <w:sz w:val="13"/>
                <w:szCs w:val="13"/>
                <w:b w:val="1"/>
                <w:bCs w:val="1"/>
                <w:color w:val="auto"/>
                <w:w w:val="88"/>
              </w:rPr>
              <w:t>Foreign</w:t>
            </w: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5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1"/>
              </w:rPr>
              <w:t>Currency</w:t>
            </w: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52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Defined Benefit</w:t>
            </w:r>
          </w:p>
        </w:tc>
        <w:tc>
          <w:tcPr>
            <w:tcW w:w="1100" w:type="dxa"/>
            <w:vAlign w:val="bottom"/>
          </w:tcPr>
          <w:p>
            <w:pPr>
              <w:spacing w:after="0"/>
              <w:rPr>
                <w:sz w:val="11"/>
                <w:szCs w:val="11"/>
                <w:color w:val="auto"/>
              </w:rPr>
            </w:pPr>
          </w:p>
        </w:tc>
      </w:tr>
      <w:tr>
        <w:trPr>
          <w:trHeight w:val="174"/>
        </w:trPr>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Related Offsets (1)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on Derivatives</w:t>
            </w:r>
          </w:p>
        </w:tc>
        <w:tc>
          <w:tcPr>
            <w:tcW w:w="152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86"/>
              </w:rPr>
              <w:t>Adjustments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Plans Adjustment</w:t>
            </w: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Total</w:t>
            </w:r>
          </w:p>
        </w:tc>
      </w:tr>
      <w:tr>
        <w:trPr>
          <w:trHeight w:val="241"/>
        </w:trPr>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ind w:left="300"/>
              <w:spacing w:after="0"/>
              <w:rPr>
                <w:sz w:val="20"/>
                <w:szCs w:val="20"/>
                <w:color w:val="auto"/>
              </w:rPr>
            </w:pPr>
            <w:r>
              <w:rPr>
                <w:rFonts w:ascii="Arial" w:cs="Arial" w:eastAsia="Arial" w:hAnsi="Arial"/>
                <w:sz w:val="13"/>
                <w:szCs w:val="13"/>
                <w:b w:val="1"/>
                <w:bCs w:val="1"/>
                <w:color w:val="auto"/>
              </w:rPr>
              <w:t>(In millions)</w:t>
            </w: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Balance, December 31, 2017</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60" w:right="360" w:hanging="161"/>
        <w:spacing w:after="0" w:line="253" w:lineRule="auto"/>
        <w:rPr>
          <w:sz w:val="20"/>
          <w:szCs w:val="20"/>
          <w:color w:val="auto"/>
        </w:rPr>
      </w:pPr>
      <w:r>
        <w:rPr>
          <w:rFonts w:ascii="Arial" w:cs="Arial" w:eastAsia="Arial" w:hAnsi="Arial"/>
          <w:sz w:val="14"/>
          <w:szCs w:val="14"/>
          <w:color w:val="auto"/>
        </w:rPr>
        <w:t>Cumulative effect of change in accounting principle and other, net of income tax (see Note 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January 1, 2018</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OCI before reclassifications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Deferred income tax benefit (expense)</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160"/>
              <w:spacing w:after="0"/>
              <w:rPr>
                <w:sz w:val="20"/>
                <w:szCs w:val="20"/>
                <w:color w:val="auto"/>
              </w:rPr>
            </w:pPr>
            <w:r>
              <w:rPr>
                <w:rFonts w:ascii="Arial" w:cs="Arial" w:eastAsia="Arial" w:hAnsi="Arial"/>
                <w:sz w:val="14"/>
                <w:szCs w:val="14"/>
                <w:color w:val="auto"/>
              </w:rPr>
              <w:t>AOCI before reclassifications, net of income tax</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Amounts reclassified from AOCI</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Deferred income tax benefit (expense)</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ind w:left="160"/>
              <w:spacing w:after="0"/>
              <w:rPr>
                <w:sz w:val="20"/>
                <w:szCs w:val="20"/>
                <w:color w:val="auto"/>
              </w:rPr>
            </w:pPr>
            <w:r>
              <w:rPr>
                <w:rFonts w:ascii="Arial" w:cs="Arial" w:eastAsia="Arial" w:hAnsi="Arial"/>
                <w:sz w:val="14"/>
                <w:szCs w:val="14"/>
                <w:color w:val="auto"/>
              </w:rPr>
              <w:t>Amounts reclassified from AOCI, net of income tax</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4"/>
                <w:szCs w:val="14"/>
                <w:color w:val="auto"/>
              </w:rPr>
              <w:t>Balance, September 30, 2018</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1,572</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1,676</w:t>
            </w:r>
          </w:p>
        </w:tc>
      </w:tr>
      <w:tr>
        <w:trPr>
          <w:trHeight w:val="357"/>
        </w:trPr>
        <w:tc>
          <w:tcPr>
            <w:tcW w:w="620" w:type="dxa"/>
            <w:vAlign w:val="bottom"/>
          </w:tcPr>
          <w:p>
            <w:pPr>
              <w:jc w:val="right"/>
              <w:ind w:right="128"/>
              <w:spacing w:after="0"/>
              <w:rPr>
                <w:sz w:val="20"/>
                <w:szCs w:val="20"/>
                <w:color w:val="auto"/>
              </w:rPr>
            </w:pPr>
            <w:r>
              <w:rPr>
                <w:rFonts w:ascii="Arial" w:cs="Arial" w:eastAsia="Arial" w:hAnsi="Arial"/>
                <w:sz w:val="14"/>
                <w:szCs w:val="14"/>
                <w:color w:val="auto"/>
              </w:rPr>
              <w:t>(79)</w:t>
            </w:r>
          </w:p>
        </w:tc>
        <w:tc>
          <w:tcPr>
            <w:tcW w:w="5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44"/>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1,493</w:t>
            </w:r>
          </w:p>
        </w:tc>
        <w:tc>
          <w:tcPr>
            <w:tcW w:w="5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1,597</w:t>
            </w:r>
          </w:p>
        </w:tc>
      </w:tr>
      <w:tr>
        <w:trPr>
          <w:trHeight w:val="270"/>
        </w:trPr>
        <w:tc>
          <w:tcPr>
            <w:tcW w:w="620" w:type="dxa"/>
            <w:vAlign w:val="bottom"/>
          </w:tcPr>
          <w:p>
            <w:pPr>
              <w:jc w:val="right"/>
              <w:ind w:right="128"/>
              <w:spacing w:after="0"/>
              <w:rPr>
                <w:sz w:val="20"/>
                <w:szCs w:val="20"/>
                <w:color w:val="auto"/>
              </w:rPr>
            </w:pPr>
            <w:r>
              <w:rPr>
                <w:rFonts w:ascii="Arial" w:cs="Arial" w:eastAsia="Arial" w:hAnsi="Arial"/>
                <w:sz w:val="14"/>
                <w:szCs w:val="14"/>
                <w:color w:val="auto"/>
                <w:w w:val="90"/>
              </w:rPr>
              <w:t>(1,448)</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(1,418)</w:t>
            </w:r>
          </w:p>
        </w:tc>
      </w:tr>
      <w:tr>
        <w:trPr>
          <w:trHeight w:val="276"/>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325</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318</w:t>
            </w:r>
          </w:p>
        </w:tc>
      </w:tr>
      <w:tr>
        <w:trPr>
          <w:trHeight w:val="250"/>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370</w:t>
            </w:r>
          </w:p>
        </w:tc>
        <w:tc>
          <w:tcPr>
            <w:tcW w:w="5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497</w:t>
            </w:r>
          </w:p>
        </w:tc>
      </w:tr>
      <w:tr>
        <w:trPr>
          <w:trHeight w:val="244"/>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138</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276"/>
        </w:trPr>
        <w:tc>
          <w:tcPr>
            <w:tcW w:w="62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50"/>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106</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37"/>
        </w:trPr>
        <w:tc>
          <w:tcPr>
            <w:tcW w:w="620" w:type="dxa"/>
            <w:vAlign w:val="bottom"/>
          </w:tcPr>
          <w:p>
            <w:pPr>
              <w:jc w:val="right"/>
              <w:ind w:right="168"/>
              <w:spacing w:after="0"/>
              <w:rPr>
                <w:sz w:val="20"/>
                <w:szCs w:val="20"/>
                <w:color w:val="auto"/>
              </w:rPr>
            </w:pPr>
            <w:r>
              <w:rPr>
                <w:rFonts w:ascii="Arial" w:cs="Arial" w:eastAsia="Arial" w:hAnsi="Arial"/>
                <w:sz w:val="14"/>
                <w:szCs w:val="14"/>
                <w:color w:val="auto"/>
              </w:rPr>
              <w:t>476</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552</w:t>
            </w:r>
          </w:p>
        </w:tc>
      </w:tr>
      <w:tr>
        <w:trPr>
          <w:trHeight w:val="20"/>
        </w:trPr>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-1045845</wp:posOffset>
            </wp:positionV>
            <wp:extent cx="7246620" cy="1046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-1388745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auto"/>
        </w:rPr>
        <w:t>Nine Months Ended</w:t>
      </w:r>
    </w:p>
    <w:p>
      <w:pPr>
        <w:ind w:left="2100"/>
        <w:spacing w:after="0"/>
        <w:rPr>
          <w:sz w:val="20"/>
          <w:szCs w:val="20"/>
          <w:color w:val="auto"/>
        </w:rPr>
      </w:pP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10795</wp:posOffset>
            </wp:positionV>
            <wp:extent cx="4562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4520" w:space="720"/>
            <w:col w:w="618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Currency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Adjustments</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Plans Adjustment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5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4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40"/>
              <w:spacing w:after="0"/>
              <w:rPr>
                <w:sz w:val="20"/>
                <w:szCs w:val="20"/>
                <w:color w:val="auto"/>
              </w:rPr>
            </w:pPr>
            <w:r>
              <w:rPr>
                <w:rFonts w:ascii="Arial" w:cs="Arial" w:eastAsia="Arial" w:hAnsi="Arial"/>
                <w:sz w:val="14"/>
                <w:szCs w:val="14"/>
                <w:color w:val="auto"/>
              </w:rPr>
              <w:t>Balance, September 30, 2017</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7620</wp:posOffset>
            </wp:positionV>
            <wp:extent cx="4562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-98425</wp:posOffset>
            </wp:positionV>
            <wp:extent cx="4562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93" w:lineRule="exact"/>
        <w:rPr>
          <w:sz w:val="20"/>
          <w:szCs w:val="20"/>
          <w:color w:val="auto"/>
        </w:rPr>
      </w:pPr>
    </w:p>
    <w:p>
      <w:pPr>
        <w:ind w:left="5620" w:right="3100" w:hanging="5612"/>
        <w:spacing w:after="0" w:line="559" w:lineRule="auto"/>
        <w:tabs>
          <w:tab w:leader="none" w:pos="4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 55</w:t>
      </w:r>
    </w:p>
    <w:p>
      <w:pPr>
        <w:sectPr>
          <w:pgSz w:w="11900" w:h="16838" w:orient="portrait"/>
          <w:cols w:equalWidth="0" w:num="1">
            <w:col w:w="11420"/>
          </w:cols>
          <w:pgMar w:left="240" w:top="288" w:right="239" w:bottom="1440" w:gutter="0" w:footer="0" w:header="0"/>
          <w:type w:val="continuous"/>
        </w:sectPr>
      </w:pPr>
    </w:p>
    <w:bookmarkStart w:id="56" w:name="page57"/>
    <w:bookmarkEnd w:id="5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Notes to the Interim Condensed Consolidated Financial Statements (Unaudited)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AOCI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926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680" w:hanging="161"/>
        <w:spacing w:after="0" w:line="253" w:lineRule="auto"/>
        <w:rPr>
          <w:sz w:val="20"/>
          <w:szCs w:val="20"/>
          <w:color w:val="auto"/>
        </w:rPr>
      </w:pPr>
      <w:r>
        <w:rPr>
          <w:rFonts w:ascii="Arial" w:cs="Arial" w:eastAsia="Arial" w:hAnsi="Arial"/>
          <w:sz w:val="14"/>
          <w:szCs w:val="14"/>
          <w:color w:val="auto"/>
        </w:rPr>
        <w:t>Net unrealized investment gains (losses), before income tax</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840" w:right="300" w:hanging="125"/>
        <w:spacing w:after="0" w:line="253" w:lineRule="auto"/>
        <w:rPr>
          <w:sz w:val="20"/>
          <w:szCs w:val="20"/>
          <w:color w:val="auto"/>
        </w:rPr>
      </w:pPr>
      <w:r>
        <w:rPr>
          <w:rFonts w:ascii="Arial" w:cs="Arial" w:eastAsia="Arial" w:hAnsi="Arial"/>
          <w:sz w:val="14"/>
          <w:szCs w:val="14"/>
          <w:color w:val="auto"/>
        </w:rPr>
        <w:t>Net unrealized investment gains (losses), net of income tax</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Unrealized gains (losses) on derivatives - cash flow hedges: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Gains (losses) on cash flow hedges, before income tax</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840" w:right="640" w:hanging="161"/>
        <w:spacing w:after="0" w:line="253" w:lineRule="auto"/>
        <w:rPr>
          <w:sz w:val="20"/>
          <w:szCs w:val="20"/>
          <w:color w:val="auto"/>
        </w:rPr>
      </w:pPr>
      <w:r>
        <w:rPr>
          <w:rFonts w:ascii="Arial" w:cs="Arial" w:eastAsia="Arial" w:hAnsi="Arial"/>
          <w:sz w:val="14"/>
          <w:szCs w:val="14"/>
          <w:color w:val="auto"/>
        </w:rPr>
        <w:t>Gains (losses) on cash flow hedges, net of income tax</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reclassifications, net of income tax</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86"/>
              </w:rPr>
              <w:t>Consolidated Statements of</w:t>
            </w:r>
          </w:p>
        </w:tc>
      </w:tr>
      <w:tr>
        <w:trPr>
          <w:trHeight w:val="135"/>
        </w:trPr>
        <w:tc>
          <w:tcPr>
            <w:tcW w:w="7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Operations and Comprehensive Income</w:t>
            </w:r>
          </w:p>
        </w:tc>
      </w:tr>
      <w:tr>
        <w:trPr>
          <w:trHeight w:val="174"/>
        </w:trPr>
        <w:tc>
          <w:tcPr>
            <w:tcW w:w="7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center"/>
              <w:ind w:left="777"/>
              <w:spacing w:after="0"/>
              <w:rPr>
                <w:sz w:val="20"/>
                <w:szCs w:val="20"/>
                <w:color w:val="auto"/>
              </w:rPr>
            </w:pPr>
            <w:r>
              <w:rPr>
                <w:rFonts w:ascii="Arial" w:cs="Arial" w:eastAsia="Arial" w:hAnsi="Arial"/>
                <w:sz w:val="13"/>
                <w:szCs w:val="13"/>
                <w:b w:val="1"/>
                <w:bCs w:val="1"/>
                <w:color w:val="auto"/>
                <w:w w:val="88"/>
              </w:rPr>
              <w:t>Amounts Reclassified from AOCI</w:t>
            </w: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(Loss) Locations</w:t>
            </w:r>
          </w:p>
        </w:tc>
      </w:tr>
      <w:tr>
        <w:trPr>
          <w:trHeight w:val="144"/>
        </w:trPr>
        <w:tc>
          <w:tcPr>
            <w:tcW w:w="780" w:type="dxa"/>
            <w:vAlign w:val="bottom"/>
          </w:tcPr>
          <w:p>
            <w:pPr>
              <w:spacing w:after="0"/>
              <w:rPr>
                <w:sz w:val="12"/>
                <w:szCs w:val="12"/>
                <w:color w:val="auto"/>
              </w:rPr>
            </w:pPr>
          </w:p>
        </w:tc>
        <w:tc>
          <w:tcPr>
            <w:tcW w:w="1420" w:type="dxa"/>
            <w:vAlign w:val="bottom"/>
          </w:tcPr>
          <w:p>
            <w:pPr>
              <w:jc w:val="center"/>
              <w:ind w:right="217"/>
              <w:spacing w:after="0" w:line="144" w:lineRule="exact"/>
              <w:rPr>
                <w:sz w:val="20"/>
                <w:szCs w:val="20"/>
                <w:color w:val="auto"/>
              </w:rPr>
            </w:pPr>
            <w:r>
              <w:rPr>
                <w:rFonts w:ascii="Arial" w:cs="Arial" w:eastAsia="Arial" w:hAnsi="Arial"/>
                <w:sz w:val="13"/>
                <w:szCs w:val="13"/>
                <w:b w:val="1"/>
                <w:bCs w:val="1"/>
                <w:color w:val="auto"/>
                <w:w w:val="88"/>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740" w:type="dxa"/>
            <w:vAlign w:val="bottom"/>
            <w:gridSpan w:val="4"/>
          </w:tcPr>
          <w:p>
            <w:pPr>
              <w:jc w:val="center"/>
              <w:ind w:right="2317"/>
              <w:spacing w:after="0" w:line="144" w:lineRule="exact"/>
              <w:rPr>
                <w:sz w:val="20"/>
                <w:szCs w:val="20"/>
                <w:color w:val="auto"/>
              </w:rPr>
            </w:pPr>
            <w:r>
              <w:rPr>
                <w:rFonts w:ascii="Arial" w:cs="Arial" w:eastAsia="Arial" w:hAnsi="Arial"/>
                <w:sz w:val="13"/>
                <w:szCs w:val="13"/>
                <w:b w:val="1"/>
                <w:bCs w:val="1"/>
                <w:color w:val="auto"/>
                <w:w w:val="88"/>
              </w:rPr>
              <w:t>Nine Months Ended</w:t>
            </w:r>
          </w:p>
        </w:tc>
      </w:tr>
      <w:tr>
        <w:trPr>
          <w:trHeight w:val="174"/>
        </w:trPr>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5"/>
              </w:rPr>
              <w:t>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637"/>
              <w:spacing w:after="0"/>
              <w:rPr>
                <w:sz w:val="20"/>
                <w:szCs w:val="20"/>
                <w:color w:val="auto"/>
              </w:rPr>
            </w:pPr>
            <w:r>
              <w:rPr>
                <w:rFonts w:ascii="Arial" w:cs="Arial" w:eastAsia="Arial" w:hAnsi="Arial"/>
                <w:sz w:val="13"/>
                <w:szCs w:val="13"/>
                <w:b w:val="1"/>
                <w:bCs w:val="1"/>
                <w:color w:val="auto"/>
                <w:w w:val="85"/>
              </w:rPr>
              <w:t>September 30,</w:t>
            </w:r>
          </w:p>
        </w:tc>
        <w:tc>
          <w:tcPr>
            <w:tcW w:w="2400" w:type="dxa"/>
            <w:vAlign w:val="bottom"/>
            <w:gridSpan w:val="2"/>
          </w:tcPr>
          <w:p>
            <w:pPr>
              <w:spacing w:after="0"/>
              <w:rPr>
                <w:sz w:val="15"/>
                <w:szCs w:val="15"/>
                <w:color w:val="auto"/>
              </w:rPr>
            </w:pPr>
          </w:p>
        </w:tc>
      </w:tr>
      <w:tr>
        <w:trPr>
          <w:trHeight w:val="264"/>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13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41"/>
        </w:trPr>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gridSpan w:val="3"/>
          </w:tcPr>
          <w:p>
            <w:pPr>
              <w:jc w:val="center"/>
              <w:ind w:right="537"/>
              <w:spacing w:after="0"/>
              <w:rPr>
                <w:sz w:val="20"/>
                <w:szCs w:val="20"/>
                <w:color w:val="auto"/>
              </w:rPr>
            </w:pPr>
            <w:r>
              <w:rPr>
                <w:rFonts w:ascii="Arial" w:cs="Arial" w:eastAsia="Arial" w:hAnsi="Arial"/>
                <w:sz w:val="13"/>
                <w:szCs w:val="13"/>
                <w:b w:val="1"/>
                <w:bCs w:val="1"/>
                <w:color w:val="auto"/>
                <w:w w:val="90"/>
              </w:rPr>
              <w:t>(In millions)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10160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840" w:type="dxa"/>
            <w:vAlign w:val="bottom"/>
          </w:tcPr>
          <w:p>
            <w:pPr>
              <w:ind w:left="140"/>
              <w:spacing w:after="0"/>
              <w:rPr>
                <w:sz w:val="20"/>
                <w:szCs w:val="20"/>
                <w:color w:val="auto"/>
              </w:rPr>
            </w:pPr>
            <w:r>
              <w:rPr>
                <w:rFonts w:ascii="Arial" w:cs="Arial" w:eastAsia="Arial" w:hAnsi="Arial"/>
                <w:sz w:val="14"/>
                <w:szCs w:val="14"/>
                <w:color w:val="auto"/>
                <w:w w:val="91"/>
              </w:rPr>
              <w:t>Net investment gains (losses)</w:t>
            </w:r>
          </w:p>
        </w:tc>
      </w:tr>
      <w:tr>
        <w:trPr>
          <w:trHeight w:val="270"/>
        </w:trPr>
        <w:tc>
          <w:tcPr>
            <w:tcW w:w="54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325"/>
        </w:trPr>
        <w:tc>
          <w:tcPr>
            <w:tcW w:w="5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w:t>
            </w:r>
          </w:p>
        </w:tc>
        <w:tc>
          <w:tcPr>
            <w:tcW w:w="1840" w:type="dxa"/>
            <w:vAlign w:val="bottom"/>
          </w:tcPr>
          <w:p>
            <w:pPr>
              <w:spacing w:after="0"/>
              <w:rPr>
                <w:sz w:val="24"/>
                <w:szCs w:val="24"/>
                <w:color w:val="auto"/>
              </w:rPr>
            </w:pPr>
          </w:p>
        </w:tc>
      </w:tr>
      <w:tr>
        <w:trPr>
          <w:trHeight w:val="276"/>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840" w:type="dxa"/>
            <w:vAlign w:val="bottom"/>
          </w:tcPr>
          <w:p>
            <w:pPr>
              <w:spacing w:after="0"/>
              <w:rPr>
                <w:sz w:val="24"/>
                <w:szCs w:val="24"/>
                <w:color w:val="auto"/>
              </w:rPr>
            </w:pPr>
          </w:p>
        </w:tc>
      </w:tr>
      <w:tr>
        <w:trPr>
          <w:trHeight w:val="331"/>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840" w:type="dxa"/>
            <w:vAlign w:val="bottom"/>
          </w:tcPr>
          <w:p>
            <w:pPr>
              <w:spacing w:after="0"/>
              <w:rPr>
                <w:sz w:val="24"/>
                <w:szCs w:val="24"/>
                <w:color w:val="auto"/>
              </w:rPr>
            </w:pPr>
          </w:p>
        </w:tc>
      </w:tr>
      <w:tr>
        <w:trPr>
          <w:trHeight w:val="528"/>
        </w:trPr>
        <w:tc>
          <w:tcPr>
            <w:tcW w:w="5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70"/>
        </w:trPr>
        <w:tc>
          <w:tcPr>
            <w:tcW w:w="54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0"/>
        </w:trPr>
        <w:tc>
          <w:tcPr>
            <w:tcW w:w="5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70"/>
        </w:trPr>
        <w:tc>
          <w:tcPr>
            <w:tcW w:w="5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5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244"/>
        </w:trPr>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840" w:type="dxa"/>
            <w:vAlign w:val="bottom"/>
          </w:tcPr>
          <w:p>
            <w:pPr>
              <w:spacing w:after="0"/>
              <w:rPr>
                <w:sz w:val="21"/>
                <w:szCs w:val="21"/>
                <w:color w:val="auto"/>
              </w:rPr>
            </w:pPr>
          </w:p>
        </w:tc>
      </w:tr>
      <w:tr>
        <w:trPr>
          <w:trHeight w:val="276"/>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40" w:type="dxa"/>
            <w:vAlign w:val="bottom"/>
          </w:tcPr>
          <w:p>
            <w:pPr>
              <w:spacing w:after="0"/>
              <w:rPr>
                <w:sz w:val="24"/>
                <w:szCs w:val="24"/>
                <w:color w:val="auto"/>
              </w:rPr>
            </w:pPr>
          </w:p>
        </w:tc>
      </w:tr>
      <w:tr>
        <w:trPr>
          <w:trHeight w:val="331"/>
        </w:trPr>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840" w:type="dxa"/>
            <w:vAlign w:val="bottom"/>
          </w:tcPr>
          <w:p>
            <w:pPr>
              <w:spacing w:after="0"/>
              <w:rPr>
                <w:sz w:val="24"/>
                <w:szCs w:val="24"/>
                <w:color w:val="auto"/>
              </w:rPr>
            </w:pPr>
          </w:p>
        </w:tc>
      </w:tr>
      <w:tr>
        <w:trPr>
          <w:trHeight w:val="237"/>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840" w:type="dxa"/>
            <w:vAlign w:val="bottom"/>
          </w:tcPr>
          <w:p>
            <w:pPr>
              <w:spacing w:after="0"/>
              <w:rPr>
                <w:sz w:val="20"/>
                <w:szCs w:val="20"/>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-2752090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-2409190</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-2014855</wp:posOffset>
            </wp:positionV>
            <wp:extent cx="724662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-1611630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-1268730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-925830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-582295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-187960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160"/>
            <w:col w:w="752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288" w:right="239" w:bottom="1440" w:gutter="0" w:footer="0" w:header="0"/>
          <w:type w:val="continuous"/>
        </w:sectPr>
      </w:pPr>
    </w:p>
    <w:bookmarkStart w:id="57" w:name="page58"/>
    <w:bookmarkEnd w:id="5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are based on a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revenues consisted primarily of 12b-1 fees of $91 million and $275 million for the three months and nine months ended September 30, 2018, respectively, and $94 million and $263 million for the three months and nine months ended September 30, 2017, respectively, of which substantially all were reported in the Annuities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4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Commissions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602</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Volume-related costs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Expenses on ceded and assumed reinsurance with former affiliates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DAC</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116</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taxes, licenses and fees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Professional services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164</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 and related expenses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417</w:t>
            </w:r>
          </w:p>
        </w:tc>
      </w:tr>
      <w:tr>
        <w:trPr>
          <w:trHeight w:val="33"/>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Commissions and capitalization of DAC include the impact of related party reinsurance transactions. See Note 12 for a discussion of related party expenses included in the table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34" w:right="239" w:bottom="1440" w:gutter="0" w:footer="0" w:header="0"/>
        </w:sectPr>
      </w:pPr>
    </w:p>
    <w:bookmarkStart w:id="58" w:name="page59"/>
    <w:bookmarkEnd w:id="5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earnings per common share: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6"/>
                <w:szCs w:val="16"/>
                <w:color w:val="auto"/>
              </w:rPr>
            </w:pPr>
          </w:p>
        </w:tc>
        <w:tc>
          <w:tcPr>
            <w:tcW w:w="19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share and per share data)</w:t>
            </w: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Net income (loss) available to Brighthouse Financial, Inc.’s common</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119,657,443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119,773,106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119,734,128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119,773,106</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Arial" w:cs="Arial" w:eastAsia="Arial" w:hAnsi="Arial"/>
                <w:sz w:val="16"/>
                <w:szCs w:val="16"/>
                <w:color w:val="auto"/>
              </w:rPr>
              <w:t>Earnings per common share:</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loss per common share equaled diluted loss per common share for the three months and nine months ended September 30, 2018. The diluted shares were not utilized in the per share calculation, as the inclusion of such shares would have an antidilutive effect.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For some loss contingency matters, the Company is able to estimate a reasonably possible range of loss. For such matters where a loss is believed to be reasonably possible, but not probable, no accrual has been made. As of September 30, 2018, the Company estimates the aggregate range of reasonably possible losses in excess of amounts accrued, if any, for these matters to be $0 to $10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34" w:right="239" w:bottom="1440" w:gutter="0" w:footer="0" w:header="0"/>
        </w:sectPr>
      </w:pPr>
    </w:p>
    <w:bookmarkStart w:id="59" w:name="page60"/>
    <w:bookmarkEnd w:id="5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mutual funds or other products. The Company vigorously defends against the claims in these matters. The Company believes adequate provision has been made in its consolidated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Group Annuity Class Action</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i w:val="1"/>
          <w:iCs w:val="1"/>
          <w:color w:val="auto"/>
        </w:rPr>
        <w:t xml:space="preserve">Edward Roycroft v. Brighthouse Financial, Inc., et al. </w:t>
      </w:r>
      <w:r>
        <w:rPr>
          <w:rFonts w:ascii="Arial" w:cs="Arial" w:eastAsia="Arial" w:hAnsi="Arial"/>
          <w:sz w:val="18"/>
          <w:szCs w:val="18"/>
          <w:color w:val="auto"/>
        </w:rPr>
        <w:t>(U.S. District Court, Southern District of New York, filed June 18, 2018). Edward Roycroft</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purported class action against Brighthouse Financial, Inc., MetLife, Inc., and Metropolitan Life Insurance Company. The complaint alleges plaintiff is a beneficiary of a Martindale-Hubbell group annuity contract and did not receive payments plaintiff claims he was entitled to upon his retirement in 1999. Plaintiff seeks to represent a class of all beneficiaries who were due annuity benefits pursuant to group annuity contracts and whose annuity benefits were released from reserves. Plaintiff’s causes of action are for conversion, unjust enrichment, an accounting and for a constructive trust. Plaintiff seeks damages, attorneys’ fees, declaratory and injunctive relief and other equitable remedies. In September 2018, plaintiff dismissed Brighthouse Financial, Inc. from the action without prejudice.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6"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$422 million and $388 million at September 30,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and Private Corporate Bond Investments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private corporate bond investments. The amounts of these unfunded commitments were $1.8 billion and $1.4 billion at September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34" w:right="239" w:bottom="1440" w:gutter="0" w:footer="0" w:header="0"/>
        </w:sectPr>
      </w:pPr>
    </w:p>
    <w:bookmarkStart w:id="60" w:name="page61"/>
    <w:bookmarkEnd w:id="6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$169 million, with a cumulative maximum of $175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recorded liabilities were $2 million at both September 30, 2018 and December 31, 2017 for indemnities, guarantees and commitments.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had not historically operated as a standalone business prior to the Separation, and as a result had various existing arrangements with MetLife for services necessary to conduct its activities. Subsequent to the Separation, certain of such services continued, as provided for under a master service agreement and various transition services agreements entered into in connection with the Separation. MetLife was no longer considered a related party upon the completion of the MetLife Divestiture on June 14, 2018. All of the MetLife transactions reported as related party activity occurred prior to the MetLife Divestiture. See Note 1 for information regarding the MetLife Divestiture.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and expense from transactions with MetLife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w w:val="96"/>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(182)</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Expense</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133</w:t>
            </w: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288</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MetLife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3"/>
          </w:tcPr>
          <w:p>
            <w:pPr>
              <w:jc w:val="right"/>
              <w:ind w:right="118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2,907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1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2,178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34" w:right="239" w:bottom="1440" w:gutter="0" w:footer="0" w:header="0"/>
        </w:sectPr>
      </w:pPr>
    </w:p>
    <w:bookmarkStart w:id="61" w:name="page62"/>
    <w:bookmarkEnd w:id="6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MetLife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affiliates. The Company participates in reinsurance activities in order to limit losses, minimize exposure to significant risks and provide additional capacity for future growth.</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has reinsurance agreements with certain MetLife subsidiaries, including MLIC, Metropolitan Tower Life Insurance Company and MetLife Reinsurance Company of Vermont, all of which were related parties until the completion of the MetLife Divestiture.</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interim condensed consolidated statements of operations and comprehensive income (loss)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5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3"/>
          </w:tcPr>
          <w:p>
            <w:pPr>
              <w:jc w:val="right"/>
              <w:ind w:right="521"/>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premiums</w:t>
            </w:r>
          </w:p>
        </w:tc>
        <w:tc>
          <w:tcPr>
            <w:tcW w:w="94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w:t>
            </w:r>
          </w:p>
        </w:tc>
      </w:tr>
      <w:tr>
        <w:trPr>
          <w:trHeight w:val="73"/>
        </w:trPr>
        <w:tc>
          <w:tcPr>
            <w:tcW w:w="56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universal life and investment-type product policy fees</w:t>
            </w:r>
          </w:p>
        </w:tc>
        <w:tc>
          <w:tcPr>
            <w:tcW w:w="94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73"/>
        </w:trPr>
        <w:tc>
          <w:tcPr>
            <w:tcW w:w="56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other revenues</w:t>
            </w:r>
          </w:p>
        </w:tc>
        <w:tc>
          <w:tcPr>
            <w:tcW w:w="94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r>
      <w:tr>
        <w:trPr>
          <w:trHeight w:val="73"/>
        </w:trPr>
        <w:tc>
          <w:tcPr>
            <w:tcW w:w="56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policyholder benefits and claims</w:t>
            </w:r>
          </w:p>
        </w:tc>
        <w:tc>
          <w:tcPr>
            <w:tcW w:w="94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5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interim condensed consolidated balance sheets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September 30, 2018</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spacing w:after="0"/>
              <w:rPr>
                <w:sz w:val="22"/>
                <w:szCs w:val="2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Assumed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Ceded</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1"/>
              </w:rPr>
              <w:t>Assumed</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Ceded</w:t>
            </w:r>
          </w:p>
        </w:tc>
      </w:tr>
      <w:tr>
        <w:trPr>
          <w:trHeight w:val="250"/>
        </w:trPr>
        <w:tc>
          <w:tcPr>
            <w:tcW w:w="5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(In millions)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3,410</w:t>
            </w:r>
          </w:p>
        </w:tc>
      </w:tr>
      <w:tr>
        <w:trPr>
          <w:trHeight w:val="33"/>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policy-related balances</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1,674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401</w:t>
            </w:r>
          </w:p>
        </w:tc>
      </w:tr>
      <w:tr>
        <w:trPr>
          <w:trHeight w:val="33"/>
        </w:trPr>
        <w:tc>
          <w:tcPr>
            <w:tcW w:w="5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34" w:right="239" w:bottom="1440" w:gutter="0" w:footer="0" w:header="0"/>
        </w:sectPr>
      </w:pPr>
    </w:p>
    <w:bookmarkStart w:id="62" w:name="page63"/>
    <w:bookmarkEnd w:id="6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cedes risks to MLIC related to guaranteed minimum benefits written directly by the Company. The ceded reinsurance agreements contain embedded derivatives and changes in the estimated fair value are also included within net derivative gains (losses). The embedded derivatives associated with the cessions are included within premiums, reinsurance and other receivables and were $0 and $2 million at September 30, 2018 and December 31, 2017, respectively. Net derivative gains (losses) associated with the embedded derivatives were $0 and less than ($1) million for the three months and nine months ended September 30, 2018, respectively, and ($1) million and ($264) million for the three months and nine months ended September 30, 2017, respectively.</w:t>
      </w:r>
    </w:p>
    <w:p>
      <w:pPr>
        <w:spacing w:after="0" w:line="85"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In May 2017, the Company recaptured from MLIC risks related to multiple life products ceded under yearly renewable term and coinsurance agreements. This recapture resulted in an increase in cash and cash equivalents of $214 million and a decrease in premiums, reinsurance and other receivables of $189 million. The Company recognized a gain of $17 million, net of income tax, as a result of this reinsurance termination.</w:t>
      </w:r>
    </w:p>
    <w:p>
      <w:pPr>
        <w:spacing w:after="0" w:line="5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January 2017, the Company executed a novation and assignment of a reinsurance agreements under which MLIC reinsured certain variable annuities, including guaranteed minimum benefits, issued by Brighthouse Life Insurance Company of NY (“BHNY”) and New England Life Insurance Company (“NELICO”). As a result of the novation and assignment, the reinsurance agreement is now between Brighthouse Life Insurance Company and BHNY and NELICO. The transaction is treated as a termination of the existing reinsurance agreement with recognition of a loss and a new reinsurance agreement with no recognition of a gain or loss. The transaction resulted in an increase in other liabilities of $274 million. The Company recognized a loss of $178 million, net of income tax, as a result of this transaction.</w:t>
      </w:r>
    </w:p>
    <w:p>
      <w:pPr>
        <w:spacing w:after="0" w:line="85"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January 2017, MLIC recaptured risks related to guaranteed minimum benefits written by MLIC that were reinsured by the Company. This recapture resulted in a decrease in investments and cash and cash equivalents of $568 million, a decrease in future policy benefits of $106 million, and a decrease in policyholder account balances of $460 million. In June 2017, there was an adjustment to the recapture amounts of this transaction, which resulted in an increase in premiums, reinsurance and other receivables of $140 million at June 30, 2017. The Company recognized a gain of $89 million, net of income tax, as a result of this transaction.</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Arrangements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the Separation, the Company had collateral financing arrangements with MetLife that were used to support reinsurance obligations arising under previously affiliated reinsurance agreements. The Company recognized interest expense for such arrangements of $0 and $55 million for the three months and nine months ended September 30, 2017, respectively. These arrangements were terminated in April 2017.</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the Company had previously transferred invested assets, primarily consisting of fixed maturity securities, to and from former affiliates. See Note 4 for further discussion of the related party investment transactions.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MetLife provides the Company certain services, which include, but are not limited to, treasury, financial planning and analysis, legal, human resources, tax planning, internal audit, financial reporting, and information technology. The Company is charged for these services through a transition services agreement and allocated to the legal entities and products within the Company.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Costs incurred with MetLife prior to the MetLife Divestiture under these arrangements, that were considered related party expenses, were $0 and $186 million for the three months and nine months ended September 30, 2018, respectively, and $101 million and $296 million for the three months and nine months ended September 30, 2017, respectively, and were recorded in other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gridSpan w:val="3"/>
          </w:tcPr>
          <w:p>
            <w:pPr>
              <w:spacing w:after="0" w:line="170" w:lineRule="exact"/>
              <w:rPr>
                <w:rFonts w:ascii="Arial" w:cs="Arial" w:eastAsia="Arial" w:hAnsi="Arial"/>
                <w:sz w:val="18"/>
                <w:szCs w:val="18"/>
                <w:color w:val="0000EE"/>
              </w:rPr>
            </w:pPr>
            <w:hyperlink w:anchor="page65">
              <w:r>
                <w:rPr>
                  <w:rFonts w:ascii="Arial" w:cs="Arial" w:eastAsia="Arial" w:hAnsi="Arial"/>
                  <w:sz w:val="18"/>
                  <w:szCs w:val="18"/>
                  <w:color w:val="0000EE"/>
                </w:rPr>
                <w:t>Introduction</w:t>
              </w:r>
            </w:hyperlink>
          </w:p>
        </w:tc>
        <w:tc>
          <w:tcPr>
            <w:tcW w:w="3300" w:type="dxa"/>
            <w:vAlign w:val="bottom"/>
            <w:gridSpan w:val="9"/>
          </w:tcPr>
          <w:p>
            <w:pPr>
              <w:spacing w:after="0"/>
              <w:rPr>
                <w:sz w:val="16"/>
                <w:szCs w:val="16"/>
                <w:color w:val="auto"/>
              </w:rPr>
            </w:pPr>
          </w:p>
        </w:tc>
        <w:tc>
          <w:tcPr>
            <w:tcW w:w="6580" w:type="dxa"/>
            <w:vAlign w:val="bottom"/>
            <w:gridSpan w:val="4"/>
          </w:tcPr>
          <w:p>
            <w:pPr>
              <w:jc w:val="center"/>
              <w:ind w:left="6310"/>
              <w:spacing w:after="0" w:line="170"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64</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7"/>
        </w:trPr>
        <w:tc>
          <w:tcPr>
            <w:tcW w:w="82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1460" w:type="dxa"/>
            <w:vAlign w:val="bottom"/>
            <w:gridSpan w:val="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Executive Summary</w:t>
              </w:r>
            </w:hyperlink>
          </w:p>
        </w:tc>
        <w:tc>
          <w:tcPr>
            <w:tcW w:w="2980" w:type="dxa"/>
            <w:vAlign w:val="bottom"/>
            <w:gridSpan w:val="7"/>
          </w:tcPr>
          <w:p>
            <w:pPr>
              <w:spacing w:after="0"/>
              <w:rPr>
                <w:sz w:val="22"/>
                <w:szCs w:val="22"/>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Industry Trends</w:t>
              </w:r>
            </w:hyperlink>
          </w:p>
        </w:tc>
        <w:tc>
          <w:tcPr>
            <w:tcW w:w="320" w:type="dxa"/>
            <w:vAlign w:val="bottom"/>
            <w:gridSpan w:val="2"/>
          </w:tcPr>
          <w:p>
            <w:pPr>
              <w:spacing w:after="0"/>
              <w:rPr>
                <w:sz w:val="21"/>
                <w:szCs w:val="21"/>
                <w:color w:val="auto"/>
              </w:rPr>
            </w:pPr>
          </w:p>
        </w:tc>
        <w:tc>
          <w:tcPr>
            <w:tcW w:w="2980" w:type="dxa"/>
            <w:vAlign w:val="bottom"/>
            <w:gridSpan w:val="7"/>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440" w:type="dxa"/>
            <w:vAlign w:val="bottom"/>
            <w:gridSpan w:val="1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Summary of Critical Accounting Estimates</w:t>
              </w:r>
            </w:hyperlink>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220" w:type="dxa"/>
            <w:vAlign w:val="bottom"/>
            <w:gridSpan w:val="10"/>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Non-GAAP and Other Financial Disclosures</w:t>
              </w:r>
            </w:hyperlink>
          </w:p>
        </w:tc>
        <w:tc>
          <w:tcPr>
            <w:tcW w:w="1220" w:type="dxa"/>
            <w:vAlign w:val="bottom"/>
            <w:gridSpan w:val="2"/>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220" w:type="dxa"/>
            <w:vAlign w:val="bottom"/>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Segment Capital</w:t>
              </w:r>
            </w:hyperlink>
          </w:p>
        </w:tc>
        <w:tc>
          <w:tcPr>
            <w:tcW w:w="1220" w:type="dxa"/>
            <w:vAlign w:val="bottom"/>
            <w:gridSpan w:val="2"/>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6"/>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Results of Operations</w:t>
              </w:r>
            </w:hyperlink>
          </w:p>
        </w:tc>
        <w:tc>
          <w:tcPr>
            <w:tcW w:w="2880" w:type="dxa"/>
            <w:vAlign w:val="bottom"/>
            <w:gridSpan w:val="6"/>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Investments</w:t>
              </w:r>
            </w:hyperlink>
          </w:p>
        </w:tc>
        <w:tc>
          <w:tcPr>
            <w:tcW w:w="2880" w:type="dxa"/>
            <w:vAlign w:val="bottom"/>
            <w:gridSpan w:val="6"/>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color w:val="0000EE"/>
                <w:w w:val="87"/>
              </w:rPr>
            </w:pPr>
            <w:hyperlink w:anchor="page98">
              <w:r>
                <w:rPr>
                  <w:rFonts w:ascii="Arial" w:cs="Arial" w:eastAsia="Arial" w:hAnsi="Arial"/>
                  <w:sz w:val="18"/>
                  <w:szCs w:val="18"/>
                  <w:color w:val="0000EE"/>
                  <w:w w:val="87"/>
                </w:rPr>
                <w:t>Derivatives</w:t>
              </w:r>
            </w:hyperlink>
          </w:p>
        </w:tc>
        <w:tc>
          <w:tcPr>
            <w:tcW w:w="3620" w:type="dxa"/>
            <w:vAlign w:val="bottom"/>
            <w:gridSpan w:val="11"/>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Off Balance Sheet Arrangements</w:t>
              </w:r>
            </w:hyperlink>
          </w:p>
        </w:tc>
        <w:tc>
          <w:tcPr>
            <w:tcW w:w="2120" w:type="dxa"/>
            <w:vAlign w:val="bottom"/>
            <w:gridSpan w:val="4"/>
          </w:tcPr>
          <w:p>
            <w:pPr>
              <w:spacing w:after="0"/>
              <w:rPr>
                <w:sz w:val="21"/>
                <w:szCs w:val="21"/>
                <w:color w:val="auto"/>
              </w:rPr>
            </w:pPr>
          </w:p>
        </w:tc>
        <w:tc>
          <w:tcPr>
            <w:tcW w:w="6580" w:type="dxa"/>
            <w:vAlign w:val="bottom"/>
            <w:gridSpan w:val="4"/>
          </w:tcPr>
          <w:p>
            <w:pPr>
              <w:jc w:val="center"/>
              <w:ind w:left="631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168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Policyholder Liabilities</w:t>
              </w:r>
            </w:hyperlink>
          </w:p>
        </w:tc>
        <w:tc>
          <w:tcPr>
            <w:tcW w:w="2120" w:type="dxa"/>
            <w:vAlign w:val="bottom"/>
            <w:gridSpan w:val="4"/>
          </w:tcPr>
          <w:p>
            <w:pPr>
              <w:spacing w:after="0"/>
              <w:rPr>
                <w:sz w:val="21"/>
                <w:szCs w:val="21"/>
                <w:color w:val="auto"/>
              </w:rPr>
            </w:pPr>
          </w:p>
        </w:tc>
        <w:tc>
          <w:tcPr>
            <w:tcW w:w="6940" w:type="dxa"/>
            <w:vAlign w:val="bottom"/>
            <w:gridSpan w:val="6"/>
          </w:tcPr>
          <w:p>
            <w:pPr>
              <w:jc w:val="center"/>
              <w:ind w:left="5950"/>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20"/>
        </w:trPr>
        <w:tc>
          <w:tcPr>
            <w:tcW w:w="168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Liquidity and Capital Resources</w:t>
              </w:r>
            </w:hyperlink>
          </w:p>
        </w:tc>
        <w:tc>
          <w:tcPr>
            <w:tcW w:w="2120" w:type="dxa"/>
            <w:vAlign w:val="bottom"/>
            <w:gridSpan w:val="4"/>
          </w:tcPr>
          <w:p>
            <w:pPr>
              <w:spacing w:after="0"/>
              <w:rPr>
                <w:sz w:val="21"/>
                <w:szCs w:val="21"/>
                <w:color w:val="auto"/>
              </w:rPr>
            </w:pPr>
          </w:p>
        </w:tc>
        <w:tc>
          <w:tcPr>
            <w:tcW w:w="6940" w:type="dxa"/>
            <w:vAlign w:val="bottom"/>
            <w:gridSpan w:val="6"/>
          </w:tcPr>
          <w:p>
            <w:pPr>
              <w:jc w:val="center"/>
              <w:ind w:left="59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20"/>
        </w:trPr>
        <w:tc>
          <w:tcPr>
            <w:tcW w:w="2320" w:type="dxa"/>
            <w:vAlign w:val="bottom"/>
            <w:gridSpan w:val="8"/>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440" w:type="dxa"/>
            <w:vAlign w:val="bottom"/>
            <w:gridSpan w:val="12"/>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Note Regarding Forward-Looking Statements</w:t>
              </w:r>
            </w:hyperlink>
          </w:p>
        </w:tc>
        <w:tc>
          <w:tcPr>
            <w:tcW w:w="6620" w:type="dxa"/>
            <w:vAlign w:val="bottom"/>
            <w:gridSpan w:val="5"/>
          </w:tcPr>
          <w:p>
            <w:pPr>
              <w:jc w:val="center"/>
              <w:ind w:left="6270"/>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110</w:t>
              </w:r>
            </w:hyperlink>
          </w:p>
        </w:tc>
        <w:tc>
          <w:tcPr>
            <w:tcW w:w="320" w:type="dxa"/>
            <w:vAlign w:val="bottom"/>
          </w:tcPr>
          <w:p>
            <w:pPr>
              <w:spacing w:after="0"/>
              <w:rPr>
                <w:sz w:val="21"/>
                <w:szCs w:val="2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040" w:type="dxa"/>
            <w:vAlign w:val="bottom"/>
          </w:tcPr>
          <w:p>
            <w:pPr>
              <w:jc w:val="right"/>
              <w:ind w:right="463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purposes of this discussion, “Brighthouse,” the “Company,” “we,” “our” and “us” refer to Brighthouse Financial, Inc. a corporation incorporated in Delaware in 2016, and its subsidiaries. Brighthouse Financial, Inc. was formerly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w:t>
      </w:r>
    </w:p>
    <w:p>
      <w:pPr>
        <w:spacing w:after="0" w:line="2" w:lineRule="exact"/>
        <w:rPr>
          <w:sz w:val="20"/>
          <w:szCs w:val="20"/>
          <w:color w:val="auto"/>
        </w:rPr>
      </w:pPr>
    </w:p>
    <w:p>
      <w:pPr>
        <w:jc w:val="both"/>
        <w:ind w:firstLine="8"/>
        <w:spacing w:after="0" w:line="253" w:lineRule="auto"/>
        <w:tabs>
          <w:tab w:leader="none" w:pos="2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unaudited interim condensed consolidated financial statements and related notes included elsewhere herein; (ii) our Annual Report on Form 10-K for the year ended December 31, 2017, filed with the U.S. Securities and Exchange Commission (“SEC”) on March 16, 2018 (the “2017 Annual Report”); (iii) our Quarterly Report on Form 10-Q for the quarter ended March 31, 2018 (the “First Quarter Form 10-Q”) filed with the SEC on May 9, 2018; (iv) our Quarterly Report on Form 10-Q for the quarter ended June 30, 2018 (the “Second Quarter Form 10-Q”) filed with the SEC on August 7, 2018; and (v) our current reports on Form 8-K filed in 2018.</w:t>
      </w:r>
    </w:p>
    <w:p>
      <w:pPr>
        <w:spacing w:after="0" w:line="1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term “Separation” refers to the separation of MetLife’s former Brighthouse Financial segment from MetLife’s other businesses and the creation of a separate, publicly traded company, Brighthouse Financial, Inc., to hold the assets (including the equity interests of certain former MetLife subsidiaries) and liabilities associated with MetLife’s former Brighthouse Financial segment from and after the Distribution; the term “Distribution” refers to the distribution on August 4, 2017 of 96,776,670, or 80.8%, of the 119,773,106 shares of Brighthouse Financial, Inc. common stock outstanding immediately prior to the Distribution date by MetLife, Inc. to shareholders of MetLife, Inc. as of the record date for the Distribution. The term “MetLife Divestiture” refers to the disposition by MetLife, Inc. on June 14, 2018 of all its remaining shares of Brighthouse Financial, Inc. common stock. Effective with the MetLife Divestiture, MetLife, Inc. and its subsidiaries and affiliates are no longer considered related parties to Brighthouse Financial, Inc. and its subsidiaries and affiliates.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 Summary” contains the following sub-sections: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“Overview” provides information regarding our business, segments and results as discussed in the Results of Operations.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“Background” presents details of the Company’s legal entity structure.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2017 Annual Report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8"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Certain amounts presented in prior periods within the foregoing discussions of our financial results have been reclassified to conform with the current year presentation.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a major provider of annuity products and life insurance in the United States through multiple independent distribution channels and marketing arrangements with a diverse network of distribution partners.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not included in the segments in Corporate &amp; Other.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 Executive Summary — Overview,” and “Business — Segments and Corporate &amp; Other” included in the 2017 Annual Report along with Note 2 of the Notes to the Interim Condensed Consolidated Financial Statements for further information on our segments and Corporate &amp; Other.</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presents a summary of our net income (loss) available to shareholders and adjusted earnings. For a detailed discussion of our results see “— Results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(393)</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80" w:type="dxa"/>
            <w:vAlign w:val="bottom"/>
          </w:tcPr>
          <w:p>
            <w:pPr>
              <w:spacing w:after="0"/>
              <w:rPr>
                <w:sz w:val="20"/>
                <w:szCs w:val="20"/>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653</w:t>
            </w:r>
          </w:p>
        </w:tc>
      </w:tr>
      <w:tr>
        <w:trPr>
          <w:trHeight w:val="3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1,322</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80" w:type="dxa"/>
            <w:vAlign w:val="bottom"/>
          </w:tcPr>
          <w:p>
            <w:pPr>
              <w:spacing w:after="0"/>
              <w:rPr>
                <w:sz w:val="20"/>
                <w:szCs w:val="20"/>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1,394</w:t>
            </w:r>
          </w:p>
        </w:tc>
      </w:tr>
      <w:tr>
        <w:trPr>
          <w:trHeight w:val="3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three months ended September 30, 2018, we had a net loss available to shareholders of $271 million and adjusted earnings of $270 million, compared to a net loss available to shareholders of $943 million and adjusted earnings of ($676) million for the three months ended September 30, 2017. The net loss available to shareholders for the three months ended September 30, 2018 was driven primarily by net derivative losses resulting from changes in connection with the annual actuarial review in our variable annuity business, as well as market impacts on our structured annuities, embedded derivatives and freestanding interest rate derivatives. The net loss available to shareholders for the three months ended September 30, 2017 resulted from a non-cash tax charge in connection with the Separation. For the nine months ended September 30, 2018, we had a net loss available to shareholders of $577 million and adjusted earnings of $706 million, compared to a net loss available to shareholders of $1.0 billion and adjusted earnings of ($72) million for the nine months ended September 30, 2017. The net loss available to shareholders for the nine months ended September 30, 2018 was driven primarily by net derivative losses resulting from changes in connection with the annual actuarial review in our variable annuity business as well as market impacts on our structured annuities, embedded derivatives and freestanding interest rate derivatives. The net loss available to shareholders for the nine months ended September 30, 2017 resulted primarily from a non-cash tax charge in connection with the Separation combined with equity hedge losses in our variable annuity exposure management program from higher equity markets.</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Interim Condensed Consolidated Financial Statements for information regarding the adoption of new accounting pronouncements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In addition to Brighthouse Financial, Inc., the companies and businesses included in the results of operations, financial condition and cash flows are:</w:t>
      </w:r>
    </w:p>
    <w:p>
      <w:pPr>
        <w:spacing w:after="0" w:line="127"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Brighthouse Life Insurance Company (together with its subsidiaries and affiliates, “BLIC”), formerly MetLife Insurance Company USA, our largest insurance operating entity, domiciled in Delaware and licensed to write business in 49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50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Brighthouse Life Insurance Company of NY (“BHNY”), formerly First MetLife Investors Insurance Company, domiciled in New York and licensed to write business in New York, which is a subsidiary of Brighthouse Life Insurance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single reinsurance company licensed in Delaware, which is a subsidiary of Brighthouse Life Insurance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Brighthouse Investment Advisers, LLC, formerly MetLife Advisers, LLC, serving as investment advisor to certain proprietary mutual funds that are underlying investments under our and MetLife’s variable insurance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Brighthouse Services, LLC, an internal services and payroll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Brighthouse Securities, LLC, registered as a broker-dealer with the SEC, approved as a member of the Financial Industry Regulatory Authority, Inc. (“FINRA”) and registered as a broker-dealer and licensed as an insurance agency in all required states;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Brighthouse Holdings, LLC (“BH Holdings”), a wholly-owned holding company subsidiary of Brighthouse Financial, Inc., domiciled in Delaware.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2017 Annual Report, as amended or supplemented by such information in the First Quarter Form 10-Q and the Second Quarter Form 10-Q in “Management’s Discussion and Analysis of Financial Condition and Results of Operations — Industry Trends”,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Capital Reform</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support our variable annuity contracts with assets which are $2.0 billion to $3.0 billion in excess of the amount of assets required under CTE95 (defined as the amount of assets required to satisfy contract holder obligations across market environments in the average of the worst five percent of 1,000 capital market scenarios over the life of the contracts (“CTE95”)); see “Business — Risk Management Strategies — Variable Annuity Statutory Reserving Requirements and Exposure Management” in our 2017 Annual Report. At September 30, 2018, we had in excess of $600 million of assets above CTE98 (defined as the amount of assets required to satisfy contract holder obligations across market environments in the average of the worst two percent of 1,000 capital market scenarios over the life of the contracts (“CTE98”)) to support our variable annuity contracts.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7, 2018, the National Association of Insurance Commissioners (the “NAIC”) approved the framework for variable annuity reserve and capital reform, which includes modifications to the calculation of risk-based capital (“RBC”). Various NAIC committees will now begin the process of clarifying certain implementation guidelines. The effective date of the reform is January 1, 2020. For capital management purposes and our CTE95 and CTE98 calculations, we have incorporated the new framework, including the equity and interest rate scenarios and behavioral assumptions, in our 2018 annual actuarial review process in the third quarter of 2018. We expect to continue to support our variable annuity contracts with assets which are $2.0 billion to $3.0 billion in excess of the amount of assets required under CTE95, which we expect will be above CTE98. For statutory reporting purposes, we will incorporate the new framework when permitted, which is expected to be either in 2019 through early adoption or by the effective date in 2020. It is not possible at this time to predict the extent to which the new framework would impact the effectiveness and design of our risk mitigation and hedging programs, and our historical estimates of the sensitivity of our variable annuity cash flows to capital market changes do not reflect the impact of variable annuity capital reform or the reduction in the federal corporate income tax rate pursuant to the Tax Cuts and Jobs Act (the “Tax Act”). See “Management’s Discussion and Analysis of Financial Condition and Results of Operations — Industry Trends — Regulatory Developments — NAIC” in the Second Quarter 10-Q.</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financial statements are subject to the application of GAAP, which is periodically revised by the Financial Accounting Standards Board (“FASB”).</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FASB exposed several proposed amendments to the accounting for long-duration insurance contracts in 2016, and on August 15, 2018 issued a final accounting standards update (“ASU”) effective January 1, 2021. The ASU will result in significant changes to the accounting for long-duration insurance contracts, including a requirement for all guarantees associated with our variable annuity business to be measured at fair value. The Company is in the early stages of evaluating the new guidance and therefore is unable to estimate the impact to its financial statements. The ASU could result in a material adverse effect on our stockholders’ equity and results of operations, including our net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capitalization and amortization of deferred policy acquisition costs (“DAC”) and the establishment and amortization of value of business acquired (“VOBA”);</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above critical accounting estimates are described in “Management’s Discussion and Analysis of Financial Condition and Results of Operations — Summary of Critical Accounting Estimates” and Note 1 of the Notes to the Consolidated and Combined Financial Statements included in the 2017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this report, we present adjusted earnings, which excludes net income (loss) attributable to noncontrolling interests,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(i) the impact of market volatility, which could distort trends, and (ii) businesses that have been or will be sold or exited by us, referred to as divested businesses.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tax impact of the adjustments mentioned is calculated net of the U.S. statutory tax rate, which could differ from our effective tax rate.</w:t>
      </w:r>
    </w:p>
    <w:p>
      <w:pPr>
        <w:spacing w:after="0" w:line="11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80" w:type="dxa"/>
            <w:vAlign w:val="bottom"/>
            <w:tcBorders>
              <w:bottom w:val="single" w:sz="8" w:color="CCEEFF"/>
            </w:tcBorders>
            <w:shd w:val="clear" w:color="auto" w:fill="CCEEFF"/>
          </w:tcPr>
          <w:p>
            <w:pPr>
              <w:jc w:val="right"/>
              <w:ind w:right="4590"/>
              <w:spacing w:after="0"/>
              <w:rPr>
                <w:sz w:val="20"/>
                <w:szCs w:val="20"/>
                <w:color w:val="auto"/>
              </w:rPr>
            </w:pPr>
            <w:r>
              <w:rPr>
                <w:rFonts w:ascii="Arial" w:cs="Arial" w:eastAsia="Arial" w:hAnsi="Arial"/>
                <w:sz w:val="16"/>
                <w:szCs w:val="16"/>
                <w:b w:val="1"/>
                <w:bCs w:val="1"/>
                <w:color w:val="auto"/>
              </w:rPr>
              <w:t>How Derived from GAAP (1)</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and (b) GMIB Fees) plus </w:t>
            </w:r>
            <w:r>
              <w:rPr>
                <w:rFonts w:ascii="Arial" w:cs="Arial" w:eastAsia="Arial" w:hAnsi="Arial"/>
                <w:sz w:val="18"/>
                <w:szCs w:val="18"/>
                <w:i w:val="1"/>
                <w:iCs w:val="1"/>
                <w:color w:val="auto"/>
              </w:rPr>
              <w:t>Other revenues</w:t>
            </w:r>
            <w:r>
              <w:rPr>
                <w:rFonts w:ascii="Arial" w:cs="Arial" w:eastAsia="Arial" w:hAnsi="Arial"/>
                <w:sz w:val="18"/>
                <w:szCs w:val="18"/>
                <w:color w:val="auto"/>
              </w:rPr>
              <w:t xml:space="preserve"> (excluding other revenues associated with</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(excluding securitization entities income) plus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Hedge Adjustments and interest received on ceded fixed annuity reinsurance deposit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funds reduced by </w:t>
            </w:r>
            <w:r>
              <w:rPr>
                <w:rFonts w:ascii="Arial" w:cs="Arial" w:eastAsia="Arial" w:hAnsi="Arial"/>
                <w:sz w:val="18"/>
                <w:szCs w:val="18"/>
                <w:i w:val="1"/>
                <w:iCs w:val="1"/>
                <w:color w:val="auto"/>
              </w:rPr>
              <w:t>Interest credited to policyholder account balances</w:t>
            </w:r>
            <w:r>
              <w:rPr>
                <w:rFonts w:ascii="Arial" w:cs="Arial" w:eastAsia="Arial" w:hAnsi="Arial"/>
                <w:sz w:val="18"/>
                <w:szCs w:val="18"/>
                <w:color w:val="auto"/>
              </w:rPr>
              <w:t xml:space="preserve"> and interest on</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future policy benefits.</w:t>
            </w: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of deferred gain on reinsurance) plus the pass 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 Amortization of DAC and VOBA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jc w:val="right"/>
              <w:ind w:right="1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 and securitization entities expense.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and excluding the incremental net investment income of consolidated securitization entities (“CSEs”). For a reconciliation of adjusted net investment income to net investment income, the most directly comparable GAAP measure,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please see footnote 3 to the summary yield table located in “— Investments — Current Environment — Investment Portfolio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660" w:hanging="328"/>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 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8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Allocated equity is the portion of common stockholders’ equity that management allocated to each of its segments prior to 2018. See “— Segment Capital” and Note 2 of the Notes to the Interim Condensed Consolidated Financial Statements for further information.</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collateral received from derivative counterparties and the effects of consolidating under GAAP certain variable interest entities (“VIEs”) that are treated as CSEs.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Capital</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Beginning in the first quarter of 2018, we changed the methodology for how capital is allocated to segments and, in some cases, products. Segment investment and capitalization targets are now based on statutory oriented risk principles and metrics. Segment invested assets backing liabilities are based on net statutory liabilities plus excess capital. For our variable annuity business, the excess capital held is based on the target statutory total asset requirement consistent with our variable annuity risk management strategy discussed in the 2017 Annual Report. For insurance businesses other than variable annuities, excess capital held is based on a percentage of required statutory RBC. Assets in excess of those allocated to the segments, if any, are held in Corporate &amp; Other. Segment net investment income reflects the performance of each segment’s respective invested assets.</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refer to this change in methodology as the “Portfolio Realignment.” While this change had no effect on our consolidated net income (loss) or adjusted earnings, it did, and we expect will continue to, impact segment results. Prior period segment results were not recast for this change in methodology as the inventory of assets has changed over time. Therefore, it is not reasonably possible to replicate the asset transfers as of prior periods and estimating such would not provide a meaningful comparison. In the future, management will evaluate, on a periodic basis, the excess capital held by each segment and may rebalance or move capital between segments based on market changes or changes in our statutory metrics.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Previously, invested assets held in the segments were based on net GAAP liabilities. Excess capital was retained in Corporate &amp; Other and allocated to segments based on an internally developed statistics based capital model intended to capture the material risks to which we were exposed (referred to as “allocated equity”). Surplus assets in excess of the combined allocations to the segments were held in Corporate &amp; Other with net investment income being credited back to the segments at a predetermined rate. Any excess or shortfall in net investment income from surplus assets was recognized in Corporate &amp; Other.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is responsible for the periodic review and enhancement of the capital allocation model to ensure it remains consistent with the Company’s overall objectives and emerging industry practices.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Review</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Generally, in the third quarter of each year we conduct an annual actuarial review (“AAR”). As a result of the 2017 AAR related to our variable annuity business, we made certain changes to policyholder behavior, harmonized models and assumptions between GAAP and statutory and reflected Brighthouse specific variables after the completion of the Separation from our former parent.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2018 AAR for our variable annuity business reflected the alignment to the statutory variable annuity capital reform framework. See “— Industry Trends — Variable Annuity Capital Reform.” These changes included lower lapse and utilization assumptions, consistent with updated Brighthouse policyholder experience and industry participants, as well as updates to the equity market scenario generator as reflected in the framework. We also updated the tax rate to reflect the statutory rate change due to the Tax Act. In our life business, we updated assumptions related to market returns, policyholder behavior and expenses.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impact on pre-tax adjusted earnings and net income (loss) before provision for income tax from the AAR’s for the nine months ended September 30, 2018 and 2017. The impact related to guaranteed minimum living benefits (“GMLBs”) is included in net income (loss), but is not included in pre-tax adjusted earnings. See “— Non-GAAP and Other Financial Disclosures.”</w:t>
      </w:r>
    </w:p>
    <w:p>
      <w:pPr>
        <w:spacing w:after="0" w:line="227"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9584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5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20"/>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color w:val="auto"/>
              </w:rPr>
              <w:t>Included in pre-tax adjusted earnings:</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7"/>
        </w:trPr>
        <w:tc>
          <w:tcPr>
            <w:tcW w:w="6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annuity business</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r>
      <w:tr>
        <w:trPr>
          <w:trHeight w:val="237"/>
        </w:trPr>
        <w:tc>
          <w:tcPr>
            <w:tcW w:w="6760" w:type="dxa"/>
            <w:vAlign w:val="bottom"/>
          </w:tcPr>
          <w:p>
            <w:pPr>
              <w:ind w:left="200"/>
              <w:spacing w:after="0"/>
              <w:rPr>
                <w:sz w:val="20"/>
                <w:szCs w:val="20"/>
                <w:color w:val="auto"/>
              </w:rPr>
            </w:pPr>
            <w:r>
              <w:rPr>
                <w:rFonts w:ascii="Arial" w:cs="Arial" w:eastAsia="Arial" w:hAnsi="Arial"/>
                <w:sz w:val="16"/>
                <w:szCs w:val="16"/>
                <w:color w:val="auto"/>
              </w:rPr>
              <w:t>Life business</w:t>
            </w:r>
          </w:p>
        </w:tc>
        <w:tc>
          <w:tcPr>
            <w:tcW w:w="15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Run-off</w:t>
            </w:r>
          </w:p>
        </w:tc>
        <w:tc>
          <w:tcPr>
            <w:tcW w:w="15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17"/>
        </w:trPr>
        <w:tc>
          <w:tcPr>
            <w:tcW w:w="6760" w:type="dxa"/>
            <w:vAlign w:val="bottom"/>
          </w:tcPr>
          <w:p>
            <w:pPr>
              <w:ind w:left="40"/>
              <w:spacing w:after="0"/>
              <w:rPr>
                <w:sz w:val="20"/>
                <w:szCs w:val="20"/>
                <w:color w:val="auto"/>
              </w:rPr>
            </w:pPr>
            <w:r>
              <w:rPr>
                <w:rFonts w:ascii="Arial" w:cs="Arial" w:eastAsia="Arial" w:hAnsi="Arial"/>
                <w:sz w:val="16"/>
                <w:szCs w:val="16"/>
                <w:color w:val="auto"/>
              </w:rPr>
              <w:t>Total included in pre-tax adjusted earnings</w:t>
            </w:r>
          </w:p>
        </w:tc>
        <w:tc>
          <w:tcPr>
            <w:tcW w:w="1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w:t>
            </w:r>
          </w:p>
        </w:tc>
      </w:tr>
      <w:tr>
        <w:trPr>
          <w:trHeight w:val="33"/>
        </w:trPr>
        <w:tc>
          <w:tcPr>
            <w:tcW w:w="67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impact on net income (loss) available to common shareholders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2018 and 2017</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We continue to evaluate our product offerings with the goal to provide new products that are simpler, more transparent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value to our advisors, clients and shareholders. New business efforts in both 2017 and 2018 centered on the sale of our suite of structured annuities consisting of products marketed under various names (collectively, “Shield Annuities”), which increased 33% and 38% compared to the three and nine months ending September 30, 2017, respectively. In addition, as part of our distribution agreement with Massachusetts Mutual Life Insurance Company (“MassMutual”), we launched a new fixed index annuity product in the second half of 2017.</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6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Premiums</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20"/>
                <w:szCs w:val="20"/>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853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1,422</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822</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Capitalization of DAC</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DAC and VOBA</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1,790</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5,737</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w:t>
            </w:r>
          </w:p>
        </w:tc>
        <w:tc>
          <w:tcPr>
            <w:tcW w:w="1000" w:type="dxa"/>
            <w:vAlign w:val="bottom"/>
            <w:vMerge w:val="restart"/>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common shareholders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shows the components of net income (loss) available to shareholders, in addition to pre-tax adjusted earnings.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4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derivative instruments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00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available to shareholders before provision for</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6"/>
        </w:trPr>
        <w:tc>
          <w:tcPr>
            <w:tcW w:w="470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653</w:t>
            </w:r>
          </w:p>
        </w:tc>
      </w:tr>
      <w:tr>
        <w:trPr>
          <w:trHeight w:val="217"/>
        </w:trPr>
        <w:tc>
          <w:tcPr>
            <w:tcW w:w="470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100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Pr>
          <w:p>
            <w:pPr>
              <w:spacing w:after="0"/>
              <w:rPr>
                <w:sz w:val="18"/>
                <w:szCs w:val="18"/>
                <w:color w:val="auto"/>
              </w:rPr>
            </w:pPr>
          </w:p>
        </w:tc>
        <w:tc>
          <w:tcPr>
            <w:tcW w:w="106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(1,046)</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Overview</w:t>
      </w:r>
      <w:r>
        <w:rPr>
          <w:rFonts w:ascii="Arial" w:cs="Arial" w:eastAsia="Arial" w:hAnsi="Arial"/>
          <w:sz w:val="16"/>
          <w:szCs w:val="16"/>
          <w:color w:val="auto"/>
        </w:rPr>
        <w:t>. We had a higher pre-tax net loss in the current period of $246 million, driven primarily by a decline in pre-tax adjusted earnings,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unfavorable changes in net investment gains (losses) and other derivative instruments. These changes were partially offset by favorable changes in GMLB Riders. Our net loss was lower by $672 million primarily due to a non-cash tax charge in connection with the Separation recognized in the prior period.</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GMLB Riders. </w:t>
      </w:r>
      <w:r>
        <w:rPr>
          <w:rFonts w:ascii="Arial" w:cs="Arial" w:eastAsia="Arial" w:hAnsi="Arial"/>
          <w:sz w:val="17"/>
          <w:szCs w:val="17"/>
          <w:color w:val="auto"/>
        </w:rPr>
        <w:t>Results from GMLB Riders reflect (i) changes in the carrying value of GMLB liabilities, including GMIBs, GMWBs, and guaranteed</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accumulation benefits (“GMABs”); (ii) changes in the fair value of the hedges and reinsurance of GMLB liabilities; (iii) the fees earned from GMLB liabilities; and (iv) the related DAC and VOBA amortization offsets to certain of the preceding components (collectively, “GMLB Riders”).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GMLB Riders had a favorable impact on comparative results of $56 million as favorable changes from the hedging program and DAC offsets were partially offset by unfavorable changes in the GMLB liabilities. For a detailed discussion of GMLB Riders, see “— GMLB Riders — Three Months Ended September 30, 2018 Compared with the Three Months Ended September 30, 2017.”</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GMLB Riders,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changes in fair value are recognized in net derivative gains (losses). Changes in the fair value of other derivative instruments had an unfavorable impact on comparative results of $30 million.</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had an unfavorable impact on comparative results of $30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changes in interest rates on the fair value of our interest rate swaps.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Embedded derivatives were largely unchanged compared to the prior period.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had an unfavorable impact on comparative results of $63 million, primarily due to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net losses on sales of U.S. Treasuries due to portfolio repositioning actions.</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Other Adjustments. </w:t>
      </w:r>
      <w:r>
        <w:rPr>
          <w:rFonts w:ascii="Arial" w:cs="Arial" w:eastAsia="Arial" w:hAnsi="Arial"/>
          <w:sz w:val="16"/>
          <w:szCs w:val="16"/>
          <w:color w:val="auto"/>
        </w:rPr>
        <w:t>Other adjustments to determine adjusted earnings had an unfavorable impact on comparative results of $17 million,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lower policyholder benefits and claims resulting from the adjustment for market performance related to participating products in our Run-off segment.</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Pre-tax Adjusted Earnings</w:t>
      </w:r>
      <w:r>
        <w:rPr>
          <w:rFonts w:ascii="Arial" w:cs="Arial" w:eastAsia="Arial" w:hAnsi="Arial"/>
          <w:sz w:val="18"/>
          <w:szCs w:val="18"/>
          <w:color w:val="auto"/>
        </w:rPr>
        <w:t>. Pre-tax adjusted earnings, less net income attributable to noncontrolling interests, decreased $192 million (increased $946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net of income tax) for the three months ended September 30, 2018, compared to the prior period. Adjusted earnings are discussed in greater detail below.</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September 30, 2018 was $99 million, or 27% of net income (loss)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shareholders before provision for income tax, compared to income tax expense of $819 million, for the three months ended September 30, 2017. Our effective tax rates typically differ from the U.S. statutory rates primarily due to the impacts of the dividend received deductions and utilization of tax credits. The inclusion of the non-cash tax charge in connection with the Separation recognized in the prior period resulted in an effective tax rate percentage that is not meaningful for comparison purposes and accordingly has not been included.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We had a higher pre-tax loss in the current period of $410 million, driven primarily by (i) a decline in pre-tax adjusted earnings, (ii) net</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changes in other derivative instruments and (iii) unfavorable net investment losses. These changes were partially offset by net favorable changes in GMLB Riders and favorable changes related to market value adjustments for participating products. Our net loss was lower by $469 million, primarily due to a non-cash tax charge in connection with the Separation recognized in the prior period.</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GMLB Riders had a favorable impact on comparative results of $499 million as favorable changes from the hedging program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unfavorable changes in the GMLB Riders liabilities as well as the DAC offsets. For a detailed discussion of GMLB Riders see “— GMLB Riders — Nine Months Ended September 30, 2018 Compared with the Nine Months Ended September 30, 2017.”</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Changes in the fair value of other derivative instruments had an unfavorable impact on comparative results of $402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had an unfavorable impact on comparative results of $597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changes in interest rates on the fair value of our interest rate swaps.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Changes in the fair value of embedded derivatives had a favorable impact on comparative results of $195 million,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unfavorable mark-to-market adjustments in the prior period on our Shield Annuities liabilities from an increase in underlying equity index levels. In connection with the transition to our new variable annuity hedging program, changes in the fair value of the Shield Annuities liabilities are included in the hedging program component of GMLB Riders beginning in the third quarter of 2017 on a prospective basis.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had an unfavorable impact on comparative results of $87 million,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period net losses on sales of U.S. Treasuries due to portfolio repositioning actions and higher current period net losses on commercial mortgage loans. These unfavorable impacts were partially offset by higher current period net gains on real estate joint ventures and prior period net losses on disposals of other limited partnership interests.</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Adjustments. </w:t>
      </w:r>
      <w:r>
        <w:rPr>
          <w:rFonts w:ascii="Arial" w:cs="Arial" w:eastAsia="Arial" w:hAnsi="Arial"/>
          <w:sz w:val="17"/>
          <w:szCs w:val="17"/>
          <w:color w:val="auto"/>
        </w:rPr>
        <w:t>Other adjustments to determine adjusted earnings had a favorable impact on comparative results of $83 million,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lower policyholder benefits and claims resulting from the adjustment for market performance related to participating products in our Run-off segment.</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Pre-tax Adjusted Earnings</w:t>
      </w:r>
      <w:r>
        <w:rPr>
          <w:rFonts w:ascii="Arial" w:cs="Arial" w:eastAsia="Arial" w:hAnsi="Arial"/>
          <w:sz w:val="18"/>
          <w:szCs w:val="18"/>
          <w:color w:val="auto"/>
        </w:rPr>
        <w:t>. Pre-tax adjusted earnings, less net income attributable to noncontrolling interests, decreased $503 million (increased $778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net of income tax) for the nine months ended September 30, 2018, compared to the prior period. Adjusted earnings are discussed in greater detail below.</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nine months ended September 30, 2018 was $226 million, or 28% of net income (loss)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shareholders before provision for income tax, compared to income tax expense of $653 million for the nine months ended September 30, 2017. Our effective tax rates typically differ from the U.S. statutory rates primarily due to the impacts of the dividend received deductions and utilization of tax credits. The inclusion of the non-cash tax charge in connection with the Separation recognized in the prior period resulted in an effective tax rate percentage that is not meaningful for comparison purposes and accordingly has not been included.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14"/>
                <w:szCs w:val="1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Three Months Ended September 30, 2017</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24"/>
                <w:szCs w:val="2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24"/>
                <w:szCs w:val="2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14"/>
                <w:szCs w:val="1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w w:val="97"/>
              </w:rPr>
              <w:t>Pre-tax adjusted earnings, less net income attributable to noncontrolling interests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Nine Months Ended September 30, 2017</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4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Annuities</w:t>
            </w:r>
          </w:p>
        </w:tc>
        <w:tc>
          <w:tcPr>
            <w:tcW w:w="200" w:type="dxa"/>
            <w:vAlign w:val="bottom"/>
          </w:tcPr>
          <w:p>
            <w:pPr>
              <w:spacing w:after="0"/>
              <w:rPr>
                <w:sz w:val="24"/>
                <w:szCs w:val="2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w w:val="97"/>
              </w:rPr>
              <w:t>Pre-tax adjusted earnings, less net income attributable to noncontrolling interests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2018 and 2017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8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gridSpan w:val="3"/>
          </w:tcPr>
          <w:p>
            <w:pPr>
              <w:jc w:val="right"/>
              <w:ind w:right="463"/>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1,014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3,040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3,052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1,037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984</w:t>
            </w: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(1,786)</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860" w:type="dxa"/>
            <w:vAlign w:val="bottom"/>
          </w:tcPr>
          <w:p>
            <w:pPr>
              <w:spacing w:after="0"/>
              <w:rPr>
                <w:sz w:val="19"/>
                <w:szCs w:val="19"/>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56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3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1,322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1,180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1,394</w:t>
            </w: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increased $946 million, due to lower income tax expenses and higher net investment spread. These increases were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(i) higher amortization of DAC and VOBA, (ii) higher costs from insurance-related activities and (iii) lower fee income.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decreased $36 million, primarily due to the unfavorable impacts from the AAR in our Life and Run-off segments,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favorable impact of lower ceded fees in our Run-off segment.</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increased $64 million, primarily due to (i) repositioning a portion of our portfolio into higher yielding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(ii) higher interest rates and (iii) an increase in average invested assets resulting from positive net flows in the general account. This increase was partially offset by lower derivatives income driven by the termination of interest rate swaps.</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Insurance-Related Activities. </w:t>
      </w:r>
      <w:r>
        <w:rPr>
          <w:rFonts w:ascii="Arial" w:cs="Arial" w:eastAsia="Arial" w:hAnsi="Arial"/>
          <w:sz w:val="17"/>
          <w:szCs w:val="17"/>
          <w:color w:val="auto"/>
        </w:rPr>
        <w:t>Net costs from insurance-related activities increased $57 million, primarily due to net unfavorable impacts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recapture of reinsurance agreements in our Run-off and Life segments, as well as net unfavorable underwriting in our universal life with secondary guarantees (“ULSG”) business. These unfavorable impacts were partially offset by lower reserves in our Annuity segment resulting from the AAR.</w:t>
      </w:r>
    </w:p>
    <w:p>
      <w:pPr>
        <w:spacing w:after="0" w:line="5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Amortization of DAC and VOBA. </w:t>
      </w:r>
      <w:r>
        <w:rPr>
          <w:rFonts w:ascii="Arial" w:cs="Arial" w:eastAsia="Arial" w:hAnsi="Arial"/>
          <w:sz w:val="17"/>
          <w:szCs w:val="17"/>
          <w:color w:val="auto"/>
        </w:rPr>
        <w:t>Amortization of DAC and VOBA had an unfavorable impact on comparative results of $139 million as higher</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 our Annuities segment was partially offset by lower amortization in our Life segment, both of which resulted from the AAR.</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$22 million, as higher expenses in Corporate &amp; Other and our Annuities segment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expenses in our Run-off segment.</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three months ended September 30, 2018 was $42 million, or 13% of pre-tax adjusted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less net income attributable to noncontrolling interests, compared to $1.2 billion for the three months ended September 30, 2017. In 2018, our effective tax rate reflects the impact of the Tax Act, which lowered the U.S. statutory rate however reduced the tax benefit for the dividend received deductions. In the prior period, we recognized a $1.1 billion non-cash tax charge in connection with the Separation. We also recognized a tax benefit in the prior period of $39 million related to the dividend received deductions and tax credits, as well as a downward adjustment of reserves by $19 million. These adjustments resulted in an effective tax rate percentage that is not meaningful for comparison purposes and accordingly has not been included.</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Adjusted earnings increased $778 million, primarily due to lower income tax expenses and higher net investment spread. These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were partially offset by (i) higher amortization of DAC and VOBA, (ii) higher expenses and (iii) higher costs from insurance-related activities.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was lower by $12 million, primarily due to decreases in our Annuities segment. Net decreases in our Life segment were mostly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increases in our Run-off segment and Corporate &amp;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increased $53 million, primarily from the repositioning of the investment portfolio into higher yielding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higher average invested assets resulting from positive net flows in the general account. These increases were partially offset by lower derivatives income driven by the termination of interest rate swaps.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Net costs from insurance-related activities increased $160 million, as increases in our Run-off segment were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decreased net costs in our Annuities and Life segments.</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Amortization of DAC and VOBA. </w:t>
      </w:r>
      <w:r>
        <w:rPr>
          <w:rFonts w:ascii="Arial" w:cs="Arial" w:eastAsia="Arial" w:hAnsi="Arial"/>
          <w:sz w:val="17"/>
          <w:szCs w:val="17"/>
          <w:color w:val="auto"/>
        </w:rPr>
        <w:t>Amortization of DAC and VOBA had an unfavorable impact on comparative results of $191 million as higher</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 our Annuities segment was partially offset by lower amortization in our Life segment, both of which resulted from the AAR.</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$188 million, as higher expenses in Corporate &amp; Other and our Annuities segment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expenses in our Run-off segment.</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for the nine months ended September 30, 2018 was $113 million, or 14% of pre-tax adjusted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less net income attributable to noncontrolling interests, compared to $1.4 billion for the nine months ended September 30, 2017. In 2018, our effective tax rate reflects the impact of the Tax Act, which lowered the U.S. statutory rate however reduced the tax benefit for the dividend received deductions. In the prior period, we recognized a $1.1 billion non-cash tax charge in connection with the Separation. We also recognized a tax benefit in the prior period of $117 million related to the dividend received deductions and tax credits, as well as a downward adjustment of reserves by $17 million. These adjustments resulted in an effective tax rate percentage that is not meaningful for comparison purposes and accordingly has not been included.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 and Corporate &amp; Other Results for the Three Months and Nine Months Ended September 30, 2018 and 2017 — Adjusted Earnings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Annuities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0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363</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1,111</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900" w:type="dxa"/>
            <w:vAlign w:val="bottom"/>
            <w:tcBorders>
              <w:top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809</w:t>
            </w:r>
          </w:p>
        </w:tc>
      </w:tr>
      <w:tr>
        <w:trPr>
          <w:trHeight w:val="33"/>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Separate account balances are driven by sales, market movements, withdrawals, surrenders, benefit payments, policy charges and transfers. Below is a rollforward of our variable annuities separate account balances. Variable annuities separate account balances decreased for the three months and nine months ended September 30, 2018 driven by negative net flows and policy charges, partially offset by increases from equity market performance.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104,649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107,603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109,888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104,855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964</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Withdrawals, surrenders and contract benefits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(7,096)</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Net flows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(6,132)</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performance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2,908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3,833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12,035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Policy charges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(1,986)</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transfers from (to) general account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Balance,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104,575</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108,729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104,575</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108,729</w:t>
            </w:r>
          </w:p>
        </w:tc>
      </w:tr>
      <w:tr>
        <w:trPr>
          <w:trHeight w:val="73"/>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78"/>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Average balance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105,208</w:t>
            </w:r>
          </w:p>
        </w:tc>
        <w:tc>
          <w:tcPr>
            <w:tcW w:w="120" w:type="dxa"/>
            <w:vAlign w:val="bottom"/>
          </w:tcPr>
          <w:p>
            <w:pPr>
              <w:spacing w:after="0"/>
              <w:rPr>
                <w:sz w:val="19"/>
                <w:szCs w:val="19"/>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108,121</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106,869</w:t>
            </w:r>
          </w:p>
        </w:tc>
        <w:tc>
          <w:tcPr>
            <w:tcW w:w="100" w:type="dxa"/>
            <w:vAlign w:val="bottom"/>
          </w:tcPr>
          <w:p>
            <w:pPr>
              <w:spacing w:after="0"/>
              <w:rPr>
                <w:sz w:val="19"/>
                <w:szCs w:val="19"/>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106,918</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increased $46 million, primarily driven by (i) lower net costs from insurance-related activities, (ii) higher net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spread and (iii) lower income tax expense. These favorable items were partially offset by higher amortization of DAC and VOBA.</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decreased slightly due to lower asset-based fees, consistent with the decrease in average separate account balances,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impact from an unfavorable AAR adjustment to unearned revenue in the prior period.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Net investment spread increased $90 million, primarily driven by (i) the net impact from the Portfolio Realignment, (ii)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repositioning of a portion of our portfolio into higher yielding assets, (iii) higher income on other limited partnership interests as a result of equity market performance and (iv) higher average invested assets resulting from positive net flows in the general account.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decreased $191 million, primarily due to a $258 million favorable change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lower GMDB costs driven by a decrease in liability balances resulting from the AAR. This decrease was partially offset by $68 million from a less favorable adjustment to deferred sales inducements from the AAR in the current period than in the prior period.</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had an unfavorable impact on comparative results of $268 million,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less favorable changes from the AAR in the current period than the prior period.</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Other Expenses, Net of DAC Capitalization. </w:t>
      </w:r>
      <w:r>
        <w:rPr>
          <w:rFonts w:ascii="Arial" w:cs="Arial" w:eastAsia="Arial" w:hAnsi="Arial"/>
          <w:sz w:val="16"/>
          <w:szCs w:val="16"/>
          <w:color w:val="auto"/>
        </w:rPr>
        <w:t>Expenses increased $10 million, primarily due to a favorable adjustment recognized in the prior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reallocation of corporate branding costs to Corporate &amp; Other as well as higher operating costs as a result of being a stand-alone company.</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September 30, 2018 was $86 million, or 18%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$133 million, or 27% of pre-tax adjusted earnings, for the three months ended September 30, 2017. Our effective tax rates in both periods differ from the U.S. statutory rates primarily due to the impacts of the dividend received deductions.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increased $39 million, primarily due to higher net investment spread and lower costs of insurance-related activities,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higher amortization of DAC and VOBA and higher expenses.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decreased $12 million, primarily due to a favorable adjustment recognized in the prior period related to the recapture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ceded and assumed variable annuity reinsurance agreements as well as lower asset-based fees in the current period resulting from lower average separate account balances. These decreases were partially offset by lower unfavorable impacts from AAR adjustments to unearned revenue in the current period than in the prior period.</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Net Investment Spread</w:t>
      </w:r>
      <w:r>
        <w:rPr>
          <w:rFonts w:ascii="Arial" w:cs="Arial" w:eastAsia="Arial" w:hAnsi="Arial"/>
          <w:sz w:val="17"/>
          <w:szCs w:val="17"/>
          <w:color w:val="auto"/>
        </w:rPr>
        <w:t>. Net investment spread increased $202 million, primarily due to higher net investment income driven by (i) the net impact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Portfolio Realignment, (ii) the repositioning of a portion of our portfolio into higher yielding assets, (iii) higher income on other limited partnership interests as a result of equity market performance and (iv) higher average invested assets resulting from positive net flows in the general account. These increases were partially offset by lower income on derivatives as a result of the termination of certain interest rate swaps.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decreased $152 million, primarily due to a $215 million favorable change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lower GMDB costs driven by a decrease in liability balances resulting from the AAR. This decrease was partially offset by a less favorable impact of $75 million from the AAR affecting deferred sales inducements.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had an unfavorable impact on comparative results of $329 million,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less favorable changes from the AAR in the current period than the prior period.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$99 million, primarily due to higher operating costs as a result of being a stand-alone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an increase in pass-through variable annuity expenses, partially offset by the impact of expenses incurred in the prior period related to reinsurance recapture activity. With respect to the pass-through variable annuity expenses, we had an increase of $79 million driven by Separation related changes to arrangements with third parties impacting the recognition of pass-through investment management and revenue sharing fees, most of which is offset in fee income.</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nine months ended September 30, 2018 was $177 million, or 17%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$302 million, or 27% of pre-tax adjusted earnings, for the nine months ended September 30, 2017. Our effective tax rates in both periods differ from the U.S. statutory rates primarily due to the impacts of the dividend received deductions.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Life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w w:val="98"/>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40" w:type="dxa"/>
            <w:vAlign w:val="bottom"/>
          </w:tcPr>
          <w:p>
            <w:pPr>
              <w:spacing w:after="0"/>
              <w:rPr>
                <w:sz w:val="20"/>
                <w:szCs w:val="20"/>
                <w:color w:val="auto"/>
              </w:rPr>
            </w:pP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80</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940" w:type="dxa"/>
            <w:vAlign w:val="bottom"/>
            <w:tcBorders>
              <w:top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5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Adjusted earnings increased $55 million, primarily due to lower amortization of DAC and VOBA and higher net investment spread,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fee income.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Fee income decreased $57 million, primarily from changes to assumptions regarding mortality and maintenance expenses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AAR.</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increased $31 million, primarily driven by an increase in income on fixed maturity securities and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due to the Portfolio Realignment.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Insurance-related activities had an unfavorable impact on comparative results of $12 million, primarily due to net</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underwriting experience as a result of reinsurance recapture activity.</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had a favorable impact on comparative results of $130 million, primarily from</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assumptions regarding mortality and maintenance expenses in connection with the AAR.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$6 million primarily due to a favorable adjustment recognized in the prior period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reallocation of corporate branding costs to Corporate &amp; Other.</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for the three months ended September 30, 2018 was $17 million, or 22% of adjusted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income tax, compared to a benefit of $14 million, or 175% of adjusted earnings before provision for income tax, for the three months ended September 30, 2017. Our effective tax rates typically differ from the U.S. statutory rates primarily due to the impacts of the dividend received deductions.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Adjusted earnings increased $153 million, primarily due to (i) lower amortization of DAC and VOBA, (ii) higher net investment spread and</w:t>
      </w:r>
      <w:r>
        <w:rPr>
          <w:rFonts w:ascii="Arial" w:cs="Arial" w:eastAsia="Arial" w:hAnsi="Arial"/>
          <w:sz w:val="18"/>
          <w:szCs w:val="18"/>
          <w:i w:val="1"/>
          <w:iCs w:val="1"/>
          <w:color w:val="auto"/>
        </w:rPr>
        <w:t xml:space="preserve"> </w:t>
      </w:r>
      <w:r>
        <w:rPr>
          <w:rFonts w:ascii="Arial" w:cs="Arial" w:eastAsia="Arial" w:hAnsi="Arial"/>
          <w:sz w:val="18"/>
          <w:szCs w:val="18"/>
          <w:color w:val="auto"/>
        </w:rPr>
        <w:t>(iii) favorable changes in insurance-related activities. These increases were partially offset by lower fee income.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Fee income decreased $54 million, primarily from favorable impacts recognized in the prior period related to changes in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mortality and maintenance expenses in connection with the AAR. This decrease was partially offset by lower ceded fees resulting from the recapture of various reinsurance agreements in both 2017 and 2018.</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increased $74 million, primarily driven by the Portfolio Realignment, which led to an increase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on fixed maturity securities and mortgage loans.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Insurance-related activities had a favorable impact on comparative results of $47 million, primarily due to the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in the current period from the yearly renewable term reinsurance recapture (the “YRT Recapture”) which occurred in the prior period, partially offset by net unfavorable mortality in the current period.</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Amortization of DAC and VOBA had a favorable impact on comparative results of $130 million,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adjustments recognized in the current period, compared to unfavorable adjustments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recognized in the prior period, related to changes in assumptions regarding mortality and maintenance expenses in connection with the AAR.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$8 million, primarily due to a charge recognized in the prior period for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allowances and the exit in the current period of various transition services agreements with MetLife. These decreases were partially offset by the higher costs as a result of being a stand-alone company.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nine months ended September 30, 2018 was $41 million, or 20% of adjusted earnings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compared to a benefit of $11 million for the nine months ended September 30, 2017. Our effective tax rates typically differ from the U.S. statutory rates primarily due to the impacts of the dividend received deductions.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Run-off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5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0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382</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0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900" w:type="dxa"/>
            <w:vAlign w:val="bottom"/>
            <w:tcBorders>
              <w:top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r>
      <w:tr>
        <w:trPr>
          <w:trHeight w:val="33"/>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$188 million, primarily due to higher net costs from insurance-related activities combined with lower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spread, partially offset by lower expenses and higher fee income.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$15 million, primarily due to lower ceded fees as a result of the recapture of various reinsurance agreements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This increase was partially offset by the impact from favorable changes recognized in the prior period related to assumptions regarding mortality and maintenance expenses in connection with the AAR.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$38 million, primarily driven by the Portfolio Realignment and lower income 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termination of certain interest rates swaps. These decreases were partially offset by higher income on other limited partnership interests resulting from an improvement in equity market performance.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$239 million, primarily due to</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$208 million unfavorable impact to life insurance reserves, mainly from the recapture of reinsurance agreements in the current period; and</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$46 million net unfavorable change related to assumptions regarding long-term asset growth rates, premium persistency, mortality and maintenance expenses in connection with the AAR; partially offset by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 million favorable mortality experience driven by lower net benefit costs in the current year.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$9 million, primarily due to lower costs related to reinsurance financing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terminated in the second quarter of 2017.</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September 30, 2018 was $29 million, or 22%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$36 million, or 30% of pre-tax adjusted earnings for the three months ended September 30, 2017. Our effective tax rates typically differ from the U.S. statutory rates primarily due to the impacts of the dividend received deductions.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Adjusted earnings decreased $245 million primarily due to higher net costs from insurance-related activities and lower net investment spread.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 (i) lower expenses, (ii) higher fee income and (iii) lower income taxes.</w:t>
      </w:r>
    </w:p>
    <w:p>
      <w:pPr>
        <w:spacing w:after="0" w:line="10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$45 million, primarily due to lower ceded fees as a result of the recapture of various reinsurance agreements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This increase was partially offset by the impact from a favorable adjustment recognized in the prior period from changes to assumptions regarding mortality and maintenance expenses in connection with the AAR.</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$102 million, primarily due to (i) the Portfolio Realignment, (ii) lower income 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termination of certain interest rates swaps and (iii) lower income from our securities lending program, resulting from a reduction in program size and lower margins due to the impact of a flatter yield curve. These decreases were partially offset by higher income on other limited partnership interests driven by an improvement in equity market performance.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$353 million, primarily due to:</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$164 million unfavorable impact to life insurance reserves, mainly from the recapture of reinsurance treaties in the current period;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$132 million unfavorable mortality experience driven by higher net benefit costs in the current year;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$46 million net unfavorable change related to assumptions regarding long-term asset growth rates, premium persistency, mortality and maintenance expenses in connection with the AAR.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$53 million, primarily due to (i) lower costs related to reinsurance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were terminated in the second quarter of 2017, (ii) allocation changes between segments and (iii) lower commissions.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benefit for the nine months ended September 30, 2018 was $18 million, or 23% of pre-tax adjusted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an income tax expense of $88 million, or 32% of pre-tax adjusted earnings for the nine months ended September 30, 2017. Our effective tax rates typically differ from the U.S. statutory rates primarily due to the impacts of the dividend received deductions.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Corporate &amp; Other: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8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0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159</w:t>
            </w:r>
          </w:p>
        </w:tc>
      </w:tr>
      <w:tr>
        <w:trPr>
          <w:trHeight w:val="33"/>
        </w:trPr>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90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Pre-tax adjusted earnings, less net income attributable to noncontrolling interests</w:t>
            </w:r>
          </w:p>
        </w:tc>
        <w:tc>
          <w:tcPr>
            <w:tcW w:w="9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1,015</w:t>
            </w:r>
          </w:p>
        </w:tc>
      </w:tr>
      <w:tr>
        <w:trPr>
          <w:trHeight w:val="33"/>
        </w:trPr>
        <w:tc>
          <w:tcPr>
            <w:tcW w:w="5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5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increased $1.0 billion, primarily due to a non-cash tax charge in connection with the Separation recognized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$10 million, primarily driven by a benefit in the current period related to Separation-related tax agreements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MetLife which was recognized in other revenue.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$19 million, primarily driven by the Portfolio Realignment.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$15 million, primarily due to higher establishment costs related to planned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branding investments. These increases were partially offset by an additional charge recognized in the prior period from changes in the allocation of branding costs.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September 30, 2018 was $32 million, or 27%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less net income attributable to noncontrolling interests, compared to a income tax expense of $1.0 billion for the three months ended September 30, 2017. In the prior period we recognized a $1.1 billion non-cash tax charge in connection the Separation and an additional tax charge of $8 million related to tax credits, as well as a downward adjustment of reserves by $20 million. These adjustments resulted in an effective tax rate percentage that is not meaningful for comparison purposes and accordingly has not been included.</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increased $831 million, primarily due to a non-cash tax charge in connection with the Separation recognized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$9 million, primarily driven by a benefit in the current period related to Separation related tax agreements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MetLife which was recognized in other revenue.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$121 million, primarily driven by the Portfolio Realignment combined with lower income on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from the termination of interest rate swaps.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$150 million, primarily due to higher establishment costs related to planned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branding investments, as well as higher interest on debt which was issued in the second quarter of 2017. These increases were partially offset by a charge in the prior period related to the sale of MPCG to MassMutual and lower letter of credit fees.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nine months ended September 30, 2018 was $87 million, or 26%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less net income attributable to noncontrolling interests, compared to income tax expense of $1.0 billion for the nine months ended September 30, 2017. Our effective tax rates typically differ from the U.S. statutory rates primarily due to the utilization of tax credits. In the prior period, we recognized a $1.1 billion non-cash tax charge in connection with the Separation and an additional tax charge of $20 million related to tax credits, as well as a downward adjustment of reserves by $17 million. These adjustments resulted in an effective tax rate percentage that is not meaningful for comparison purposes and accordingly has not been included.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6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Liabilities (1)</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Assumed Reinsurance Liabilities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Hedging Program (2)</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7"/>
        </w:trPr>
        <w:tc>
          <w:tcPr>
            <w:tcW w:w="4240" w:type="dxa"/>
            <w:vAlign w:val="bottom"/>
          </w:tcPr>
          <w:p>
            <w:pPr>
              <w:ind w:left="180"/>
              <w:spacing w:after="0"/>
              <w:rPr>
                <w:sz w:val="20"/>
                <w:szCs w:val="20"/>
                <w:color w:val="auto"/>
              </w:rPr>
            </w:pPr>
            <w:r>
              <w:rPr>
                <w:rFonts w:ascii="Arial" w:cs="Arial" w:eastAsia="Arial" w:hAnsi="Arial"/>
                <w:sz w:val="16"/>
                <w:szCs w:val="16"/>
                <w:color w:val="auto"/>
              </w:rPr>
              <w:t>Total Hedging Program and Reinsurance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Fees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Assumed Reinsurance Fees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Fees (3)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GMLB Riders before DAC Offsets</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Offsets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44"/>
        </w:trPr>
        <w:tc>
          <w:tcPr>
            <w:tcW w:w="424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changes in fair value of the Shield Annuities embedded derivatives of ($462) million and ($531) million for the three months and nine months ended September 30, 2018, respectively, and ($142) million for both the three months and nine months ended September 30, 2017.</w:t>
      </w:r>
    </w:p>
    <w:p>
      <w:pPr>
        <w:spacing w:after="0" w:line="38"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hedges of GMIB insurance liabilities were historically reported in policyholder benefits and claims. Amounts reported in policyholder benefits and claims were ($57) million and ($324) million for the three months and nine months ended September 30, 2017, respectively. Consistent with the hedge strategy now focused on a statutory target, with less emphasis on matching GAAP liabilities, all hedge program amounts are recorded in net derivative gains (losses) beginning in 2018.</w:t>
      </w:r>
    </w:p>
    <w:p>
      <w:pPr>
        <w:spacing w:after="0" w:line="78" w:lineRule="exact"/>
        <w:rPr>
          <w:rFonts w:ascii="Arial" w:cs="Arial" w:eastAsia="Arial" w:hAnsi="Arial"/>
          <w:sz w:val="18"/>
          <w:szCs w:val="18"/>
          <w:color w:val="auto"/>
        </w:rPr>
      </w:pPr>
    </w:p>
    <w:p>
      <w:pPr>
        <w:ind w:left="500" w:right="20" w:hanging="492"/>
        <w:spacing w:after="0" w:line="342"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living benefit fees, included as a component of adjusted earnings, of $18 million and $53 million for the three months and nine months ended September 30, 2018, respectively, and $18 million and $54 million for the three months and nine months ended September 30, 2017, respectively.</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2018 Compared with the Three Months Ended September 30, 2017</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Comparative results from GMLB Riders, before provision for income tax, were favorable by $56 million. Of this amount, an unfavorable change of $620 million was recorded in net derivative gains (losses).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GMLB Riders Liabilities. </w:t>
      </w:r>
      <w:r>
        <w:rPr>
          <w:rFonts w:ascii="Arial" w:cs="Arial" w:eastAsia="Arial" w:hAnsi="Arial"/>
          <w:sz w:val="16"/>
          <w:szCs w:val="16"/>
          <w:color w:val="auto"/>
        </w:rPr>
        <w:t>The change in the carrying value of GMLB Riders liabilities resulted in an unfavorable impact on comparative results of $366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primarily due to unfavorable changes from (i) an increase in reserves from the AAR recognized in the current period, compared to a decrease in the prior period, (ii) an unfavorable change in the fair value of our Shield Annuities embedded derivatives and (iii) a charge for non-performance risk, net of risk margins, in the current period. These unfavorable impacts were partially offset by favorable changes in equity markets and interest rates.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GMLB Riders Hedging Program and Reinsurance. </w:t>
      </w:r>
      <w:r>
        <w:rPr>
          <w:rFonts w:ascii="Arial" w:cs="Arial" w:eastAsia="Arial" w:hAnsi="Arial"/>
          <w:sz w:val="18"/>
          <w:szCs w:val="18"/>
          <w:color w:val="auto"/>
        </w:rPr>
        <w:t>The change in the fair value of GMLB Riders hedging program and reinsurance had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comparative results of $201 million, primarily due to relative changes in equity markets and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unchanged.</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which are inversely related to the changes in certain components of GMLB Riders discussed above, resulted in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comparative results of $226 million.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2018 Compared with the Nine Months Ended September 30, 2017</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Comparative results from GMLB Riders, before provision for income tax, were favorable by $499 million. Of this amount, a favorable change of $237 million was recorded in net derivative gains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GMLB Riders Liabilities. </w:t>
      </w:r>
      <w:r>
        <w:rPr>
          <w:rFonts w:ascii="Arial" w:cs="Arial" w:eastAsia="Arial" w:hAnsi="Arial"/>
          <w:sz w:val="18"/>
          <w:szCs w:val="18"/>
          <w:color w:val="auto"/>
        </w:rPr>
        <w:t>The change in the carrying value of GMLB Riders liabilities resulted in an unfavorable impact on comparative results of $316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due to unfavorable changes from an increase in reserves from the AAR recognized in the current period, compared to a decrease in the prior period, as well as an unfavorable change in the fair value of our Shield Annuities embedded derivatives. These unfavorable impacts were partially offset by favorable changes in equity markets and interest rates.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GMLB Riders Hedging Program and Reinsurance</w:t>
      </w:r>
      <w:r>
        <w:rPr>
          <w:rFonts w:ascii="Arial" w:cs="Arial" w:eastAsia="Arial" w:hAnsi="Arial"/>
          <w:sz w:val="17"/>
          <w:szCs w:val="17"/>
          <w:color w:val="auto"/>
        </w:rPr>
        <w:t>. The change in the fair value of GMLB Riders hedging program and reinsurance had a favorable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comparative results of $1.2 billion, primarily due to favorable changes from relative changes in equity markets and interest rates as well as a net charge recognized in the prior period in connection with the recapture of certain ceded and assumed variable annuity insurance agreements.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largely unchanged.</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which are inversely related to the changes in certain components of GMLB Riders liabilities discussed above, resulted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impact on comparative results of $417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foreign denominated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2017 Annual Report.</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U.S. insurance company, we are affected by the monetary policy of the Federal Reserve Board in the United States. The Federal Open Market Committee has increased the federal funds rate six times since the start of 2017. The Federal Reserve may take further actions to influence interest rates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10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Yield% (1)</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Yield% (1)</w:t>
            </w:r>
          </w:p>
        </w:tc>
        <w:tc>
          <w:tcPr>
            <w:tcW w:w="160" w:type="dxa"/>
            <w:vAlign w:val="bottom"/>
          </w:tcPr>
          <w:p>
            <w:pPr>
              <w:spacing w:after="0"/>
              <w:rPr>
                <w:sz w:val="13"/>
                <w:szCs w:val="13"/>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2,576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2,511</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Investment fees and expenses</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investment income (2), (3)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41" w:lineRule="exact"/>
        <w:rPr>
          <w:sz w:val="20"/>
          <w:szCs w:val="20"/>
          <w:color w:val="auto"/>
        </w:rPr>
      </w:pPr>
    </w:p>
    <w:p>
      <w:pPr>
        <w:jc w:val="both"/>
        <w:ind w:left="340" w:hanging="332"/>
        <w:spacing w:after="0" w:line="279"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Yields are calculated as investment income as a percent of average quarterly asset carrying values. Investment income excludes realized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collateral received from derivative counterparties and the effects of consolidating certain VIEs under GAAP that are treated as CSEs.</w:t>
      </w:r>
    </w:p>
    <w:p>
      <w:pPr>
        <w:spacing w:after="0" w:line="63" w:lineRule="exact"/>
        <w:rPr>
          <w:rFonts w:ascii="Arial" w:cs="Arial" w:eastAsia="Arial" w:hAnsi="Arial"/>
          <w:sz w:val="17"/>
          <w:szCs w:val="17"/>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net investment income included in yield calculations includes investment hedge adjustments.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Adjusted net investment income presented in the yield table varies from the most directly comparable GAAP measure due to certain reclassifications and adjustments and excludes the effects of consolidating certain VIEs under GAAP that are treated as CSEs, as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income</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Less: Investment hedge adjustments</w:t>
            </w:r>
          </w:p>
        </w:tc>
        <w:tc>
          <w:tcPr>
            <w:tcW w:w="900" w:type="dxa"/>
            <w:vAlign w:val="bottom"/>
          </w:tcPr>
          <w:p>
            <w:pPr>
              <w:spacing w:after="0"/>
              <w:rPr>
                <w:sz w:val="20"/>
                <w:szCs w:val="20"/>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Incremental net investment income from CSEs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Adjusted net investment income — in the above yield table</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2,430</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and Nine Months Ended September 30, 2018 and 2017 — Adjusted Earnings” for an analysis of the period over period changes in net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 and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fixed maturity securities available-for-sale (“AFS”) and equity securities by type (public or private) held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September 30, 2018</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December 31, 2017</w:t>
            </w:r>
          </w:p>
        </w:tc>
        <w:tc>
          <w:tcPr>
            <w:tcW w:w="94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Estimated</w:t>
            </w:r>
          </w:p>
        </w:tc>
        <w:tc>
          <w:tcPr>
            <w:tcW w:w="3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Estimated</w:t>
            </w:r>
          </w:p>
        </w:tc>
        <w:tc>
          <w:tcPr>
            <w:tcW w:w="94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60" w:type="dxa"/>
            <w:vAlign w:val="bottom"/>
            <w:gridSpan w:val="6"/>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Fixed maturity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Publicly-traded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51,030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54,332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Privately-placed</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11,249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10,659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16.4</w:t>
            </w:r>
          </w:p>
        </w:tc>
      </w:tr>
      <w:tr>
        <w:trPr>
          <w:trHeight w:val="284"/>
        </w:trPr>
        <w:tc>
          <w:tcPr>
            <w:tcW w:w="50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fixed maturity securities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62,279</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100.0%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64,991</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5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Percentage of cash and invested 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Publicly-traded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Privately-held</w:t>
            </w:r>
          </w:p>
        </w:tc>
        <w:tc>
          <w:tcPr>
            <w:tcW w:w="26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3.1</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equity securities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5080" w:type="dxa"/>
            <w:vAlign w:val="bottom"/>
          </w:tcPr>
          <w:p>
            <w:pPr>
              <w:ind w:left="760"/>
              <w:spacing w:after="0"/>
              <w:rPr>
                <w:sz w:val="20"/>
                <w:szCs w:val="20"/>
                <w:color w:val="auto"/>
              </w:rPr>
            </w:pPr>
            <w:r>
              <w:rPr>
                <w:rFonts w:ascii="Arial" w:cs="Arial" w:eastAsia="Arial" w:hAnsi="Arial"/>
                <w:sz w:val="16"/>
                <w:szCs w:val="16"/>
                <w:color w:val="auto"/>
              </w:rPr>
              <w:t>Percentage of cash and invested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Valuation of Securities. </w:t>
      </w:r>
      <w:r>
        <w:rPr>
          <w:rFonts w:ascii="Arial" w:cs="Arial" w:eastAsia="Arial" w:hAnsi="Arial"/>
          <w:sz w:val="16"/>
          <w:szCs w:val="16"/>
          <w:color w:val="auto"/>
        </w:rPr>
        <w:t>We engage MetLife Investment Advisors, LLC, which was considered a related party investment manager until the completion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MetLife Divestiture, to execute on our valuation controls and policies to determine the estimated fair value of our investments. See “— Introduction” for information regarding the MetLife Divestiture. The estimated fair value of publicly-traded securities is determined after considering one of three primary sources of information: quoted market prices in active markets, independent pricing services, or independent broker quotations. The estimated fair value of privately-placed securities is determined after considering one of three primary sources of information: market standard internal matrix pricing, market standard internal discounted cash flow techniques, or independent pricing services (after the independent pricing services’ use of available observable market data is determined). For publicly-traded securities, the number of quotations obtained varies by instrument and depends on the liquidity of the particular instrument. Generally, prices are obtained from multiple pricing services to cover all asset classes and obtain multiple prices for certain securities, but ultimately use the price with the highest placement in the fair value hierarchy. Independent pricing services that value these instruments use market standard valuation methodologies based on data about market transactions and inputs from multiple pricing sources that are market observable or can be derived principally from or corroborated by observable market data. See Note 6 of the Notes to the Interim Condensed Consolidated Financial Statements for a discussion of the types of market standard valuation methodologies utilized and key assumptions and observable inputs used in applying these standard valuation methodologies. When a price is not available in the active market or through an independent pricing service, the security is priced primarily using non-binding quotations from independent brokers who are knowledgeable about these securities. Independent non-binding broker quotations use inputs that may be difficult to corroborate with observable market data. As shown in the following section, less than 1% of our fixed maturity securities were valued using non-binding quotations from independent brokers at September 30, 2018.</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responsible for monitoring and providing the oversight over the valuation controls and policies, including reviewing and approving new transaction types and markets, for ensuring that observable market prices and market-based parameters are used for valuation, wherever possible, and for determining that valuation adjustments, when applied, are based upon established policies and are applied consistently over time. See Note 6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reviewed the significance and observability of inputs used in the valuation methodologies to determine the appropriate fair value hierarchy level for each of our securities. Based on the results of this review and investment class analysis, each instrument is categorized as Level 1, 2 or 3 based on the lowest level significant input to its valuation. See Note 6 of the Notes to the Interim Condensed Consolidated Financial Statements for information regarding the valuation techniques and inputs by level within the three-level fair value hierarchy by major classes of invested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of Fixed Maturity Securities AFS and Equity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Fixed maturity securities AFS and equity securities measured at estimated fair value on a recurring basis and their corresponding fair value pricing sources are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September 30,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5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gridSpan w:val="3"/>
          </w:tcPr>
          <w:p>
            <w:pPr>
              <w:jc w:val="center"/>
              <w:ind w:left="241"/>
              <w:spacing w:after="0" w:line="153" w:lineRule="exact"/>
              <w:rPr>
                <w:sz w:val="20"/>
                <w:szCs w:val="20"/>
                <w:color w:val="auto"/>
              </w:rPr>
            </w:pPr>
            <w:r>
              <w:rPr>
                <w:rFonts w:ascii="Arial" w:cs="Arial" w:eastAsia="Arial" w:hAnsi="Arial"/>
                <w:sz w:val="14"/>
                <w:szCs w:val="14"/>
                <w:b w:val="1"/>
                <w:bCs w:val="1"/>
                <w:color w:val="auto"/>
                <w:w w:val="98"/>
              </w:rPr>
              <w:t>Fixed Maturity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3"/>
          </w:tcPr>
          <w:p>
            <w:pPr>
              <w:jc w:val="center"/>
              <w:ind w:left="1"/>
              <w:spacing w:after="0" w:line="153"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3"/>
                <w:szCs w:val="13"/>
                <w:color w:val="auto"/>
              </w:rPr>
            </w:pPr>
          </w:p>
        </w:tc>
      </w:tr>
      <w:tr>
        <w:trPr>
          <w:trHeight w:val="192"/>
        </w:trPr>
        <w:tc>
          <w:tcPr>
            <w:tcW w:w="5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89"/>
              </w:rPr>
              <w:t>Securities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88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1</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Quoted prices in active markets for identical assets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54,690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8.7</w:t>
            </w:r>
          </w:p>
        </w:tc>
      </w:tr>
      <w:tr>
        <w:trPr>
          <w:trHeight w:val="33"/>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tcPr>
          <w:p>
            <w:pPr>
              <w:ind w:left="360"/>
              <w:spacing w:after="0"/>
              <w:rPr>
                <w:sz w:val="20"/>
                <w:szCs w:val="20"/>
                <w:color w:val="auto"/>
              </w:rPr>
            </w:pPr>
            <w:r>
              <w:rPr>
                <w:rFonts w:ascii="Arial" w:cs="Arial" w:eastAsia="Arial" w:hAnsi="Arial"/>
                <w:sz w:val="16"/>
                <w:szCs w:val="16"/>
                <w:color w:val="auto"/>
              </w:rPr>
              <w:t>Significant other observable inputs</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55,288</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3</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79.3</w:t>
            </w:r>
          </w:p>
        </w:tc>
      </w:tr>
      <w:tr>
        <w:trPr>
          <w:trHeight w:val="33"/>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broker quotations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Significant unobservable inputs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81.3</w:t>
            </w:r>
          </w:p>
        </w:tc>
      </w:tr>
      <w:tr>
        <w:trPr>
          <w:trHeight w:val="217"/>
        </w:trPr>
        <w:tc>
          <w:tcPr>
            <w:tcW w:w="5120" w:type="dxa"/>
            <w:vAlign w:val="bottom"/>
          </w:tcPr>
          <w:p>
            <w:pPr>
              <w:ind w:left="40"/>
              <w:spacing w:after="0"/>
              <w:rPr>
                <w:sz w:val="20"/>
                <w:szCs w:val="20"/>
                <w:color w:val="auto"/>
              </w:rPr>
            </w:pPr>
            <w:r>
              <w:rPr>
                <w:rFonts w:ascii="Arial" w:cs="Arial" w:eastAsia="Arial" w:hAnsi="Arial"/>
                <w:sz w:val="16"/>
                <w:szCs w:val="16"/>
                <w:color w:val="auto"/>
              </w:rPr>
              <w:t>Total estimated fair value</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62,279</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Financial Statements for the fixed maturity securities AFS and equity securities fair value hierarchy.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fair value pricing sources for and significant changes in Level 3 securities at September 30, 2018 are as follows:</w:t>
      </w:r>
    </w:p>
    <w:p>
      <w:pPr>
        <w:spacing w:after="0" w:line="117"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majority of the Level 3 fixed maturity securities AFS and equity securities were concentrated in three sectors: U.S. and foreign corporate securities and residential mortgage-backed securities (“RMBS”).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 fixed maturity securities are priced principally through market standard valuation methodologies, independent pricing services and, to a much lesser extent, independent non-binding broker quotations using inputs that are not market observable or cannot be derived principally from or corroborated by observable market data. Level 3 fixed maturity securities consist of less liquid securities with very limited trading activity or where less price transparency exists around the inputs to the valuation methodologies.</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three months ended September 30, 2018, Level 3 fixed maturity securities decreased by $229 million, or 7%. The decrease was driven by net transfers out of Level 3 and a decrease in estimated fair value recognized in other comprehensive income (“OCI”), partially offset by purchases in excess of sales.</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During the nine months ended September 30, 2018, Level 3 fixed maturity securities decreased by $313 million, or 10%. The decrease was driven by net transfers out of Level 3 and a decrease in estimated fair value recognized in OCI, partially offset by purchases in excess of sales.</w:t>
      </w:r>
    </w:p>
    <w:p>
      <w:pPr>
        <w:spacing w:after="0" w:line="38"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See Note 6 of the Notes to the Interim Condensed Consolidated Financial Statements for a rollforward of the fair value measurements for fixed maturity securities and equity securities AFS measured at estimated fair value on a recurring basis using significant unobservable (Level 3) inputs; transfers into and/or out of Level 3; and further information about the valuation techniques and inputs by level by major classes of invested assets that affect the amounts reported above.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fixed maturity securities AFS by sector, contractual maturities and continuous gross unrealized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See “Management’s Discussion and Analysis of Financial Condition and Results of Operations — Investments — Fixed Maturity AFS and Equity Securities — Fixed Maturity Securities Credit Quality — Ratings” included in the 2017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revised methodologies adopted by the NAIC for certain RMBS, commercial mortgage-backed securities (“CMBS”) and asset-backed securities (“ABS”) (collectively, “Structured Securities”).</w:t>
      </w:r>
    </w:p>
    <w:p>
      <w:pPr>
        <w:spacing w:after="0" w:line="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2018</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NAIC</w:t>
            </w:r>
          </w:p>
        </w:tc>
        <w:tc>
          <w:tcPr>
            <w:tcW w:w="18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9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840" w:type="dxa"/>
            <w:vAlign w:val="bottom"/>
          </w:tcPr>
          <w:p>
            <w:pPr>
              <w:jc w:val="right"/>
              <w:ind w:right="20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Designation</w:t>
            </w:r>
          </w:p>
        </w:tc>
        <w:tc>
          <w:tcPr>
            <w:tcW w:w="1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84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42,183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45,729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17,062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17,197</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16,250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Subtotal investment grade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57,794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59,380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57,235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61,979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Ba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Caa and lower</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 or near default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880" w:type="dxa"/>
            <w:vAlign w:val="bottom"/>
            <w:gridSpan w:val="4"/>
          </w:tcPr>
          <w:p>
            <w:pPr>
              <w:ind w:left="40"/>
              <w:spacing w:after="0"/>
              <w:rPr>
                <w:sz w:val="20"/>
                <w:szCs w:val="20"/>
                <w:color w:val="auto"/>
              </w:rPr>
            </w:pPr>
            <w:r>
              <w:rPr>
                <w:rFonts w:ascii="Arial" w:cs="Arial" w:eastAsia="Arial" w:hAnsi="Arial"/>
                <w:sz w:val="16"/>
                <w:szCs w:val="16"/>
                <w:color w:val="auto"/>
              </w:rPr>
              <w:t>Subtotal below investment grade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3,012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60,705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62,279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64,991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12"/>
          </w:tcPr>
          <w:p>
            <w:pPr>
              <w:jc w:val="center"/>
              <w:ind w:left="58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Aaa/Aa/A</w:t>
            </w:r>
          </w:p>
        </w:tc>
        <w:tc>
          <w:tcPr>
            <w:tcW w:w="26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Baa</w:t>
            </w:r>
          </w:p>
        </w:tc>
        <w:tc>
          <w:tcPr>
            <w:tcW w:w="280" w:type="dxa"/>
            <w:vAlign w:val="bottom"/>
          </w:tcPr>
          <w:p>
            <w:pPr>
              <w:spacing w:after="0"/>
              <w:rPr>
                <w:sz w:val="13"/>
                <w:szCs w:val="13"/>
                <w:color w:val="auto"/>
              </w:rPr>
            </w:pPr>
          </w:p>
        </w:tc>
        <w:tc>
          <w:tcPr>
            <w:tcW w:w="7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3"/>
                <w:szCs w:val="13"/>
                <w:color w:val="auto"/>
              </w:rPr>
            </w:pPr>
          </w:p>
        </w:tc>
        <w:tc>
          <w:tcPr>
            <w:tcW w:w="10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Caa and</w:t>
            </w:r>
          </w:p>
        </w:tc>
        <w:tc>
          <w:tcPr>
            <w:tcW w:w="180" w:type="dxa"/>
            <w:vAlign w:val="bottom"/>
          </w:tcPr>
          <w:p>
            <w:pPr>
              <w:spacing w:after="0"/>
              <w:rPr>
                <w:sz w:val="13"/>
                <w:szCs w:val="13"/>
                <w:color w:val="auto"/>
              </w:rPr>
            </w:pPr>
          </w:p>
        </w:tc>
        <w:tc>
          <w:tcPr>
            <w:tcW w:w="9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 or Near</w:t>
            </w:r>
          </w:p>
        </w:tc>
        <w:tc>
          <w:tcPr>
            <w:tcW w:w="160" w:type="dxa"/>
            <w:vAlign w:val="bottom"/>
          </w:tcPr>
          <w:p>
            <w:pPr>
              <w:spacing w:after="0"/>
              <w:rPr>
                <w:sz w:val="13"/>
                <w:szCs w:val="13"/>
                <w:color w:val="auto"/>
              </w:rPr>
            </w:pPr>
          </w:p>
        </w:tc>
        <w:tc>
          <w:tcPr>
            <w:tcW w:w="90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Lower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10,494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11,260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1,416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23,935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10,950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8,185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8,374</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7,248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3,966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7"/>
        </w:trPr>
        <w:tc>
          <w:tcPr>
            <w:tcW w:w="338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42,183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17,197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62,279</w:t>
            </w:r>
          </w:p>
        </w:tc>
        <w:tc>
          <w:tcPr>
            <w:tcW w:w="0" w:type="dxa"/>
            <w:vAlign w:val="bottom"/>
          </w:tcPr>
          <w:p>
            <w:pPr>
              <w:spacing w:after="0"/>
              <w:rPr>
                <w:sz w:val="1"/>
                <w:szCs w:val="1"/>
                <w:color w:val="auto"/>
              </w:rPr>
            </w:pPr>
          </w:p>
        </w:tc>
      </w:tr>
      <w:tr>
        <w:trPr>
          <w:trHeight w:val="73"/>
        </w:trPr>
        <w:tc>
          <w:tcPr>
            <w:tcW w:w="3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0"/>
              <w:spacing w:after="0" w:line="177" w:lineRule="exact"/>
              <w:rPr>
                <w:sz w:val="20"/>
                <w:szCs w:val="20"/>
                <w:color w:val="auto"/>
              </w:rPr>
            </w:pPr>
            <w:r>
              <w:rPr>
                <w:rFonts w:ascii="Arial" w:cs="Arial" w:eastAsia="Arial" w:hAnsi="Arial"/>
                <w:sz w:val="16"/>
                <w:szCs w:val="16"/>
                <w:color w:val="auto"/>
              </w:rPr>
              <w:t>Percentage of total</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1,408</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22,957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16,292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4,181</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2,165</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64,991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Percentage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September 30, 2018 and December 31, 2017. The tables below present our U.S. and foreign corporate securities holdings by industry at: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3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18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50"/>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21"/>
                <w:szCs w:val="21"/>
                <w:color w:val="auto"/>
              </w:rPr>
            </w:pPr>
          </w:p>
        </w:tc>
      </w:tr>
      <w:tr>
        <w:trPr>
          <w:trHeight w:val="25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9,648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9,459</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7,424</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7,213</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24.1</w:t>
            </w:r>
          </w:p>
        </w:tc>
      </w:tr>
      <w:tr>
        <w:trPr>
          <w:trHeight w:val="3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19.4</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Utility</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4,561</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4,333</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14.5</w:t>
            </w:r>
          </w:p>
        </w:tc>
      </w:tr>
      <w:tr>
        <w:trPr>
          <w:trHeight w:val="3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7.8</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2.7</w:t>
            </w:r>
          </w:p>
        </w:tc>
      </w:tr>
      <w:tr>
        <w:trPr>
          <w:trHeight w:val="33"/>
        </w:trPr>
        <w:tc>
          <w:tcPr>
            <w:tcW w:w="6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31,183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29,980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We held $14.7 billion and $13.2 billion of Structured Securities, at estimated fair value, at September 30, 2018 and December 31, 2017, respectively, as presented in the RMBS, CMBS and ABS sections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RMBS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30, 2018</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116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6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c>
          <w:tcPr>
            <w:tcW w:w="9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16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4"/>
              </w:rPr>
              <w:t>Net Unrealized</w:t>
            </w:r>
          </w:p>
        </w:tc>
      </w:t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Gains (Losses)</w:t>
            </w:r>
          </w:p>
        </w:tc>
      </w:tr>
      <w:tr>
        <w:trPr>
          <w:trHeight w:val="196"/>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type: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Collateralized mortgage obligations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4,812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4,623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219</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Pass-through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3,562</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3,354</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17"/>
        </w:trPr>
        <w:tc>
          <w:tcPr>
            <w:tcW w:w="424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8,374</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r>
      <w:tr>
        <w:trPr>
          <w:trHeight w:val="73"/>
        </w:trPr>
        <w:tc>
          <w:tcPr>
            <w:tcW w:w="42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By risk profile: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Agency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6,037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5,439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46</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Alt-A</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1,057</w:t>
            </w:r>
          </w:p>
        </w:tc>
        <w:tc>
          <w:tcPr>
            <w:tcW w:w="940" w:type="dxa"/>
            <w:vAlign w:val="bottom"/>
            <w:gridSpan w:val="2"/>
          </w:tcPr>
          <w:p>
            <w:pPr>
              <w:jc w:val="right"/>
              <w:ind w:right="83"/>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1,185</w:t>
            </w:r>
          </w:p>
        </w:tc>
        <w:tc>
          <w:tcPr>
            <w:tcW w:w="940" w:type="dxa"/>
            <w:vAlign w:val="bottom"/>
            <w:gridSpan w:val="2"/>
          </w:tcPr>
          <w:p>
            <w:pPr>
              <w:jc w:val="right"/>
              <w:ind w:right="83"/>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93</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Sub-prime</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1,020</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r>
      <w:tr>
        <w:trPr>
          <w:trHeight w:val="217"/>
        </w:trPr>
        <w:tc>
          <w:tcPr>
            <w:tcW w:w="424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8,374</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r>
      <w:tr>
        <w:trPr>
          <w:trHeight w:val="73"/>
        </w:trPr>
        <w:tc>
          <w:tcPr>
            <w:tcW w:w="42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Ratings profile: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Rated Aaa/AAA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6,356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Designated NAIC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33"/>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Historically, we have managed our exposure to sub-prime RMBS holdings by focusing primarily on senior tranche securities, stress 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$878 million and $976 million at September 30, 2018 and December 31, 2017, respectively, with unrealized gains (losses) of $56 million and $65 million at September 30, 2018 and December 31, 2017,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CMBS holdings are diversified by vintage year. The following tables present our CMBS holdings by rating agency rating and by vintage year at: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140"/>
              <w:spacing w:after="0"/>
              <w:rPr>
                <w:sz w:val="20"/>
                <w:szCs w:val="20"/>
                <w:color w:val="auto"/>
              </w:rPr>
            </w:pPr>
            <w:r>
              <w:rPr>
                <w:rFonts w:ascii="Arial" w:cs="Arial" w:eastAsia="Arial" w:hAnsi="Arial"/>
                <w:sz w:val="11"/>
                <w:szCs w:val="11"/>
                <w:b w:val="1"/>
                <w:bCs w:val="1"/>
                <w:color w:val="auto"/>
              </w:rPr>
              <w:t>September 30, 2018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560"/>
              <w:spacing w:after="0"/>
              <w:rPr>
                <w:sz w:val="20"/>
                <w:szCs w:val="20"/>
                <w:color w:val="auto"/>
              </w:rPr>
            </w:pPr>
            <w:r>
              <w:rPr>
                <w:rFonts w:ascii="Arial" w:cs="Arial" w:eastAsia="Arial" w:hAnsi="Arial"/>
                <w:sz w:val="11"/>
                <w:szCs w:val="11"/>
                <w:b w:val="1"/>
                <w:bCs w:val="1"/>
                <w:color w:val="auto"/>
                <w:w w:val="92"/>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440"/>
              <w:spacing w:after="0" w:line="122" w:lineRule="exact"/>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Aaa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8"/>
              </w:rPr>
              <w:t>Baa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b w:val="1"/>
                <w:bCs w:val="1"/>
                <w:color w:val="auto"/>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520" w:type="dxa"/>
            <w:vAlign w:val="bottom"/>
          </w:tcPr>
          <w:p>
            <w:pPr>
              <w:jc w:val="center"/>
              <w:ind w:left="226"/>
              <w:spacing w:after="0"/>
              <w:rPr>
                <w:sz w:val="20"/>
                <w:szCs w:val="20"/>
                <w:color w:val="auto"/>
              </w:rPr>
            </w:pPr>
            <w:r>
              <w:rPr>
                <w:rFonts w:ascii="Arial" w:cs="Arial" w:eastAsia="Arial" w:hAnsi="Arial"/>
                <w:sz w:val="11"/>
                <w:szCs w:val="11"/>
                <w:b w:val="1"/>
                <w:bCs w:val="1"/>
                <w:color w:val="auto"/>
                <w:w w:val="81"/>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140"/>
              <w:spacing w:after="0"/>
              <w:rPr>
                <w:sz w:val="20"/>
                <w:szCs w:val="20"/>
                <w:color w:val="auto"/>
              </w:rPr>
            </w:pPr>
            <w:r>
              <w:rPr>
                <w:rFonts w:ascii="Arial" w:cs="Arial" w:eastAsia="Arial" w:hAnsi="Arial"/>
                <w:sz w:val="11"/>
                <w:szCs w:val="11"/>
                <w:b w:val="1"/>
                <w:bCs w:val="1"/>
                <w:color w:val="auto"/>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2003 — 2010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822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1,009</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553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2018</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719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761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3,259</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3,192</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796</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779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323</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315</w:t>
            </w:r>
          </w:p>
        </w:tc>
        <w:tc>
          <w:tcPr>
            <w:tcW w:w="620" w:type="dxa"/>
            <w:vAlign w:val="bottom"/>
            <w:gridSpan w:val="2"/>
            <w:vMerge w:val="restart"/>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4,381</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4,290</w:t>
            </w: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Ratings Distribution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Arial" w:cs="Arial" w:eastAsia="Arial" w:hAnsi="Arial"/>
                <w:sz w:val="11"/>
                <w:szCs w:val="11"/>
                <w:b w:val="1"/>
                <w:bCs w:val="1"/>
                <w:color w:val="auto"/>
              </w:rPr>
              <w:t>December 31, 2017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560"/>
              <w:spacing w:after="0"/>
              <w:rPr>
                <w:sz w:val="20"/>
                <w:szCs w:val="20"/>
                <w:color w:val="auto"/>
              </w:rPr>
            </w:pPr>
            <w:r>
              <w:rPr>
                <w:rFonts w:ascii="Arial" w:cs="Arial" w:eastAsia="Arial" w:hAnsi="Arial"/>
                <w:sz w:val="11"/>
                <w:szCs w:val="11"/>
                <w:b w:val="1"/>
                <w:bCs w:val="1"/>
                <w:color w:val="auto"/>
                <w:w w:val="92"/>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440"/>
              <w:spacing w:after="0" w:line="122" w:lineRule="exact"/>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Aaa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8"/>
              </w:rPr>
              <w:t>Baa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b w:val="1"/>
                <w:bCs w:val="1"/>
                <w:color w:val="auto"/>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520" w:type="dxa"/>
            <w:vAlign w:val="bottom"/>
          </w:tcPr>
          <w:p>
            <w:pPr>
              <w:jc w:val="center"/>
              <w:ind w:left="226"/>
              <w:spacing w:after="0"/>
              <w:rPr>
                <w:sz w:val="20"/>
                <w:szCs w:val="20"/>
                <w:color w:val="auto"/>
              </w:rPr>
            </w:pPr>
            <w:r>
              <w:rPr>
                <w:rFonts w:ascii="Arial" w:cs="Arial" w:eastAsia="Arial" w:hAnsi="Arial"/>
                <w:sz w:val="11"/>
                <w:szCs w:val="11"/>
                <w:b w:val="1"/>
                <w:bCs w:val="1"/>
                <w:color w:val="auto"/>
                <w:w w:val="81"/>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140"/>
              <w:spacing w:after="0"/>
              <w:rPr>
                <w:sz w:val="20"/>
                <w:szCs w:val="20"/>
                <w:color w:val="auto"/>
              </w:rPr>
            </w:pPr>
            <w:r>
              <w:rPr>
                <w:rFonts w:ascii="Arial" w:cs="Arial" w:eastAsia="Arial" w:hAnsi="Arial"/>
                <w:sz w:val="11"/>
                <w:szCs w:val="11"/>
                <w:b w:val="1"/>
                <w:bCs w:val="1"/>
                <w:color w:val="auto"/>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2003 — 2010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1,064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91"/>
        </w:trPr>
        <w:tc>
          <w:tcPr>
            <w:tcW w:w="12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2,251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844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323</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3,423</w:t>
            </w:r>
          </w:p>
        </w:tc>
        <w:tc>
          <w:tcPr>
            <w:tcW w:w="0" w:type="dxa"/>
            <w:vAlign w:val="bottom"/>
          </w:tcPr>
          <w:p>
            <w:pPr>
              <w:spacing w:after="0"/>
              <w:rPr>
                <w:sz w:val="1"/>
                <w:szCs w:val="1"/>
                <w:color w:val="auto"/>
              </w:rPr>
            </w:pPr>
          </w:p>
        </w:tc>
      </w:tr>
      <w:tr>
        <w:trPr>
          <w:trHeight w:val="77"/>
        </w:trPr>
        <w:tc>
          <w:tcPr>
            <w:tcW w:w="12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60" w:type="dxa"/>
            <w:vAlign w:val="bottom"/>
          </w:tcPr>
          <w:p>
            <w:pPr>
              <w:ind w:left="40"/>
              <w:spacing w:after="0"/>
              <w:rPr>
                <w:sz w:val="20"/>
                <w:szCs w:val="20"/>
                <w:color w:val="auto"/>
              </w:rPr>
            </w:pPr>
            <w:r>
              <w:rPr>
                <w:rFonts w:ascii="Arial" w:cs="Arial" w:eastAsia="Arial" w:hAnsi="Arial"/>
                <w:sz w:val="13"/>
                <w:szCs w:val="13"/>
                <w:color w:val="auto"/>
              </w:rPr>
              <w:t>Ratings Distribution</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tables above reflect rating agency ratings assigned by NRSROs, including Moody’s Investors Service (“Moody’s”), Standard &amp; Poor’s Global Rating (“S&amp;P”), Fitch Ratings (“Fitch”) and Morningstar. CMBS designated NAIC 1 were 100.0% of total CMBS at both September 30, 2018 and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ABS are diversified both by collateral type and by issuer. The following table presents our ABS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 2018</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w w:val="96"/>
              </w:rPr>
              <w:t>December 31, 2017</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Net Unrealized</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18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6"/>
              </w:rPr>
              <w:t>Net Unrealized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Gains (Losses)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Arial" w:cs="Arial" w:eastAsia="Arial" w:hAnsi="Arial"/>
                <w:sz w:val="16"/>
                <w:szCs w:val="16"/>
                <w:color w:val="auto"/>
              </w:rPr>
              <w:t>By collateral type: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Consumer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Automobile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Student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Credit card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Other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Ratings profile: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Rated Aaa/AAA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Designated NAIC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Fixed Maturity Securities AFS for OTTI and Evaluating Temporarily Impaired Fixed Maturity Securities AFS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AFS and equity securities for OTTI and evaluation of temporarily impaired AFS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OTTI Losses on Fixed Maturity Securities AFS Recognized in Earnings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OTTI losses and gross gains and gross losses on AFS securities sold.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Overview of Fixed Maturity Security OTTI Losses Recognized in Earnings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There were no impairments of fixed maturity securities for the three months and nine months ended September 30, 2018. Impairments of fixed maturity securities were $0 and $1 million for the three months and nine months ended September 30,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Future Impairments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Future OTTI will depend primarily on economic fundamentals, issuer performance (including changes in the present value of future cash flows expected to be collected), and changes in credit ratings, collateral valuation, interest rates and credit spreads, as well as a change in our intention to hold or sell a security that is in an unrealized loss position. If economic fundamentals deteriorate or if there are adverse changes in the above factors, OTTI may be incurred in upcoming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Liquidity and Capital Resources — The Company — Liquidity and Capital Uses — Securities Lending” and Note 4 of the Notes to the Interim Condensed Consolidated Financial Statements for information regarding our securities lending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September 30, 2018</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December 31, 2017</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Valuation</w:t>
            </w:r>
          </w:p>
        </w:tc>
        <w:tc>
          <w:tcPr>
            <w:tcW w:w="12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Valuation</w:t>
            </w:r>
          </w:p>
        </w:tc>
        <w:tc>
          <w:tcPr>
            <w:tcW w:w="1180" w:type="dxa"/>
            <w:vAlign w:val="bottom"/>
          </w:tcPr>
          <w:p>
            <w:pPr>
              <w:jc w:val="center"/>
              <w:ind w:left="4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Allowance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Allowance</w:t>
            </w:r>
          </w:p>
        </w:tc>
        <w:tc>
          <w:tcPr>
            <w:tcW w:w="118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8,405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7,260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2,767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234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12,996</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56</w:t>
            </w: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tables herein exclude mortgage loans where we elected the fair value option (“FVO”). Such amounts are presented in Note 4 of the Notes to the Interim Condensed Consolidated Financial Statements.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Of our commercial and agricultural mortgage loan portfolios, at September 30, 2018 and December 31, 2017, 96% and 97%, respectively, were collateralized by properties located in the U.S. and the remainder was collateralized by properties located outside of the U.S. The carrying value as a percentage of total commercial and agricultural mortgage loans for the top three states in the U.S. is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September 30, 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60"/>
        </w:trPr>
        <w:tc>
          <w:tcPr>
            <w:tcW w:w="622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September 30, 2018 and December 31, 2017. The carrying value as a percentage of total residential mortgage loans for the top three states in the U.S. is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September 30, 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60"/>
        </w:trPr>
        <w:tc>
          <w:tcPr>
            <w:tcW w:w="622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6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New York</w:t>
            </w: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6"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30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Region</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Pacific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2,440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1,955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Middle Atlantic</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1,858</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1,699</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South Atlantic</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1,279</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1,190</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South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777</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East North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497</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Mountain</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395</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West North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South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Multi-Region and Other</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valuation allowances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Property Type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Office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Retail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2,011</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1,933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Apartment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1,439</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748</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683</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w:t>
            </w:r>
          </w:p>
        </w:tc>
        <w:tc>
          <w:tcPr>
            <w:tcW w:w="1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400" w:type="dxa"/>
            <w:vAlign w:val="bottom"/>
            <w:gridSpan w:val="2"/>
          </w:tcPr>
          <w:p>
            <w:pPr>
              <w:jc w:val="right"/>
              <w:ind w:right="88"/>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valuation allowances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Mortgage Loan Credit Quality — Monitoring Process</w:t>
      </w:r>
      <w:r>
        <w:rPr>
          <w:rFonts w:ascii="Arial" w:cs="Arial" w:eastAsia="Arial" w:hAnsi="Arial"/>
          <w:sz w:val="17"/>
          <w:szCs w:val="17"/>
          <w:color w:val="auto"/>
        </w:rPr>
        <w:t>. We monitor our mortgage loan investments on an ongoing basis, including a review of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current, past due, restructured and under foreclosure. See Note 4 of the Notes to the Interim Condensed Consolidated Financial Statements for information on mortgage loans by credit quality indicator, past due and nonaccrual mortgage loans, as well as impaired mortgage loans.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review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the Consolidated and Combined Financial Statements included in the 2017 Annual Report for information on our evaluation of residential mortgage loans and related valuation allowance methodology.</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Loan-to-value ratios and debt service coverage ratios are common measures in the assessment of the quality of commercial mortgage loans. Loan-to-value ratios are a common measure in the assessment of the quality of agricultural mortgage loans.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6"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 service coverage ratio compares a property’s net operating income to amounts needed to service the principal and interest due under the loan. Generally, the lower the debt service coverage ratio, the higher the risk of experiencing a credit loss. For our commercial mortgage loans, our average loan-to-value ratio was 52% and 51% at September 30, 2018 and December 31, 2017, respectively, and our average debt service coverage ratio was 2.3x at both September 30, 2018 and December 31, 2017.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and 43% at September 30, 2018 and December 31, 2017, respectively. The values utilized in calculating the agricultural mortgage loan loan-to-value ratio are developed in connection with the ongoing review of the agricultural loan portfolio and are routinely updated.</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Valuation Allowances</w:t>
      </w:r>
      <w:r>
        <w:rPr>
          <w:rFonts w:ascii="Arial" w:cs="Arial" w:eastAsia="Arial" w:hAnsi="Arial"/>
          <w:sz w:val="18"/>
          <w:szCs w:val="18"/>
          <w:color w:val="auto"/>
        </w:rPr>
        <w:t>. Our valuation allowances are established both on a loan specific basis for those loans considered impaired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specific or market specific risk has been identified that could likely result in a future loss, as well as for pools of loans with similar risk characteristics where a property specific or market specific risk has not been identified, but for which we expect to incur a loss. Accordingly, a valuation allowance is provided to absorb these estimated probable credit losses.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determination of the amount of valuation allowances is based upon our periodic evaluation and assessment of known and inherent risks associated with our loan portfolios. Such evaluations and assessments are based upon several factors, including our experience for loan losses, defaults and loss severity, and loss expectations for loans with similar risk characteristics. These evaluations and assessments are revised as conditions change and new information becomes available, which can cause the valuation allowances to increase or decrease over time as such evaluations are revised. Negative credit migration, including an actual or expected increase in the level of problem loans, will result in an increase in the valuation allowance. Positive credit migration, including an actual or expected decrease in the level of problem loans, will result in a decrease in the valuation allowance.</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Notes 4 and 6 of the Notes to the Interim Condensed Consolidated Financial Statements for information about how valuation allowances are established and monitored, activity in and balances of the valuation allowance, and the estimated fair value of impaired mortgage loans and related impairments included within net investment gains (losses) at and for the nine months ended September 30, 2018 and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Joint Ventures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Real estate joint ventures is comprised of joint ventures with interests in single property income-producing real estate, and to a lesser extent joint ventures with interests in multi-property projects with varying strategies ranging from the development of properties to the operation of income-producing properties, as well as a runoff portfolio of real estate private equity funds.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real estate joint ventures and wholly owned real estate investment portfolios was $558 million and $594 million at September 30,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Limited Partnership Interests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limited partnership interests are comprised of private equity funds and hedge funds. The carrying value of other limited partnership interests was $1.8 billion and $1.7 billion at September 30, 2018 and December 31, 2017, respectively, which included $102 million and $104 million of hedge funds at September 30, 2018 and December 31, 2017, respectively. Cash distributions on these investments are generated from investment gains, operating income from the underlying investments of the funds and liquidation of the underlying investments of the funds. We estimate that the underlying investments of the funds will be liquidated over the next 10 to 20 years.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6"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December 31, 2017</w:t>
            </w:r>
          </w:p>
        </w:tc>
      </w:tr>
      <w:tr>
        <w:trPr>
          <w:trHeight w:val="220"/>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300" w:type="dxa"/>
            <w:vAlign w:val="bottom"/>
          </w:tcPr>
          <w:p>
            <w:pPr>
              <w:jc w:val="right"/>
              <w:ind w:right="421"/>
              <w:spacing w:after="0"/>
              <w:rPr>
                <w:sz w:val="20"/>
                <w:szCs w:val="20"/>
                <w:color w:val="auto"/>
              </w:rPr>
            </w:pPr>
            <w:r>
              <w:rPr>
                <w:rFonts w:ascii="Arial" w:cs="Arial" w:eastAsia="Arial" w:hAnsi="Arial"/>
                <w:sz w:val="14"/>
                <w:szCs w:val="14"/>
                <w:b w:val="1"/>
                <w:bCs w:val="1"/>
                <w:color w:val="auto"/>
              </w:rPr>
              <w:t>% of</w:t>
            </w:r>
          </w:p>
        </w:tc>
      </w:t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4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5"/>
          </w:tcPr>
          <w:p>
            <w:pPr>
              <w:ind w:left="76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21"/>
                <w:szCs w:val="21"/>
                <w:color w:val="auto"/>
              </w:rPr>
            </w:pP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4.1</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FHLB Stock (1)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2.6</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r>
      <w:tr>
        <w:trPr>
          <w:trHeight w:val="217"/>
        </w:trPr>
        <w:tc>
          <w:tcPr>
            <w:tcW w:w="596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20955</wp:posOffset>
            </wp:positionV>
            <wp:extent cx="34302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-98425</wp:posOffset>
            </wp:positionV>
            <wp:extent cx="34302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reclassified Federal Home Loan Bank (“FHLB”) stock in prior periods from equity securities to other invested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 for:</w:t>
      </w:r>
    </w:p>
    <w:p>
      <w:pPr>
        <w:spacing w:after="0" w:line="7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comprehensive description of the nature of our derivatives, including the strategies for which derivatives are used in managing various risks.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September 30, 2018 and December 31, 2017.</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and nine months ended September 30, 2018 and 2017.</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“Business — Segments and Corporate &amp; Other — Annuities,” “Business — Risk Management Strategies — ULSG Market Risk Exposure Management” and “Management’s Discussion and Analysis of Financial Condition and Results of Operations — Results of Operations — Actuarial Assumption Review” included in the 2017 Annual Report for more information about our use of derivatives by major hedge programs.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Financial Statements for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Derivatives categorized as Level 3 at September 30, 2018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 The estimated fair value of our derivatives priced through independent broker quotations were less than 1% and 1% at September 30, 2018 and December 31, 2017,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Interim Condensed Consolidated Financial Statements for a rollforward of the fair value measurements for derivatives measured at estimated fair value on a recurring basis using significant unobservable (Level 3) inputs.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6"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gross notional amount and estimated fair value of credit default swaps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Credit Default Swaps</w:t>
            </w:r>
          </w:p>
        </w:tc>
        <w:tc>
          <w:tcPr>
            <w:tcW w:w="2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Notional</w:t>
            </w:r>
          </w:p>
        </w:tc>
        <w:tc>
          <w:tcPr>
            <w:tcW w:w="30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Estimated</w:t>
            </w:r>
          </w:p>
        </w:tc>
        <w:tc>
          <w:tcPr>
            <w:tcW w:w="32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Gross Notional</w:t>
            </w:r>
          </w:p>
        </w:tc>
        <w:tc>
          <w:tcPr>
            <w:tcW w:w="300" w:type="dxa"/>
            <w:vAlign w:val="bottom"/>
          </w:tcPr>
          <w:p>
            <w:pPr>
              <w:spacing w:after="0"/>
              <w:rPr>
                <w:sz w:val="13"/>
                <w:szCs w:val="13"/>
                <w:color w:val="auto"/>
              </w:rPr>
            </w:pPr>
          </w:p>
        </w:tc>
        <w:tc>
          <w:tcPr>
            <w:tcW w:w="116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160" w:type="dxa"/>
            <w:vAlign w:val="bottom"/>
          </w:tcPr>
          <w:p>
            <w:pPr>
              <w:jc w:val="right"/>
              <w:ind w:right="24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5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Written</w:t>
            </w: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the nonperformance risk adjustment included in the valuation of guaranteed minimum benefits accounted for as embedded derivatives.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Financial Statements for information about embedded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Financial Statements for a rollforward of the fair value measurements for embedded derivatives measured at estimated fair value on a recurring basis using significant unobservable (Level 3) inputs.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“Management’s Discussion and Analysis of Financial Condition and Results of Operations — Summary of Critical Accounting Estimates</w:t>
      </w:r>
    </w:p>
    <w:p>
      <w:pPr>
        <w:spacing w:after="0" w:line="35" w:lineRule="exact"/>
        <w:rPr>
          <w:sz w:val="20"/>
          <w:szCs w:val="20"/>
          <w:color w:val="auto"/>
        </w:rPr>
      </w:pPr>
    </w:p>
    <w:p>
      <w:pPr>
        <w:ind w:left="5620" w:right="1080" w:hanging="5616"/>
        <w:spacing w:after="0" w:line="542" w:lineRule="auto"/>
        <w:rPr>
          <w:sz w:val="20"/>
          <w:szCs w:val="20"/>
          <w:color w:val="auto"/>
        </w:rPr>
      </w:pPr>
      <w:r>
        <w:rPr>
          <w:rFonts w:ascii="Arial" w:cs="Arial" w:eastAsia="Arial" w:hAnsi="Arial"/>
          <w:sz w:val="18"/>
          <w:szCs w:val="18"/>
          <w:color w:val="auto"/>
        </w:rPr>
        <w:t>— Derivatives” included in the 2017 Annual Report for further information on the estimates and assumptions that affect embedded derivatives. 98</w:t>
      </w:r>
    </w:p>
    <w:p>
      <w:pPr>
        <w:sectPr>
          <w:pgSz w:w="11900" w:h="16838" w:orient="portrait"/>
          <w:cols w:equalWidth="0" w:num="1">
            <w:col w:w="11420"/>
          </w:cols>
          <w:pgMar w:left="240" w:top="126" w:right="2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Committed Facilities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a $2.0 billion senior unsecured revolving credit facility (the “Revolving Credit Facility”), as well as a $600 million unsecured delayed draw term loan facility (the “2017 Term Loan Facility”). At September 30, 2018, there were no drawdowns under the Revolving Credit Facility and there was $600 million outstanding under the 2017 Term Loan Facility, resulting in unused commitments totaling $2.0 billion in comparison to the maximum capacity of $2.6 billion under these facilities. For the classification of expenses on such credit and committed facilities and the nature of the associated liability for letters of credit issued and drawdowns on these credit and committed facilities, see Note 9 of the Notes to the Consolidated and Combined Financial Statements included in the 2017 Annual Report.</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reinsurance subsidiary, BRCD, was formed to manage our capital and risk exposures and to support our various operations, through the use of affiliated reinsurance arrangements and related reserve financing. BRCD has a $10.0 billion reinsurance financing arrangement with a pool of highly rated third-party reinsurers. This financing arrangement consists of credit-linked notes that each have a term of 20 years. At September 30, 2018, there were no drawdowns on such notes and there was $9.7 billion of funding available under this financing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Repurchase Programs and Derivatives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balance sheets. The amount of this collateral was $0 million and $29 million at estimated fair value at September 30, 2018 and December 31, 2017, respectively.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balance sheets. The amount of this non-cash collateral was $155 million and $368 million at September 30, 2018 and December 31, 2017, respectively. See Note 5 of the Notes to the Interim Condensed Consolidated Financial Statements for information regarding the earned income on and the gross notional amount, estimated fair value of assets and liabilities and primary underlying risk exposure of our derivatives.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11 of the Notes to the Interim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we enter into commitments in the normal course of business for the purpose of enhancing the total return on our investment portfolio: mortgage loan commitments and commitments to fund partnerships, bank credit facilities and private corporate bond investments. See “Net Investment Income” and “Net Investment Gains (Losses)” in Note 4 of the Notes to the Interim Condensed Consolidated Financial Statements for information on the investment income, investment expense, gains and losses from such investments. See also “— Investments — Fixed Maturity AFS and Equity Securities” and “— Investments — Mortgage Loans” for information on our investments in fixed maturity securities and mortgage loans. See “— Investments — Real Estate Joint Ventures” and “— Investments — Other Limited Partnership Interests” for information on our partnership investments.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commitments disclosed in Note 11 of the Notes to the Interim Condensed Consolidated Financial Statements, there are no other material obligations or liabilities arising from the commitments to fund mortgage loans, partnerships,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2017 Annual Report.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6"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the 2017 Annual Report. Except as otherwise discussed below, there have been no material changes to our actuarial liabilities.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the 2017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Financial Statements. A discussion of PABs by segment (as well as Corporate &amp; Other) can be found in “Management’s Discussion and Analysis of Financial Condition and Results of Operations — Policyholder Liabilities” included in the 2017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Current Products — Variable Annuities” included in the 2017 Annual Report for additional information.</w:t>
      </w:r>
    </w:p>
    <w:p>
      <w:pPr>
        <w:spacing w:after="0" w:line="64"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amount at risk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NAR for the GMWB and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6" w:right="2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Net Amount at Risk” included in the 2017 Annual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 values and NAR of contract owners by type of guaranteed minimum benefit for variable annuity contracts are summarized below at: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 2018 (1)</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2017 (1)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Account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3"/>
                <w:szCs w:val="13"/>
                <w:color w:val="auto"/>
              </w:rPr>
            </w:pPr>
          </w:p>
        </w:tc>
        <w:tc>
          <w:tcPr>
            <w:tcW w:w="70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 of Account</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80" w:type="dxa"/>
            <w:vAlign w:val="bottom"/>
          </w:tcPr>
          <w:p>
            <w:pPr>
              <w:spacing w:after="0"/>
              <w:rPr>
                <w:sz w:val="13"/>
                <w:szCs w:val="13"/>
                <w:color w:val="auto"/>
              </w:rPr>
            </w:pPr>
          </w:p>
        </w:tc>
        <w:tc>
          <w:tcPr>
            <w:tcW w:w="8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3"/>
                <w:szCs w:val="13"/>
                <w:color w:val="auto"/>
              </w:rPr>
            </w:pPr>
          </w:p>
        </w:tc>
        <w:tc>
          <w:tcPr>
            <w:tcW w:w="72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300" w:type="dxa"/>
            <w:vAlign w:val="bottom"/>
          </w:tcPr>
          <w:p>
            <w:pPr>
              <w:jc w:val="center"/>
              <w:ind w:left="21"/>
              <w:spacing w:after="0" w:line="153" w:lineRule="exact"/>
              <w:rPr>
                <w:sz w:val="20"/>
                <w:szCs w:val="20"/>
                <w:color w:val="auto"/>
              </w:rPr>
            </w:pPr>
            <w:r>
              <w:rPr>
                <w:rFonts w:ascii="Arial" w:cs="Arial" w:eastAsia="Arial" w:hAnsi="Arial"/>
                <w:sz w:val="14"/>
                <w:szCs w:val="14"/>
                <w:b w:val="1"/>
                <w:bCs w:val="1"/>
                <w:color w:val="auto"/>
                <w:w w:val="93"/>
              </w:rPr>
              <w:t>% of Account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Value In-the-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3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Value In-the-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Money (2)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3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12,208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3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13,035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&lt;0.1%</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2,865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3,841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4"/>
        </w:trPr>
        <w:tc>
          <w:tcPr>
            <w:tcW w:w="2880" w:type="dxa"/>
            <w:vAlign w:val="bottom"/>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109,613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6,471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2,731</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115,144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2,924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$4.4 billion at September 30, 2018,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$396 million at September 30, 2018,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$1.3 billion at September 30, 2018. See “Management’s Discussion and Analysis of Financial Condition and Results of Operations — Summary of Critical Accounting Estimates” included in the 2017 Annual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6"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GAAP variable annuity reserve balances by guarantee type and accounting model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Future Policy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Policyholder</w:t>
            </w:r>
          </w:p>
        </w:tc>
        <w:tc>
          <w:tcPr>
            <w:tcW w:w="12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Future Policy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120" w:type="dxa"/>
            <w:vAlign w:val="bottom"/>
          </w:tcPr>
          <w:p>
            <w:pPr>
              <w:spacing w:after="0"/>
              <w:rPr>
                <w:sz w:val="13"/>
                <w:szCs w:val="13"/>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Account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Benefits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Account Balances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Benefits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GMIB</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GMWB4L</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4"/>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4,374</w:t>
            </w:r>
          </w:p>
        </w:tc>
        <w:tc>
          <w:tcPr>
            <w:tcW w:w="32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4,149</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gross notional amount and estimated fair value of the derivatives in our variable annuity hedging program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Primary Underlying Risk</w:t>
            </w: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Notional</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2"/>
                <w:szCs w:val="2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Gross Notional</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1840" w:type="dxa"/>
            <w:vAlign w:val="bottom"/>
            <w:gridSpan w:val="2"/>
            <w:vMerge w:val="continue"/>
          </w:tcPr>
          <w:p>
            <w:pPr>
              <w:spacing w:after="0"/>
              <w:rPr>
                <w:sz w:val="6"/>
                <w:szCs w:val="6"/>
                <w:color w:val="auto"/>
              </w:rPr>
            </w:pPr>
          </w:p>
        </w:tc>
        <w:tc>
          <w:tcPr>
            <w:tcW w:w="28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Instrument Type</w:t>
            </w:r>
          </w:p>
        </w:tc>
        <w:tc>
          <w:tcPr>
            <w:tcW w:w="10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8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Exposure</w:t>
            </w: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12,361</w:t>
            </w:r>
          </w:p>
        </w:tc>
        <w:tc>
          <w:tcPr>
            <w:tcW w:w="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14,586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Interest rate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Equity Market</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index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variance swaps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total return swaps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83,149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96,212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Period to period changes in the estimated fair value of these hedges affect our net income, as well as stockholders’ equity and these effects can be material in any given period. See “Risk Factors — Risks Related to Our Business — Our variable annuity exposure management strategy may not be effective, may result in net income volatility and may negatively affect our statutory capital” and “Management’s Discussion and Analysis of Financial Condition and Results of Operations — Summary of Critical Accounting Estimates,” both included in the 2017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Liquidity refers to our ability to generate adequate cash flows from our normal operations to meet the cash requirements of our operating, investing and financing activities. Capital refers to our long-term financial resources available to support our business operations and contribute to future growth. Our ability to generate and maintain sufficient liquidity and capital depends on the profitability of our businesses, timing of cash flows from investments and products, general economic conditions and access to our credit facilities, repurchase facility and reinsurance financing arrangement, as well as access to the capital markets and the alternate sources of liquidity and capital described herein.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6"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Brighthouse Financial, Inc., from the cash flow needs of the combined group of companies. Brighthouse Financial, Inc. is largely dependent on cash flows from its insurance subsidiaries to meet its obligations. The principal sources of funds available to Brighthouse Financial, Inc. include dividends and returns of capital from its insurance subsidiaries, as well as its own cash and cash equivalents and short-term investments. Such funds are paid to Brighthouse Financial, Inc. by BH Holdings, its direct wholly-owned holding company subsidiary.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 Assets and Short-term Liquidity</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An integral part of our liquidity management includes managing our levels of liquid assets and short-term liquidity. Our non-insurance company liquid assets and short-term liquidity are generated primarily through borrowings, as well as through dividends and returns of capital from our insurance subsidiaries, offset by payments for certain services provided from our insurance and non-insurance subsidiaries, which include, but are not limited to, executive oversight, treasury, finance, legal, human resources, tax planning, internal audit, financial reporting, information technology, distribution services and investor relations. Insurance subsidiary dividends are subject to local insurance regulatory requirements, as discussed in “— The Company — Capital — Restrictions on Dividends and Returns of Capital from Insurance Company Subsidiaries.”</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Liquid assets and short-term liquidity were made available from the issuance of $375 million of junior subordinated debentures in September 2018 and $3.0 billion of senior notes in June 2017, as well as from drawdowns under the 2017 Term Loan Facility in the third quarter of 2017. In addition, any undrawn capacity under the Revolving Credit Facility, as well as under our collateralized financing arrangements, are potential sources of liquidity. In order to manage our capital more efficiently, we have established internal liquidity facilities to provide liquidity within and across our combined group of companies. At September 30, 2018 and December 31, 2017, total obligations outstanding under these internal liquidity facilities were $3 million and $136 million, respectively.</w:t>
      </w:r>
    </w:p>
    <w:p>
      <w:pPr>
        <w:spacing w:after="0" w:line="85"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At September 30, 2018 and December 31, 2017, Brighthouse Financial, Inc. and certain of its non-insurance subsidiaries had liquid assets of $603 million and $656 million, respectively, of which $534 million and $563 million, respectively, was held by Brighthouse Financial, Inc. Liquid assets include cash and cash equivalents, short-term investments and publicly-traded securities, excluding assets that are pledged or otherwise committed. Assets pledged or otherwise committed include amounts received in connection with derivatives and collateralized financing arrangements.</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At September 30, 2018 and December 31, 2017, Brighthouse Financial, Inc. and certain of its non-insurance subsidiaries had short-term liquidity of $371 million and $419 million, respectively. Short-term liquidity includes cash and cash equivalents and short-term investments, excluding assets that are pledged or otherwise committed, including amounts received in connection with securities lending, repurchase agreements, derivatives and secured borrowings.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We expect to maintain adequate liquidity at Brighthouse Financial, Inc., a debt-to-capital ratio of approximately 25% and a funding of $2.0 billion to $3.0 billion of assets in excess of CTE95 to support our variable annuity contracts during normal markets. We monitor our financial leverage ratio based on an average of our key leverage calculations of A.M. Best, Fitch Ratings, Moody’s and Standard &amp; Poor’s. At September 30, 2018, we had in excess of $600 million of assets above CTE98 to support our variable annuity contracts. We do not expect that our ability to maintain adequate liquidity will be materially affected by the Tax Act, or by the NAIC’s current reform activities related to the statutory framework for variable annuities. See “— Industry Trends — Variable Annuity Capital Reform.”</w:t>
      </w:r>
    </w:p>
    <w:p>
      <w:pPr>
        <w:spacing w:after="0" w:line="85"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We may opportunistically look to pursue additional financing over time to reach our targeted debt-to-capital ratio of 25% and to refinance borrowings outstanding under the 2017 Term Loan Facility. Such financing may include the incurrence of term loans or the issuance of debt, equity or hybrid securities. There can be no assurance that we will be able to complete any such financing transactions on terms and conditions favorable to us or at all.</w:t>
      </w:r>
    </w:p>
    <w:p>
      <w:pPr>
        <w:spacing w:after="0" w:line="3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do not currently pay regular cash dividends on our common stock. Any future declaration and payment of dividends or other distributions of capital will be at the discretion of our Board of Directors and depend on and be subject to our financial conditions, results of operations, earnings, cash needs, regulatory and other constraints, capital requirements (including capital requirements of our subsidiaries), contractual restrictions and any other factors that our Board of Directors deems relevant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6"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making such a determination. Therefore, there can be no assurance that we will pay any dividends or make other distributions on our common stock, or as to the amount of any such dividends or distribution of capital.</w:t>
      </w:r>
    </w:p>
    <w:p>
      <w:pPr>
        <w:spacing w:after="0" w:line="62"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See “— The Company — Capital” for a discussion of how we manage our capital for the combined group of companies. See also “— The Company — Primary Uses of Liquidity and Capital — Common Stock Repurchases” for information regarding our common stock repurchase program.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Our principal sources of liquidity are insurance premiums and annuity considerations, net investment income and proceeds from the maturity and sale of investments. The primary uses of these funds are investing activities, payments of policyholder benefits, commissions and operational expenses, contract maturities, withdrawals and surrenders.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the primary sources and uses of liquidity and capital:</w:t>
      </w:r>
    </w:p>
    <w:p>
      <w:pPr>
        <w:spacing w:after="0" w:line="325"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1,496</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2,505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issued</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received from MetLife, Inc. in connection with shareholder’s net investment</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4"/>
              </w:rPr>
              <w:t>4,376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7,107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Uses: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3,469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repaid (1)</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 financing arrangements repaid</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to MetLife, Inc.</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paid to MetLife, Inc. in connection with shareholder’s net investment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10,637</w:t>
            </w:r>
          </w:p>
        </w:tc>
        <w:tc>
          <w:tcPr>
            <w:tcW w:w="0" w:type="dxa"/>
            <w:vAlign w:val="bottom"/>
          </w:tcPr>
          <w:p>
            <w:pPr>
              <w:spacing w:after="0"/>
              <w:rPr>
                <w:sz w:val="1"/>
                <w:szCs w:val="1"/>
                <w:color w:val="auto"/>
              </w:rPr>
            </w:pP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33"/>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Represents long-term debt repayments related to CSEs.</w:t>
      </w:r>
    </w:p>
    <w:p>
      <w:pPr>
        <w:spacing w:after="0" w:line="117"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The principal cash inflows from our insurance activities come from insurance premiums, annuity considerations and net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income. The principal cash outflows are the result of various life insurance and annuity products, operating expenses and income tax, as well as interest expense. A primary liquidity concern with respect to these cash flows is the risk of early contract holder and policyholder withdrawal.</w:t>
      </w:r>
    </w:p>
    <w:p>
      <w:pPr>
        <w:spacing w:after="0" w:line="3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i w:val="1"/>
          <w:iCs w:val="1"/>
          <w:color w:val="auto"/>
        </w:rPr>
        <w:t xml:space="preserve">Cash Flows from Investments. </w:t>
      </w:r>
      <w:r>
        <w:rPr>
          <w:rFonts w:ascii="Arial" w:cs="Arial" w:eastAsia="Arial" w:hAnsi="Arial"/>
          <w:sz w:val="18"/>
          <w:szCs w:val="18"/>
          <w:color w:val="auto"/>
        </w:rPr>
        <w:t>The principal cash inflows from our investment activities come from repayments of principal, proceeds from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85"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i w:val="1"/>
          <w:iCs w:val="1"/>
          <w:color w:val="auto"/>
        </w:rPr>
        <w:t xml:space="preserve">Cash Flows from Financing, The Company. </w:t>
      </w:r>
      <w:r>
        <w:rPr>
          <w:rFonts w:ascii="Arial" w:cs="Arial" w:eastAsia="Arial" w:hAnsi="Arial"/>
          <w:sz w:val="18"/>
          <w:szCs w:val="18"/>
          <w:color w:val="auto"/>
        </w:rPr>
        <w:t>The principal cash inflows from our financing activities come from issuances of debt, deposits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PABs and lending of securities. The principal cash outflows come from repayments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6"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of debt, withdrawals associated with PABs and the return of securities on loan. The primary liquidity concerns with respect to these cash flows are market disruption and the risk of early contract holder and policyholder withdrawal.</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Cash Flows from Financing, Parent Company. </w:t>
      </w:r>
      <w:r>
        <w:rPr>
          <w:rFonts w:ascii="Arial" w:cs="Arial" w:eastAsia="Arial" w:hAnsi="Arial"/>
          <w:sz w:val="18"/>
          <w:szCs w:val="18"/>
          <w:color w:val="auto"/>
        </w:rPr>
        <w:t>The principal cash inflows from parent company financing activities come from issuance of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from subsidiaries. The principal cash outflows from parent company financing activities relate to interest expense on and repayments of debt, and payment of dividends on and repurchases of common or preferred stock.</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Liquidity Management</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Based upon our capitalization, expectations regarding maintaining our ratings, business mix and funding sources available to us, we believe we have sufficient liquidity to meet business requirements under current market conditions and certain stress scenarios. We continuously monitor and adjust our liquidity and capital plans in light of market conditions, as well as changing needs and opportunities.</w:t>
      </w:r>
    </w:p>
    <w:p>
      <w:pPr>
        <w:spacing w:after="0" w:line="73"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include various scenarios of the potential increase to post or return collateral, reduction to new business sales, and risk of early contract holder and policyholder withdrawals, and lapses and surrenders of existing policies and contracts. We include provisions limiting withdrawal rights on many of our products. Certain of these provisions prevent the customer from making withdrawals prior to the maturity date of the product. In the event of significant cash requirements beyond anticipated liquidity needs, we have various alternatives available depending on market conditions and the amount and timing of the liquidity need. These potential available alternative sources of liquidity include cash flows from operations, sales of liquid assets, internal liquidity facilities, collateralized financing arrangements and any undrawn capacity under the Revolving Credit Facility.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Consolidated Liquid Assets and Short-term Liquidity</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Consolidated liquid assets were $33.9 billion and $38.3 billion at September 30, 2018 and December 31, 2017, respectively. Consolidated short-term liquidity was $1.8 billion and $1.6 billion at September 30,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will be supported by our ability to generate cash flows within our insurance companies, our ability to effectively manage the risk of our businesses, and our expected ability to borrow funds and raise additional capital to meet operating and growth needs in the event of adverse market and economic conditions.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Capital Management</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Our Board of Directors and senior management are directly involved in the governance of the capital management process, including proposed changes to the annual capital plan and capital targets. In connection with the Separation, we undertook various capitalization activities. For example, we have eliminated intercompany financing arrangements with or guaranteed by MetLife. We are targeting a debt-to-total capitalization ratio commensurate with our parent company credit ratings and our insurance subsidiaries’ financial strength ratings.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 Primary Uses of Liquidity and Capital — Common Stock Repurchases” for information regarding our common stock repurchase program.</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companies have statutory surplus above the level needed to meet current regulatory requirements.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the date of the most recent annual statutory financial statements filed with insurance regulators, the total adjusted capital of each of these insurance subsidiaries subject to these requirements was in excess of each of those RBC levels.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Restrictions on Dividends and Returns of Capital from Insurance Subsidiaries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Our business is primarily conducted through our insurance subsidiaries. The insurance subsidiaries are subject to regulatory restrictions on the payment of dividends and other distributions imposed by the regulators of their respective state domiciles. For more information, see “Business — Regulation — Insurance Regulation — Holding Company Regulation” in our 2017 Annual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6"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Any requested payment of dividends by Brighthouse Life Insurance Company and NELICO to BH Holdings, or by BHNY to Brighthouse Life Insurance Company, in excess of the 2018 limit on the permitted payment of dividends without approval would be considered an extraordinary dividend and would require prior approval from the Delaware Department of Insurance or the Massachusetts Division of Insurance, and the NYDFS, respectively. Statutory accounting practices, as prescribed by insurance regulators of various states in which we conduct business, differ in certain respects from accounting principles used in financial statements prepared in conformity with GAAP. The significant differences relate to the treatment of DAC, certain deferred income tax, required investment liabilities, statutory reserve calculation assumptions and surplus notes.</w:t>
      </w:r>
    </w:p>
    <w:p>
      <w:pPr>
        <w:spacing w:after="0" w:line="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table below sets forth the dividends permitted to be paid in 2018 by our insurance subsidiaries without insurance regulatory approval and the respective dividends paid during the nine months ended September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Company</w:t>
            </w:r>
          </w:p>
        </w:tc>
        <w:tc>
          <w:tcPr>
            <w:tcW w:w="11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Paid</w:t>
            </w:r>
          </w:p>
        </w:tc>
        <w:tc>
          <w:tcPr>
            <w:tcW w:w="5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Permitted without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Arial" w:cs="Arial" w:eastAsia="Arial" w:hAnsi="Arial"/>
                <w:sz w:val="14"/>
                <w:szCs w:val="14"/>
                <w:b w:val="1"/>
                <w:bCs w:val="1"/>
                <w:color w:val="auto"/>
              </w:rPr>
              <w:t>Approval (1)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2"/>
          </w:tcPr>
          <w:p>
            <w:pPr>
              <w:jc w:val="right"/>
              <w:ind w:right="102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New England Life Insurance Company</w:t>
            </w:r>
          </w:p>
        </w:tc>
        <w:tc>
          <w:tcPr>
            <w:tcW w:w="1180" w:type="dxa"/>
            <w:vAlign w:val="bottom"/>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65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 of NY (2)</w:t>
            </w: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4"/>
                <w:szCs w:val="14"/>
                <w:color w:val="auto"/>
              </w:rPr>
              <w:t>______________</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340" w:hanging="332"/>
        <w:spacing w:after="0" w:line="34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Reflects dividend amounts that may be paid during 2018 without prior regulatory approval. However, because dividend tests may be based on dividends previously paid over rolling 12-month periods, if paid before a specified date during 2018, some or all of such dividends may require regulatory approval.</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Dividends are not anticipated to be paid by BHNY in 2018.</w:t>
      </w:r>
    </w:p>
    <w:p>
      <w:pPr>
        <w:spacing w:after="0" w:line="117"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Brighthouse Financial, Inc. received a $52 million cash distribution from BH Holdings during the nine months ended September 30, 2018. There were no cash distributions or returns of capital paid by our non-insurance subsidiaries for the nine months ended September 30, 2017.</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Rating agencies use an “outlook statement” of “positive,” “stable,” ‘‘negative’’ or “developing” to indicate a medium- or long-term trend in credit fundamentals which, if continued, may lead to a rating change. A rating may have a “stable” outlook to indicate that the rating is not expected to change; however, a “stable” rating does not preclude a rating agency from changing a rating at any time, without notice. Certain rating agencies assign rating modifiers such as “CreditWatch” or “under review” to indicate their opinion regarding the potential direction of a rating. These ratings modifiers are generally assigned in connection with certain events such as potential mergers, acquisitions, dispositions or material changes in a company’s results, in order for the rating agency to perform its analysis to fully determine the rating implications of the event.</w:t>
      </w:r>
    </w:p>
    <w:p>
      <w:pPr>
        <w:spacing w:after="0" w:line="7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Information about financial strength ratings and credit ratings can be found in the 2017 Annual Report, as well as on the respective websites of the rating agencies.</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Rating agencies may continue to review and adjust our ratings. A downgrade in the credit ratings of Brighthouse Financial, Inc., the parent company, would likely impact us in many ways, including the cost and availability of financing for Brighthouse Financial, Inc., and its subsidiaries. See Note 5 of the Notes to the Interim Condensed Consolidated Financial Statements.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Downgrades in our financial strength ratings could have a material adverse effect on our financial condition and results of operations in many ways, including:</w:t>
      </w:r>
    </w:p>
    <w:p>
      <w:pPr>
        <w:spacing w:after="0" w:line="6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triggering termination and recapture rights under certain of our ceded reinsurance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requiring us to post additional collateral under certain of our financing and derivative transactions;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6"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Additionally, downgrades in the credit ratings of Brighthouse Financial, Inc. or financial strength ratings of our insurance subsidiaries would likely impact us in the following ways:</w:t>
      </w:r>
    </w:p>
    <w:p>
      <w:pPr>
        <w:spacing w:after="0" w:line="6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impact our ability to generate cash flows from the sale of funding agreements and other capital market products we offer;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impact the cost and availability of financing for Brighthouse.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Liquidity is provided by a variety of funding sources, including funding agreements. Capital is provided by a variety of funding sources, including long-term debt, credit facilities and reserve financing facilities. The diversity of our funding sources enhances our funding flexibility, limits dependence on any one market or source of funds and generally lowers the cost of funds. In addition to our senior note and junior subordinated debenture issuances, credit facilities, repurchase facility and reinsurance financing arrangement, our other funding sources include or have included: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Home Loan Bank Funding Agreements, Reported in Policyholder Account Balances</w:t>
      </w:r>
    </w:p>
    <w:p>
      <w:pPr>
        <w:spacing w:after="0" w:line="117"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In July 2018, Brighthouse Life Insurance Company became a member of FHLB of Atlanta. Brighthouse Life Insurance Company was previously a member of FHLB of Pittsburgh. At September 30, 2018, Brighthouse Life Insurance Company had obligations outstanding with certain regional banks in the FHLB system. During the nine months ended September 30, 2018 and 2017, there were no issuances, and we repaid $0 and $50 million, respectively, under funding agreements with such regional FHLBs. At both September 30, 2018 and December 31, 2017, total obligations outstanding under these funding agreements were $595 million. Activity related to these funding agreements is reported in the Run-off segment.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Special Purpose Entity Funding Agreements, Reported in Policyholder Account Balances</w:t>
      </w:r>
    </w:p>
    <w:p>
      <w:pPr>
        <w:spacing w:after="0" w:line="117"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Brighthouse Life Insurance Company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the nine months ended September 30, 2018 and 2017, there were no issuances and we repaid $6 million during both periods, under such funding agreements. At September 30, 2018 and December 31, 2017, total obligations outstanding under these funding agreements were $136 million and $141 million, respectively. Activity related to these funding agreements is reported in the Run-off segment.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Outstanding 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debt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320" w:type="dxa"/>
            <w:vAlign w:val="bottom"/>
            <w:tcBorders>
              <w:top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3.700%</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Senior notes (1)</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4.700%</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2047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plus 1.5%</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Junior subordinated debentures (1)</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6.250%</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2058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debt (2)</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7.028%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4"/>
        </w:trPr>
        <w:tc>
          <w:tcPr>
            <w:tcW w:w="4240" w:type="dxa"/>
            <w:vAlign w:val="bottom"/>
          </w:tcPr>
          <w:p>
            <w:pPr>
              <w:ind w:left="180"/>
              <w:spacing w:after="0"/>
              <w:rPr>
                <w:sz w:val="20"/>
                <w:szCs w:val="20"/>
                <w:color w:val="auto"/>
              </w:rPr>
            </w:pPr>
            <w:r>
              <w:rPr>
                <w:rFonts w:ascii="Arial" w:cs="Arial" w:eastAsia="Arial" w:hAnsi="Arial"/>
                <w:sz w:val="16"/>
                <w:szCs w:val="16"/>
                <w:color w:val="auto"/>
              </w:rPr>
              <w:t>Total long-term debt (3)</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$46 million and $34 million for senior notes due 2027 and 2047 and junior subordinated debentures due 2058 on a combined basis at September 30, 2018 and December 31, 2017, respectively.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Excludes $3 million and $11 million of long-term debt related to CSEs at September 30, 2018 and December 31, 2017, respectively. See Note 4 of the Notes to the Interim Condensed Consolidated Financial Statements for more information regarding CSEs.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6"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Junior Subordinated Debentures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September 12, 2018, Brighthouse Financial, Inc. issued $375 million of junior subordinated debentures (the “debentures”) due September 2058, which bear interest at a fixed rate of 6.250%, payable quarterly, subject to Brighthouse Financial, Inc.’s right to defer interest payments in accordance with the terms of the debentures. The debentures are unsecured obligations and are subordinate and junior in right of payment to Brighthouse Financial, Inc.’s senior indebtedness.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Facilities</w:t>
      </w:r>
    </w:p>
    <w:p>
      <w:pPr>
        <w:spacing w:after="0" w:line="117"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At September 30, 2018, there were no drawdowns under the Revolving Credit Facility and there was $600 million outstanding under the 2017 Term Loan Facility, resulting in unused commitments totaling $2.0 billion in comparison to the maximum capacity of $2.6 billion under these facilities.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Repurchase Facility</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 Under the Repurchase Facility, Brighthouse Life Insurance Company may sell securities at a purchase price based on the market value of the securities less an applicable margin, with a concurrent agreement to repurchase such securities at a predetermined future date (ranging from two weeks to three months) and at a price which represents the original purchase price plus interest. At September 30, 2018, there were no drawdowns under the Repurchase Facility.</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Our reinsurance subsidiary, BRCD, was formed to manage our capital and risk exposures and to support our term and ULSG businesses, through the use of affiliated reinsurance arrangements and related reserve financing. BRCD has a $10.0 billion financing arrangement with a pool of highly rated third-party reinsurers. This financing arrangement consists of credit-linked notes that each have a term of 20 years. At September 30, 2018, there were no drawdowns on such notes and there was $9.7 billion of funding available under this financing arrangement.</w:t>
      </w:r>
    </w:p>
    <w:p>
      <w:pPr>
        <w:spacing w:after="0" w:line="63"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BRCD is capitalized with cash and invested assets, including funds withheld (“Minimum Initial Target Assets”) at a level that is sufficient to satisfy its future cash obligations assuming a permanent level yield curve, consistent with NAIC cash flow testing scenarios. BRCD utilizes a financing program to cover the difference between full required statutory assets (i.e., XXX/AXXX reserves plus target risk margin appropriate to meet capital needs) and Minimum Initial Target Assets. An admitted deferred tax asset, if any, would also serve to reduce the amount of funding required under this financing program.</w:t>
      </w:r>
    </w:p>
    <w:p>
      <w:pPr>
        <w:spacing w:after="0" w:line="80"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Historically, the assets for the BRCD cash flow testing were aggregated and not allocated to products. As we finalize the movement of our ULSG business from the Life segment to the Run-off segment, we plan to focus more on product level allocations and therefore anticipate that our Minimum Initial Target Assets by product will change. This will have no impact on BRCD in total but could reduce our total ULSG asset requirement target.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debt instruments and committed facilities contain certain administrative, reporting and legal covenants. Additionally, the 2017 Term Loan Facility and the Revolving Credit Facility contain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The Company is not aware of any non-compliance with these financial covenants at September 30, 2018.</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In addition to the general description of liquidity and capital uses in “— Sources and Uses of Liquidity and Capital,” the following additional information is provided regarding our primary uses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On August 5, 2018, Brighthouse Financial, Inc.’s Board of Directors authorized the repurchase of up to $200 million of Brighthouse Financial, Inc.’s common stock. Repurchases made under such authorization may be made through open market purchases, pursuant to 10b5-1plans, or pursuant to accelerated stock repurchase plans from time to time at management’s discretion in accordance with applicable federal securities laws. As of September 30, 2018, the Company had repurchased 982,057 shares of its common stock through open market purchases for $42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6" w:right="2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Liabilities arising from our insurance activities primarily relate to benefit payments under various life insurance products and annuity products, as well as payments for policy surrenders, withdrawals and loans. Surrender or lapse behavior differs somewhat by product, but tends to occur in the normal course of business. During the nine months ended September 30, 2018 and 2017, general account surrenders and withdrawals totaled $1.8 billion and $1.7 billion, respectively, of which $1.3 billion and $1.2 billion, respectively, were attributable to products within the Annuities segment.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We pledge collateral to, and have collateral pledged to us by, counterparties in connection with our derivatives. At September 30, 2018 and December 31, 2017, counterparties were obligated to return cash collateral pledged by us of $0 and $44 million, respectively. At September 30, 2018 and December 31, 2017, we were obligated to return cash collateral pledged to us by counterparties of $297 million and $379 million, respectively. See Note 5 of the Notes to the Interim Condensed Consolidated Financial Statements for additional information about pledged collateral.</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pledge collateral from time to time in connection with funding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$3.7 billion and $3.8 billion at September 30, 2018 and December 31, 2017, respectively. Of these amounts, $1.3 billion and $1.6 billion at September 30, 2018 and December 31, 2017, respectively, were on open, meaning that the related loaned security could be returned to us on the next business day requiring the immediate return of cash collateral we hold. The estimated fair value of the securities on loan related to the cash collateral on open at September 30, 2018 was $1.3 billion, all of which were U.S. government and agency securities which, if put to us, could be immediately sold to satisfy the cash requirement. See Note 4 of the Notes to the Interim Condensed Consolidated Financial Statements.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11 of the Notes to the Interim Condensed Consolidated Financial Statements.</w:t>
      </w:r>
    </w:p>
    <w:p>
      <w:pPr>
        <w:spacing w:after="0" w:line="64"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We establish liabilities for litigation and regulatory loss contingencies when it is probable that a loss has been incurred and the amount of the loss can be reasonably estimated. For material matters where a loss is believed to be reasonably possible but not probable, no accrual is made but we disclose the nature of the contingency and an aggregate estimate of the reasonably possible range of loss in excess of amounts accrued, when such an estimate can be made. It is not possible to predict or determine the ultimate outcome of all pending investigations and legal proceedings. In some of the matters referred to herein, very large and/or indeterminate amounts, including punitive and treble damages, are sought. Although in light of these considerations, it is possible that an adverse outcome in certain cases could have a material adverse effect upon our financial position, based on information currently known by us, in our opinion, the outcome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adverse effect on our combined net income or cash flows in particular quarterly or annual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6" w:right="2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“forecast,”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 and the recapitalization actions.</w:t>
      </w:r>
    </w:p>
    <w:p>
      <w:pPr>
        <w:spacing w:after="0" w:line="11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7" w:lineRule="exact"/>
        <w:rPr>
          <w:sz w:val="20"/>
          <w:szCs w:val="20"/>
          <w:color w:val="auto"/>
        </w:rPr>
      </w:pPr>
    </w:p>
    <w:p>
      <w:pPr>
        <w:ind w:left="720" w:hanging="388"/>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counterparty risk due to guarantees within certain of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effectiveness of our exposure management strategy and the impact of such strategy on net income volatility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additional reserves we will be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degree of leverage due to indebtedness incurred in connection with the Separation;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accounting standards, practices and/or policies applicable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these third parties and any inability to obtain information or assistance we need from third parties, including MetLife;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all or any portion of the Separation tax consequences are not as expected, leading to material additional taxes or material adverse consequences to tax attributes that impact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6" w:right="2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including the potential of outcomes adverse to us that could cause us to owe MetLife material tax reimbursements or payments or disagreements regarding MetLife’s or our obligations under our other agreements;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on our business structure, profitability, cost of capital and flexibility due to restrictions we have agreed to that preserve the tax-free treatment of certain parts of the Separation;</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potential material negative tax impact of the Tax Cuts and Jobs Act and other potential future tax legislation that could decrease the value of our tax attributes, lead to increased RBC requirements and cause other cash expenses, such as reserves, to increase materially and make some of our products less attractive to consumers;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Distribution will qualify for non-recognition treatment for U.S. federal income tax purposes and potential indemnification to MetLife if the Distribution does not so qualify;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described in our 2017 Annual Report, our subsequent Quarterly Reports on Form 10-Q, and from time to time in documents that we file with the SEC.</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2017 Annual Report, our subsequent Quarterly Reports on Form 10-Q, particularly in the sections entitled “Risk Factors” and “Quantitative and Qualitative Disclosures About Market Risk,” and included elsewhere herein, as well as in our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 Please consult any further disclosures the Company makes on related subjects in reports to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announce financial and other information about Brighthouse to our investors through the Brighthouse Investor Relations web page at www.brighthousefinancial.com, as well as SEC filings, news releases, public conference calls and webcasts. Brighthouse encourages investors to visit the Investor Relations web page from time to time, as information is updated and new information is posted. The information found on our website is not incorporated by reference in this report or in any other report or document we file with the SEC, and any references to our website are intended to be inactive textual references only.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regularly analyze our market risk exposure to interest rate, equity market price, credit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fair value resulting from changes in interest rates, equity market prices, credit spreads and foreign currency exchange rates. We may have additional financial impacts other than changes in fair value, which are beyond the scope of this discussion. A description of our market risk exposures may be found under “Quantitative and Qualitative Disclosures About Market Risk” in the 2017 Annual Report. There have been no material changes to our market risk exposures from the market risk exposures previously disclosed in the 2017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with the participation of the Chief Executive Officer and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Chief Financial Officer have concluded that these disclosure controls and procedures were effective as of September 30, 2018.</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MetLife continues to provide certain services to the Company on a transitional basis through services agreements. The Company continues to change business processes and implement systems, establish and implement third-party arrangements as a standalone entity, and identify, document and evaluate controls to ensure controls over our financial reporting are effective. We consider these to be a material change in our internal control over financial reporting.</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September 30, 2018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6" w:right="2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should be read in conjunction with (i) Part I, Item 3 of the 2017 Annual Report and Note 15 to the Notes to the Consolidated and Combined Financial Statements included in the 2017 Annual Report; (ii) Part II, Item 1 of the First Quarter Form 10-Q; (iii) Part II, Item 1 of the Second Quarter Form 10-Q; and (iv) Note 11 of the Notes to the Interim Condensed Consolidated Financial Statements in Part I of this report.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Group Annuity Class Action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Edward Roycroft v. Brighthouse Financial, Inc., et al. </w:t>
      </w:r>
      <w:r>
        <w:rPr>
          <w:rFonts w:ascii="Arial" w:cs="Arial" w:eastAsia="Arial" w:hAnsi="Arial"/>
          <w:sz w:val="18"/>
          <w:szCs w:val="18"/>
          <w:color w:val="auto"/>
        </w:rPr>
        <w:t>(U.S. District Court, Southern District of New York, filed June 18, 2018). Edward Roycroft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purported class action against Brighthouse Financial, Inc., MetLife, Inc., and Metropolitan Life Insurance Company. The complaint alleges plaintiff is a beneficiary of a Martindale-Hubbell group annuity contract and did not receive payments plaintiff claims he was entitled to upon his retirement in 1999. Plaintiff seeks to represent a class of all beneficiaries who were due annuity benefits pursuant to group annuity contracts and whose annuity benefits were released from reserves. Plaintiff’s causes of action are for conversion, unjust enrichment, an accounting and for a constructive trust. Plaintiff seeks damages, attorneys’ fees, declaratory and injunctive relief and other equitable remedies. In September 2018, plaintiff dismissed Brighthouse Financial, Inc. from the action without prejudice.</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matter discussed above, 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discuss in the 2017 Annual Report and our other filings with the SEC, including our subsequent Quarterly Reports on Form 10-Q, various risks that may materially affect our business. In addition, see “Management’s Discussion and Analysis of Financial Condition and Results of Operations — Industry Trends” for regulatory and other updates, as well as “Management’s Discussion and Analysis of Financial Condition and Results of Operations — Note Regarding Forward-Looking Statements” included in this report, each of which is incorporated by reference herein. There have otherwise been no other material changes to our risk factors from the risk factors previously disclosed in the 2017 Annual Report, as amended or supplemented by such information in our subsequent Quarterly Reports on Form 10-Q.</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Purchases of Brighthouse Financial, Inc. common stock made by or on behalf of Brighthouse Financial, Inc. or its affiliates during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 July 31,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August 1 — August 31, 2018</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200,000,000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 September 30,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982,057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42.64</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982,057</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158,122,941</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982,057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982,057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August 5, 2018, Brighthouse Financial, Inc.’s Board of Directors authorized the repurchase of up to $200 million of common stock. For more information on common stock repurchases, see “Management’s Discussion and Analysis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6" w:right="2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color w:val="auto"/>
        </w:rPr>
        <w:t>Financial Condition and Results of Operations — Liquidity and Capital Resources — The Company — Primary Uses of Liquidity and Capital — Common Stock Repurchases” and Note 8 of the Notes to the Interim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26" w:right="25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(Note Regarding Reliance on Statements in Our Contracts: </w:t>
      </w:r>
      <w:r>
        <w:rPr>
          <w:rFonts w:ascii="Arial" w:cs="Arial" w:eastAsia="Arial" w:hAnsi="Arial"/>
          <w:sz w:val="17"/>
          <w:szCs w:val="17"/>
          <w:i w:val="1"/>
          <w:iCs w:val="1"/>
          <w:color w:val="auto"/>
        </w:rPr>
        <w:t>In reviewing the agreements included as exhibits herein, please remember that they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40" w:type="dxa"/>
            <w:vAlign w:val="bottom"/>
            <w:gridSpan w:val="9"/>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Junior Subordinated Indenture, dated as of September 12, 2018, between Brighthouse Financial, Inc. and U.S. Bank National</w:t>
              </w:r>
            </w:hyperlink>
          </w:p>
        </w:tc>
        <w:tc>
          <w:tcPr>
            <w:tcW w:w="5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Association, as Trustee is incorporated by reference to Exhibit 4.1 to our Current Report on Form 8-K, filed on September 12, 2018</w:t>
              </w:r>
            </w:hyperlink>
          </w:p>
        </w:tc>
        <w:tc>
          <w:tcPr>
            <w:tcW w:w="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(File No. 001-37905) (the “September 12, 2018 8-K”).</w:t>
              </w:r>
            </w:hyperlink>
          </w:p>
        </w:tc>
        <w:tc>
          <w:tcPr>
            <w:tcW w:w="5640" w:type="dxa"/>
            <w:vAlign w:val="bottom"/>
            <w:gridSpan w:val="9"/>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9"/>
              </w:rPr>
              <w:t>4.1.2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1"/>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First Supplemental Indenture, dated as of September 12, 2018, between Brighthouse Financial, Inc. and U.S. Bank National</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Association, as Trustee, is incorporated by reference to Exhibit 4.2 to the September 12, 2018 8-K.</w:t>
              </w:r>
            </w:hyperlink>
          </w:p>
        </w:tc>
        <w:tc>
          <w:tcPr>
            <w:tcW w:w="680" w:type="dxa"/>
            <w:vAlign w:val="bottom"/>
            <w:gridSpan w:val="3"/>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100" w:type="dxa"/>
            <w:vAlign w:val="bottom"/>
            <w:tcBorders>
              <w:top w:val="single" w:sz="8" w:color="0000FF"/>
            </w:tcBorders>
            <w:gridSpan w:val="4"/>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Junior Subordinated Debenture (included in Exhibit A to Exhibit 4.1.2).</w:t>
              </w:r>
            </w:hyperlink>
          </w:p>
        </w:tc>
        <w:tc>
          <w:tcPr>
            <w:tcW w:w="2480" w:type="dxa"/>
            <w:vAlign w:val="bottom"/>
            <w:gridSpan w:val="7"/>
          </w:tcPr>
          <w:p>
            <w:pPr>
              <w:spacing w:after="0"/>
              <w:rPr>
                <w:sz w:val="21"/>
                <w:szCs w:val="2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6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Brighthouse Financial Relocation Policy.</w:t>
              </w:r>
            </w:hyperlink>
          </w:p>
        </w:tc>
        <w:tc>
          <w:tcPr>
            <w:tcW w:w="2840" w:type="dxa"/>
            <w:vAlign w:val="bottom"/>
            <w:tcBorders>
              <w:top w:val="single" w:sz="8" w:color="0000FF"/>
            </w:tcBorders>
            <w:gridSpan w:val="2"/>
          </w:tcPr>
          <w:p>
            <w:pPr>
              <w:spacing w:after="0"/>
              <w:rPr>
                <w:sz w:val="21"/>
                <w:szCs w:val="21"/>
                <w:color w:val="auto"/>
              </w:rPr>
            </w:pPr>
          </w:p>
        </w:tc>
        <w:tc>
          <w:tcPr>
            <w:tcW w:w="3780" w:type="dxa"/>
            <w:vAlign w:val="bottom"/>
            <w:gridSpan w:val="8"/>
          </w:tcPr>
          <w:p>
            <w:pPr>
              <w:spacing w:after="0"/>
              <w:rPr>
                <w:sz w:val="21"/>
                <w:szCs w:val="2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1"/>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Certification of Chief Executive Officer pursuant to Section 302 of the Sarbanes-Oxley Act of 2002.</w:t>
              </w:r>
            </w:hyperlink>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48">
              <w:r>
                <w:rPr>
                  <w:rFonts w:ascii="Arial" w:cs="Arial" w:eastAsia="Arial" w:hAnsi="Arial"/>
                  <w:sz w:val="18"/>
                  <w:szCs w:val="18"/>
                  <w:color w:val="0000FF"/>
                  <w:w w:val="92"/>
                </w:rPr>
                <w:t>Certification of Chief Financial Officer pursuant to Section 302 of the Sarbanes-Oxley Act of 2002.</w:t>
              </w:r>
            </w:hyperlink>
          </w:p>
        </w:tc>
        <w:tc>
          <w:tcPr>
            <w:tcW w:w="20" w:type="dxa"/>
            <w:vAlign w:val="bottom"/>
            <w:tcBorders>
              <w:top w:val="single" w:sz="8" w:color="0000FF"/>
            </w:tcBorders>
          </w:tcPr>
          <w:p>
            <w:pPr>
              <w:spacing w:after="0"/>
              <w:rPr>
                <w:sz w:val="21"/>
                <w:szCs w:val="21"/>
                <w:color w:val="auto"/>
              </w:rPr>
            </w:pPr>
          </w:p>
        </w:tc>
        <w:tc>
          <w:tcPr>
            <w:tcW w:w="2360" w:type="dxa"/>
            <w:vAlign w:val="bottom"/>
            <w:gridSpan w:val="4"/>
          </w:tcPr>
          <w:p>
            <w:pPr>
              <w:spacing w:after="0"/>
              <w:rPr>
                <w:sz w:val="21"/>
                <w:szCs w:val="2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1"/>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Certification of Chief Executive Officer pursuant to Section 906 of the Sarbanes-Oxley Act of 2002.</w:t>
              </w:r>
            </w:hyperlink>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1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50">
              <w:r>
                <w:rPr>
                  <w:rFonts w:ascii="Arial" w:cs="Arial" w:eastAsia="Arial" w:hAnsi="Arial"/>
                  <w:sz w:val="18"/>
                  <w:szCs w:val="18"/>
                  <w:color w:val="0000FF"/>
                  <w:w w:val="92"/>
                </w:rPr>
                <w:t>Certification of Chief Financial Officer pursuant to Section 906 of the Sarbanes-Oxley Act of 2002.</w:t>
              </w:r>
            </w:hyperlink>
          </w:p>
        </w:tc>
        <w:tc>
          <w:tcPr>
            <w:tcW w:w="40" w:type="dxa"/>
            <w:vAlign w:val="bottom"/>
            <w:tcBorders>
              <w:top w:val="single" w:sz="8" w:color="0000FF"/>
            </w:tcBorders>
            <w:gridSpan w:val="2"/>
          </w:tcPr>
          <w:p>
            <w:pPr>
              <w:spacing w:after="0"/>
              <w:rPr>
                <w:sz w:val="21"/>
                <w:szCs w:val="21"/>
                <w:color w:val="auto"/>
              </w:rPr>
            </w:pPr>
          </w:p>
        </w:tc>
        <w:tc>
          <w:tcPr>
            <w:tcW w:w="2360" w:type="dxa"/>
            <w:vAlign w:val="bottom"/>
            <w:gridSpan w:val="4"/>
          </w:tcPr>
          <w:p>
            <w:pPr>
              <w:spacing w:after="0"/>
              <w:rPr>
                <w:sz w:val="21"/>
                <w:szCs w:val="21"/>
                <w:color w:val="auto"/>
              </w:rPr>
            </w:pPr>
          </w:p>
        </w:tc>
      </w:tr>
      <w:tr>
        <w:trPr>
          <w:trHeight w:val="291"/>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101.INS*</w:t>
            </w:r>
          </w:p>
        </w:tc>
        <w:tc>
          <w:tcPr>
            <w:tcW w:w="4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101.SCH*</w:t>
            </w:r>
          </w:p>
        </w:tc>
        <w:tc>
          <w:tcPr>
            <w:tcW w:w="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101.PRE*</w:t>
            </w:r>
          </w:p>
        </w:tc>
        <w:tc>
          <w:tcPr>
            <w:tcW w:w="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101.DEF*</w:t>
            </w:r>
          </w:p>
        </w:tc>
        <w:tc>
          <w:tcPr>
            <w:tcW w:w="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6" w:right="2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26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By:</w:t>
            </w:r>
          </w:p>
        </w:tc>
        <w:tc>
          <w:tcPr>
            <w:tcW w:w="5240" w:type="dxa"/>
            <w:vAlign w:val="bottom"/>
          </w:tcPr>
          <w:p>
            <w:pPr>
              <w:ind w:left="140"/>
              <w:spacing w:after="0"/>
              <w:rPr>
                <w:sz w:val="20"/>
                <w:szCs w:val="20"/>
                <w:color w:val="auto"/>
              </w:rPr>
            </w:pPr>
            <w:r>
              <w:rPr>
                <w:rFonts w:ascii="Arial" w:cs="Arial" w:eastAsia="Arial" w:hAnsi="Arial"/>
                <w:sz w:val="18"/>
                <w:szCs w:val="18"/>
                <w:color w:val="auto"/>
              </w:rPr>
              <w:t>/s/ Anant Bhalla</w:t>
            </w:r>
          </w:p>
        </w:tc>
      </w:tr>
      <w:tr>
        <w:trPr>
          <w:trHeight w:val="27"/>
        </w:trPr>
        <w:tc>
          <w:tcPr>
            <w:tcW w:w="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5240" w:type="dxa"/>
            <w:vAlign w:val="bottom"/>
          </w:tcPr>
          <w:p>
            <w:pPr>
              <w:ind w:left="140"/>
              <w:spacing w:after="0"/>
              <w:rPr>
                <w:sz w:val="20"/>
                <w:szCs w:val="20"/>
                <w:color w:val="auto"/>
              </w:rPr>
            </w:pPr>
            <w:r>
              <w:rPr>
                <w:rFonts w:ascii="Arial" w:cs="Arial" w:eastAsia="Arial" w:hAnsi="Arial"/>
                <w:sz w:val="18"/>
                <w:szCs w:val="18"/>
                <w:color w:val="auto"/>
              </w:rPr>
              <w:t>Anant Bhalla</w:t>
            </w:r>
          </w:p>
        </w:tc>
      </w:tr>
      <w:tr>
        <w:trPr>
          <w:trHeight w:val="270"/>
        </w:trPr>
        <w:tc>
          <w:tcPr>
            <w:tcW w:w="34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2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(Authorized Signatory and Principal Financial Officer)</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6" w:right="2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149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Blue Relocation Policy</w:t>
      </w:r>
    </w:p>
    <w:p>
      <w:pPr>
        <w:spacing w:after="0" w:line="3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Salary Grades 14 &amp;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Revised October 2018</w:t>
      </w:r>
    </w:p>
    <w:p>
      <w:pPr>
        <w:sectPr>
          <w:pgSz w:w="11900" w:h="16838" w:orient="portrait"/>
          <w:cols w:equalWidth="0" w:num="1">
            <w:col w:w="11420"/>
          </w:cols>
          <w:pgMar w:left="240" w:top="1440" w:right="239" w:bottom="1440" w:gutter="0" w:footer="0" w:header="0"/>
        </w:sectPr>
      </w:pPr>
    </w:p>
    <w:bookmarkStart w:id="117" w:name="page118"/>
    <w:bookmarkEnd w:id="117"/>
    <w:p>
      <w:pPr>
        <w:ind w:left="43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12"/>
          </w:tcPr>
          <w:p>
            <w:pPr>
              <w:spacing w:after="0"/>
              <w:rPr>
                <w:sz w:val="20"/>
                <w:szCs w:val="20"/>
                <w:color w:val="auto"/>
              </w:rPr>
            </w:pPr>
            <w:r>
              <w:rPr>
                <w:rFonts w:ascii="Arial" w:cs="Arial" w:eastAsia="Arial" w:hAnsi="Arial"/>
                <w:sz w:val="20"/>
                <w:szCs w:val="20"/>
                <w:color w:val="auto"/>
                <w:w w:val="99"/>
              </w:rPr>
              <w:t>I.INTRODUCTION</w:t>
            </w:r>
          </w:p>
        </w:tc>
        <w:tc>
          <w:tcPr>
            <w:tcW w:w="740" w:type="dxa"/>
            <w:vAlign w:val="bottom"/>
          </w:tcPr>
          <w:p>
            <w:pPr>
              <w:jc w:val="right"/>
              <w:ind w:right="341"/>
              <w:spacing w:after="0"/>
              <w:rPr>
                <w:sz w:val="20"/>
                <w:szCs w:val="20"/>
                <w:color w:val="auto"/>
              </w:rPr>
            </w:pPr>
            <w:r>
              <w:rPr>
                <w:rFonts w:ascii="Arial" w:cs="Arial" w:eastAsia="Arial" w:hAnsi="Arial"/>
                <w:sz w:val="20"/>
                <w:szCs w:val="20"/>
                <w:color w:val="auto"/>
              </w:rPr>
              <w:t>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660" w:type="dxa"/>
            <w:vAlign w:val="bottom"/>
            <w:gridSpan w:val="12"/>
          </w:tcPr>
          <w:p>
            <w:pPr>
              <w:spacing w:after="0"/>
              <w:rPr>
                <w:sz w:val="20"/>
                <w:szCs w:val="20"/>
                <w:color w:val="auto"/>
              </w:rPr>
            </w:pPr>
            <w:r>
              <w:rPr>
                <w:rFonts w:ascii="Arial" w:cs="Arial" w:eastAsia="Arial" w:hAnsi="Arial"/>
                <w:sz w:val="20"/>
                <w:szCs w:val="20"/>
                <w:color w:val="auto"/>
              </w:rPr>
              <w:t>II.ELIGIBILITY  4</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2400" w:type="dxa"/>
            <w:vAlign w:val="bottom"/>
            <w:gridSpan w:val="13"/>
          </w:tcPr>
          <w:p>
            <w:pPr>
              <w:spacing w:after="0"/>
              <w:rPr>
                <w:sz w:val="20"/>
                <w:szCs w:val="20"/>
                <w:color w:val="auto"/>
              </w:rPr>
            </w:pPr>
            <w:r>
              <w:rPr>
                <w:rFonts w:ascii="Arial" w:cs="Arial" w:eastAsia="Arial" w:hAnsi="Arial"/>
                <w:sz w:val="20"/>
                <w:szCs w:val="20"/>
                <w:color w:val="auto"/>
              </w:rPr>
              <w:t>III.BENEFIT HIGHLIGHTS</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660" w:type="dxa"/>
            <w:vAlign w:val="bottom"/>
            <w:gridSpan w:val="12"/>
          </w:tcPr>
          <w:p>
            <w:pPr>
              <w:spacing w:after="0"/>
              <w:rPr>
                <w:sz w:val="20"/>
                <w:szCs w:val="20"/>
                <w:color w:val="auto"/>
              </w:rPr>
            </w:pPr>
            <w:r>
              <w:rPr>
                <w:rFonts w:ascii="Arial" w:cs="Arial" w:eastAsia="Arial" w:hAnsi="Arial"/>
                <w:sz w:val="20"/>
                <w:szCs w:val="20"/>
                <w:color w:val="auto"/>
              </w:rPr>
              <w:t>IV.CONDITIONS</w:t>
            </w:r>
          </w:p>
        </w:tc>
        <w:tc>
          <w:tcPr>
            <w:tcW w:w="740" w:type="dxa"/>
            <w:vAlign w:val="bottom"/>
          </w:tcPr>
          <w:p>
            <w:pPr>
              <w:jc w:val="right"/>
              <w:ind w:right="501"/>
              <w:spacing w:after="0"/>
              <w:rPr>
                <w:sz w:val="20"/>
                <w:szCs w:val="20"/>
                <w:color w:val="auto"/>
              </w:rPr>
            </w:pPr>
            <w:r>
              <w:rPr>
                <w:rFonts w:ascii="Arial" w:cs="Arial" w:eastAsia="Arial" w:hAnsi="Arial"/>
                <w:sz w:val="20"/>
                <w:szCs w:val="20"/>
                <w:color w:val="auto"/>
              </w:rPr>
              <w:t>5</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gridSpan w:val="12"/>
          </w:tcPr>
          <w:p>
            <w:pPr>
              <w:spacing w:after="0"/>
              <w:rPr>
                <w:sz w:val="20"/>
                <w:szCs w:val="20"/>
                <w:color w:val="auto"/>
              </w:rPr>
            </w:pPr>
            <w:r>
              <w:rPr>
                <w:rFonts w:ascii="Arial" w:cs="Arial" w:eastAsia="Arial" w:hAnsi="Arial"/>
                <w:sz w:val="20"/>
                <w:szCs w:val="20"/>
                <w:color w:val="auto"/>
              </w:rPr>
              <w:t>a.Benefits Must be Used Within 1 Year of Relocation</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5</w:t>
            </w: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20"/>
                <w:szCs w:val="20"/>
                <w:color w:val="auto"/>
              </w:rPr>
              <w:t>b.Repayment Agreement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5</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20"/>
                <w:szCs w:val="20"/>
                <w:color w:val="auto"/>
              </w:rPr>
              <w:t>c.Cooperation with SIRVA</w:t>
            </w:r>
          </w:p>
        </w:tc>
        <w:tc>
          <w:tcPr>
            <w:tcW w:w="340" w:type="dxa"/>
            <w:vAlign w:val="bottom"/>
          </w:tcPr>
          <w:p>
            <w:pPr>
              <w:ind w:left="80"/>
              <w:spacing w:after="0"/>
              <w:rPr>
                <w:sz w:val="20"/>
                <w:szCs w:val="20"/>
                <w:color w:val="auto"/>
              </w:rPr>
            </w:pPr>
            <w:r>
              <w:rPr>
                <w:rFonts w:ascii="Arial" w:cs="Arial" w:eastAsia="Arial" w:hAnsi="Arial"/>
                <w:sz w:val="20"/>
                <w:szCs w:val="20"/>
                <w:color w:val="auto"/>
              </w:rPr>
              <w:t>6</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5080" w:type="dxa"/>
            <w:vAlign w:val="bottom"/>
            <w:gridSpan w:val="17"/>
          </w:tcPr>
          <w:p>
            <w:pPr>
              <w:spacing w:after="0"/>
              <w:rPr>
                <w:sz w:val="20"/>
                <w:szCs w:val="20"/>
                <w:color w:val="auto"/>
              </w:rPr>
            </w:pPr>
            <w:r>
              <w:rPr>
                <w:rFonts w:ascii="Arial" w:cs="Arial" w:eastAsia="Arial" w:hAnsi="Arial"/>
                <w:sz w:val="20"/>
                <w:szCs w:val="20"/>
                <w:color w:val="auto"/>
              </w:rPr>
              <w:t>V.EXPENSE REIMBURSEMENT – GENERAL  7</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5600" w:type="dxa"/>
            <w:vAlign w:val="bottom"/>
            <w:gridSpan w:val="18"/>
          </w:tcPr>
          <w:p>
            <w:pPr>
              <w:spacing w:after="0"/>
              <w:rPr>
                <w:sz w:val="20"/>
                <w:szCs w:val="20"/>
                <w:color w:val="auto"/>
              </w:rPr>
            </w:pPr>
            <w:r>
              <w:rPr>
                <w:rFonts w:ascii="Arial" w:cs="Arial" w:eastAsia="Arial" w:hAnsi="Arial"/>
                <w:sz w:val="20"/>
                <w:szCs w:val="20"/>
                <w:color w:val="auto"/>
              </w:rPr>
              <w:t>VI.DEPARTURE SERVICES AND HOME SALE ASSISTANCE</w:t>
            </w:r>
          </w:p>
        </w:tc>
        <w:tc>
          <w:tcPr>
            <w:tcW w:w="1280" w:type="dxa"/>
            <w:vAlign w:val="bottom"/>
          </w:tcPr>
          <w:p>
            <w:pPr>
              <w:ind w:left="100"/>
              <w:spacing w:after="0"/>
              <w:rPr>
                <w:sz w:val="20"/>
                <w:szCs w:val="20"/>
                <w:color w:val="auto"/>
              </w:rPr>
            </w:pPr>
            <w:r>
              <w:rPr>
                <w:rFonts w:ascii="Arial" w:cs="Arial" w:eastAsia="Arial" w:hAnsi="Arial"/>
                <w:sz w:val="20"/>
                <w:szCs w:val="20"/>
                <w:color w:val="auto"/>
              </w:rPr>
              <w:t>8</w:t>
            </w:r>
          </w:p>
        </w:tc>
      </w:tr>
      <w:tr>
        <w:trPr>
          <w:trHeight w:val="331"/>
        </w:trPr>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10"/>
          </w:tcPr>
          <w:p>
            <w:pPr>
              <w:spacing w:after="0"/>
              <w:rPr>
                <w:sz w:val="20"/>
                <w:szCs w:val="20"/>
                <w:color w:val="auto"/>
              </w:rPr>
            </w:pPr>
            <w:r>
              <w:rPr>
                <w:rFonts w:ascii="Arial" w:cs="Arial" w:eastAsia="Arial" w:hAnsi="Arial"/>
                <w:sz w:val="20"/>
                <w:szCs w:val="20"/>
                <w:color w:val="auto"/>
              </w:rPr>
              <w:t>a.Home Marketing Assistance</w:t>
            </w:r>
          </w:p>
        </w:tc>
        <w:tc>
          <w:tcPr>
            <w:tcW w:w="340" w:type="dxa"/>
            <w:vAlign w:val="bottom"/>
          </w:tcPr>
          <w:p>
            <w:pPr>
              <w:ind w:left="100"/>
              <w:spacing w:after="0"/>
              <w:rPr>
                <w:sz w:val="20"/>
                <w:szCs w:val="20"/>
                <w:color w:val="auto"/>
              </w:rPr>
            </w:pPr>
            <w:r>
              <w:rPr>
                <w:rFonts w:ascii="Arial" w:cs="Arial" w:eastAsia="Arial" w:hAnsi="Arial"/>
                <w:sz w:val="20"/>
                <w:szCs w:val="20"/>
                <w:color w:val="auto"/>
              </w:rPr>
              <w:t>8</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20"/>
                <w:szCs w:val="20"/>
                <w:color w:val="auto"/>
              </w:rPr>
              <w:t>i.Broker Market Analysis</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8</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10"/>
          </w:tcPr>
          <w:p>
            <w:pPr>
              <w:spacing w:after="0"/>
              <w:rPr>
                <w:sz w:val="20"/>
                <w:szCs w:val="20"/>
                <w:color w:val="auto"/>
              </w:rPr>
            </w:pPr>
            <w:r>
              <w:rPr>
                <w:rFonts w:ascii="Arial" w:cs="Arial" w:eastAsia="Arial" w:hAnsi="Arial"/>
                <w:sz w:val="20"/>
                <w:szCs w:val="20"/>
                <w:color w:val="auto"/>
              </w:rPr>
              <w:t>b.Home Sale Assistance  9</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10"/>
          </w:tcPr>
          <w:p>
            <w:pPr>
              <w:spacing w:after="0"/>
              <w:rPr>
                <w:sz w:val="20"/>
                <w:szCs w:val="20"/>
                <w:color w:val="auto"/>
              </w:rPr>
            </w:pPr>
            <w:r>
              <w:rPr>
                <w:rFonts w:ascii="Arial" w:cs="Arial" w:eastAsia="Arial" w:hAnsi="Arial"/>
                <w:sz w:val="20"/>
                <w:szCs w:val="20"/>
                <w:color w:val="auto"/>
              </w:rPr>
              <w:t>i.Homes Eligible for Home Sale Assistance  10</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10"/>
          </w:tcPr>
          <w:p>
            <w:pPr>
              <w:spacing w:after="0"/>
              <w:rPr>
                <w:sz w:val="20"/>
                <w:szCs w:val="20"/>
                <w:color w:val="auto"/>
              </w:rPr>
            </w:pPr>
            <w:r>
              <w:rPr>
                <w:rFonts w:ascii="Arial" w:cs="Arial" w:eastAsia="Arial" w:hAnsi="Arial"/>
                <w:sz w:val="20"/>
                <w:szCs w:val="20"/>
                <w:color w:val="auto"/>
              </w:rPr>
              <w:t>ii.Homes Not Eligible for Home Sale Assistance</w:t>
            </w:r>
          </w:p>
        </w:tc>
        <w:tc>
          <w:tcPr>
            <w:tcW w:w="520" w:type="dxa"/>
            <w:vAlign w:val="bottom"/>
          </w:tcPr>
          <w:p>
            <w:pPr>
              <w:jc w:val="right"/>
              <w:ind w:right="121"/>
              <w:spacing w:after="0"/>
              <w:rPr>
                <w:sz w:val="20"/>
                <w:szCs w:val="20"/>
                <w:color w:val="auto"/>
              </w:rPr>
            </w:pPr>
            <w:r>
              <w:rPr>
                <w:rFonts w:ascii="Arial" w:cs="Arial" w:eastAsia="Arial" w:hAnsi="Arial"/>
                <w:sz w:val="20"/>
                <w:szCs w:val="20"/>
                <w:color w:val="auto"/>
              </w:rPr>
              <w:t>11</w:t>
            </w: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20"/>
                <w:szCs w:val="20"/>
                <w:color w:val="auto"/>
              </w:rPr>
              <w:t>iii.Inspections and Repairs</w:t>
            </w:r>
          </w:p>
        </w:tc>
        <w:tc>
          <w:tcPr>
            <w:tcW w:w="1940" w:type="dxa"/>
            <w:vAlign w:val="bottom"/>
            <w:gridSpan w:val="2"/>
          </w:tcPr>
          <w:p>
            <w:pPr>
              <w:jc w:val="right"/>
              <w:ind w:right="1441"/>
              <w:spacing w:after="0"/>
              <w:rPr>
                <w:sz w:val="20"/>
                <w:szCs w:val="20"/>
                <w:color w:val="auto"/>
              </w:rPr>
            </w:pPr>
            <w:r>
              <w:rPr>
                <w:rFonts w:ascii="Arial" w:cs="Arial" w:eastAsia="Arial" w:hAnsi="Arial"/>
                <w:sz w:val="20"/>
                <w:szCs w:val="20"/>
                <w:color w:val="auto"/>
              </w:rPr>
              <w:t>12</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20"/>
                <w:szCs w:val="20"/>
                <w:color w:val="auto"/>
              </w:rPr>
              <w:t>iv.Acquisition of the Home</w:t>
            </w:r>
          </w:p>
        </w:tc>
        <w:tc>
          <w:tcPr>
            <w:tcW w:w="1940" w:type="dxa"/>
            <w:vAlign w:val="bottom"/>
            <w:gridSpan w:val="2"/>
          </w:tcPr>
          <w:p>
            <w:pPr>
              <w:jc w:val="right"/>
              <w:ind w:right="1481"/>
              <w:spacing w:after="0"/>
              <w:rPr>
                <w:sz w:val="20"/>
                <w:szCs w:val="20"/>
                <w:color w:val="auto"/>
              </w:rPr>
            </w:pPr>
            <w:r>
              <w:rPr>
                <w:rFonts w:ascii="Arial" w:cs="Arial" w:eastAsia="Arial" w:hAnsi="Arial"/>
                <w:sz w:val="20"/>
                <w:szCs w:val="20"/>
                <w:color w:val="auto"/>
              </w:rPr>
              <w:t>13</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6"/>
          </w:tcPr>
          <w:p>
            <w:pPr>
              <w:spacing w:after="0"/>
              <w:rPr>
                <w:sz w:val="20"/>
                <w:szCs w:val="20"/>
                <w:color w:val="auto"/>
              </w:rPr>
            </w:pPr>
            <w:r>
              <w:rPr>
                <w:rFonts w:ascii="Arial" w:cs="Arial" w:eastAsia="Arial" w:hAnsi="Arial"/>
                <w:sz w:val="20"/>
                <w:szCs w:val="20"/>
                <w:color w:val="auto"/>
              </w:rPr>
              <w:t>v.Equity Advance</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20"/>
                <w:szCs w:val="20"/>
                <w:color w:val="auto"/>
              </w:rPr>
              <w:t>vi.Cooperative Apartment</w:t>
            </w:r>
          </w:p>
        </w:tc>
        <w:tc>
          <w:tcPr>
            <w:tcW w:w="340" w:type="dxa"/>
            <w:vAlign w:val="bottom"/>
          </w:tcPr>
          <w:p>
            <w:pPr>
              <w:ind w:left="100"/>
              <w:spacing w:after="0"/>
              <w:rPr>
                <w:sz w:val="20"/>
                <w:szCs w:val="20"/>
                <w:color w:val="auto"/>
              </w:rPr>
            </w:pPr>
            <w:r>
              <w:rPr>
                <w:rFonts w:ascii="Arial" w:cs="Arial" w:eastAsia="Arial" w:hAnsi="Arial"/>
                <w:sz w:val="20"/>
                <w:szCs w:val="20"/>
                <w:color w:val="auto"/>
                <w:w w:val="98"/>
              </w:rPr>
              <w:t>15</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160" w:type="dxa"/>
            <w:vAlign w:val="bottom"/>
            <w:gridSpan w:val="5"/>
          </w:tcPr>
          <w:p>
            <w:pPr>
              <w:jc w:val="center"/>
              <w:ind w:right="201"/>
              <w:spacing w:after="0"/>
              <w:rPr>
                <w:sz w:val="20"/>
                <w:szCs w:val="20"/>
                <w:color w:val="auto"/>
              </w:rPr>
            </w:pPr>
            <w:r>
              <w:rPr>
                <w:rFonts w:ascii="Arial" w:cs="Arial" w:eastAsia="Arial" w:hAnsi="Arial"/>
                <w:sz w:val="20"/>
                <w:szCs w:val="20"/>
                <w:color w:val="auto"/>
              </w:rPr>
              <w:t>vii.Loss-on-Sale  15</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Arial" w:cs="Arial" w:eastAsia="Arial" w:hAnsi="Arial"/>
                <w:sz w:val="20"/>
                <w:szCs w:val="20"/>
                <w:color w:val="auto"/>
              </w:rPr>
              <w:t>c.Participation Bonus</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12"/>
          </w:tcPr>
          <w:p>
            <w:pPr>
              <w:spacing w:after="0"/>
              <w:rPr>
                <w:sz w:val="20"/>
                <w:szCs w:val="20"/>
                <w:color w:val="auto"/>
              </w:rPr>
            </w:pPr>
            <w:r>
              <w:rPr>
                <w:rFonts w:ascii="Arial" w:cs="Arial" w:eastAsia="Arial" w:hAnsi="Arial"/>
                <w:sz w:val="20"/>
                <w:szCs w:val="20"/>
                <w:color w:val="auto"/>
              </w:rPr>
              <w:t>i.Coordination of Home Sale Assistance with Participation Bonus  16</w:t>
            </w:r>
          </w:p>
        </w:tc>
      </w:tr>
      <w:tr>
        <w:trPr>
          <w:trHeight w:val="20"/>
        </w:trPr>
        <w:tc>
          <w:tcPr>
            <w:tcW w:w="3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2800" w:type="dxa"/>
            <w:vAlign w:val="bottom"/>
            <w:gridSpan w:val="14"/>
          </w:tcPr>
          <w:p>
            <w:pPr>
              <w:spacing w:after="0"/>
              <w:rPr>
                <w:sz w:val="20"/>
                <w:szCs w:val="20"/>
                <w:color w:val="auto"/>
              </w:rPr>
            </w:pPr>
            <w:r>
              <w:rPr>
                <w:rFonts w:ascii="Arial" w:cs="Arial" w:eastAsia="Arial" w:hAnsi="Arial"/>
                <w:sz w:val="20"/>
                <w:szCs w:val="20"/>
                <w:color w:val="auto"/>
              </w:rPr>
              <w:t>VII.DESTINATION SERVICES</w:t>
            </w:r>
          </w:p>
        </w:tc>
        <w:tc>
          <w:tcPr>
            <w:tcW w:w="340" w:type="dxa"/>
            <w:vAlign w:val="bottom"/>
          </w:tcPr>
          <w:p>
            <w:pPr>
              <w:ind w:left="80"/>
              <w:spacing w:after="0"/>
              <w:rPr>
                <w:sz w:val="20"/>
                <w:szCs w:val="20"/>
                <w:color w:val="auto"/>
              </w:rPr>
            </w:pPr>
            <w:r>
              <w:rPr>
                <w:rFonts w:ascii="Arial" w:cs="Arial" w:eastAsia="Arial" w:hAnsi="Arial"/>
                <w:sz w:val="20"/>
                <w:szCs w:val="20"/>
                <w:color w:val="auto"/>
              </w:rPr>
              <w:t>16</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20"/>
                <w:szCs w:val="20"/>
                <w:color w:val="auto"/>
                <w:w w:val="97"/>
              </w:rPr>
              <w:t>a.Home Finding Assistance</w:t>
            </w:r>
          </w:p>
        </w:tc>
        <w:tc>
          <w:tcPr>
            <w:tcW w:w="680" w:type="dxa"/>
            <w:vAlign w:val="bottom"/>
            <w:gridSpan w:val="2"/>
          </w:tcPr>
          <w:p>
            <w:pPr>
              <w:jc w:val="right"/>
              <w:ind w:right="141"/>
              <w:spacing w:after="0"/>
              <w:rPr>
                <w:sz w:val="20"/>
                <w:szCs w:val="20"/>
                <w:color w:val="auto"/>
              </w:rPr>
            </w:pPr>
            <w:r>
              <w:rPr>
                <w:rFonts w:ascii="Arial" w:cs="Arial" w:eastAsia="Arial" w:hAnsi="Arial"/>
                <w:sz w:val="20"/>
                <w:szCs w:val="20"/>
                <w:color w:val="auto"/>
              </w:rPr>
              <w:t>16</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60" w:type="dxa"/>
            <w:vAlign w:val="bottom"/>
            <w:tcBorders>
              <w:left w:val="single" w:sz="8" w:color="auto"/>
            </w:tcBorders>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Arial" w:cs="Arial" w:eastAsia="Arial" w:hAnsi="Arial"/>
                <w:sz w:val="20"/>
                <w:szCs w:val="20"/>
                <w:color w:val="auto"/>
              </w:rPr>
              <w:t>b.House-Hunting Trip</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940" w:type="dxa"/>
            <w:vAlign w:val="bottom"/>
            <w:tcBorders>
              <w:left w:val="single" w:sz="8" w:color="auto"/>
            </w:tcBorders>
            <w:gridSpan w:val="1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11"/>
          </w:tcPr>
          <w:p>
            <w:pPr>
              <w:spacing w:after="0"/>
              <w:rPr>
                <w:sz w:val="20"/>
                <w:szCs w:val="20"/>
                <w:color w:val="auto"/>
              </w:rPr>
            </w:pPr>
            <w:r>
              <w:rPr>
                <w:rFonts w:ascii="Arial" w:cs="Arial" w:eastAsia="Arial" w:hAnsi="Arial"/>
                <w:sz w:val="20"/>
                <w:szCs w:val="20"/>
                <w:color w:val="auto"/>
              </w:rPr>
              <w:t>c.Temporary Housing Assistance</w:t>
            </w:r>
          </w:p>
        </w:tc>
        <w:tc>
          <w:tcPr>
            <w:tcW w:w="1600" w:type="dxa"/>
            <w:vAlign w:val="bottom"/>
          </w:tcPr>
          <w:p>
            <w:pPr>
              <w:jc w:val="right"/>
              <w:ind w:right="1261"/>
              <w:spacing w:after="0"/>
              <w:rPr>
                <w:sz w:val="20"/>
                <w:szCs w:val="20"/>
                <w:color w:val="auto"/>
              </w:rPr>
            </w:pPr>
            <w:r>
              <w:rPr>
                <w:rFonts w:ascii="Arial" w:cs="Arial" w:eastAsia="Arial" w:hAnsi="Arial"/>
                <w:sz w:val="20"/>
                <w:szCs w:val="20"/>
                <w:color w:val="auto"/>
                <w:w w:val="98"/>
              </w:rPr>
              <w:t>18</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20"/>
                <w:szCs w:val="20"/>
                <w:color w:val="auto"/>
                <w:w w:val="99"/>
              </w:rPr>
              <w:t>d.Miscellaneous Allowance</w:t>
            </w:r>
          </w:p>
        </w:tc>
        <w:tc>
          <w:tcPr>
            <w:tcW w:w="680" w:type="dxa"/>
            <w:vAlign w:val="bottom"/>
            <w:gridSpan w:val="2"/>
          </w:tcPr>
          <w:p>
            <w:pPr>
              <w:jc w:val="right"/>
              <w:ind w:right="181"/>
              <w:spacing w:after="0"/>
              <w:rPr>
                <w:sz w:val="20"/>
                <w:szCs w:val="20"/>
                <w:color w:val="auto"/>
              </w:rPr>
            </w:pPr>
            <w:r>
              <w:rPr>
                <w:rFonts w:ascii="Arial" w:cs="Arial" w:eastAsia="Arial" w:hAnsi="Arial"/>
                <w:sz w:val="20"/>
                <w:szCs w:val="20"/>
                <w:color w:val="auto"/>
              </w:rPr>
              <w:t>18</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0" w:type="dxa"/>
            <w:vAlign w:val="bottom"/>
            <w:tcBorders>
              <w:left w:val="single" w:sz="8" w:color="auto"/>
            </w:tcBorders>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10"/>
          </w:tcPr>
          <w:p>
            <w:pPr>
              <w:spacing w:after="0"/>
              <w:rPr>
                <w:sz w:val="20"/>
                <w:szCs w:val="20"/>
                <w:color w:val="auto"/>
              </w:rPr>
            </w:pPr>
            <w:r>
              <w:rPr>
                <w:rFonts w:ascii="Arial" w:cs="Arial" w:eastAsia="Arial" w:hAnsi="Arial"/>
                <w:sz w:val="20"/>
                <w:szCs w:val="20"/>
                <w:color w:val="auto"/>
              </w:rPr>
              <w:t>e.Home Purchase Assistance</w:t>
            </w:r>
          </w:p>
        </w:tc>
        <w:tc>
          <w:tcPr>
            <w:tcW w:w="340" w:type="dxa"/>
            <w:vAlign w:val="bottom"/>
          </w:tcPr>
          <w:p>
            <w:pPr>
              <w:jc w:val="right"/>
              <w:spacing w:after="0"/>
              <w:rPr>
                <w:sz w:val="20"/>
                <w:szCs w:val="20"/>
                <w:color w:val="auto"/>
              </w:rPr>
            </w:pPr>
            <w:r>
              <w:rPr>
                <w:rFonts w:ascii="Arial" w:cs="Arial" w:eastAsia="Arial" w:hAnsi="Arial"/>
                <w:sz w:val="20"/>
                <w:szCs w:val="20"/>
                <w:color w:val="auto"/>
              </w:rPr>
              <w:t>19</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60" w:type="dxa"/>
            <w:vAlign w:val="bottom"/>
            <w:tcBorders>
              <w:left w:val="single" w:sz="8" w:color="auto"/>
            </w:tcBorders>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20"/>
                <w:szCs w:val="20"/>
                <w:color w:val="auto"/>
              </w:rPr>
              <w:t>f.Rental Assistance  20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20"/>
                <w:szCs w:val="20"/>
                <w:color w:val="auto"/>
                <w:w w:val="98"/>
              </w:rPr>
              <w:t>i.Rental Home Finding Trip</w:t>
            </w:r>
          </w:p>
        </w:tc>
        <w:tc>
          <w:tcPr>
            <w:tcW w:w="1940" w:type="dxa"/>
            <w:vAlign w:val="bottom"/>
            <w:gridSpan w:val="2"/>
          </w:tcPr>
          <w:p>
            <w:pPr>
              <w:jc w:val="right"/>
              <w:ind w:right="1401"/>
              <w:spacing w:after="0"/>
              <w:rPr>
                <w:sz w:val="20"/>
                <w:szCs w:val="20"/>
                <w:color w:val="auto"/>
              </w:rPr>
            </w:pPr>
            <w:r>
              <w:rPr>
                <w:rFonts w:ascii="Arial" w:cs="Arial" w:eastAsia="Arial" w:hAnsi="Arial"/>
                <w:sz w:val="20"/>
                <w:szCs w:val="20"/>
                <w:color w:val="auto"/>
              </w:rPr>
              <w:t>21</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9"/>
          </w:tcPr>
          <w:p>
            <w:pPr>
              <w:spacing w:after="0"/>
              <w:rPr>
                <w:sz w:val="20"/>
                <w:szCs w:val="20"/>
                <w:color w:val="auto"/>
              </w:rPr>
            </w:pPr>
            <w:r>
              <w:rPr>
                <w:rFonts w:ascii="Arial" w:cs="Arial" w:eastAsia="Arial" w:hAnsi="Arial"/>
                <w:sz w:val="20"/>
                <w:szCs w:val="20"/>
                <w:color w:val="auto"/>
                <w:w w:val="99"/>
              </w:rPr>
              <w:t>ii.Lease Cancellation Payment</w:t>
            </w:r>
          </w:p>
        </w:tc>
        <w:tc>
          <w:tcPr>
            <w:tcW w:w="1600" w:type="dxa"/>
            <w:vAlign w:val="bottom"/>
          </w:tcPr>
          <w:p>
            <w:pPr>
              <w:jc w:val="right"/>
              <w:ind w:right="1101"/>
              <w:spacing w:after="0"/>
              <w:rPr>
                <w:sz w:val="20"/>
                <w:szCs w:val="20"/>
                <w:color w:val="auto"/>
              </w:rPr>
            </w:pPr>
            <w:r>
              <w:rPr>
                <w:rFonts w:ascii="Arial" w:cs="Arial" w:eastAsia="Arial" w:hAnsi="Arial"/>
                <w:sz w:val="20"/>
                <w:szCs w:val="20"/>
                <w:color w:val="auto"/>
              </w:rPr>
              <w:t>22</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13"/>
          </w:tcPr>
          <w:p>
            <w:pPr>
              <w:spacing w:after="0"/>
              <w:rPr>
                <w:sz w:val="20"/>
                <w:szCs w:val="20"/>
                <w:color w:val="auto"/>
              </w:rPr>
            </w:pPr>
            <w:r>
              <w:rPr>
                <w:rFonts w:ascii="Arial" w:cs="Arial" w:eastAsia="Arial" w:hAnsi="Arial"/>
                <w:sz w:val="20"/>
                <w:szCs w:val="20"/>
                <w:color w:val="auto"/>
                <w:w w:val="99"/>
              </w:rPr>
              <w:t>g.Transportation and/or Storage of Your Household Goods</w:t>
            </w:r>
          </w:p>
        </w:tc>
        <w:tc>
          <w:tcPr>
            <w:tcW w:w="1280" w:type="dxa"/>
            <w:vAlign w:val="bottom"/>
          </w:tcPr>
          <w:p>
            <w:pPr>
              <w:ind w:left="120"/>
              <w:spacing w:after="0"/>
              <w:rPr>
                <w:sz w:val="20"/>
                <w:szCs w:val="20"/>
                <w:color w:val="auto"/>
              </w:rPr>
            </w:pPr>
            <w:r>
              <w:rPr>
                <w:rFonts w:ascii="Arial" w:cs="Arial" w:eastAsia="Arial" w:hAnsi="Arial"/>
                <w:sz w:val="20"/>
                <w:szCs w:val="20"/>
                <w:color w:val="auto"/>
              </w:rPr>
              <w:t>22</w:t>
            </w: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7"/>
          </w:tcPr>
          <w:p>
            <w:pPr>
              <w:spacing w:after="0"/>
              <w:rPr>
                <w:sz w:val="20"/>
                <w:szCs w:val="20"/>
                <w:color w:val="auto"/>
              </w:rPr>
            </w:pPr>
            <w:r>
              <w:rPr>
                <w:rFonts w:ascii="Arial" w:cs="Arial" w:eastAsia="Arial" w:hAnsi="Arial"/>
                <w:sz w:val="20"/>
                <w:szCs w:val="20"/>
                <w:color w:val="auto"/>
              </w:rPr>
              <w:t>i.Authorized Charges</w:t>
            </w:r>
          </w:p>
        </w:tc>
        <w:tc>
          <w:tcPr>
            <w:tcW w:w="340" w:type="dxa"/>
            <w:vAlign w:val="bottom"/>
          </w:tcPr>
          <w:p>
            <w:pPr>
              <w:ind w:left="60"/>
              <w:spacing w:after="0"/>
              <w:rPr>
                <w:sz w:val="20"/>
                <w:szCs w:val="20"/>
                <w:color w:val="auto"/>
              </w:rPr>
            </w:pPr>
            <w:r>
              <w:rPr>
                <w:rFonts w:ascii="Arial" w:cs="Arial" w:eastAsia="Arial" w:hAnsi="Arial"/>
                <w:sz w:val="20"/>
                <w:szCs w:val="20"/>
                <w:color w:val="auto"/>
              </w:rPr>
              <w:t>23</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12"/>
          </w:tcPr>
          <w:p>
            <w:pPr>
              <w:spacing w:after="0"/>
              <w:rPr>
                <w:sz w:val="20"/>
                <w:szCs w:val="20"/>
                <w:color w:val="auto"/>
              </w:rPr>
            </w:pPr>
            <w:r>
              <w:rPr>
                <w:rFonts w:ascii="Arial" w:cs="Arial" w:eastAsia="Arial" w:hAnsi="Arial"/>
                <w:sz w:val="20"/>
                <w:szCs w:val="20"/>
                <w:color w:val="auto"/>
              </w:rPr>
              <w:t>ii.Brighthouse Services, LLC will not pay for the following:  24</w:t>
            </w: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gridSpan w:val="11"/>
          </w:tcPr>
          <w:p>
            <w:pPr>
              <w:spacing w:after="0"/>
              <w:rPr>
                <w:sz w:val="20"/>
                <w:szCs w:val="20"/>
                <w:color w:val="auto"/>
              </w:rPr>
            </w:pPr>
            <w:r>
              <w:rPr>
                <w:rFonts w:ascii="Arial" w:cs="Arial" w:eastAsia="Arial" w:hAnsi="Arial"/>
                <w:sz w:val="20"/>
                <w:szCs w:val="20"/>
                <w:color w:val="auto"/>
              </w:rPr>
              <w:t>iii.Replacement Value Protection of Household Goods</w:t>
            </w:r>
          </w:p>
        </w:tc>
        <w:tc>
          <w:tcPr>
            <w:tcW w:w="1280" w:type="dxa"/>
            <w:vAlign w:val="bottom"/>
          </w:tcPr>
          <w:p>
            <w:pPr>
              <w:ind w:left="100"/>
              <w:spacing w:after="0"/>
              <w:rPr>
                <w:sz w:val="20"/>
                <w:szCs w:val="20"/>
                <w:color w:val="auto"/>
              </w:rPr>
            </w:pPr>
            <w:r>
              <w:rPr>
                <w:rFonts w:ascii="Arial" w:cs="Arial" w:eastAsia="Arial" w:hAnsi="Arial"/>
                <w:sz w:val="20"/>
                <w:szCs w:val="20"/>
                <w:color w:val="auto"/>
              </w:rPr>
              <w:t>24</w:t>
            </w: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ectPr>
          <w:pgSz w:w="11900" w:h="16838" w:orient="portrait"/>
          <w:cols w:equalWidth="0" w:num="1">
            <w:col w:w="9819"/>
          </w:cols>
          <w:pgMar w:left="640" w:top="1261" w:right="1440"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30"/>
        </w:trPr>
        <w:tc>
          <w:tcPr>
            <w:tcW w:w="2560" w:type="dxa"/>
            <w:vAlign w:val="bottom"/>
            <w:gridSpan w:val="2"/>
          </w:tcPr>
          <w:p>
            <w:pPr>
              <w:spacing w:after="0"/>
              <w:rPr>
                <w:sz w:val="20"/>
                <w:szCs w:val="20"/>
                <w:color w:val="auto"/>
              </w:rPr>
            </w:pPr>
            <w:r>
              <w:rPr>
                <w:rFonts w:ascii="Arial" w:cs="Arial" w:eastAsia="Arial" w:hAnsi="Arial"/>
                <w:sz w:val="20"/>
                <w:szCs w:val="20"/>
                <w:color w:val="auto"/>
              </w:rPr>
              <w:t>h.Automobile Shipping  25</w:t>
            </w:r>
          </w:p>
        </w:tc>
        <w:tc>
          <w:tcPr>
            <w:tcW w:w="400" w:type="dxa"/>
            <w:vAlign w:val="bottom"/>
          </w:tcPr>
          <w:p>
            <w:pPr>
              <w:spacing w:after="0"/>
              <w:rPr>
                <w:sz w:val="19"/>
                <w:szCs w:val="19"/>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46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2560" w:type="dxa"/>
            <w:vAlign w:val="bottom"/>
            <w:gridSpan w:val="2"/>
          </w:tcPr>
          <w:p>
            <w:pPr>
              <w:spacing w:after="0"/>
              <w:rPr>
                <w:sz w:val="20"/>
                <w:szCs w:val="20"/>
                <w:color w:val="auto"/>
              </w:rPr>
            </w:pPr>
            <w:r>
              <w:rPr>
                <w:rFonts w:ascii="Arial" w:cs="Arial" w:eastAsia="Arial" w:hAnsi="Arial"/>
                <w:sz w:val="20"/>
                <w:szCs w:val="20"/>
                <w:color w:val="auto"/>
              </w:rPr>
              <w:t>i.Moving Day and Final Trip</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25</w:t>
            </w:r>
          </w:p>
        </w:tc>
      </w:tr>
      <w:tr>
        <w:trPr>
          <w:trHeight w:val="20"/>
        </w:trPr>
        <w:tc>
          <w:tcPr>
            <w:tcW w:w="1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2560" w:type="dxa"/>
            <w:vAlign w:val="bottom"/>
            <w:gridSpan w:val="2"/>
          </w:tcPr>
          <w:p>
            <w:pPr>
              <w:spacing w:after="0"/>
              <w:rPr>
                <w:sz w:val="20"/>
                <w:szCs w:val="20"/>
                <w:color w:val="auto"/>
              </w:rPr>
            </w:pPr>
            <w:r>
              <w:rPr>
                <w:rFonts w:ascii="Arial" w:cs="Arial" w:eastAsia="Arial" w:hAnsi="Arial"/>
                <w:sz w:val="20"/>
                <w:szCs w:val="20"/>
                <w:color w:val="auto"/>
                <w:w w:val="99"/>
              </w:rPr>
              <w:t>j.Career Assistance Services</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0"/>
        </w:trPr>
        <w:tc>
          <w:tcPr>
            <w:tcW w:w="1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45" w:lineRule="exact"/>
        <w:rPr>
          <w:sz w:val="20"/>
          <w:szCs w:val="20"/>
          <w:color w:val="auto"/>
        </w:rPr>
      </w:pPr>
    </w:p>
    <w:p>
      <w:pPr>
        <w:ind w:left="400"/>
        <w:spacing w:after="0"/>
        <w:tabs>
          <w:tab w:leader="none" w:pos="3580" w:val="left"/>
        </w:tabs>
        <w:rPr>
          <w:sz w:val="20"/>
          <w:szCs w:val="20"/>
          <w:color w:val="auto"/>
        </w:rPr>
      </w:pPr>
      <w:r>
        <w:rPr>
          <w:rFonts w:ascii="Arial" w:cs="Arial" w:eastAsia="Arial" w:hAnsi="Arial"/>
          <w:sz w:val="20"/>
          <w:szCs w:val="20"/>
          <w:u w:val="single" w:color="auto"/>
          <w:color w:val="auto"/>
        </w:rPr>
        <w:t>k.</w:t>
      </w:r>
      <w:r>
        <w:rPr>
          <w:rFonts w:ascii="Arial" w:cs="Arial" w:eastAsia="Arial" w:hAnsi="Arial"/>
          <w:sz w:val="20"/>
          <w:szCs w:val="20"/>
          <w:color w:val="auto"/>
        </w:rPr>
        <w:t>Community Assistance Services</w:t>
      </w:r>
      <w:r>
        <w:rPr>
          <w:sz w:val="20"/>
          <w:szCs w:val="20"/>
          <w:color w:val="auto"/>
        </w:rPr>
        <w:tab/>
      </w:r>
      <w:r>
        <w:rPr>
          <w:rFonts w:ascii="Arial" w:cs="Arial" w:eastAsia="Arial" w:hAnsi="Arial"/>
          <w:sz w:val="19"/>
          <w:szCs w:val="19"/>
          <w:color w:val="auto"/>
        </w:rPr>
        <w:t>26</w:t>
      </w:r>
    </w:p>
    <w:p>
      <w:pPr>
        <w:spacing w:after="0" w:line="12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u w:val="single" w:color="auto"/>
          <w:color w:val="auto"/>
        </w:rPr>
        <w:t>VIII.</w:t>
      </w:r>
      <w:r>
        <w:rPr>
          <w:rFonts w:ascii="Arial" w:cs="Arial" w:eastAsia="Arial" w:hAnsi="Arial"/>
          <w:sz w:val="20"/>
          <w:szCs w:val="20"/>
          <w:color w:val="auto"/>
        </w:rPr>
        <w:t>TAXES</w:t>
      </w:r>
      <w:r>
        <w:rPr>
          <w:sz w:val="20"/>
          <w:szCs w:val="20"/>
          <w:color w:val="auto"/>
        </w:rPr>
        <w:tab/>
      </w:r>
      <w:r>
        <w:rPr>
          <w:rFonts w:ascii="Arial" w:cs="Arial" w:eastAsia="Arial" w:hAnsi="Arial"/>
          <w:sz w:val="19"/>
          <w:szCs w:val="19"/>
          <w:color w:val="auto"/>
        </w:rPr>
        <w:t>27</w:t>
      </w:r>
    </w:p>
    <w:p>
      <w:pPr>
        <w:spacing w:after="0" w:line="121" w:lineRule="exact"/>
        <w:rPr>
          <w:sz w:val="20"/>
          <w:szCs w:val="20"/>
          <w:color w:val="auto"/>
        </w:rPr>
      </w:pPr>
    </w:p>
    <w:p>
      <w:pPr>
        <w:spacing w:after="0"/>
        <w:tabs>
          <w:tab w:leader="none" w:pos="4320" w:val="left"/>
        </w:tabs>
        <w:rPr>
          <w:sz w:val="20"/>
          <w:szCs w:val="20"/>
          <w:color w:val="auto"/>
        </w:rPr>
      </w:pPr>
      <w:r>
        <w:rPr>
          <w:rFonts w:ascii="Arial" w:cs="Arial" w:eastAsia="Arial" w:hAnsi="Arial"/>
          <w:sz w:val="20"/>
          <w:szCs w:val="20"/>
          <w:u w:val="single" w:color="auto"/>
          <w:color w:val="auto"/>
        </w:rPr>
        <w:t>IX.</w:t>
      </w:r>
      <w:r>
        <w:rPr>
          <w:rFonts w:ascii="Arial" w:cs="Arial" w:eastAsia="Arial" w:hAnsi="Arial"/>
          <w:sz w:val="20"/>
          <w:szCs w:val="20"/>
          <w:color w:val="auto"/>
        </w:rPr>
        <w:t>CONDITIONS FOR RECEIVING BENEFITS</w:t>
      </w:r>
      <w:r>
        <w:rPr>
          <w:sz w:val="20"/>
          <w:szCs w:val="20"/>
          <w:color w:val="auto"/>
        </w:rPr>
        <w:tab/>
      </w:r>
      <w:r>
        <w:rPr>
          <w:rFonts w:ascii="Arial" w:cs="Arial" w:eastAsia="Arial" w:hAnsi="Arial"/>
          <w:sz w:val="19"/>
          <w:szCs w:val="19"/>
          <w:color w:val="auto"/>
        </w:rPr>
        <w:t>29</w:t>
      </w:r>
    </w:p>
    <w:p>
      <w:pPr>
        <w:spacing w:after="0" w:line="121" w:lineRule="exact"/>
        <w:rPr>
          <w:sz w:val="20"/>
          <w:szCs w:val="20"/>
          <w:color w:val="auto"/>
        </w:rPr>
      </w:pPr>
    </w:p>
    <w:p>
      <w:pPr>
        <w:spacing w:after="0"/>
        <w:tabs>
          <w:tab w:leader="none" w:pos="3880" w:val="left"/>
        </w:tabs>
        <w:rPr>
          <w:sz w:val="20"/>
          <w:szCs w:val="20"/>
          <w:color w:val="auto"/>
        </w:rPr>
      </w:pPr>
      <w:r>
        <w:rPr>
          <w:rFonts w:ascii="Arial" w:cs="Arial" w:eastAsia="Arial" w:hAnsi="Arial"/>
          <w:sz w:val="20"/>
          <w:szCs w:val="20"/>
          <w:u w:val="single" w:color="auto"/>
          <w:color w:val="auto"/>
        </w:rPr>
        <w:t>X.</w:t>
      </w:r>
      <w:r>
        <w:rPr>
          <w:rFonts w:ascii="Arial" w:cs="Arial" w:eastAsia="Arial" w:hAnsi="Arial"/>
          <w:sz w:val="20"/>
          <w:szCs w:val="20"/>
          <w:color w:val="auto"/>
        </w:rPr>
        <w:t>CLAIMS AND APPEAL PROCEDURES</w:t>
      </w:r>
      <w:r>
        <w:rPr>
          <w:sz w:val="20"/>
          <w:szCs w:val="20"/>
          <w:color w:val="auto"/>
        </w:rPr>
        <w:tab/>
      </w:r>
      <w:r>
        <w:rPr>
          <w:rFonts w:ascii="Arial" w:cs="Arial" w:eastAsia="Arial" w:hAnsi="Arial"/>
          <w:sz w:val="19"/>
          <w:szCs w:val="19"/>
          <w:color w:val="auto"/>
        </w:rPr>
        <w:t>30</w:t>
      </w:r>
    </w:p>
    <w:p>
      <w:pPr>
        <w:spacing w:after="0" w:line="121" w:lineRule="exact"/>
        <w:rPr>
          <w:sz w:val="20"/>
          <w:szCs w:val="20"/>
          <w:color w:val="auto"/>
        </w:rPr>
      </w:pPr>
    </w:p>
    <w:p>
      <w:pPr>
        <w:spacing w:after="0"/>
        <w:tabs>
          <w:tab w:leader="none" w:pos="8860" w:val="left"/>
        </w:tabs>
        <w:rPr>
          <w:sz w:val="20"/>
          <w:szCs w:val="20"/>
          <w:color w:val="auto"/>
        </w:rPr>
      </w:pPr>
      <w:r>
        <w:rPr>
          <w:rFonts w:ascii="Arial" w:cs="Arial" w:eastAsia="Arial" w:hAnsi="Arial"/>
          <w:sz w:val="20"/>
          <w:szCs w:val="20"/>
          <w:u w:val="single" w:color="auto"/>
          <w:color w:val="auto"/>
        </w:rPr>
        <w:t>XI.</w:t>
      </w:r>
      <w:r>
        <w:rPr>
          <w:rFonts w:ascii="Arial" w:cs="Arial" w:eastAsia="Arial" w:hAnsi="Arial"/>
          <w:sz w:val="20"/>
          <w:szCs w:val="20"/>
          <w:color w:val="auto"/>
        </w:rPr>
        <w:t>EXCLUSION OF PAYMENTS FOR PURPOSES OF BENEFITS OR STATUTORY SEVERANCE</w:t>
      </w:r>
      <w:r>
        <w:rPr>
          <w:sz w:val="20"/>
          <w:szCs w:val="20"/>
          <w:color w:val="auto"/>
        </w:rPr>
        <w:tab/>
      </w:r>
      <w:r>
        <w:rPr>
          <w:rFonts w:ascii="Arial" w:cs="Arial" w:eastAsia="Arial" w:hAnsi="Arial"/>
          <w:sz w:val="19"/>
          <w:szCs w:val="19"/>
          <w:color w:val="auto"/>
        </w:rPr>
        <w:t>31</w:t>
      </w:r>
    </w:p>
    <w:p>
      <w:pPr>
        <w:sectPr>
          <w:pgSz w:w="11900" w:h="16838" w:orient="portrait"/>
          <w:cols w:equalWidth="0" w:num="1">
            <w:col w:w="9819"/>
          </w:cols>
          <w:pgMar w:left="640" w:top="828" w:right="1440" w:bottom="1440" w:gutter="0" w:footer="0" w:header="0"/>
        </w:sectPr>
      </w:pPr>
    </w:p>
    <w:bookmarkStart w:id="119" w:name="page120"/>
    <w:bookmarkEnd w:id="119"/>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BRIGHTHOUSE SERVICES, LLC BLUE RELOCATION POLICY</w:t>
      </w:r>
    </w:p>
    <w:p>
      <w:pPr>
        <w:spacing w:after="0" w:line="200" w:lineRule="exact"/>
        <w:rPr>
          <w:sz w:val="20"/>
          <w:szCs w:val="20"/>
          <w:color w:val="auto"/>
        </w:rPr>
      </w:pPr>
    </w:p>
    <w:p>
      <w:pPr>
        <w:spacing w:after="0" w:line="226" w:lineRule="exact"/>
        <w:rPr>
          <w:sz w:val="20"/>
          <w:szCs w:val="20"/>
          <w:color w:val="auto"/>
        </w:rPr>
      </w:pPr>
    </w:p>
    <w:p>
      <w:pPr>
        <w:spacing w:after="0"/>
        <w:tabs>
          <w:tab w:leader="none" w:pos="3600" w:val="left"/>
        </w:tabs>
        <w:rPr>
          <w:sz w:val="20"/>
          <w:szCs w:val="20"/>
          <w:color w:val="auto"/>
        </w:rPr>
      </w:pPr>
      <w:r>
        <w:rPr>
          <w:rFonts w:ascii="Arial" w:cs="Arial" w:eastAsia="Arial" w:hAnsi="Arial"/>
          <w:sz w:val="22"/>
          <w:szCs w:val="22"/>
          <w:b w:val="1"/>
          <w:bCs w:val="1"/>
          <w:color w:val="365F91"/>
        </w:rPr>
        <w:t>I.</w:t>
      </w:r>
      <w:r>
        <w:rPr>
          <w:sz w:val="20"/>
          <w:szCs w:val="20"/>
          <w:color w:val="auto"/>
        </w:rPr>
        <w:tab/>
      </w:r>
      <w:r>
        <w:rPr>
          <w:rFonts w:ascii="Arial" w:cs="Arial" w:eastAsia="Arial" w:hAnsi="Arial"/>
          <w:sz w:val="22"/>
          <w:szCs w:val="22"/>
          <w:b w:val="1"/>
          <w:bCs w:val="1"/>
          <w:color w:val="auto"/>
        </w:rPr>
        <w:t>INTRODUCTION</w:t>
      </w:r>
    </w:p>
    <w:p>
      <w:pPr>
        <w:spacing w:after="0" w:line="70" w:lineRule="exact"/>
        <w:rPr>
          <w:sz w:val="20"/>
          <w:szCs w:val="20"/>
          <w:color w:val="auto"/>
        </w:rPr>
      </w:pPr>
    </w:p>
    <w:p>
      <w:pPr>
        <w:ind w:left="660"/>
        <w:spacing w:after="0" w:line="297" w:lineRule="auto"/>
        <w:rPr>
          <w:sz w:val="20"/>
          <w:szCs w:val="20"/>
          <w:color w:val="auto"/>
        </w:rPr>
      </w:pPr>
      <w:r>
        <w:rPr>
          <w:rFonts w:ascii="Arial" w:cs="Arial" w:eastAsia="Arial" w:hAnsi="Arial"/>
          <w:sz w:val="21"/>
          <w:szCs w:val="21"/>
          <w:color w:val="auto"/>
        </w:rPr>
        <w:t>Brighthouse Services, LLC has contracted with SIRVA to administer its relocation benefits. This Relocation Policy (the “Policy”) is effective as of January 1, 2018. The Policy is not intended to be an expressed or implied contract, nor is it intended to otherwise create any legally enforceable obligations on the part of Brighthouse Services, LLC or any of its affiliated entities. This Policy supersedes and replaces all previous policies, practices and guidelines regarding domestic relocation within the United States for those individuals to which it applies. Brighthouse Services, LLC reserves the right to add to, modify or delete provisions of this Policy at any time without advance notice to employees who are subject to this Policy. Modifications can be made for any reason at the discretion of Brighthouse Services, LLC or the administrator, including changes to reflect Brighthouse Services, LLC’s changing business objectives or otherwise as required by local laws and regulations. Brighthouse Services, LLC will make all determinations regarding eligibility for and amount of benefits or payments under this program, in its sole discretion, and its interpretation of this Policy will be final and binding.</w:t>
      </w:r>
    </w:p>
    <w:p>
      <w:pPr>
        <w:spacing w:after="0" w:line="279"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ELIGIBILITY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be eligible for this Policy you must meet the following criteria:</w:t>
      </w:r>
    </w:p>
    <w:p>
      <w:pPr>
        <w:spacing w:after="0" w:line="152" w:lineRule="exact"/>
        <w:rPr>
          <w:sz w:val="20"/>
          <w:szCs w:val="20"/>
          <w:color w:val="auto"/>
        </w:rPr>
      </w:pPr>
    </w:p>
    <w:p>
      <w:pPr>
        <w:ind w:left="1300" w:right="380" w:hanging="320"/>
        <w:spacing w:after="0" w:line="274"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 are a full-time, salaried Brighthouse Services, LLC employee or a new hire scheduled to be a full-time, salaried Brighthouse Services, LLC employee, at Grade 14 or above.</w:t>
      </w:r>
    </w:p>
    <w:p>
      <w:pPr>
        <w:spacing w:after="0" w:line="16" w:lineRule="exact"/>
        <w:rPr>
          <w:rFonts w:ascii="Arial" w:cs="Arial" w:eastAsia="Arial" w:hAnsi="Arial"/>
          <w:sz w:val="22"/>
          <w:szCs w:val="22"/>
          <w:color w:val="auto"/>
        </w:rPr>
      </w:pPr>
    </w:p>
    <w:p>
      <w:pPr>
        <w:ind w:left="1300" w:right="60" w:hanging="320"/>
        <w:spacing w:after="0" w:line="277"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 have received a letter from Brighthouse Services, LLC requesting that you relocate and stating that you are entitled to the benefits provided under this Policy. Employee-initiated relocations are NOT eligible for relocation benefits.</w:t>
      </w:r>
    </w:p>
    <w:p>
      <w:pPr>
        <w:spacing w:after="0" w:line="15" w:lineRule="exact"/>
        <w:rPr>
          <w:rFonts w:ascii="Arial" w:cs="Arial" w:eastAsia="Arial" w:hAnsi="Arial"/>
          <w:sz w:val="22"/>
          <w:szCs w:val="22"/>
          <w:color w:val="auto"/>
        </w:rPr>
      </w:pPr>
    </w:p>
    <w:p>
      <w:pPr>
        <w:ind w:left="1300" w:right="40" w:hanging="320"/>
        <w:spacing w:after="0" w:line="281"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distance between your former residence and your new job site must be at least 50 miles greater than the distance between your former residence and your former job site.</w:t>
      </w:r>
    </w:p>
    <w:p>
      <w:pPr>
        <w:spacing w:after="0" w:line="2" w:lineRule="exact"/>
        <w:rPr>
          <w:sz w:val="20"/>
          <w:szCs w:val="20"/>
          <w:color w:val="auto"/>
        </w:rPr>
      </w:pPr>
    </w:p>
    <w:p>
      <w:pPr>
        <w:ind w:left="660" w:right="60"/>
        <w:spacing w:after="0" w:line="304" w:lineRule="auto"/>
        <w:rPr>
          <w:sz w:val="20"/>
          <w:szCs w:val="20"/>
          <w:color w:val="auto"/>
        </w:rPr>
      </w:pPr>
      <w:r>
        <w:rPr>
          <w:rFonts w:ascii="Arial" w:cs="Arial" w:eastAsia="Arial" w:hAnsi="Arial"/>
          <w:sz w:val="21"/>
          <w:szCs w:val="21"/>
          <w:color w:val="auto"/>
        </w:rPr>
        <w:t>Relocation assistance is provided to you and your family members who permanently reside with you, are relocating with you, and who will reside with you in the new location. If your spouse or domestic partner is also a Brighthouse Services, LLC employee being transferred, only one set of relocation benefits will be provided.</w:t>
      </w:r>
    </w:p>
    <w:p>
      <w:pPr>
        <w:spacing w:after="0" w:line="27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BENEFIT HIGHLIGHTS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benefits are available under this Policy:</w:t>
      </w:r>
    </w:p>
    <w:p>
      <w:pPr>
        <w:spacing w:after="0" w:line="152" w:lineRule="exact"/>
        <w:rPr>
          <w:sz w:val="20"/>
          <w:szCs w:val="20"/>
          <w:color w:val="auto"/>
        </w:rPr>
      </w:pPr>
    </w:p>
    <w:p>
      <w:pPr>
        <w:ind w:left="1300" w:hanging="320"/>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Assistance from SIRVA with selling your home and buying or leasing a new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4 | </w:t>
      </w:r>
      <w:r>
        <w:rPr>
          <w:rFonts w:ascii="Arial" w:cs="Arial" w:eastAsia="Arial" w:hAnsi="Arial"/>
          <w:sz w:val="19"/>
          <w:szCs w:val="19"/>
          <w:color w:val="7F7F7F"/>
        </w:rPr>
        <w:t>Page</w:t>
      </w:r>
    </w:p>
    <w:p>
      <w:pPr>
        <w:sectPr>
          <w:pgSz w:w="11900" w:h="16838" w:orient="portrait"/>
          <w:cols w:equalWidth="0" w:num="1">
            <w:col w:w="11400"/>
          </w:cols>
          <w:pgMar w:left="240" w:top="865" w:right="259" w:bottom="1440" w:gutter="0" w:footer="0" w:header="0"/>
        </w:sectPr>
      </w:pPr>
    </w:p>
    <w:bookmarkStart w:id="120" w:name="page121"/>
    <w:bookmarkEnd w:id="120"/>
    <w:p>
      <w:pPr>
        <w:ind w:left="1300" w:right="420" w:hanging="320"/>
        <w:spacing w:after="0" w:line="281"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A Loss-on-Sale payment up to $50,000 to assist you with a financial loss you may incur on the sale of your home.</w:t>
      </w:r>
    </w:p>
    <w:p>
      <w:pPr>
        <w:spacing w:after="0" w:line="2" w:lineRule="exact"/>
        <w:rPr>
          <w:sz w:val="20"/>
          <w:szCs w:val="20"/>
          <w:color w:val="auto"/>
        </w:rPr>
      </w:pPr>
    </w:p>
    <w:p>
      <w:pPr>
        <w:ind w:left="660" w:right="160"/>
        <w:spacing w:after="0" w:line="285" w:lineRule="auto"/>
        <w:rPr>
          <w:sz w:val="20"/>
          <w:szCs w:val="20"/>
          <w:color w:val="auto"/>
        </w:rPr>
      </w:pPr>
      <w:r>
        <w:rPr>
          <w:rFonts w:ascii="Arial" w:cs="Arial" w:eastAsia="Arial" w:hAnsi="Arial"/>
          <w:sz w:val="22"/>
          <w:szCs w:val="22"/>
          <w:color w:val="auto"/>
        </w:rPr>
        <w:t>The various types of expense reimbursements and assistance from SIRVA available under this Policy are listed below as either Departure Services (related to selling your home) or Destination Services (relating to buying a home and transitioning to the new home).</w:t>
      </w:r>
    </w:p>
    <w:p>
      <w:pPr>
        <w:spacing w:after="0" w:line="98" w:lineRule="exact"/>
        <w:rPr>
          <w:sz w:val="20"/>
          <w:szCs w:val="20"/>
          <w:color w:val="auto"/>
        </w:rPr>
      </w:pPr>
    </w:p>
    <w:p>
      <w:pPr>
        <w:ind w:left="660" w:right="400"/>
        <w:spacing w:after="0" w:line="285" w:lineRule="auto"/>
        <w:rPr>
          <w:sz w:val="20"/>
          <w:szCs w:val="20"/>
          <w:color w:val="auto"/>
        </w:rPr>
      </w:pPr>
      <w:r>
        <w:rPr>
          <w:rFonts w:ascii="Arial" w:cs="Arial" w:eastAsia="Arial" w:hAnsi="Arial"/>
          <w:sz w:val="22"/>
          <w:szCs w:val="22"/>
          <w:color w:val="auto"/>
        </w:rPr>
        <w:t>The benefits listed above are only an outline of the types of benefits provided under this Policy. For more information regarding a specific benefit, including limitations and conditions, please see the full description of each benefit in the applicable sections of this Policy which follow.</w:t>
      </w:r>
    </w:p>
    <w:p>
      <w:pPr>
        <w:spacing w:after="0" w:line="28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1"/>
          <w:szCs w:val="21"/>
          <w:b w:val="1"/>
          <w:bCs w:val="1"/>
          <w:color w:val="auto"/>
        </w:rPr>
        <w:t>CONDITIONS</w:t>
      </w:r>
    </w:p>
    <w:p>
      <w:pPr>
        <w:spacing w:after="0" w:line="166" w:lineRule="exact"/>
        <w:rPr>
          <w:sz w:val="20"/>
          <w:szCs w:val="20"/>
          <w:color w:val="auto"/>
        </w:rPr>
      </w:pPr>
    </w:p>
    <w:p>
      <w:pPr>
        <w:ind w:left="820" w:hanging="420"/>
        <w:spacing w:after="0"/>
        <w:tabs>
          <w:tab w:leader="none" w:pos="8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Benefits Must be Used Within 1 Year of Relocation</w:t>
      </w:r>
    </w:p>
    <w:p>
      <w:pPr>
        <w:spacing w:after="0" w:line="70" w:lineRule="exact"/>
        <w:rPr>
          <w:rFonts w:ascii="Arial" w:cs="Arial" w:eastAsia="Arial" w:hAnsi="Arial"/>
          <w:sz w:val="22"/>
          <w:szCs w:val="22"/>
          <w:b w:val="1"/>
          <w:bCs w:val="1"/>
          <w:color w:val="auto"/>
        </w:rPr>
      </w:pPr>
    </w:p>
    <w:p>
      <w:pPr>
        <w:ind w:left="820" w:right="100"/>
        <w:spacing w:after="0" w:line="282" w:lineRule="auto"/>
        <w:rPr>
          <w:rFonts w:ascii="Arial" w:cs="Arial" w:eastAsia="Arial" w:hAnsi="Arial"/>
          <w:sz w:val="22"/>
          <w:szCs w:val="22"/>
          <w:b w:val="1"/>
          <w:bCs w:val="1"/>
          <w:color w:val="auto"/>
        </w:rPr>
      </w:pPr>
      <w:r>
        <w:rPr>
          <w:rFonts w:ascii="Arial" w:cs="Arial" w:eastAsia="Arial" w:hAnsi="Arial"/>
          <w:sz w:val="22"/>
          <w:szCs w:val="22"/>
          <w:color w:val="auto"/>
        </w:rPr>
        <w:t>All events necessary for receiving relocation benefits under this Policy, including (if necessary) the submission of forms, must be completed within one year of the date your new address is entered into the Human Resources system of record. For example, if your household goods have not been transported to your new home within one year of the date that your new address was entered into the Human Resources system of record, Brighthouse Services, LLC will not pay for the cost of transporting your household goods. If you have not submitted the necessary HUD-1 form or Settlement Statement to SIRVA within one year of the date that your new address is entered into the Human Resources system of record, Brighthouse Services, LLC will not reimburse you for any Loss-on-Sale that you incur. Please consult with your SIRVA Relocation Consultant if you have any questions regarding the one-year deadline.</w:t>
      </w:r>
    </w:p>
    <w:p>
      <w:pPr>
        <w:spacing w:after="0" w:line="200" w:lineRule="exact"/>
        <w:rPr>
          <w:rFonts w:ascii="Arial" w:cs="Arial" w:eastAsia="Arial" w:hAnsi="Arial"/>
          <w:sz w:val="22"/>
          <w:szCs w:val="22"/>
          <w:b w:val="1"/>
          <w:bCs w:val="1"/>
          <w:color w:val="auto"/>
        </w:rPr>
      </w:pPr>
    </w:p>
    <w:p>
      <w:pPr>
        <w:spacing w:after="0" w:line="245" w:lineRule="exact"/>
        <w:rPr>
          <w:rFonts w:ascii="Arial" w:cs="Arial" w:eastAsia="Arial" w:hAnsi="Arial"/>
          <w:sz w:val="22"/>
          <w:szCs w:val="22"/>
          <w:b w:val="1"/>
          <w:bCs w:val="1"/>
          <w:color w:val="auto"/>
        </w:rPr>
      </w:pPr>
    </w:p>
    <w:p>
      <w:pPr>
        <w:ind w:left="820" w:hanging="420"/>
        <w:spacing w:after="0"/>
        <w:tabs>
          <w:tab w:leader="none" w:pos="8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Repayment Agreement</w:t>
      </w:r>
    </w:p>
    <w:p>
      <w:pPr>
        <w:spacing w:after="0" w:line="70" w:lineRule="exact"/>
        <w:rPr>
          <w:rFonts w:ascii="Arial" w:cs="Arial" w:eastAsia="Arial" w:hAnsi="Arial"/>
          <w:sz w:val="22"/>
          <w:szCs w:val="22"/>
          <w:b w:val="1"/>
          <w:bCs w:val="1"/>
          <w:color w:val="auto"/>
        </w:rPr>
      </w:pPr>
    </w:p>
    <w:p>
      <w:pPr>
        <w:ind w:left="8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The costs that Brighthouse Services, LLC will incur because of this move are extensive. For this reason, and to be sure you are committed to the new position, we require that you sign a Repayment Agreement. The Repayment Agreement stipulates that you will repay costs* incurred by Brighthouse Services, LLC on your behalf if you leave within two years of the date your new address is entered into the Human Resources system of record, based on the chart below.</w:t>
      </w:r>
    </w:p>
    <w:p>
      <w:pPr>
        <w:spacing w:after="0" w:line="197" w:lineRule="exact"/>
        <w:rPr>
          <w:sz w:val="20"/>
          <w:szCs w:val="20"/>
          <w:color w:val="auto"/>
        </w:rPr>
      </w:pPr>
    </w:p>
    <w:tbl>
      <w:tblPr>
        <w:tblLayout w:type="fixed"/>
        <w:tblInd w:w="2770" w:type="dxa"/>
        <w:tblCellMar>
          <w:top w:w="0" w:type="dxa"/>
          <w:left w:w="0" w:type="dxa"/>
          <w:bottom w:w="0" w:type="dxa"/>
          <w:right w:w="0" w:type="dxa"/>
        </w:tblCellMar>
      </w:tblPr>
      <w:tr>
        <w:trPr>
          <w:trHeight w:val="277"/>
        </w:trPr>
        <w:tc>
          <w:tcPr>
            <w:tcW w:w="1760" w:type="dxa"/>
            <w:vAlign w:val="bottom"/>
            <w:tcBorders>
              <w:top w:val="single" w:sz="8" w:color="auto"/>
              <w:left w:val="single" w:sz="8" w:color="auto"/>
              <w:right w:val="single" w:sz="8" w:color="auto"/>
            </w:tcBorders>
          </w:tcPr>
          <w:p>
            <w:pPr>
              <w:ind w:left="580"/>
              <w:spacing w:after="0"/>
              <w:rPr>
                <w:sz w:val="20"/>
                <w:szCs w:val="20"/>
                <w:color w:val="auto"/>
              </w:rPr>
            </w:pPr>
            <w:r>
              <w:rPr>
                <w:rFonts w:ascii="Arial" w:cs="Arial" w:eastAsia="Arial" w:hAnsi="Arial"/>
                <w:sz w:val="22"/>
                <w:szCs w:val="22"/>
                <w:color w:val="auto"/>
              </w:rPr>
              <w:t>0 – 180</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100%</w:t>
            </w:r>
          </w:p>
        </w:tc>
      </w:tr>
      <w:tr>
        <w:trPr>
          <w:trHeight w:val="270"/>
        </w:trPr>
        <w:tc>
          <w:tcPr>
            <w:tcW w:w="1760" w:type="dxa"/>
            <w:vAlign w:val="bottom"/>
            <w:tcBorders>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3"/>
                <w:szCs w:val="23"/>
                <w:color w:val="auto"/>
              </w:rPr>
            </w:pPr>
          </w:p>
        </w:tc>
      </w:tr>
      <w:tr>
        <w:trPr>
          <w:trHeight w:val="264"/>
        </w:trPr>
        <w:tc>
          <w:tcPr>
            <w:tcW w:w="17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181 – 365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75%</w:t>
            </w:r>
          </w:p>
        </w:tc>
      </w:tr>
      <w:tr>
        <w:trPr>
          <w:trHeight w:val="270"/>
        </w:trPr>
        <w:tc>
          <w:tcPr>
            <w:tcW w:w="17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3"/>
                <w:szCs w:val="23"/>
                <w:color w:val="auto"/>
              </w:rPr>
            </w:pPr>
          </w:p>
        </w:tc>
      </w:tr>
      <w:tr>
        <w:trPr>
          <w:trHeight w:val="264"/>
        </w:trPr>
        <w:tc>
          <w:tcPr>
            <w:tcW w:w="17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366 – 545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50%</w:t>
            </w:r>
          </w:p>
        </w:tc>
      </w:tr>
      <w:tr>
        <w:trPr>
          <w:trHeight w:val="270"/>
        </w:trPr>
        <w:tc>
          <w:tcPr>
            <w:tcW w:w="17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3"/>
                <w:szCs w:val="23"/>
                <w:color w:val="auto"/>
              </w:rPr>
            </w:pPr>
          </w:p>
        </w:tc>
      </w:tr>
      <w:tr>
        <w:trPr>
          <w:trHeight w:val="264"/>
        </w:trPr>
        <w:tc>
          <w:tcPr>
            <w:tcW w:w="17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546 – 730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25%</w:t>
            </w:r>
          </w:p>
        </w:tc>
      </w:tr>
      <w:tr>
        <w:trPr>
          <w:trHeight w:val="270"/>
        </w:trPr>
        <w:tc>
          <w:tcPr>
            <w:tcW w:w="17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3"/>
                <w:szCs w:val="23"/>
                <w:color w:val="auto"/>
              </w:rPr>
            </w:pPr>
          </w:p>
        </w:tc>
      </w:tr>
    </w:tbl>
    <w:p>
      <w:pPr>
        <w:spacing w:after="0" w:line="129" w:lineRule="exact"/>
        <w:rPr>
          <w:sz w:val="20"/>
          <w:szCs w:val="20"/>
          <w:color w:val="auto"/>
        </w:rPr>
      </w:pPr>
    </w:p>
    <w:p>
      <w:pPr>
        <w:ind w:left="820" w:right="300"/>
        <w:spacing w:after="0" w:line="288" w:lineRule="auto"/>
        <w:rPr>
          <w:sz w:val="20"/>
          <w:szCs w:val="20"/>
          <w:color w:val="auto"/>
        </w:rPr>
      </w:pPr>
      <w:r>
        <w:rPr>
          <w:rFonts w:ascii="Arial" w:cs="Arial" w:eastAsia="Arial" w:hAnsi="Arial"/>
          <w:sz w:val="22"/>
          <w:szCs w:val="22"/>
          <w:color w:val="auto"/>
        </w:rPr>
        <w:t>*If you repay these costs in the same calendar year you received payment, you are responsible for repaying only the actual costs incurred. If you repay these costs in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5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21" w:name="page122"/>
    <w:bookmarkEnd w:id="121"/>
    <w:p>
      <w:pPr>
        <w:ind w:left="820" w:right="58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after the year that you received payment, you are responsible for repayment of the actual costs plus any associated taxes that were withheld by the company.</w:t>
      </w:r>
    </w:p>
    <w:p>
      <w:pPr>
        <w:spacing w:after="0" w:line="203" w:lineRule="exact"/>
        <w:rPr>
          <w:sz w:val="20"/>
          <w:szCs w:val="20"/>
          <w:color w:val="auto"/>
        </w:rPr>
      </w:pPr>
    </w:p>
    <w:p>
      <w:pPr>
        <w:ind w:left="820" w:right="100"/>
        <w:spacing w:after="0" w:line="282" w:lineRule="auto"/>
        <w:rPr>
          <w:sz w:val="20"/>
          <w:szCs w:val="20"/>
          <w:color w:val="auto"/>
        </w:rPr>
      </w:pPr>
      <w:r>
        <w:rPr>
          <w:rFonts w:ascii="Arial" w:cs="Arial" w:eastAsia="Arial" w:hAnsi="Arial"/>
          <w:sz w:val="22"/>
          <w:szCs w:val="22"/>
          <w:color w:val="auto"/>
        </w:rPr>
        <w:t>These costs include home marketing and sale assistance, home finding and purchase assistance or rental assistance, household good transportation, temporary housing, among other benefits. Repayment is required for the following reasons: 1) you voluntarily terminate employment with Brighthouse Services, LLC; 2) Brighthouse Services, LLC terminates your employment because you engaged in a serious infraction of Brighthouse Services, LLC policy, theft of Brighthouse Services, LLC property or services or other dishonest conduct, or conduct otherwise injurious to the interests of Brighthouse Services, LLC, or because you demonstrated unacceptable lateness or absenteeism; or 3) you voluntarily transfer your employment to another position or function within Brighthouse Services, LLC that either is not at the new location or is materially different from the position or function for which you were transferred to the new location. The Repayment Agreement must be signed and returned to Brighthouse Services, LLC prior to implementing any relocation services.</w:t>
      </w:r>
    </w:p>
    <w:p>
      <w:pPr>
        <w:spacing w:after="0" w:line="189" w:lineRule="exact"/>
        <w:rPr>
          <w:sz w:val="20"/>
          <w:szCs w:val="20"/>
          <w:color w:val="auto"/>
        </w:rPr>
      </w:pPr>
    </w:p>
    <w:p>
      <w:pPr>
        <w:ind w:left="820" w:hanging="434"/>
        <w:spacing w:after="0"/>
        <w:tabs>
          <w:tab w:leader="none" w:pos="8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 with SIRVA</w:t>
      </w:r>
    </w:p>
    <w:p>
      <w:pPr>
        <w:spacing w:after="0" w:line="70"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1"/>
          <w:szCs w:val="21"/>
          <w:color w:val="auto"/>
        </w:rPr>
        <w:t>Your cooperation with SIRVA throughout the process will help ensure that your move is handled with the least</w:t>
      </w:r>
    </w:p>
    <w:p>
      <w:pPr>
        <w:spacing w:after="0" w:line="55" w:lineRule="exact"/>
        <w:rPr>
          <w:rFonts w:ascii="Arial" w:cs="Arial" w:eastAsia="Arial" w:hAnsi="Arial"/>
          <w:sz w:val="22"/>
          <w:szCs w:val="22"/>
          <w:b w:val="1"/>
          <w:bCs w:val="1"/>
          <w:color w:val="auto"/>
        </w:rPr>
      </w:pPr>
    </w:p>
    <w:p>
      <w:pPr>
        <w:jc w:val="both"/>
        <w:ind w:left="820" w:right="56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 xml:space="preserve">inconvenience possible. Accordingly, please comply with all timelines spelled out in this Policy and in the instructions you receive from SIRVA. </w:t>
      </w:r>
      <w:r>
        <w:rPr>
          <w:rFonts w:ascii="Arial" w:cs="Arial" w:eastAsia="Arial" w:hAnsi="Arial"/>
          <w:sz w:val="22"/>
          <w:szCs w:val="22"/>
          <w:b w:val="1"/>
          <w:bCs w:val="1"/>
          <w:color w:val="auto"/>
        </w:rPr>
        <w:t>Failing to comply with the terms of this Policy or with SIRVA’s</w:t>
      </w:r>
      <w:r>
        <w:rPr>
          <w:rFonts w:ascii="Arial" w:cs="Arial" w:eastAsia="Arial" w:hAnsi="Arial"/>
          <w:sz w:val="22"/>
          <w:szCs w:val="22"/>
          <w:color w:val="auto"/>
        </w:rPr>
        <w:t xml:space="preserve"> </w:t>
      </w:r>
      <w:r>
        <w:rPr>
          <w:rFonts w:ascii="Arial" w:cs="Arial" w:eastAsia="Arial" w:hAnsi="Arial"/>
          <w:sz w:val="22"/>
          <w:szCs w:val="22"/>
          <w:b w:val="1"/>
          <w:bCs w:val="1"/>
          <w:color w:val="auto"/>
        </w:rPr>
        <w:t>instructions may jeopardize your eligibility for benefits under this Policy.</w:t>
      </w:r>
    </w:p>
    <w:p>
      <w:pPr>
        <w:spacing w:after="0" w:line="98"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As part of your cooperation with SIRVA, Brighthouse Services, LLC requires that you:</w:t>
      </w:r>
    </w:p>
    <w:p>
      <w:pPr>
        <w:spacing w:after="0" w:line="152" w:lineRule="exact"/>
        <w:rPr>
          <w:rFonts w:ascii="Arial" w:cs="Arial" w:eastAsia="Arial" w:hAnsi="Arial"/>
          <w:sz w:val="22"/>
          <w:szCs w:val="22"/>
          <w:b w:val="1"/>
          <w:bCs w:val="1"/>
          <w:color w:val="auto"/>
        </w:rPr>
      </w:pPr>
    </w:p>
    <w:p>
      <w:pPr>
        <w:ind w:left="1220" w:right="40" w:hanging="321"/>
        <w:spacing w:after="0" w:line="304" w:lineRule="auto"/>
        <w:tabs>
          <w:tab w:leader="none" w:pos="1220" w:val="left"/>
        </w:tabs>
        <w:numPr>
          <w:ilvl w:val="1"/>
          <w:numId w:val="69"/>
        </w:numPr>
        <w:rPr>
          <w:rFonts w:ascii="Arial" w:cs="Arial" w:eastAsia="Arial" w:hAnsi="Arial"/>
          <w:sz w:val="21"/>
          <w:szCs w:val="21"/>
          <w:color w:val="auto"/>
        </w:rPr>
      </w:pPr>
      <w:r>
        <w:rPr>
          <w:rFonts w:ascii="Arial" w:cs="Arial" w:eastAsia="Arial" w:hAnsi="Arial"/>
          <w:sz w:val="21"/>
          <w:szCs w:val="21"/>
          <w:color w:val="auto"/>
        </w:rPr>
        <w:t>Refrain from contacting a real estate broker or listing your home with an agent. SIRVA will recommend pre-qualified brokers who are trained and experienced in corporate relocation transactions. They will recommend brokers for both selling your current home and purchasing a home in the destination location.</w:t>
      </w:r>
    </w:p>
    <w:p>
      <w:pPr>
        <w:spacing w:after="0" w:line="81" w:lineRule="exact"/>
        <w:rPr>
          <w:rFonts w:ascii="Arial" w:cs="Arial" w:eastAsia="Arial" w:hAnsi="Arial"/>
          <w:sz w:val="21"/>
          <w:szCs w:val="21"/>
          <w:color w:val="auto"/>
        </w:rPr>
      </w:pPr>
    </w:p>
    <w:p>
      <w:pPr>
        <w:ind w:left="1220" w:hanging="321"/>
        <w:spacing w:after="0" w:line="283" w:lineRule="auto"/>
        <w:tabs>
          <w:tab w:leader="none" w:pos="1220" w:val="left"/>
        </w:tabs>
        <w:numPr>
          <w:ilvl w:val="1"/>
          <w:numId w:val="69"/>
        </w:numPr>
        <w:rPr>
          <w:rFonts w:ascii="Arial" w:cs="Arial" w:eastAsia="Arial" w:hAnsi="Arial"/>
          <w:sz w:val="22"/>
          <w:szCs w:val="22"/>
          <w:color w:val="auto"/>
        </w:rPr>
      </w:pPr>
      <w:r>
        <w:rPr>
          <w:rFonts w:ascii="Arial" w:cs="Arial" w:eastAsia="Arial" w:hAnsi="Arial"/>
          <w:sz w:val="22"/>
          <w:szCs w:val="22"/>
          <w:color w:val="auto"/>
        </w:rPr>
        <w:t>Accurately complete all required disclosure materials. Real estate transactions are governed by laws and regulations designed to protect the interests of both sellers and buyers. Every home seller has certain duties and obligations to a buyer, including full disclosure of all pertinent information about the condition of the home and its surroundings.</w:t>
      </w:r>
    </w:p>
    <w:p>
      <w:pPr>
        <w:spacing w:after="0" w:line="103" w:lineRule="exact"/>
        <w:rPr>
          <w:rFonts w:ascii="Arial" w:cs="Arial" w:eastAsia="Arial" w:hAnsi="Arial"/>
          <w:sz w:val="22"/>
          <w:szCs w:val="22"/>
          <w:color w:val="auto"/>
        </w:rPr>
      </w:pPr>
    </w:p>
    <w:p>
      <w:pPr>
        <w:ind w:left="1220" w:right="40"/>
        <w:spacing w:after="0" w:line="283" w:lineRule="auto"/>
        <w:rPr>
          <w:rFonts w:ascii="Arial" w:cs="Arial" w:eastAsia="Arial" w:hAnsi="Arial"/>
          <w:sz w:val="22"/>
          <w:szCs w:val="22"/>
          <w:color w:val="auto"/>
        </w:rPr>
      </w:pPr>
      <w:r>
        <w:rPr>
          <w:rFonts w:ascii="Arial" w:cs="Arial" w:eastAsia="Arial" w:hAnsi="Arial"/>
          <w:sz w:val="22"/>
          <w:szCs w:val="22"/>
          <w:color w:val="auto"/>
        </w:rPr>
        <w:t>In this regard, you can protect both yourself and Brighthouse Services, LLC from potential litigation by the timely and thorough completion of all forms and documents pertaining to the condition of the property. It is not the intent of Brighthouse Services, LLC to relieve you of your duties and obligations relating to full disclosure. You will be asked to complete property disclosure forms for the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6 | </w:t>
      </w:r>
      <w:r>
        <w:rPr>
          <w:rFonts w:ascii="Arial" w:cs="Arial" w:eastAsia="Arial" w:hAnsi="Arial"/>
          <w:sz w:val="19"/>
          <w:szCs w:val="19"/>
          <w:color w:val="7F7F7F"/>
        </w:rPr>
        <w:t>Page</w:t>
      </w:r>
    </w:p>
    <w:p>
      <w:pPr>
        <w:sectPr>
          <w:pgSz w:w="11900" w:h="16838" w:orient="portrait"/>
          <w:cols w:equalWidth="0" w:num="1">
            <w:col w:w="11340"/>
          </w:cols>
          <w:pgMar w:left="240" w:top="970" w:right="319" w:bottom="1440" w:gutter="0" w:footer="0" w:header="0"/>
        </w:sectPr>
      </w:pPr>
    </w:p>
    <w:bookmarkStart w:id="122" w:name="page123"/>
    <w:bookmarkEnd w:id="122"/>
    <w:p>
      <w:pPr>
        <w:ind w:left="1220" w:right="54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estate agent and for SIRVA. You must complete and return these forms at the beginning of the listing period.</w:t>
      </w:r>
    </w:p>
    <w:p>
      <w:pPr>
        <w:spacing w:after="0" w:line="95" w:lineRule="exact"/>
        <w:rPr>
          <w:sz w:val="20"/>
          <w:szCs w:val="20"/>
          <w:color w:val="auto"/>
        </w:rPr>
      </w:pPr>
    </w:p>
    <w:p>
      <w:pPr>
        <w:jc w:val="both"/>
        <w:ind w:left="1220" w:right="380" w:hanging="321"/>
        <w:spacing w:after="0" w:line="295" w:lineRule="auto"/>
        <w:tabs>
          <w:tab w:leader="none" w:pos="1220" w:val="left"/>
        </w:tabs>
        <w:numPr>
          <w:ilvl w:val="1"/>
          <w:numId w:val="70"/>
        </w:numPr>
        <w:rPr>
          <w:rFonts w:ascii="Arial" w:cs="Arial" w:eastAsia="Arial" w:hAnsi="Arial"/>
          <w:sz w:val="21"/>
          <w:szCs w:val="21"/>
          <w:color w:val="auto"/>
        </w:rPr>
      </w:pPr>
      <w:r>
        <w:rPr>
          <w:rFonts w:ascii="Arial" w:cs="Arial" w:eastAsia="Arial" w:hAnsi="Arial"/>
          <w:sz w:val="21"/>
          <w:szCs w:val="21"/>
          <w:color w:val="auto"/>
        </w:rPr>
        <w:t>DO NOT sign anything or accept any monies as this may affect the taxability of Home Sale Assistance described in the Home Sale Assistance section, should you receive an offer on the sale of your home. Simply contact your SIRVA Relocation Consultant and he or she will instruct you on how to proceed.</w:t>
      </w:r>
    </w:p>
    <w:p>
      <w:pPr>
        <w:ind w:left="1220"/>
        <w:spacing w:after="0" w:line="288" w:lineRule="auto"/>
        <w:rPr>
          <w:rFonts w:ascii="Arial" w:cs="Arial" w:eastAsia="Arial" w:hAnsi="Arial"/>
          <w:sz w:val="21"/>
          <w:szCs w:val="21"/>
          <w:color w:val="auto"/>
        </w:rPr>
      </w:pPr>
      <w:r>
        <w:rPr>
          <w:rFonts w:ascii="Arial" w:cs="Arial" w:eastAsia="Arial" w:hAnsi="Arial"/>
          <w:sz w:val="22"/>
          <w:szCs w:val="22"/>
          <w:color w:val="auto"/>
        </w:rPr>
        <w:t>SIRVA ensures that you will have after-hours access to your SIRVA Relocation Consultant or a designated representative at all times.</w:t>
      </w:r>
    </w:p>
    <w:p>
      <w:pPr>
        <w:spacing w:after="0" w:line="95" w:lineRule="exact"/>
        <w:rPr>
          <w:rFonts w:ascii="Arial" w:cs="Arial" w:eastAsia="Arial" w:hAnsi="Arial"/>
          <w:sz w:val="21"/>
          <w:szCs w:val="21"/>
          <w:color w:val="auto"/>
        </w:rPr>
      </w:pPr>
    </w:p>
    <w:p>
      <w:pPr>
        <w:ind w:left="1220" w:right="160" w:hanging="321"/>
        <w:spacing w:after="0" w:line="285" w:lineRule="auto"/>
        <w:tabs>
          <w:tab w:leader="none" w:pos="12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Retain receipts and other documentation to verify relocation expenses and to support payments made to you by Brighthouse Services, LLC. You must submit expense reports and required receipts (scanned receipts are acceptable) within 60 days of the incurred expense.</w:t>
      </w:r>
    </w:p>
    <w:p>
      <w:pPr>
        <w:spacing w:after="0" w:line="288"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EXPENSE REIMBURSEMENT – GENERAL</w:t>
      </w:r>
    </w:p>
    <w:p>
      <w:pPr>
        <w:spacing w:after="0" w:line="84" w:lineRule="exact"/>
        <w:rPr>
          <w:sz w:val="20"/>
          <w:szCs w:val="20"/>
          <w:color w:val="auto"/>
        </w:rPr>
      </w:pPr>
    </w:p>
    <w:p>
      <w:pPr>
        <w:ind w:left="660" w:right="20"/>
        <w:spacing w:after="0" w:line="291" w:lineRule="auto"/>
        <w:rPr>
          <w:sz w:val="20"/>
          <w:szCs w:val="20"/>
          <w:color w:val="auto"/>
        </w:rPr>
      </w:pPr>
      <w:r>
        <w:rPr>
          <w:rFonts w:ascii="Arial" w:cs="Arial" w:eastAsia="Arial" w:hAnsi="Arial"/>
          <w:sz w:val="21"/>
          <w:szCs w:val="21"/>
          <w:color w:val="auto"/>
        </w:rPr>
        <w:t xml:space="preserve">Most standard expenses involved in relocation are covered under this Policy via a direct payment to a supplier, through a lump sum payment, or by reimbursement of relocation expense reports that you submit. Reimbursements will be made under this Policy only after an expense is incurred, and only if a reimbursement request and proper documentation is submitted within 60 days after the expense is incurred (unless the terms of this Policy specifically provide otherwise in a particular case). You must submit your out-of-pocket costs to SIRVA, either online or on a Relocation Expense Report form. </w:t>
      </w:r>
      <w:r>
        <w:rPr>
          <w:rFonts w:ascii="Arial" w:cs="Arial" w:eastAsia="Arial" w:hAnsi="Arial"/>
          <w:sz w:val="21"/>
          <w:szCs w:val="21"/>
          <w:b w:val="1"/>
          <w:bCs w:val="1"/>
          <w:color w:val="auto"/>
        </w:rPr>
        <w:t>It is very important that the expenses</w:t>
      </w:r>
      <w:r>
        <w:rPr>
          <w:rFonts w:ascii="Arial" w:cs="Arial" w:eastAsia="Arial" w:hAnsi="Arial"/>
          <w:sz w:val="21"/>
          <w:szCs w:val="21"/>
          <w:color w:val="auto"/>
        </w:rPr>
        <w:t xml:space="preserve"> </w:t>
      </w:r>
      <w:r>
        <w:rPr>
          <w:rFonts w:ascii="Arial" w:cs="Arial" w:eastAsia="Arial" w:hAnsi="Arial"/>
          <w:sz w:val="21"/>
          <w:szCs w:val="21"/>
          <w:b w:val="1"/>
          <w:bCs w:val="1"/>
          <w:color w:val="auto"/>
        </w:rPr>
        <w:t>submitted are strictly related to the relocation and does not include other business expenses</w:t>
      </w:r>
      <w:r>
        <w:rPr>
          <w:rFonts w:ascii="Arial" w:cs="Arial" w:eastAsia="Arial" w:hAnsi="Arial"/>
          <w:sz w:val="21"/>
          <w:szCs w:val="21"/>
          <w:color w:val="auto"/>
        </w:rPr>
        <w:t>.</w:t>
      </w:r>
    </w:p>
    <w:p>
      <w:pPr>
        <w:spacing w:after="0" w:line="4" w:lineRule="exact"/>
        <w:rPr>
          <w:sz w:val="20"/>
          <w:szCs w:val="20"/>
          <w:color w:val="auto"/>
        </w:rPr>
      </w:pPr>
    </w:p>
    <w:p>
      <w:pPr>
        <w:ind w:left="660" w:right="300"/>
        <w:spacing w:after="0" w:line="312" w:lineRule="auto"/>
        <w:rPr>
          <w:sz w:val="20"/>
          <w:szCs w:val="20"/>
          <w:color w:val="auto"/>
        </w:rPr>
      </w:pPr>
      <w:r>
        <w:rPr>
          <w:rFonts w:ascii="Arial" w:cs="Arial" w:eastAsia="Arial" w:hAnsi="Arial"/>
          <w:sz w:val="22"/>
          <w:szCs w:val="22"/>
          <w:b w:val="1"/>
          <w:bCs w:val="1"/>
          <w:color w:val="auto"/>
        </w:rPr>
        <w:t>Relocation expenses and travel should not be paid with a Brighthouse Services, LLC corporate credit card.</w:t>
      </w:r>
    </w:p>
    <w:p>
      <w:pPr>
        <w:spacing w:after="0" w:line="71" w:lineRule="exact"/>
        <w:rPr>
          <w:sz w:val="20"/>
          <w:szCs w:val="20"/>
          <w:color w:val="auto"/>
        </w:rPr>
      </w:pPr>
    </w:p>
    <w:p>
      <w:pPr>
        <w:ind w:left="660" w:right="60"/>
        <w:spacing w:after="0" w:line="283" w:lineRule="auto"/>
        <w:rPr>
          <w:sz w:val="20"/>
          <w:szCs w:val="20"/>
          <w:color w:val="auto"/>
        </w:rPr>
      </w:pPr>
      <w:r>
        <w:rPr>
          <w:rFonts w:ascii="Arial" w:cs="Arial" w:eastAsia="Arial" w:hAnsi="Arial"/>
          <w:sz w:val="22"/>
          <w:szCs w:val="22"/>
          <w:color w:val="auto"/>
        </w:rPr>
        <w:t>Your SIRVA Relocation Consultant will provide you with instructions for completing these forms online and can also provide you with a hard copy of the Relocation Expense Report for your convenience. It is also important that you retain records and submit original receipts, or scans of original receipts. If you choose to submit your expenses via a Relocation Expense Report, rather than through SIRVA’s password protected website, you must submit original receipts to SIRVA.</w:t>
      </w:r>
    </w:p>
    <w:p>
      <w:pPr>
        <w:spacing w:after="0" w:line="102" w:lineRule="exact"/>
        <w:rPr>
          <w:sz w:val="20"/>
          <w:szCs w:val="20"/>
          <w:color w:val="auto"/>
        </w:rPr>
      </w:pPr>
    </w:p>
    <w:p>
      <w:pPr>
        <w:ind w:left="660" w:right="160"/>
        <w:spacing w:after="0" w:line="283"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expense as soon as practicable, but not later than the last day of the calendar year following the calendar year in which the expense was incurred. Please see the Taxes section for a list of expenses that Brighthouse Services, LLC will reimburse upon receipt of the proper documentation.</w:t>
      </w:r>
    </w:p>
    <w:p>
      <w:pPr>
        <w:spacing w:after="0" w:line="103" w:lineRule="exact"/>
        <w:rPr>
          <w:sz w:val="20"/>
          <w:szCs w:val="20"/>
          <w:color w:val="auto"/>
        </w:rPr>
      </w:pPr>
    </w:p>
    <w:p>
      <w:pPr>
        <w:ind w:left="660"/>
        <w:spacing w:after="0" w:line="288" w:lineRule="auto"/>
        <w:rPr>
          <w:sz w:val="20"/>
          <w:szCs w:val="20"/>
          <w:color w:val="auto"/>
        </w:rPr>
      </w:pPr>
      <w:r>
        <w:rPr>
          <w:rFonts w:ascii="Arial" w:cs="Arial" w:eastAsia="Arial" w:hAnsi="Arial"/>
          <w:sz w:val="22"/>
          <w:szCs w:val="22"/>
          <w:color w:val="auto"/>
        </w:rPr>
        <w:t>Unless another specific deadline for payment is specified below, allowances under this Policy that do not require the submission of a request for reimbursement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7 | </w:t>
      </w:r>
      <w:r>
        <w:rPr>
          <w:rFonts w:ascii="Arial" w:cs="Arial" w:eastAsia="Arial" w:hAnsi="Arial"/>
          <w:sz w:val="19"/>
          <w:szCs w:val="19"/>
          <w:color w:val="7F7F7F"/>
        </w:rPr>
        <w:t>Page</w:t>
      </w:r>
    </w:p>
    <w:p>
      <w:pPr>
        <w:sectPr>
          <w:pgSz w:w="11900" w:h="16838" w:orient="portrait"/>
          <w:cols w:equalWidth="0" w:num="1">
            <w:col w:w="11360"/>
          </w:cols>
          <w:pgMar w:left="240" w:top="862" w:right="299" w:bottom="1440" w:gutter="0" w:footer="0" w:header="0"/>
        </w:sectPr>
      </w:pPr>
    </w:p>
    <w:bookmarkStart w:id="123" w:name="page124"/>
    <w:bookmarkEnd w:id="123"/>
    <w:p>
      <w:pPr>
        <w:ind w:left="660" w:right="200"/>
        <w:spacing w:after="0" w:line="30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accompanying receipts will be paid by Brighthouse Services, LLC no later than March 1 following the calendar year in which you signed your Repayment Agreement. Please see the Taxes section for a list of available Brighthouse Services, LLC -paid allowances under this Policy that do not require the submission of receipts.</w:t>
      </w:r>
    </w:p>
    <w:p>
      <w:pPr>
        <w:spacing w:after="0" w:line="27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1"/>
          <w:szCs w:val="21"/>
          <w:b w:val="1"/>
          <w:bCs w:val="1"/>
          <w:color w:val="auto"/>
        </w:rPr>
        <w:t>DEPARTURE SERVICES AND HOME SALE ASSISTANCE</w:t>
      </w:r>
    </w:p>
    <w:p>
      <w:pPr>
        <w:spacing w:after="0" w:line="84"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color w:val="auto"/>
        </w:rPr>
        <w:t>The sale of your home at a reasonable price and within the shortest amount of time is probably one of your main concerns. Brighthouse Services, LLC wants to help you accomplish this goal, as it benefits both Brighthouse Services, LLC and you by expediting your relocation and keeping costs to a minimum. If you are a homeowner, Brighthouse Services, LLC offers a comprehensive program through SIRVA to assist in marketing and coordinating the sale of your residence to a qualified buyer. Through Home Sale Assistance, Brighthouse Services, LLC will pay those expenses associated with selling and closing your home that it deems to be reasonable and customary.</w:t>
      </w:r>
    </w:p>
    <w:p>
      <w:pPr>
        <w:spacing w:after="0" w:line="189" w:lineRule="exact"/>
        <w:rPr>
          <w:sz w:val="20"/>
          <w:szCs w:val="20"/>
          <w:color w:val="auto"/>
        </w:rPr>
      </w:pPr>
    </w:p>
    <w:p>
      <w:pPr>
        <w:ind w:left="820" w:hanging="434"/>
        <w:spacing w:after="0"/>
        <w:tabs>
          <w:tab w:leader="none" w:pos="8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Home Marketing Assistance</w:t>
      </w:r>
    </w:p>
    <w:p>
      <w:pPr>
        <w:spacing w:after="0" w:line="44" w:lineRule="exact"/>
        <w:rPr>
          <w:rFonts w:ascii="Arial" w:cs="Arial" w:eastAsia="Arial" w:hAnsi="Arial"/>
          <w:sz w:val="22"/>
          <w:szCs w:val="22"/>
          <w:b w:val="1"/>
          <w:bCs w:val="1"/>
          <w:color w:val="auto"/>
        </w:rPr>
      </w:pPr>
    </w:p>
    <w:p>
      <w:pPr>
        <w:ind w:left="820" w:right="120"/>
        <w:spacing w:after="0" w:line="297" w:lineRule="auto"/>
        <w:rPr>
          <w:rFonts w:ascii="Arial" w:cs="Arial" w:eastAsia="Arial" w:hAnsi="Arial"/>
          <w:sz w:val="22"/>
          <w:szCs w:val="22"/>
          <w:b w:val="1"/>
          <w:bCs w:val="1"/>
          <w:color w:val="auto"/>
        </w:rPr>
      </w:pPr>
      <w:r>
        <w:rPr>
          <w:rFonts w:ascii="Arial" w:cs="Arial" w:eastAsia="Arial" w:hAnsi="Arial"/>
          <w:sz w:val="22"/>
          <w:szCs w:val="22"/>
          <w:color w:val="auto"/>
        </w:rPr>
        <w:t xml:space="preserve">To ensure the highest level of service in the most cost-effective manner, you must </w:t>
      </w:r>
      <w:r>
        <w:rPr>
          <w:rFonts w:ascii="Arial" w:cs="Arial" w:eastAsia="Arial" w:hAnsi="Arial"/>
          <w:sz w:val="22"/>
          <w:szCs w:val="22"/>
          <w:b w:val="1"/>
          <w:bCs w:val="1"/>
          <w:color w:val="auto"/>
        </w:rPr>
        <w:t>NOT</w:t>
      </w:r>
      <w:r>
        <w:rPr>
          <w:rFonts w:ascii="Arial" w:cs="Arial" w:eastAsia="Arial" w:hAnsi="Arial"/>
          <w:sz w:val="22"/>
          <w:szCs w:val="22"/>
          <w:color w:val="auto"/>
        </w:rPr>
        <w:t xml:space="preserve"> enter into any binding listing agreements with brokers before contacting your SIRVA Relocation Consultant and you must fully participate in the marketing plan.</w:t>
      </w:r>
    </w:p>
    <w:p>
      <w:pPr>
        <w:spacing w:after="0" w:line="86" w:lineRule="exact"/>
        <w:rPr>
          <w:rFonts w:ascii="Arial" w:cs="Arial" w:eastAsia="Arial" w:hAnsi="Arial"/>
          <w:sz w:val="22"/>
          <w:szCs w:val="22"/>
          <w:b w:val="1"/>
          <w:bCs w:val="1"/>
          <w:color w:val="auto"/>
        </w:rPr>
      </w:pPr>
    </w:p>
    <w:p>
      <w:pPr>
        <w:ind w:left="820" w:right="44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 xml:space="preserve">Brighthouse Services, LLC will provide you with professional assistance on how to market your home to ensure optimum success. </w:t>
      </w:r>
      <w:r>
        <w:rPr>
          <w:rFonts w:ascii="Arial" w:cs="Arial" w:eastAsia="Arial" w:hAnsi="Arial"/>
          <w:sz w:val="22"/>
          <w:szCs w:val="22"/>
          <w:b w:val="1"/>
          <w:bCs w:val="1"/>
          <w:color w:val="auto"/>
        </w:rPr>
        <w:t>Do not contact a real estate agent or broker before talking to your SIRVA</w:t>
      </w:r>
      <w:r>
        <w:rPr>
          <w:rFonts w:ascii="Arial" w:cs="Arial" w:eastAsia="Arial" w:hAnsi="Arial"/>
          <w:sz w:val="22"/>
          <w:szCs w:val="22"/>
          <w:color w:val="auto"/>
        </w:rPr>
        <w:t xml:space="preserve"> </w:t>
      </w:r>
      <w:r>
        <w:rPr>
          <w:rFonts w:ascii="Arial" w:cs="Arial" w:eastAsia="Arial" w:hAnsi="Arial"/>
          <w:sz w:val="22"/>
          <w:szCs w:val="22"/>
          <w:b w:val="1"/>
          <w:bCs w:val="1"/>
          <w:color w:val="auto"/>
        </w:rPr>
        <w:t>Counselor</w:t>
      </w:r>
      <w:r>
        <w:rPr>
          <w:rFonts w:ascii="Arial" w:cs="Arial" w:eastAsia="Arial" w:hAnsi="Arial"/>
          <w:sz w:val="22"/>
          <w:szCs w:val="22"/>
          <w:color w:val="auto"/>
        </w:rPr>
        <w:t>. Your SIRVA Relocation Consultant will recommend a broker that is experienced in working on</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relocation transactions and the specific requirements of these transactions. Furthermore, recommended brokers will have a proven track record of market knowledge and sales success, as well as familiarity with SIRVA’s service standards.</w:t>
      </w:r>
    </w:p>
    <w:p>
      <w:pPr>
        <w:spacing w:after="0" w:line="100"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SIRVA requires its brokers to meet the following standards:</w:t>
      </w:r>
    </w:p>
    <w:p>
      <w:pPr>
        <w:spacing w:after="0" w:line="152" w:lineRule="exact"/>
        <w:rPr>
          <w:rFonts w:ascii="Arial" w:cs="Arial" w:eastAsia="Arial" w:hAnsi="Arial"/>
          <w:sz w:val="22"/>
          <w:szCs w:val="22"/>
          <w:b w:val="1"/>
          <w:bCs w:val="1"/>
          <w:color w:val="auto"/>
        </w:rPr>
      </w:pPr>
    </w:p>
    <w:p>
      <w:pPr>
        <w:ind w:left="1220" w:hanging="321"/>
        <w:spacing w:after="0"/>
        <w:tabs>
          <w:tab w:leader="none" w:pos="12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Brokerage must have a relocation department or proven relocation-related experience.</w:t>
      </w:r>
    </w:p>
    <w:p>
      <w:pPr>
        <w:spacing w:after="0" w:line="44" w:lineRule="exact"/>
        <w:rPr>
          <w:rFonts w:ascii="Arial" w:cs="Arial" w:eastAsia="Arial" w:hAnsi="Arial"/>
          <w:sz w:val="22"/>
          <w:szCs w:val="22"/>
          <w:color w:val="auto"/>
        </w:rPr>
      </w:pPr>
    </w:p>
    <w:p>
      <w:pPr>
        <w:ind w:left="1220" w:right="220" w:hanging="321"/>
        <w:spacing w:after="0" w:line="277" w:lineRule="auto"/>
        <w:tabs>
          <w:tab w:leader="none" w:pos="12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Real estate firm must have no interest (actual or contemplated) in Brighthouse Services, LLC, departure property, or home to be purchased, including any business or family relationship with the owners of the properties.</w:t>
      </w:r>
    </w:p>
    <w:p>
      <w:pPr>
        <w:spacing w:after="0" w:line="15" w:lineRule="exact"/>
        <w:rPr>
          <w:rFonts w:ascii="Arial" w:cs="Arial" w:eastAsia="Arial" w:hAnsi="Arial"/>
          <w:sz w:val="22"/>
          <w:szCs w:val="22"/>
          <w:color w:val="auto"/>
        </w:rPr>
      </w:pPr>
    </w:p>
    <w:p>
      <w:pPr>
        <w:ind w:left="1220" w:right="420" w:hanging="321"/>
        <w:spacing w:after="0" w:line="288" w:lineRule="auto"/>
        <w:tabs>
          <w:tab w:leader="none" w:pos="12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Broker must have a proven track record in the selling community. SIRVA tracks list price to sales price ratio, number of current listings, and number of recent sales.</w:t>
      </w:r>
    </w:p>
    <w:p>
      <w:pPr>
        <w:spacing w:after="0" w:line="136" w:lineRule="exact"/>
        <w:rPr>
          <w:rFonts w:ascii="Arial" w:cs="Arial" w:eastAsia="Arial" w:hAnsi="Arial"/>
          <w:sz w:val="22"/>
          <w:szCs w:val="22"/>
          <w:color w:val="auto"/>
        </w:rPr>
      </w:pPr>
    </w:p>
    <w:p>
      <w:pPr>
        <w:ind w:left="1300" w:hanging="252"/>
        <w:spacing w:after="0"/>
        <w:tabs>
          <w:tab w:leader="none" w:pos="1300" w:val="left"/>
        </w:tabs>
        <w:numPr>
          <w:ilvl w:val="2"/>
          <w:numId w:val="71"/>
        </w:numPr>
        <w:rPr>
          <w:rFonts w:ascii="Arial" w:cs="Arial" w:eastAsia="Arial" w:hAnsi="Arial"/>
          <w:sz w:val="22"/>
          <w:szCs w:val="22"/>
          <w:b w:val="1"/>
          <w:bCs w:val="1"/>
          <w:color w:val="4F81BD"/>
        </w:rPr>
      </w:pPr>
      <w:r>
        <w:rPr>
          <w:rFonts w:ascii="Arial" w:cs="Arial" w:eastAsia="Arial" w:hAnsi="Arial"/>
          <w:sz w:val="22"/>
          <w:szCs w:val="22"/>
          <w:b w:val="1"/>
          <w:bCs w:val="1"/>
          <w:color w:val="auto"/>
        </w:rPr>
        <w:t>Broker Market Analysis</w:t>
      </w:r>
    </w:p>
    <w:p>
      <w:pPr>
        <w:spacing w:after="0" w:line="70" w:lineRule="exact"/>
        <w:rPr>
          <w:rFonts w:ascii="Arial" w:cs="Arial" w:eastAsia="Arial" w:hAnsi="Arial"/>
          <w:sz w:val="22"/>
          <w:szCs w:val="22"/>
          <w:b w:val="1"/>
          <w:bCs w:val="1"/>
          <w:color w:val="4F81BD"/>
        </w:rPr>
      </w:pPr>
    </w:p>
    <w:p>
      <w:pPr>
        <w:ind w:left="1300" w:right="660"/>
        <w:spacing w:after="0" w:line="285" w:lineRule="auto"/>
        <w:rPr>
          <w:rFonts w:ascii="Arial" w:cs="Arial" w:eastAsia="Arial" w:hAnsi="Arial"/>
          <w:sz w:val="22"/>
          <w:szCs w:val="22"/>
          <w:b w:val="1"/>
          <w:bCs w:val="1"/>
          <w:color w:val="4F81BD"/>
        </w:rPr>
      </w:pPr>
      <w:r>
        <w:rPr>
          <w:rFonts w:ascii="Arial" w:cs="Arial" w:eastAsia="Arial" w:hAnsi="Arial"/>
          <w:sz w:val="22"/>
          <w:szCs w:val="22"/>
          <w:color w:val="auto"/>
        </w:rPr>
        <w:t>Your SIRVA Relocation Consultant will contact two qualified brokers in your area and ask them to complete a Broker’s Market Analysis (BMA) on your home, which will include suggested marketing conditions, competing listing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8 | </w:t>
      </w:r>
      <w:r>
        <w:rPr>
          <w:rFonts w:ascii="Arial" w:cs="Arial" w:eastAsia="Arial" w:hAnsi="Arial"/>
          <w:sz w:val="19"/>
          <w:szCs w:val="19"/>
          <w:color w:val="7F7F7F"/>
        </w:rPr>
        <w:t>Page</w:t>
      </w:r>
    </w:p>
    <w:p>
      <w:pPr>
        <w:sectPr>
          <w:pgSz w:w="11900" w:h="16838" w:orient="portrait"/>
          <w:cols w:equalWidth="0" w:num="1">
            <w:col w:w="11360"/>
          </w:cols>
          <w:pgMar w:left="240" w:top="862" w:right="299" w:bottom="1440" w:gutter="0" w:footer="0" w:header="0"/>
        </w:sectPr>
      </w:pPr>
    </w:p>
    <w:bookmarkStart w:id="124" w:name="page125"/>
    <w:bookmarkEnd w:id="124"/>
    <w:p>
      <w:pPr>
        <w:ind w:left="1300" w:right="2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recent sales in the neighborhood. Based on the data they gather and their knowledge of the marketplace, they will provide a most likely sales price.</w:t>
      </w:r>
    </w:p>
    <w:p>
      <w:pPr>
        <w:spacing w:after="0" w:line="95" w:lineRule="exact"/>
        <w:rPr>
          <w:sz w:val="20"/>
          <w:szCs w:val="20"/>
          <w:color w:val="auto"/>
        </w:rPr>
      </w:pPr>
    </w:p>
    <w:p>
      <w:pPr>
        <w:ind w:left="1300"/>
        <w:spacing w:after="0" w:line="283" w:lineRule="auto"/>
        <w:rPr>
          <w:sz w:val="20"/>
          <w:szCs w:val="20"/>
          <w:color w:val="auto"/>
        </w:rPr>
      </w:pPr>
      <w:r>
        <w:rPr>
          <w:rFonts w:ascii="Arial" w:cs="Arial" w:eastAsia="Arial" w:hAnsi="Arial"/>
          <w:sz w:val="22"/>
          <w:szCs w:val="22"/>
          <w:color w:val="auto"/>
        </w:rPr>
        <w:t>Your SIRVA Relocation Consultant will review and analyze the market data contained in the BMAs to help you formulate a competitive list price and marketing strategy to achieve the highest possible sales price within a reasonable timeframe. If the recommended list prices indicated by the BMAs are not within 5% of each other, a third one will be ordered and the two closest values will be used to formulate listing and marketing strategies.</w:t>
      </w:r>
    </w:p>
    <w:p>
      <w:pPr>
        <w:spacing w:after="0" w:line="102" w:lineRule="exact"/>
        <w:rPr>
          <w:sz w:val="20"/>
          <w:szCs w:val="20"/>
          <w:color w:val="auto"/>
        </w:rPr>
      </w:pPr>
    </w:p>
    <w:p>
      <w:pPr>
        <w:ind w:left="1300"/>
        <w:spacing w:after="0" w:line="285" w:lineRule="auto"/>
        <w:rPr>
          <w:sz w:val="20"/>
          <w:szCs w:val="20"/>
          <w:color w:val="auto"/>
        </w:rPr>
      </w:pPr>
      <w:r>
        <w:rPr>
          <w:rFonts w:ascii="Arial" w:cs="Arial" w:eastAsia="Arial" w:hAnsi="Arial"/>
          <w:sz w:val="22"/>
          <w:szCs w:val="22"/>
          <w:color w:val="auto"/>
        </w:rPr>
        <w:t>You and your SIRVA Relocation Consultant will work with the selected agent to list and market your home and identify potential buyers. You will receive continuous feedback and updates on marketing activity throughout the process.</w:t>
      </w:r>
    </w:p>
    <w:p>
      <w:pPr>
        <w:spacing w:after="0" w:line="98" w:lineRule="exact"/>
        <w:rPr>
          <w:sz w:val="20"/>
          <w:szCs w:val="20"/>
          <w:color w:val="auto"/>
        </w:rPr>
      </w:pPr>
    </w:p>
    <w:p>
      <w:pPr>
        <w:ind w:left="1300" w:right="140"/>
        <w:spacing w:after="0" w:line="283" w:lineRule="auto"/>
        <w:rPr>
          <w:sz w:val="20"/>
          <w:szCs w:val="20"/>
          <w:color w:val="auto"/>
        </w:rPr>
      </w:pPr>
      <w:r>
        <w:rPr>
          <w:rFonts w:ascii="Arial" w:cs="Arial" w:eastAsia="Arial" w:hAnsi="Arial"/>
          <w:sz w:val="22"/>
          <w:szCs w:val="22"/>
          <w:color w:val="auto"/>
        </w:rPr>
        <w:t>In addition to ensuring top-of-the-line service delivery to you, SIRVA collects referral fees from its approved brokers, which offsets relocation costs for Brighthouse Services, LLC. If you do not list with a SIRVA-approved real estate broker, your relocation benefits may be reduced to cover the additional cost to Brighthouse Services, LLC.</w:t>
      </w:r>
    </w:p>
    <w:p>
      <w:pPr>
        <w:spacing w:after="0" w:line="7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 xml:space="preserve">To assist with a successful sale, </w:t>
      </w:r>
      <w:r>
        <w:rPr>
          <w:rFonts w:ascii="Arial" w:cs="Arial" w:eastAsia="Arial" w:hAnsi="Arial"/>
          <w:sz w:val="22"/>
          <w:szCs w:val="22"/>
          <w:b w:val="1"/>
          <w:bCs w:val="1"/>
          <w:color w:val="auto"/>
        </w:rPr>
        <w:t>Brighthouse Services, LLC and SIRVA</w:t>
      </w:r>
      <w:r>
        <w:rPr>
          <w:rFonts w:ascii="Arial" w:cs="Arial" w:eastAsia="Arial" w:hAnsi="Arial"/>
          <w:sz w:val="22"/>
          <w:szCs w:val="22"/>
          <w:color w:val="auto"/>
        </w:rPr>
        <w:t xml:space="preserve"> require that you:</w:t>
      </w:r>
    </w:p>
    <w:p>
      <w:pPr>
        <w:spacing w:after="0" w:line="178" w:lineRule="exact"/>
        <w:rPr>
          <w:sz w:val="20"/>
          <w:szCs w:val="20"/>
          <w:color w:val="auto"/>
        </w:rPr>
      </w:pPr>
    </w:p>
    <w:p>
      <w:pPr>
        <w:ind w:left="1620" w:right="440" w:hanging="315"/>
        <w:spacing w:after="0" w:line="281" w:lineRule="auto"/>
        <w:tabs>
          <w:tab w:leader="none" w:pos="1620" w:val="left"/>
        </w:tabs>
        <w:numPr>
          <w:ilvl w:val="1"/>
          <w:numId w:val="72"/>
        </w:numPr>
        <w:rPr>
          <w:rFonts w:ascii="Arial" w:cs="Arial" w:eastAsia="Arial" w:hAnsi="Arial"/>
          <w:sz w:val="22"/>
          <w:szCs w:val="22"/>
          <w:color w:val="auto"/>
        </w:rPr>
      </w:pPr>
      <w:r>
        <w:rPr>
          <w:rFonts w:ascii="Arial" w:cs="Arial" w:eastAsia="Arial" w:hAnsi="Arial"/>
          <w:sz w:val="22"/>
          <w:szCs w:val="22"/>
          <w:color w:val="auto"/>
        </w:rPr>
        <w:t>Use an agent or broker who has been qualified by SIRVA. If you have a preferred agent, please submit the name of that agent for qualification and consideration, realizing that you cannot list the house with a relative or friend as this may cause a conflict of interest.</w:t>
      </w:r>
    </w:p>
    <w:p>
      <w:pPr>
        <w:spacing w:after="0" w:line="2" w:lineRule="exact"/>
        <w:rPr>
          <w:rFonts w:ascii="Arial" w:cs="Arial" w:eastAsia="Arial" w:hAnsi="Arial"/>
          <w:sz w:val="22"/>
          <w:szCs w:val="22"/>
          <w:color w:val="auto"/>
        </w:rPr>
      </w:pPr>
    </w:p>
    <w:p>
      <w:pPr>
        <w:ind w:left="1620" w:right="260" w:hanging="315"/>
        <w:spacing w:after="0" w:line="274" w:lineRule="auto"/>
        <w:tabs>
          <w:tab w:leader="none" w:pos="1620" w:val="left"/>
        </w:tabs>
        <w:numPr>
          <w:ilvl w:val="1"/>
          <w:numId w:val="72"/>
        </w:numPr>
        <w:rPr>
          <w:rFonts w:ascii="Arial" w:cs="Arial" w:eastAsia="Arial" w:hAnsi="Arial"/>
          <w:sz w:val="20"/>
          <w:szCs w:val="20"/>
          <w:color w:val="auto"/>
        </w:rPr>
      </w:pPr>
      <w:r>
        <w:rPr>
          <w:rFonts w:ascii="Arial" w:cs="Arial" w:eastAsia="Arial" w:hAnsi="Arial"/>
          <w:sz w:val="22"/>
          <w:szCs w:val="22"/>
          <w:color w:val="auto"/>
        </w:rPr>
        <w:t>Agree to list the home for sale at a price that does not exceed 105% of the average of the two most likely sales prices from the Broker Market Analyses (BMAs) requested by SIRVA.</w:t>
      </w:r>
    </w:p>
    <w:p>
      <w:pPr>
        <w:spacing w:after="0" w:line="16" w:lineRule="exact"/>
        <w:rPr>
          <w:rFonts w:ascii="Arial" w:cs="Arial" w:eastAsia="Arial" w:hAnsi="Arial"/>
          <w:sz w:val="20"/>
          <w:szCs w:val="20"/>
          <w:color w:val="auto"/>
        </w:rPr>
      </w:pPr>
    </w:p>
    <w:p>
      <w:pPr>
        <w:ind w:left="1620" w:right="560" w:hanging="315"/>
        <w:spacing w:after="0" w:line="274" w:lineRule="auto"/>
        <w:tabs>
          <w:tab w:leader="none" w:pos="162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Allow reasonable showings and open houses as suggested and maintain the home in marketing condition.</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1"/>
          <w:numId w:val="72"/>
        </w:numPr>
        <w:rPr>
          <w:rFonts w:ascii="Arial" w:cs="Arial" w:eastAsia="Arial" w:hAnsi="Arial"/>
          <w:sz w:val="22"/>
          <w:szCs w:val="22"/>
          <w:color w:val="auto"/>
        </w:rPr>
      </w:pPr>
      <w:r>
        <w:rPr>
          <w:rFonts w:ascii="Arial" w:cs="Arial" w:eastAsia="Arial" w:hAnsi="Arial"/>
          <w:sz w:val="22"/>
          <w:szCs w:val="22"/>
          <w:color w:val="auto"/>
        </w:rPr>
        <w:t>Present all offers to your SIRVA Relocation Consultant for review.</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2"/>
        </w:numPr>
        <w:rPr>
          <w:rFonts w:ascii="Arial" w:cs="Arial" w:eastAsia="Arial" w:hAnsi="Arial"/>
          <w:sz w:val="22"/>
          <w:szCs w:val="22"/>
          <w:color w:val="auto"/>
        </w:rPr>
      </w:pPr>
      <w:r>
        <w:rPr>
          <w:rFonts w:ascii="Arial" w:cs="Arial" w:eastAsia="Arial" w:hAnsi="Arial"/>
          <w:sz w:val="22"/>
          <w:szCs w:val="22"/>
          <w:color w:val="auto"/>
        </w:rPr>
        <w:t>Continuously market the home until it is sold.</w:t>
      </w:r>
    </w:p>
    <w:p>
      <w:pPr>
        <w:spacing w:after="0" w:line="126" w:lineRule="exact"/>
        <w:rPr>
          <w:rFonts w:ascii="Arial" w:cs="Arial" w:eastAsia="Arial" w:hAnsi="Arial"/>
          <w:sz w:val="22"/>
          <w:szCs w:val="22"/>
          <w:color w:val="auto"/>
        </w:rPr>
      </w:pPr>
    </w:p>
    <w:p>
      <w:pPr>
        <w:ind w:left="820" w:hanging="434"/>
        <w:spacing w:after="0"/>
        <w:tabs>
          <w:tab w:leader="none" w:pos="82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Home Sale Assistance</w:t>
      </w:r>
    </w:p>
    <w:p>
      <w:pPr>
        <w:spacing w:after="0" w:line="70" w:lineRule="exact"/>
        <w:rPr>
          <w:rFonts w:ascii="Arial" w:cs="Arial" w:eastAsia="Arial" w:hAnsi="Arial"/>
          <w:sz w:val="22"/>
          <w:szCs w:val="22"/>
          <w:b w:val="1"/>
          <w:bCs w:val="1"/>
          <w:color w:val="auto"/>
        </w:rPr>
      </w:pPr>
    </w:p>
    <w:p>
      <w:pPr>
        <w:ind w:left="8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In addition to Home Marketing Assistance you are eligible for SIRVA’s Home Sale Assistance program. Home Sale Assistance states that once you receive an acceptable offer from a potential buyer, SIRVA will buy your house from you at that offer price (which is deemed the house’s “Market Value”). Following this, SIRVA will then sell the house to the prospective buyer, bearing the responsibility of closing the sale. Once you are authorized for Home Sale Assistance with SIRVA, your SIRVA Relocation Consultant will contact you to review the program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9 | </w:t>
      </w:r>
      <w:r>
        <w:rPr>
          <w:rFonts w:ascii="Arial" w:cs="Arial" w:eastAsia="Arial" w:hAnsi="Arial"/>
          <w:sz w:val="19"/>
          <w:szCs w:val="19"/>
          <w:color w:val="7F7F7F"/>
        </w:rPr>
        <w:t>Page</w:t>
      </w:r>
    </w:p>
    <w:p>
      <w:pPr>
        <w:sectPr>
          <w:pgSz w:w="11900" w:h="16838" w:orient="portrait"/>
          <w:cols w:equalWidth="0" w:num="1">
            <w:col w:w="11360"/>
          </w:cols>
          <w:pgMar w:left="240" w:top="862" w:right="299" w:bottom="1440" w:gutter="0" w:footer="0" w:header="0"/>
        </w:sectPr>
      </w:pPr>
    </w:p>
    <w:bookmarkStart w:id="125" w:name="page126"/>
    <w:bookmarkEnd w:id="125"/>
    <w:p>
      <w:pPr>
        <w:ind w:left="820" w:right="80"/>
        <w:spacing w:after="0" w:line="28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CONTACT YOUR SIRVA RELOCATION CONSULTANT TO DISCUSS ALL OFFERS. DO NOT ACCEPT ANY OFFERS, ANY DEPOSIT MONIES, OR SIGN ANYTHING WITHOUT FIRST CONTACTING YOUR SIRVA RELOCATION CONSULTANT. IF YOU ACCEPT ANY OFFER, DEPOSIT, OR SIGN ANY AGREEMENT WITHOUT SIRVA APPROVAL, SIRVA AND BRIGHTHOUSE SERVICES, LLC RESERVE THE RIGHT TO EXCLUDE YOUR HOME FROM THE HOME SALE ASSISTANCE PROGRAM.</w:t>
      </w:r>
    </w:p>
    <w:p>
      <w:pPr>
        <w:spacing w:after="0" w:line="7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To assist with a successful sale, Brighthouse Services, LLC and SIRVA require that you</w:t>
      </w:r>
      <w:r>
        <w:rPr>
          <w:rFonts w:ascii="Arial" w:cs="Arial" w:eastAsia="Arial" w:hAnsi="Arial"/>
          <w:sz w:val="22"/>
          <w:szCs w:val="22"/>
          <w:b w:val="1"/>
          <w:bCs w:val="1"/>
          <w:color w:val="auto"/>
        </w:rPr>
        <w:t>:</w:t>
      </w:r>
    </w:p>
    <w:p>
      <w:pPr>
        <w:spacing w:after="0" w:line="178" w:lineRule="exact"/>
        <w:rPr>
          <w:sz w:val="20"/>
          <w:szCs w:val="20"/>
          <w:color w:val="auto"/>
        </w:rPr>
      </w:pPr>
    </w:p>
    <w:p>
      <w:pPr>
        <w:ind w:left="1220" w:right="60" w:hanging="321"/>
        <w:spacing w:after="0" w:line="282" w:lineRule="auto"/>
        <w:tabs>
          <w:tab w:leader="none" w:pos="12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Enter into an Option to Purchase with SIRVA instead of listing your home under your name. This agreement enables SIRVA to list the property in SIRVA’s name, facilitate the move and defray many relocation costs. The option will last for six months and is renewable at the end of that period of time with your consent. During this option period SIRVA will expose the home to the marketplace. Most typically, the home will be listed with a real estate agent by SIRVA who will, through exposure to the public, determine what a buyer will pay at arm’s length for the home. The Option to Purchase must be executed and returned to SIRVA prior to proceeding with the program.</w:t>
      </w:r>
    </w:p>
    <w:p>
      <w:pPr>
        <w:spacing w:after="0" w:line="107" w:lineRule="exact"/>
        <w:rPr>
          <w:rFonts w:ascii="Arial" w:cs="Arial" w:eastAsia="Arial" w:hAnsi="Arial"/>
          <w:sz w:val="22"/>
          <w:szCs w:val="22"/>
          <w:color w:val="auto"/>
        </w:rPr>
      </w:pPr>
    </w:p>
    <w:p>
      <w:pPr>
        <w:ind w:left="1220" w:right="80" w:hanging="321"/>
        <w:spacing w:after="0" w:line="283" w:lineRule="auto"/>
        <w:tabs>
          <w:tab w:leader="none" w:pos="12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Comply with all federal, state and local disclosure requirements associated with the sale of your home. This includes the completion of all real estate disclosure forms that may be required, as well as a SIRVA Seller’s Disclosure Statement for execution. This document must be executed prior to proceeding with the program.</w:t>
      </w:r>
    </w:p>
    <w:p>
      <w:pPr>
        <w:spacing w:after="0" w:line="103" w:lineRule="exact"/>
        <w:rPr>
          <w:rFonts w:ascii="Arial" w:cs="Arial" w:eastAsia="Arial" w:hAnsi="Arial"/>
          <w:sz w:val="22"/>
          <w:szCs w:val="22"/>
          <w:color w:val="auto"/>
        </w:rPr>
      </w:pPr>
    </w:p>
    <w:p>
      <w:pPr>
        <w:ind w:left="1680" w:hanging="781"/>
        <w:spacing w:after="0" w:line="283" w:lineRule="auto"/>
        <w:tabs>
          <w:tab w:leader="none" w:pos="123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Properly clearing title before selling the home to SIRVA, in the event the title report ordered by SIRVA indicates a cloud on title. SIRVA may be able to assist you in clearing clouds on title. A cloud on title is defined as any outstanding claim, lien, encumbrance, document or condition usually revealed by a title search which impairs the title and the marketability of a property.</w:t>
      </w:r>
    </w:p>
    <w:p>
      <w:pPr>
        <w:spacing w:after="0" w:line="252" w:lineRule="exact"/>
        <w:rPr>
          <w:rFonts w:ascii="Arial" w:cs="Arial" w:eastAsia="Arial" w:hAnsi="Arial"/>
          <w:sz w:val="22"/>
          <w:szCs w:val="22"/>
          <w:color w:val="auto"/>
        </w:rPr>
      </w:pPr>
    </w:p>
    <w:p>
      <w:pPr>
        <w:ind w:left="1300" w:hanging="252"/>
        <w:spacing w:after="0"/>
        <w:tabs>
          <w:tab w:leader="none" w:pos="1300" w:val="left"/>
        </w:tabs>
        <w:numPr>
          <w:ilvl w:val="1"/>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Homes Eligible for Home Sale Assistance</w:t>
      </w:r>
    </w:p>
    <w:p>
      <w:pPr>
        <w:spacing w:after="0" w:line="70" w:lineRule="exact"/>
        <w:rPr>
          <w:rFonts w:ascii="Arial" w:cs="Arial" w:eastAsia="Arial" w:hAnsi="Arial"/>
          <w:sz w:val="22"/>
          <w:szCs w:val="22"/>
          <w:b w:val="1"/>
          <w:bCs w:val="1"/>
          <w:color w:val="auto"/>
        </w:rPr>
      </w:pPr>
    </w:p>
    <w:p>
      <w:pPr>
        <w:ind w:left="130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Not all homes are eligible for Home Sale Assistance. To qualify for Home Sale Assistance, the home must be:</w:t>
      </w:r>
    </w:p>
    <w:p>
      <w:pPr>
        <w:spacing w:after="0" w:line="95" w:lineRule="exact"/>
        <w:rPr>
          <w:rFonts w:ascii="Arial" w:cs="Arial" w:eastAsia="Arial" w:hAnsi="Arial"/>
          <w:sz w:val="22"/>
          <w:szCs w:val="22"/>
          <w:b w:val="1"/>
          <w:bCs w:val="1"/>
          <w:color w:val="auto"/>
        </w:rPr>
      </w:pPr>
    </w:p>
    <w:p>
      <w:pPr>
        <w:ind w:left="1620" w:hanging="315"/>
        <w:spacing w:after="0"/>
        <w:tabs>
          <w:tab w:leader="none" w:pos="1620" w:val="left"/>
        </w:tabs>
        <w:numPr>
          <w:ilvl w:val="2"/>
          <w:numId w:val="73"/>
        </w:numPr>
        <w:rPr>
          <w:rFonts w:ascii="Arial" w:cs="Arial" w:eastAsia="Arial" w:hAnsi="Arial"/>
          <w:sz w:val="22"/>
          <w:szCs w:val="22"/>
          <w:color w:val="auto"/>
        </w:rPr>
      </w:pPr>
      <w:r>
        <w:rPr>
          <w:rFonts w:ascii="Arial" w:cs="Arial" w:eastAsia="Arial" w:hAnsi="Arial"/>
          <w:sz w:val="22"/>
          <w:szCs w:val="22"/>
          <w:color w:val="auto"/>
        </w:rPr>
        <w:t>Located in the U.S.</w:t>
      </w:r>
    </w:p>
    <w:p>
      <w:pPr>
        <w:spacing w:after="0" w:line="44" w:lineRule="exact"/>
        <w:rPr>
          <w:rFonts w:ascii="Arial" w:cs="Arial" w:eastAsia="Arial" w:hAnsi="Arial"/>
          <w:sz w:val="22"/>
          <w:szCs w:val="22"/>
          <w:color w:val="auto"/>
        </w:rPr>
      </w:pPr>
    </w:p>
    <w:p>
      <w:pPr>
        <w:ind w:left="1620" w:right="120" w:hanging="315"/>
        <w:spacing w:after="0" w:line="278" w:lineRule="auto"/>
        <w:tabs>
          <w:tab w:leader="none" w:pos="1620" w:val="left"/>
        </w:tabs>
        <w:numPr>
          <w:ilvl w:val="2"/>
          <w:numId w:val="73"/>
        </w:numPr>
        <w:rPr>
          <w:rFonts w:ascii="Arial" w:cs="Arial" w:eastAsia="Arial" w:hAnsi="Arial"/>
          <w:sz w:val="22"/>
          <w:szCs w:val="22"/>
          <w:color w:val="auto"/>
        </w:rPr>
      </w:pPr>
      <w:r>
        <w:rPr>
          <w:rFonts w:ascii="Arial" w:cs="Arial" w:eastAsia="Arial" w:hAnsi="Arial"/>
          <w:sz w:val="22"/>
          <w:szCs w:val="22"/>
          <w:color w:val="auto"/>
        </w:rPr>
        <w:t>A completed primary, single-family residence, townhouse, two-family duplex, or condominium unit (provided said unit meets FNMA/FHLMC approval), in each case owned and occupied by the Employee (or in the case of a two-family duplex, where the entire property is owned by the Employee and one unit of which occupied by the Employee).</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2"/>
          <w:numId w:val="73"/>
        </w:numPr>
        <w:rPr>
          <w:rFonts w:ascii="Arial" w:cs="Arial" w:eastAsia="Arial" w:hAnsi="Arial"/>
          <w:sz w:val="22"/>
          <w:szCs w:val="22"/>
          <w:color w:val="auto"/>
        </w:rPr>
      </w:pPr>
      <w:r>
        <w:rPr>
          <w:rFonts w:ascii="Arial" w:cs="Arial" w:eastAsia="Arial" w:hAnsi="Arial"/>
          <w:sz w:val="22"/>
          <w:szCs w:val="22"/>
          <w:color w:val="auto"/>
        </w:rPr>
        <w:t>Not rendered ineligible by the provisions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10 | </w:t>
      </w:r>
      <w:r>
        <w:rPr>
          <w:rFonts w:ascii="Arial" w:cs="Arial" w:eastAsia="Arial" w:hAnsi="Arial"/>
          <w:sz w:val="19"/>
          <w:szCs w:val="19"/>
          <w:color w:val="7F7F7F"/>
        </w:rPr>
        <w:t>Page</w:t>
      </w:r>
    </w:p>
    <w:p>
      <w:pPr>
        <w:sectPr>
          <w:pgSz w:w="11900" w:h="16838" w:orient="portrait"/>
          <w:cols w:equalWidth="0" w:num="1">
            <w:col w:w="11400"/>
          </w:cols>
          <w:pgMar w:left="240" w:top="862" w:right="259" w:bottom="1440" w:gutter="0" w:footer="0" w:header="0"/>
        </w:sectPr>
      </w:pPr>
    </w:p>
    <w:bookmarkStart w:id="126" w:name="page127"/>
    <w:bookmarkEnd w:id="126"/>
    <w:p>
      <w:pPr>
        <w:ind w:left="1300" w:hanging="252"/>
        <w:spacing w:after="0"/>
        <w:tabs>
          <w:tab w:leader="none" w:pos="130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Homes Not Eligible for Home Sale Assistance</w:t>
      </w:r>
    </w:p>
    <w:p>
      <w:pPr>
        <w:spacing w:after="0" w:line="70" w:lineRule="exact"/>
        <w:rPr>
          <w:rFonts w:ascii="Arial" w:cs="Arial" w:eastAsia="Arial" w:hAnsi="Arial"/>
          <w:sz w:val="22"/>
          <w:szCs w:val="22"/>
          <w:b w:val="1"/>
          <w:bCs w:val="1"/>
          <w:color w:val="auto"/>
        </w:rPr>
      </w:pPr>
    </w:p>
    <w:p>
      <w:pPr>
        <w:ind w:left="1300" w:right="2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The following properties are ineligible for Home Sale Assistance, unless Brighthouse Services, LLC and SIRVA agree in writing to permit the property into the program on mutually agreed upon terms and conditions. Please speak to your SIRVA Relocation Consultant immediately if your home falls into the category of an excludable property.</w:t>
      </w:r>
    </w:p>
    <w:p>
      <w:pPr>
        <w:spacing w:after="0" w:line="103" w:lineRule="exact"/>
        <w:rPr>
          <w:rFonts w:ascii="Arial" w:cs="Arial" w:eastAsia="Arial" w:hAnsi="Arial"/>
          <w:sz w:val="22"/>
          <w:szCs w:val="22"/>
          <w:b w:val="1"/>
          <w:bCs w:val="1"/>
          <w:color w:val="auto"/>
        </w:rPr>
      </w:pPr>
    </w:p>
    <w:p>
      <w:pPr>
        <w:ind w:left="1620" w:hanging="315"/>
        <w:spacing w:after="0" w:line="278" w:lineRule="auto"/>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income producing properties or properties with inherent in coproducing characteristics (including but not limited to properties with mineral rights, properties with commercial businesses and rental properties but not including two family duplexes owned by the Employee, one unit of which is occupied by the Employee).</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Resort properties.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Mobile homes/manufactured homes.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Cooperative units (see Item vi Cooperative Apartment).</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Farms.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with acreage in excess of five acres.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with acreage that does not conform to the immediate area.</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on which clear title cannot be delivered.</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which do not qualify for conventional mortgage financing.</w:t>
      </w:r>
    </w:p>
    <w:p>
      <w:pPr>
        <w:spacing w:after="0" w:line="44" w:lineRule="exact"/>
        <w:rPr>
          <w:rFonts w:ascii="Arial" w:cs="Arial" w:eastAsia="Arial" w:hAnsi="Arial"/>
          <w:sz w:val="22"/>
          <w:szCs w:val="22"/>
          <w:color w:val="auto"/>
        </w:rPr>
      </w:pPr>
    </w:p>
    <w:p>
      <w:pPr>
        <w:ind w:left="1620" w:hanging="315"/>
        <w:spacing w:after="0" w:line="278" w:lineRule="auto"/>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containing or located by hazardous, toxic or potentially hazardous or toxic containers, materials, chemicals or gases (including but not limited to, radon, underground storage tanks, mold, Urea Formaldehyde Foam Insulation (UFFI), carcinogens, irritants, corrosives, environment hazardous and the like).</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Vacant land.</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Residences that are not Fannie Mae approved or income properties other than two-family dwellings.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that have Exterior Insulation Finishing System (EIFS)/synthetic stucco exterior finishing.</w:t>
      </w:r>
    </w:p>
    <w:p>
      <w:pPr>
        <w:spacing w:after="0" w:line="44" w:lineRule="exact"/>
        <w:rPr>
          <w:rFonts w:ascii="Arial" w:cs="Arial" w:eastAsia="Arial" w:hAnsi="Arial"/>
          <w:sz w:val="22"/>
          <w:szCs w:val="22"/>
          <w:color w:val="auto"/>
        </w:rPr>
      </w:pPr>
    </w:p>
    <w:p>
      <w:pPr>
        <w:ind w:left="1620" w:right="180" w:hanging="315"/>
        <w:spacing w:after="0" w:line="274" w:lineRule="auto"/>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in which investigations disclose conditions which render the property unmarketable and/or which the Employee does not resolve to the satisfaction of SIRVA.</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not zoned for 1-4 family residential.</w:t>
      </w:r>
    </w:p>
    <w:p>
      <w:pPr>
        <w:spacing w:after="0" w:line="44" w:lineRule="exact"/>
        <w:rPr>
          <w:rFonts w:ascii="Arial" w:cs="Arial" w:eastAsia="Arial" w:hAnsi="Arial"/>
          <w:sz w:val="22"/>
          <w:szCs w:val="22"/>
          <w:color w:val="auto"/>
        </w:rPr>
      </w:pPr>
    </w:p>
    <w:p>
      <w:pPr>
        <w:ind w:left="1620" w:right="60" w:hanging="315"/>
        <w:spacing w:after="0" w:line="274" w:lineRule="auto"/>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not insurable under SIRVA’s property and general insurance liability coverage for relocation homes.</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Partially completed dwelling.</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Converted properties (not originally residential).</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Properties where the Employee currently has or has previously had their home on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11 | </w:t>
      </w:r>
      <w:r>
        <w:rPr>
          <w:rFonts w:ascii="Arial" w:cs="Arial" w:eastAsia="Arial" w:hAnsi="Arial"/>
          <w:sz w:val="19"/>
          <w:szCs w:val="19"/>
          <w:color w:val="7F7F7F"/>
        </w:rPr>
        <w:t>Page</w:t>
      </w:r>
    </w:p>
    <w:p>
      <w:pPr>
        <w:sectPr>
          <w:pgSz w:w="11900" w:h="16838" w:orient="portrait"/>
          <w:cols w:equalWidth="0" w:num="1">
            <w:col w:w="11420"/>
          </w:cols>
          <w:pgMar w:left="240" w:top="1012" w:right="239" w:bottom="1440" w:gutter="0" w:footer="0" w:header="0"/>
        </w:sectPr>
      </w:pPr>
    </w:p>
    <w:bookmarkStart w:id="127" w:name="page128"/>
    <w:bookmarkEnd w:id="127"/>
    <w:p>
      <w:pPr>
        <w:ind w:left="1620" w:right="20" w:hanging="315"/>
        <w:spacing w:after="0" w:line="274" w:lineRule="auto"/>
        <w:tabs>
          <w:tab w:leader="none" w:pos="1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Properties with building materials commonly known as “Chinese Drywall” or other drywall material with similar characteristics.</w:t>
      </w:r>
    </w:p>
    <w:p>
      <w:pPr>
        <w:spacing w:after="0" w:line="16" w:lineRule="exact"/>
        <w:rPr>
          <w:rFonts w:ascii="Arial" w:cs="Arial" w:eastAsia="Arial" w:hAnsi="Arial"/>
          <w:sz w:val="22"/>
          <w:szCs w:val="22"/>
          <w:color w:val="auto"/>
        </w:rPr>
      </w:pPr>
    </w:p>
    <w:p>
      <w:pPr>
        <w:ind w:left="1620" w:right="800" w:hanging="315"/>
        <w:spacing w:after="0" w:line="281" w:lineRule="auto"/>
        <w:tabs>
          <w:tab w:leader="none" w:pos="1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Properties with a most probable sales price of at least one million dollars as determined by the average of the BMAs.</w:t>
      </w:r>
    </w:p>
    <w:p>
      <w:pPr>
        <w:spacing w:after="0" w:line="2" w:lineRule="exact"/>
        <w:rPr>
          <w:sz w:val="20"/>
          <w:szCs w:val="20"/>
          <w:color w:val="auto"/>
        </w:rPr>
      </w:pPr>
    </w:p>
    <w:p>
      <w:pPr>
        <w:ind w:left="1300" w:right="220"/>
        <w:spacing w:after="0" w:line="283" w:lineRule="auto"/>
        <w:rPr>
          <w:sz w:val="20"/>
          <w:szCs w:val="20"/>
          <w:color w:val="auto"/>
        </w:rPr>
      </w:pPr>
      <w:r>
        <w:rPr>
          <w:rFonts w:ascii="Arial" w:cs="Arial" w:eastAsia="Arial" w:hAnsi="Arial"/>
          <w:sz w:val="22"/>
          <w:szCs w:val="22"/>
          <w:color w:val="auto"/>
        </w:rPr>
        <w:t>If your home is ineligible for Home Sale Assistance program and closing costs on the sale are reimbursed, the direct reimbursement of closing costs is taxable, and will be included in your taxable wages reported on your Form W-2. This payment will be grossed-up for taxes as described in the Taxes section.</w:t>
      </w:r>
    </w:p>
    <w:p>
      <w:pPr>
        <w:spacing w:after="0" w:line="103" w:lineRule="exact"/>
        <w:rPr>
          <w:sz w:val="20"/>
          <w:szCs w:val="20"/>
          <w:color w:val="auto"/>
        </w:rPr>
      </w:pPr>
    </w:p>
    <w:p>
      <w:pPr>
        <w:jc w:val="both"/>
        <w:ind w:left="1300" w:right="200"/>
        <w:spacing w:after="0" w:line="285"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costs as soon as practicable, but not later than the last day of the calendar year following the calendar year in which the costs were incurred.</w:t>
      </w:r>
    </w:p>
    <w:p>
      <w:pPr>
        <w:spacing w:after="0" w:line="248"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iii.Inspections and Repairs</w:t>
      </w:r>
    </w:p>
    <w:p>
      <w:pPr>
        <w:spacing w:after="0" w:line="70" w:lineRule="exact"/>
        <w:rPr>
          <w:sz w:val="20"/>
          <w:szCs w:val="20"/>
          <w:color w:val="auto"/>
        </w:rPr>
      </w:pPr>
    </w:p>
    <w:p>
      <w:pPr>
        <w:ind w:left="1300" w:right="220"/>
        <w:spacing w:after="0" w:line="283" w:lineRule="auto"/>
        <w:rPr>
          <w:sz w:val="20"/>
          <w:szCs w:val="20"/>
          <w:color w:val="auto"/>
        </w:rPr>
      </w:pPr>
      <w:r>
        <w:rPr>
          <w:rFonts w:ascii="Arial" w:cs="Arial" w:eastAsia="Arial" w:hAnsi="Arial"/>
          <w:sz w:val="22"/>
          <w:szCs w:val="22"/>
          <w:color w:val="auto"/>
        </w:rPr>
        <w:t>In general, SIRVA does not order nor pay for inspections on your home up front. However, SIRVA will typically not acquire a home without inspections. Inspections may be ordered and paid for by a buyer to assist in determining if he/she should purchase the home. SIRVA may use those inspections in its purchase from you. If the buyer does not order inspections SIRVA reserves the right to order its own set of inspections.</w:t>
      </w:r>
    </w:p>
    <w:p>
      <w:pPr>
        <w:spacing w:after="0" w:line="102" w:lineRule="exact"/>
        <w:rPr>
          <w:sz w:val="20"/>
          <w:szCs w:val="20"/>
          <w:color w:val="auto"/>
        </w:rPr>
      </w:pPr>
    </w:p>
    <w:p>
      <w:pPr>
        <w:ind w:left="1300"/>
        <w:spacing w:after="0" w:line="285" w:lineRule="auto"/>
        <w:rPr>
          <w:sz w:val="20"/>
          <w:szCs w:val="20"/>
          <w:color w:val="auto"/>
        </w:rPr>
      </w:pPr>
      <w:r>
        <w:rPr>
          <w:rFonts w:ascii="Arial" w:cs="Arial" w:eastAsia="Arial" w:hAnsi="Arial"/>
          <w:sz w:val="22"/>
          <w:szCs w:val="22"/>
          <w:color w:val="auto"/>
        </w:rPr>
        <w:t>If there is a reason to believe inspections are necessary on your home in order to determine if the home is eligible for Home Sale Assistance, SIRVA will order and pay for inspections including but not limited to, a general home, pest, and well and septic, if applicable.</w:t>
      </w:r>
    </w:p>
    <w:p>
      <w:pPr>
        <w:spacing w:after="0" w:line="98" w:lineRule="exact"/>
        <w:rPr>
          <w:sz w:val="20"/>
          <w:szCs w:val="20"/>
          <w:color w:val="auto"/>
        </w:rPr>
      </w:pPr>
    </w:p>
    <w:p>
      <w:pPr>
        <w:ind w:left="1300" w:right="360"/>
        <w:spacing w:after="0" w:line="285" w:lineRule="auto"/>
        <w:rPr>
          <w:sz w:val="20"/>
          <w:szCs w:val="20"/>
          <w:color w:val="auto"/>
        </w:rPr>
      </w:pPr>
      <w:r>
        <w:rPr>
          <w:rFonts w:ascii="Arial" w:cs="Arial" w:eastAsia="Arial" w:hAnsi="Arial"/>
          <w:sz w:val="22"/>
          <w:szCs w:val="22"/>
          <w:color w:val="auto"/>
        </w:rPr>
        <w:t>If any additional inspections such as Exterior Insulation Finishing System (EIFS), structural, hardboard siding, etc. are required as a result of the general inspection or SIRVA’s due diligence, you may be responsible for those inspection costs.</w:t>
      </w:r>
    </w:p>
    <w:p>
      <w:pPr>
        <w:spacing w:after="0" w:line="98" w:lineRule="exact"/>
        <w:rPr>
          <w:sz w:val="20"/>
          <w:szCs w:val="20"/>
          <w:color w:val="auto"/>
        </w:rPr>
      </w:pPr>
    </w:p>
    <w:p>
      <w:pPr>
        <w:ind w:left="1300" w:right="80"/>
        <w:spacing w:after="0" w:line="283" w:lineRule="auto"/>
        <w:rPr>
          <w:sz w:val="20"/>
          <w:szCs w:val="20"/>
          <w:color w:val="auto"/>
        </w:rPr>
      </w:pPr>
      <w:r>
        <w:rPr>
          <w:rFonts w:ascii="Arial" w:cs="Arial" w:eastAsia="Arial" w:hAnsi="Arial"/>
          <w:sz w:val="22"/>
          <w:szCs w:val="22"/>
          <w:color w:val="auto"/>
        </w:rPr>
        <w:t>SIRVA follows the Worldwide Employee Relocation Council’s (ERC) Relocation Property Assessment (“Assessment”) that identifies structural, safety and inoperable items, regardless of local/state codes. You will also be responsible for repairs required to ensure the home follows state and local codes even if not identified on the Assessment form.</w:t>
      </w:r>
    </w:p>
    <w:p>
      <w:pPr>
        <w:spacing w:after="0" w:line="103" w:lineRule="exact"/>
        <w:rPr>
          <w:sz w:val="20"/>
          <w:szCs w:val="20"/>
          <w:color w:val="auto"/>
        </w:rPr>
      </w:pPr>
    </w:p>
    <w:p>
      <w:pPr>
        <w:ind w:left="1300" w:right="40"/>
        <w:spacing w:after="0" w:line="283" w:lineRule="auto"/>
        <w:rPr>
          <w:sz w:val="20"/>
          <w:szCs w:val="20"/>
          <w:color w:val="auto"/>
        </w:rPr>
      </w:pPr>
      <w:r>
        <w:rPr>
          <w:rFonts w:ascii="Arial" w:cs="Arial" w:eastAsia="Arial" w:hAnsi="Arial"/>
          <w:sz w:val="22"/>
          <w:szCs w:val="22"/>
          <w:color w:val="auto"/>
        </w:rPr>
        <w:t>You will be solely responsible for rectifying or repairing any adverse items that appear in any inspections obtained prior to closing with SIRVA. All final re-inspection reports must be satisfactory to SIRVA. If any inspection discloses a significant problem, SIRVA reserves the right to exclude the home from Home Sale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12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28" w:name="page129"/>
    <w:bookmarkEnd w:id="128"/>
    <w:p>
      <w:pPr>
        <w:ind w:left="1300" w:hanging="252"/>
        <w:spacing w:after="0"/>
        <w:tabs>
          <w:tab w:leader="none" w:pos="130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Acquisition of the Home</w:t>
      </w:r>
    </w:p>
    <w:p>
      <w:pPr>
        <w:spacing w:after="0" w:line="70" w:lineRule="exact"/>
        <w:rPr>
          <w:rFonts w:ascii="Arial" w:cs="Arial" w:eastAsia="Arial" w:hAnsi="Arial"/>
          <w:sz w:val="22"/>
          <w:szCs w:val="22"/>
          <w:b w:val="1"/>
          <w:bCs w:val="1"/>
          <w:color w:val="auto"/>
        </w:rPr>
      </w:pPr>
    </w:p>
    <w:p>
      <w:pPr>
        <w:ind w:left="1300" w:right="600"/>
        <w:spacing w:after="0" w:line="281" w:lineRule="auto"/>
        <w:rPr>
          <w:rFonts w:ascii="Arial" w:cs="Arial" w:eastAsia="Arial" w:hAnsi="Arial"/>
          <w:sz w:val="22"/>
          <w:szCs w:val="22"/>
          <w:b w:val="1"/>
          <w:bCs w:val="1"/>
          <w:color w:val="auto"/>
        </w:rPr>
      </w:pPr>
      <w:r>
        <w:rPr>
          <w:rFonts w:ascii="Arial" w:cs="Arial" w:eastAsia="Arial" w:hAnsi="Arial"/>
          <w:sz w:val="22"/>
          <w:szCs w:val="22"/>
          <w:color w:val="auto"/>
        </w:rPr>
        <w:t>REMEMBER: DO NOT SIGN ANY CONTRACT OR ACCEPT ANY DEPOSIT MONIES. CONTACT YOUR SIRVA RELOCATION CONSULTANT TO DISCUSS ALL OFFERS.</w:t>
      </w:r>
    </w:p>
    <w:p>
      <w:pPr>
        <w:spacing w:after="0" w:line="1" w:lineRule="exact"/>
        <w:rPr>
          <w:rFonts w:ascii="Arial" w:cs="Arial" w:eastAsia="Arial" w:hAnsi="Arial"/>
          <w:sz w:val="22"/>
          <w:szCs w:val="22"/>
          <w:b w:val="1"/>
          <w:bCs w:val="1"/>
          <w:color w:val="auto"/>
        </w:rPr>
      </w:pPr>
    </w:p>
    <w:p>
      <w:pPr>
        <w:ind w:left="1300" w:right="30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Your SIRVA Relocation Consultant will review all offers to ensure they are bona fide (considering any contingencies such as points, closing costs, repairs, etc.). The SIRVA Relocation Consultant will also determine whether the buyer is likely to qualify for any financing terms included in the contract. If it is determined that the offer is bona fide and that all contingencies can be met, the contract will be sent to and signed by SIRVA as the Seller.</w:t>
      </w:r>
    </w:p>
    <w:p>
      <w:pPr>
        <w:spacing w:after="0" w:line="102" w:lineRule="exact"/>
        <w:rPr>
          <w:rFonts w:ascii="Arial" w:cs="Arial" w:eastAsia="Arial" w:hAnsi="Arial"/>
          <w:sz w:val="22"/>
          <w:szCs w:val="22"/>
          <w:b w:val="1"/>
          <w:bCs w:val="1"/>
          <w:color w:val="auto"/>
        </w:rPr>
      </w:pPr>
    </w:p>
    <w:p>
      <w:pPr>
        <w:ind w:left="1300"/>
        <w:spacing w:after="0" w:line="282" w:lineRule="auto"/>
        <w:rPr>
          <w:rFonts w:ascii="Arial" w:cs="Arial" w:eastAsia="Arial" w:hAnsi="Arial"/>
          <w:sz w:val="22"/>
          <w:szCs w:val="22"/>
          <w:b w:val="1"/>
          <w:bCs w:val="1"/>
          <w:color w:val="auto"/>
        </w:rPr>
      </w:pPr>
      <w:r>
        <w:rPr>
          <w:rFonts w:ascii="Arial" w:cs="Arial" w:eastAsia="Arial" w:hAnsi="Arial"/>
          <w:sz w:val="22"/>
          <w:szCs w:val="22"/>
          <w:color w:val="auto"/>
        </w:rPr>
        <w:t>Once SIRVA has exercised the Option to Purchase, a closing will be scheduled with you approximately three days prior to closing with the buyer (referred to as the “Prorate Date”). You will be responsible for all costs and risks associated with the home, up to and including the date of closing with SIRVA. These include but are not limited to: pro-rations for taxes, interest on the mortgage, utilities, homeowner’s insurance, agreed upon repairs required from any inspections, and any other costs associated with the ownership of the home. After the date of the closing, SIRVA will be responsible for all of those items regarding the home.</w:t>
      </w:r>
    </w:p>
    <w:p>
      <w:pPr>
        <w:spacing w:after="0" w:line="107" w:lineRule="exact"/>
        <w:rPr>
          <w:rFonts w:ascii="Arial" w:cs="Arial" w:eastAsia="Arial" w:hAnsi="Arial"/>
          <w:sz w:val="22"/>
          <w:szCs w:val="22"/>
          <w:b w:val="1"/>
          <w:bCs w:val="1"/>
          <w:color w:val="auto"/>
        </w:rPr>
      </w:pPr>
    </w:p>
    <w:p>
      <w:pPr>
        <w:ind w:left="1300" w:right="30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If, after all contingencies of the sale of your home to SIRVA have been met and the property remains eligible for the relocation, the sale of the home to the buyer falls through, the Contract of Sale between you and SIRVA will still be honored.</w:t>
      </w:r>
    </w:p>
    <w:p>
      <w:pPr>
        <w:spacing w:after="0" w:line="98" w:lineRule="exact"/>
        <w:rPr>
          <w:rFonts w:ascii="Arial" w:cs="Arial" w:eastAsia="Arial" w:hAnsi="Arial"/>
          <w:sz w:val="22"/>
          <w:szCs w:val="22"/>
          <w:b w:val="1"/>
          <w:bCs w:val="1"/>
          <w:color w:val="auto"/>
        </w:rPr>
      </w:pPr>
    </w:p>
    <w:p>
      <w:pPr>
        <w:ind w:left="1300" w:right="1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At the closing between SIRVA and you, SIRVA will provide a Promissory Note for the amount due to you under the Contract of Sale. You will receive the final net proceeds (the equity) in the property within approximately 10 business days from the date of the Promissory Note. Net proceeds are defined as the sales price of the home minus liens, mortgages, appropriate pro-rations, and less any equity advance already received by you. The Contract of Sale states that there will be no real estate commissions or other standard closing costs that will be deducted from the house proceeds.</w:t>
      </w:r>
    </w:p>
    <w:p>
      <w:pPr>
        <w:spacing w:after="0" w:line="100"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color w:val="auto"/>
        </w:rPr>
        <w:t>Home sale closing costs differ by location, but typically consist of:</w:t>
      </w:r>
    </w:p>
    <w:p>
      <w:pPr>
        <w:spacing w:after="0" w:line="152" w:lineRule="exact"/>
        <w:rPr>
          <w:rFonts w:ascii="Arial" w:cs="Arial" w:eastAsia="Arial" w:hAnsi="Arial"/>
          <w:sz w:val="22"/>
          <w:szCs w:val="22"/>
          <w:b w:val="1"/>
          <w:bCs w:val="1"/>
          <w:color w:val="auto"/>
        </w:rPr>
      </w:pPr>
    </w:p>
    <w:p>
      <w:pPr>
        <w:ind w:left="1620" w:hanging="315"/>
        <w:spacing w:after="0"/>
        <w:tabs>
          <w:tab w:leader="none" w:pos="16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Brokerage or agent commission up to a maximum of six percent of the sale price</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Normal and customary home sale closing costs, including:</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2"/>
          <w:numId w:val="76"/>
        </w:numPr>
        <w:rPr>
          <w:rFonts w:ascii="Arial" w:cs="Arial" w:eastAsia="Arial" w:hAnsi="Arial"/>
          <w:sz w:val="22"/>
          <w:szCs w:val="22"/>
          <w:color w:val="auto"/>
        </w:rPr>
      </w:pPr>
      <w:r>
        <w:rPr>
          <w:rFonts w:ascii="Arial" w:cs="Arial" w:eastAsia="Arial" w:hAnsi="Arial"/>
          <w:sz w:val="22"/>
          <w:szCs w:val="22"/>
          <w:color w:val="auto"/>
        </w:rPr>
        <w:t>Attorney/escrow fees</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2"/>
          <w:numId w:val="76"/>
        </w:numPr>
        <w:rPr>
          <w:rFonts w:ascii="Arial" w:cs="Arial" w:eastAsia="Arial" w:hAnsi="Arial"/>
          <w:sz w:val="22"/>
          <w:szCs w:val="22"/>
          <w:color w:val="auto"/>
        </w:rPr>
      </w:pPr>
      <w:r>
        <w:rPr>
          <w:rFonts w:ascii="Arial" w:cs="Arial" w:eastAsia="Arial" w:hAnsi="Arial"/>
          <w:sz w:val="22"/>
          <w:szCs w:val="22"/>
          <w:color w:val="auto"/>
        </w:rPr>
        <w:t>Customary federal, state, and local transfer taxes</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2"/>
          <w:numId w:val="76"/>
        </w:numPr>
        <w:rPr>
          <w:rFonts w:ascii="Arial" w:cs="Arial" w:eastAsia="Arial" w:hAnsi="Arial"/>
          <w:sz w:val="22"/>
          <w:szCs w:val="22"/>
          <w:color w:val="auto"/>
        </w:rPr>
      </w:pPr>
      <w:r>
        <w:rPr>
          <w:rFonts w:ascii="Arial" w:cs="Arial" w:eastAsia="Arial" w:hAnsi="Arial"/>
          <w:sz w:val="22"/>
          <w:szCs w:val="22"/>
          <w:color w:val="auto"/>
        </w:rPr>
        <w:t>Filing and notary fees</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2"/>
          <w:numId w:val="76"/>
        </w:numPr>
        <w:rPr>
          <w:rFonts w:ascii="Arial" w:cs="Arial" w:eastAsia="Arial" w:hAnsi="Arial"/>
          <w:sz w:val="22"/>
          <w:szCs w:val="22"/>
          <w:color w:val="auto"/>
        </w:rPr>
      </w:pPr>
      <w:r>
        <w:rPr>
          <w:rFonts w:ascii="Arial" w:cs="Arial" w:eastAsia="Arial" w:hAnsi="Arial"/>
          <w:sz w:val="22"/>
          <w:szCs w:val="22"/>
          <w:color w:val="auto"/>
        </w:rPr>
        <w:t>Legal fees</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Note: Points and special financing costs are not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13 | </w:t>
      </w:r>
      <w:r>
        <w:rPr>
          <w:rFonts w:ascii="Arial" w:cs="Arial" w:eastAsia="Arial" w:hAnsi="Arial"/>
          <w:sz w:val="19"/>
          <w:szCs w:val="19"/>
          <w:color w:val="7F7F7F"/>
        </w:rPr>
        <w:t>Page</w:t>
      </w:r>
    </w:p>
    <w:p>
      <w:pPr>
        <w:sectPr>
          <w:pgSz w:w="11900" w:h="16838" w:orient="portrait"/>
          <w:cols w:equalWidth="0" w:num="1">
            <w:col w:w="11360"/>
          </w:cols>
          <w:pgMar w:left="240" w:top="1012" w:right="299" w:bottom="1440" w:gutter="0" w:footer="0" w:header="0"/>
        </w:sectPr>
      </w:pPr>
    </w:p>
    <w:bookmarkStart w:id="129" w:name="page130"/>
    <w:bookmarkEnd w:id="129"/>
    <w:p>
      <w:pPr>
        <w:ind w:left="1300" w:right="40"/>
        <w:spacing w:after="0" w:line="28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If the mortgage company submits funds to you that were previously paid by SIRVA (i.e., escrow payments or additional interest payments), you must immediately return the funds to SIRVA or they will revert to a loan, requiring interest and a payroll deduction.</w:t>
      </w:r>
    </w:p>
    <w:p>
      <w:pPr>
        <w:spacing w:after="0" w:line="98" w:lineRule="exact"/>
        <w:rPr>
          <w:sz w:val="20"/>
          <w:szCs w:val="20"/>
          <w:color w:val="auto"/>
        </w:rPr>
      </w:pPr>
    </w:p>
    <w:p>
      <w:pPr>
        <w:ind w:left="1300" w:right="40"/>
        <w:spacing w:after="0" w:line="283" w:lineRule="auto"/>
        <w:rPr>
          <w:sz w:val="20"/>
          <w:szCs w:val="20"/>
          <w:color w:val="auto"/>
        </w:rPr>
      </w:pPr>
      <w:r>
        <w:rPr>
          <w:rFonts w:ascii="Arial" w:cs="Arial" w:eastAsia="Arial" w:hAnsi="Arial"/>
          <w:sz w:val="22"/>
          <w:szCs w:val="22"/>
          <w:color w:val="auto"/>
        </w:rPr>
        <w:t>You are responsible for disclosing all known conditions and defects of the property. If you fail to disclose a condition that is known to you, you may be responsible for all costs incurred by SIRVA as a result of the non-disclosure. Of course, if you do not know that a condition exists, you will not be held responsible for failing to disclose it.</w:t>
      </w:r>
    </w:p>
    <w:p>
      <w:pPr>
        <w:spacing w:after="0" w:line="103" w:lineRule="exact"/>
        <w:rPr>
          <w:sz w:val="20"/>
          <w:szCs w:val="20"/>
          <w:color w:val="auto"/>
        </w:rPr>
      </w:pPr>
    </w:p>
    <w:p>
      <w:pPr>
        <w:ind w:left="1300"/>
        <w:spacing w:after="0" w:line="298" w:lineRule="auto"/>
        <w:rPr>
          <w:sz w:val="20"/>
          <w:szCs w:val="20"/>
          <w:color w:val="auto"/>
        </w:rPr>
      </w:pPr>
      <w:r>
        <w:rPr>
          <w:rFonts w:ascii="Arial" w:cs="Arial" w:eastAsia="Arial" w:hAnsi="Arial"/>
          <w:sz w:val="21"/>
          <w:szCs w:val="21"/>
          <w:color w:val="auto"/>
        </w:rPr>
        <w:t>IMPORTANT NOTE: At the closing with you, SIRVA does not actually record title to your home in its name or pay off your mortgage. Instead, SIRVA takes full responsibility for making your mortgage payments, and ultimately paying off the mortgage when a sale between SIRVA and the buyer closes. Until a sale between SIRVA and the buyer closes, the title and mortgage remain in your name and will continue to appear on your credit report. SIRVA assumes all responsibility for the care and maintenance of the home once you close with SIRVA under the provisions of Home Sale Assistance (this is called “Equitable Title” or “Equitable Ownership”.) SIRVA will assist you if any questions should arise in regard to this process.</w:t>
      </w:r>
    </w:p>
    <w:p>
      <w:pPr>
        <w:spacing w:after="0" w:line="89" w:lineRule="exact"/>
        <w:rPr>
          <w:sz w:val="20"/>
          <w:szCs w:val="20"/>
          <w:color w:val="auto"/>
        </w:rPr>
      </w:pPr>
    </w:p>
    <w:p>
      <w:pPr>
        <w:ind w:left="1300" w:right="140"/>
        <w:spacing w:after="0" w:line="282" w:lineRule="auto"/>
        <w:rPr>
          <w:sz w:val="20"/>
          <w:szCs w:val="20"/>
          <w:color w:val="auto"/>
        </w:rPr>
      </w:pPr>
      <w:r>
        <w:rPr>
          <w:rFonts w:ascii="Arial" w:cs="Arial" w:eastAsia="Arial" w:hAnsi="Arial"/>
          <w:sz w:val="22"/>
          <w:szCs w:val="22"/>
          <w:color w:val="auto"/>
        </w:rPr>
        <w:t>In the event you are unable to vacate the property at the time of closing with SIRVA, the home may be leased back to you during the approximate three-day period prior to closing with a buyer, at a minimum per diem of $50. A $500 security deposit will be withheld from the net proceeds and will be returned after SIRVA inspects the home following the vacate date. Under the lease, you would be responsible for utilities, general maintenance and insurance on household goods through the date of vacating and/or transfer of possession to SIRVA. The SIRVA Relocation Consultant will provide instructions for transferring utilities, keys, etc.</w:t>
      </w:r>
    </w:p>
    <w:p>
      <w:pPr>
        <w:spacing w:after="0" w:line="149" w:lineRule="exact"/>
        <w:rPr>
          <w:sz w:val="20"/>
          <w:szCs w:val="20"/>
          <w:color w:val="auto"/>
        </w:rPr>
      </w:pPr>
    </w:p>
    <w:p>
      <w:pPr>
        <w:ind w:left="1300" w:hanging="252"/>
        <w:spacing w:after="0"/>
        <w:tabs>
          <w:tab w:leader="none" w:pos="130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Equity Advance</w:t>
      </w:r>
    </w:p>
    <w:p>
      <w:pPr>
        <w:spacing w:after="0" w:line="70" w:lineRule="exact"/>
        <w:rPr>
          <w:rFonts w:ascii="Arial" w:cs="Arial" w:eastAsia="Arial" w:hAnsi="Arial"/>
          <w:sz w:val="22"/>
          <w:szCs w:val="22"/>
          <w:b w:val="1"/>
          <w:bCs w:val="1"/>
          <w:color w:val="auto"/>
        </w:rPr>
      </w:pPr>
    </w:p>
    <w:p>
      <w:pPr>
        <w:ind w:left="1300" w:right="80"/>
        <w:spacing w:after="0" w:line="298" w:lineRule="auto"/>
        <w:rPr>
          <w:rFonts w:ascii="Arial" w:cs="Arial" w:eastAsia="Arial" w:hAnsi="Arial"/>
          <w:sz w:val="22"/>
          <w:szCs w:val="22"/>
          <w:b w:val="1"/>
          <w:bCs w:val="1"/>
          <w:color w:val="auto"/>
        </w:rPr>
      </w:pPr>
      <w:r>
        <w:rPr>
          <w:rFonts w:ascii="Arial" w:cs="Arial" w:eastAsia="Arial" w:hAnsi="Arial"/>
          <w:sz w:val="21"/>
          <w:szCs w:val="21"/>
          <w:color w:val="auto"/>
        </w:rPr>
        <w:t>If you find a home in the new location, you may request an equity advance for a down payment on the purchase, as long as you have a signed purchase contract on your current residence and it has been signed by SIRVA as the Seller. Once you satisfy all the requirements for an equity advance, including any finance contingency, SIRVA will provide you with the necessary paperwork for this request. You may request up to 90% of your equity at this time and the remainder will be available to you after the closing on your current residence. Brighthouse Services, LLC reserves the right to decide, in its sole discretion, whether to grant any request for an equity advance and to determine the amount of any equity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14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30" w:name="page131"/>
    <w:bookmarkEnd w:id="130"/>
    <w:p>
      <w:pPr>
        <w:ind w:left="10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vi.Cooperative Apartment</w:t>
      </w:r>
    </w:p>
    <w:p>
      <w:pPr>
        <w:spacing w:after="0" w:line="70" w:lineRule="exact"/>
        <w:rPr>
          <w:sz w:val="20"/>
          <w:szCs w:val="20"/>
          <w:color w:val="auto"/>
        </w:rPr>
      </w:pPr>
    </w:p>
    <w:p>
      <w:pPr>
        <w:ind w:left="1300" w:right="40"/>
        <w:spacing w:after="0" w:line="282" w:lineRule="auto"/>
        <w:rPr>
          <w:sz w:val="20"/>
          <w:szCs w:val="20"/>
          <w:color w:val="auto"/>
        </w:rPr>
      </w:pPr>
      <w:r>
        <w:rPr>
          <w:rFonts w:ascii="Arial" w:cs="Arial" w:eastAsia="Arial" w:hAnsi="Arial"/>
          <w:sz w:val="22"/>
          <w:szCs w:val="22"/>
          <w:color w:val="auto"/>
        </w:rPr>
        <w:t>If you own a cooperative apartment which does not qualify for purchase by SIRVA, you should follow the Home Marketing Assistance procedures and list your home according to the marketing strategy (and program requirements). Your SIRVA Relocation Consultant will advise you with regard to negotiating/accepting an offer. However, when you receive an acceptable offer, you should conclude the sale directly with the buyer. You will be reimbursed normal and reasonable closing costs (as determined by Brighthouse Services, LLC in its sole discretion) which are customarily paid by the seller, and which must be substantiated by a HUD-1 form or other similar documentation. For a cooperative apartment, up to 6% commission will be paid along with $1,000 in advertising costs.</w:t>
      </w:r>
    </w:p>
    <w:p>
      <w:pPr>
        <w:spacing w:after="0" w:line="107" w:lineRule="exact"/>
        <w:rPr>
          <w:sz w:val="20"/>
          <w:szCs w:val="20"/>
          <w:color w:val="auto"/>
        </w:rPr>
      </w:pPr>
    </w:p>
    <w:p>
      <w:pPr>
        <w:jc w:val="both"/>
        <w:ind w:left="1300" w:right="80"/>
        <w:spacing w:after="0" w:line="285"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costs as soon as practicable, but not later than the last day of the calendar year following the calendar year in which the costs were incurred.</w:t>
      </w:r>
    </w:p>
    <w:p>
      <w:pPr>
        <w:spacing w:after="0" w:line="98" w:lineRule="exact"/>
        <w:rPr>
          <w:sz w:val="20"/>
          <w:szCs w:val="20"/>
          <w:color w:val="auto"/>
        </w:rPr>
      </w:pPr>
    </w:p>
    <w:p>
      <w:pPr>
        <w:ind w:left="1300"/>
        <w:spacing w:after="0" w:line="313" w:lineRule="auto"/>
        <w:rPr>
          <w:sz w:val="20"/>
          <w:szCs w:val="20"/>
          <w:color w:val="auto"/>
        </w:rPr>
      </w:pPr>
      <w:r>
        <w:rPr>
          <w:rFonts w:ascii="Arial" w:cs="Arial" w:eastAsia="Arial" w:hAnsi="Arial"/>
          <w:sz w:val="21"/>
          <w:szCs w:val="21"/>
          <w:color w:val="auto"/>
        </w:rPr>
        <w:t>The direct reimbursement of closing costs is taxable, and will be included in your taxable wages reported on your Form W-2. This payment will be grossed-up for taxes as described in the Taxes section.</w:t>
      </w:r>
    </w:p>
    <w:p>
      <w:pPr>
        <w:spacing w:after="0" w:line="222" w:lineRule="exact"/>
        <w:rPr>
          <w:sz w:val="20"/>
          <w:szCs w:val="20"/>
          <w:color w:val="auto"/>
        </w:rPr>
      </w:pPr>
    </w:p>
    <w:p>
      <w:pPr>
        <w:ind w:left="1040"/>
        <w:spacing w:after="0"/>
        <w:tabs>
          <w:tab w:leader="none" w:pos="364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Loss-on-Sale</w:t>
      </w:r>
    </w:p>
    <w:p>
      <w:pPr>
        <w:spacing w:after="0" w:line="70" w:lineRule="exact"/>
        <w:rPr>
          <w:sz w:val="20"/>
          <w:szCs w:val="20"/>
          <w:color w:val="auto"/>
        </w:rPr>
      </w:pPr>
    </w:p>
    <w:p>
      <w:pPr>
        <w:jc w:val="both"/>
        <w:ind w:left="1300" w:right="40"/>
        <w:spacing w:after="0" w:line="285" w:lineRule="auto"/>
        <w:rPr>
          <w:sz w:val="20"/>
          <w:szCs w:val="20"/>
          <w:color w:val="auto"/>
        </w:rPr>
      </w:pPr>
      <w:r>
        <w:rPr>
          <w:rFonts w:ascii="Arial" w:cs="Arial" w:eastAsia="Arial" w:hAnsi="Arial"/>
          <w:sz w:val="22"/>
          <w:szCs w:val="22"/>
          <w:color w:val="auto"/>
        </w:rPr>
        <w:t>Brighthouse Services, LLC realizes that selling your home in order to relocate could cause you to realize a financial loss. To further facilitate your relocation, Brighthouse Services, LLC has agreed to reimburse you for 85% of your loss on the sale of your home up to a maximum of $50,000.</w:t>
      </w:r>
    </w:p>
    <w:p>
      <w:pPr>
        <w:spacing w:after="0" w:line="98" w:lineRule="exact"/>
        <w:rPr>
          <w:sz w:val="20"/>
          <w:szCs w:val="20"/>
          <w:color w:val="auto"/>
        </w:rPr>
      </w:pPr>
    </w:p>
    <w:p>
      <w:pPr>
        <w:ind w:left="1300" w:right="300"/>
        <w:spacing w:after="0" w:line="282" w:lineRule="auto"/>
        <w:rPr>
          <w:sz w:val="20"/>
          <w:szCs w:val="20"/>
          <w:color w:val="auto"/>
        </w:rPr>
      </w:pPr>
      <w:r>
        <w:rPr>
          <w:rFonts w:ascii="Arial" w:cs="Arial" w:eastAsia="Arial" w:hAnsi="Arial"/>
          <w:sz w:val="22"/>
          <w:szCs w:val="22"/>
          <w:color w:val="auto"/>
        </w:rPr>
        <w:t>For purposes of the Loss-on-Sale reimbursement, your loss will be the difference between the documented amount you originally paid for the house and the amount of which it was sold. In order to receive the Loss-on-Sale reimbursement, you must submit HUD-1 settlement forms (or other similar documentation), for both your original purchase of the house and for your sale of the house, to SIRVA within 60 days after the date of the closing of the sale of your house. The Loss-on-Sale amount will generally be paid to you in a lump sum on either the first or second pay day following the date that all necessary documents are submitted to SIRVA, and in no event will it be paid later than the March 1 following the calendar year in which the closing of the sale of your house occurs.</w:t>
      </w:r>
    </w:p>
    <w:p>
      <w:pPr>
        <w:spacing w:after="0" w:line="107" w:lineRule="exact"/>
        <w:rPr>
          <w:sz w:val="20"/>
          <w:szCs w:val="20"/>
          <w:color w:val="auto"/>
        </w:rPr>
      </w:pPr>
    </w:p>
    <w:p>
      <w:pPr>
        <w:ind w:left="1300" w:right="100"/>
        <w:spacing w:after="0" w:line="285" w:lineRule="auto"/>
        <w:rPr>
          <w:sz w:val="20"/>
          <w:szCs w:val="20"/>
          <w:color w:val="auto"/>
        </w:rPr>
      </w:pPr>
      <w:r>
        <w:rPr>
          <w:rFonts w:ascii="Arial" w:cs="Arial" w:eastAsia="Arial" w:hAnsi="Arial"/>
          <w:sz w:val="22"/>
          <w:szCs w:val="22"/>
          <w:color w:val="auto"/>
        </w:rPr>
        <w:t>The lump sum payment reimbursing your Loss-on-Sale is taxable, and will be included in your taxable wages reported on your Form W-2. This payment will be grossed-up for taxes as described in the Taxes section.</w:t>
      </w:r>
    </w:p>
    <w:p>
      <w:pPr>
        <w:spacing w:after="0" w:line="180" w:lineRule="exact"/>
        <w:rPr>
          <w:sz w:val="20"/>
          <w:szCs w:val="20"/>
          <w:color w:val="auto"/>
        </w:rPr>
      </w:pPr>
    </w:p>
    <w:p>
      <w:pPr>
        <w:ind w:left="820" w:hanging="420"/>
        <w:spacing w:after="0"/>
        <w:tabs>
          <w:tab w:leader="none" w:pos="8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Participation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15 | </w:t>
      </w:r>
      <w:r>
        <w:rPr>
          <w:rFonts w:ascii="Arial" w:cs="Arial" w:eastAsia="Arial" w:hAnsi="Arial"/>
          <w:sz w:val="19"/>
          <w:szCs w:val="19"/>
          <w:color w:val="7F7F7F"/>
        </w:rPr>
        <w:t>Page</w:t>
      </w:r>
    </w:p>
    <w:p>
      <w:pPr>
        <w:sectPr>
          <w:pgSz w:w="11900" w:h="16838" w:orient="portrait"/>
          <w:cols w:equalWidth="0" w:num="1">
            <w:col w:w="11300"/>
          </w:cols>
          <w:pgMar w:left="240" w:top="1012" w:right="359" w:bottom="1440" w:gutter="0" w:footer="0" w:header="0"/>
        </w:sectPr>
      </w:pPr>
    </w:p>
    <w:bookmarkStart w:id="131" w:name="page132"/>
    <w:bookmarkEnd w:id="131"/>
    <w:p>
      <w:pPr>
        <w:ind w:left="820"/>
        <w:spacing w:after="0" w:line="29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Brighthouse Services, LLC’s goal is to assist you in selling your home as quickly as possible at a reasonable price so your family can get settled in the new community, and you can become more productive in your new role at Brighthouse Services, LLC. Industry statistics indicate that homes that are properly priced will sell more quickly. To encourage you to fully participate in the home marketing process as outlined above, Brighthouse Services, LLC will provide you with a bonus equal to 2% of the contract sale price of your property up to a maximum of $5,000, if you sell it in the first 120 days of marketing. To be eligible for this bonus, you must participate in all aspects of Home Marketing Assistance. The bonus will be payable as soon as possible, but not later than the March 1 following the calendar year in which the closing occurred.</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Participation Bonus is taxable, and will be included in your taxable wages reported on your Form W-2.</w:t>
      </w:r>
    </w:p>
    <w:p>
      <w:pPr>
        <w:spacing w:after="0" w:line="4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payment will be grossed-up for taxes as described in the Taxes section.</w:t>
      </w:r>
    </w:p>
    <w:p>
      <w:pPr>
        <w:spacing w:after="0" w:line="369" w:lineRule="exact"/>
        <w:rPr>
          <w:sz w:val="20"/>
          <w:szCs w:val="20"/>
          <w:color w:val="auto"/>
        </w:rPr>
      </w:pPr>
    </w:p>
    <w:p>
      <w:pPr>
        <w:ind w:left="1300" w:hanging="252"/>
        <w:spacing w:after="0"/>
        <w:tabs>
          <w:tab w:leader="none" w:pos="130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Coordination of Home Sale Assistance with Participation Bonus</w:t>
      </w:r>
    </w:p>
    <w:p>
      <w:pPr>
        <w:spacing w:after="0" w:line="70" w:lineRule="exact"/>
        <w:rPr>
          <w:rFonts w:ascii="Arial" w:cs="Arial" w:eastAsia="Arial" w:hAnsi="Arial"/>
          <w:sz w:val="22"/>
          <w:szCs w:val="22"/>
          <w:b w:val="1"/>
          <w:bCs w:val="1"/>
          <w:color w:val="auto"/>
        </w:rPr>
      </w:pPr>
    </w:p>
    <w:p>
      <w:pPr>
        <w:jc w:val="both"/>
        <w:ind w:left="1300" w:right="6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Your home sale may be eligible for both the Participation Bonus and Home Sale Assistance if within 120 days of placing the house on the market, you accept an offer on the house from a third party and sell the house to SIRVA, so that they can proceed to sell the house to third party.</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21"/>
          <w:szCs w:val="21"/>
          <w:b w:val="1"/>
          <w:bCs w:val="1"/>
          <w:color w:val="auto"/>
        </w:rPr>
        <w:t>DESTINATION SERVICES</w:t>
      </w:r>
    </w:p>
    <w:p>
      <w:pPr>
        <w:spacing w:after="0" w:line="166" w:lineRule="exact"/>
        <w:rPr>
          <w:sz w:val="20"/>
          <w:szCs w:val="20"/>
          <w:color w:val="auto"/>
        </w:rPr>
      </w:pPr>
    </w:p>
    <w:p>
      <w:pPr>
        <w:ind w:left="820" w:hanging="434"/>
        <w:spacing w:after="0"/>
        <w:tabs>
          <w:tab w:leader="none" w:pos="82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Home Finding Assistance</w:t>
      </w:r>
    </w:p>
    <w:p>
      <w:pPr>
        <w:spacing w:after="0" w:line="70" w:lineRule="exact"/>
        <w:rPr>
          <w:rFonts w:ascii="Arial" w:cs="Arial" w:eastAsia="Arial" w:hAnsi="Arial"/>
          <w:sz w:val="22"/>
          <w:szCs w:val="22"/>
          <w:b w:val="1"/>
          <w:bCs w:val="1"/>
          <w:color w:val="auto"/>
        </w:rPr>
      </w:pPr>
    </w:p>
    <w:p>
      <w:pPr>
        <w:ind w:left="820" w:right="60"/>
        <w:spacing w:after="0" w:line="301" w:lineRule="auto"/>
        <w:rPr>
          <w:rFonts w:ascii="Arial" w:cs="Arial" w:eastAsia="Arial" w:hAnsi="Arial"/>
          <w:sz w:val="22"/>
          <w:szCs w:val="22"/>
          <w:b w:val="1"/>
          <w:bCs w:val="1"/>
          <w:color w:val="auto"/>
        </w:rPr>
      </w:pPr>
      <w:r>
        <w:rPr>
          <w:rFonts w:ascii="Arial" w:cs="Arial" w:eastAsia="Arial" w:hAnsi="Arial"/>
          <w:sz w:val="21"/>
          <w:szCs w:val="21"/>
          <w:color w:val="auto"/>
        </w:rPr>
        <w:t>You are required to contact your SIRVA Relocation Consultant prior to beginning the new home search with any real estate agent. Home Finding Assistance includes selecting a qualified agent, understanding purchase guidelines, negotiations and contracts and obtaining a new mortgage. Your SIRVA Relocation Consultant will contact you to review the program, explain the benefits and offer assistance. This assistance includes:</w:t>
      </w:r>
    </w:p>
    <w:p>
      <w:pPr>
        <w:spacing w:after="0" w:line="85" w:lineRule="exact"/>
        <w:rPr>
          <w:rFonts w:ascii="Arial" w:cs="Arial" w:eastAsia="Arial" w:hAnsi="Arial"/>
          <w:sz w:val="22"/>
          <w:szCs w:val="22"/>
          <w:b w:val="1"/>
          <w:bCs w:val="1"/>
          <w:color w:val="auto"/>
        </w:rPr>
      </w:pPr>
    </w:p>
    <w:p>
      <w:pPr>
        <w:ind w:left="1460" w:right="80" w:hanging="318"/>
        <w:spacing w:after="0" w:line="278" w:lineRule="auto"/>
        <w:tabs>
          <w:tab w:leader="none" w:pos="14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Conducting a telephone interview with you to discuss your housing needs and wants at the destination location. After this discussion, the SIRVA Relocation Consultant will use the information acquired to recommend a real estate agent, who is a relocation specialist in the destination area and who is knowledgeable regarding homes within the price range you have requested.</w:t>
      </w:r>
    </w:p>
    <w:p>
      <w:pPr>
        <w:spacing w:after="0" w:line="16" w:lineRule="exact"/>
        <w:rPr>
          <w:rFonts w:ascii="Arial" w:cs="Arial" w:eastAsia="Arial" w:hAnsi="Arial"/>
          <w:sz w:val="22"/>
          <w:szCs w:val="22"/>
          <w:color w:val="auto"/>
        </w:rPr>
      </w:pPr>
    </w:p>
    <w:p>
      <w:pPr>
        <w:ind w:left="1460" w:hanging="318"/>
        <w:spacing w:after="0"/>
        <w:tabs>
          <w:tab w:leader="none" w:pos="14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Explaining “agency” and clarifying who the real estate agent is representing and why.</w:t>
      </w:r>
    </w:p>
    <w:p>
      <w:pPr>
        <w:spacing w:after="0" w:line="44" w:lineRule="exact"/>
        <w:rPr>
          <w:rFonts w:ascii="Arial" w:cs="Arial" w:eastAsia="Arial" w:hAnsi="Arial"/>
          <w:sz w:val="22"/>
          <w:szCs w:val="22"/>
          <w:color w:val="auto"/>
        </w:rPr>
      </w:pPr>
    </w:p>
    <w:p>
      <w:pPr>
        <w:ind w:left="1460" w:right="820" w:hanging="318"/>
        <w:spacing w:after="0" w:line="288" w:lineRule="auto"/>
        <w:tabs>
          <w:tab w:leader="none" w:pos="14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Discussing real estate agent expectations so you fully understand what the real estate agent is expected to do for you and in what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16 | </w:t>
      </w:r>
      <w:r>
        <w:rPr>
          <w:rFonts w:ascii="Arial" w:cs="Arial" w:eastAsia="Arial" w:hAnsi="Arial"/>
          <w:sz w:val="19"/>
          <w:szCs w:val="19"/>
          <w:color w:val="7F7F7F"/>
        </w:rPr>
        <w:t>Page</w:t>
      </w:r>
    </w:p>
    <w:p>
      <w:pPr>
        <w:sectPr>
          <w:pgSz w:w="11900" w:h="16838" w:orient="portrait"/>
          <w:cols w:equalWidth="0" w:num="1">
            <w:col w:w="11320"/>
          </w:cols>
          <w:pgMar w:left="240" w:top="862" w:right="339" w:bottom="1440" w:gutter="0" w:footer="0" w:header="0"/>
        </w:sectPr>
      </w:pPr>
    </w:p>
    <w:bookmarkStart w:id="132" w:name="page133"/>
    <w:bookmarkEnd w:id="132"/>
    <w:p>
      <w:pPr>
        <w:ind w:left="1460" w:right="80" w:hanging="318"/>
        <w:spacing w:after="0" w:line="274" w:lineRule="auto"/>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Reviewing purchase guidelines to help you make a good decision on the home you decide to purchase, including: disclosure hazards such as synthetic stucco, lead paint and other toxic hazards.</w:t>
      </w:r>
    </w:p>
    <w:p>
      <w:pPr>
        <w:spacing w:after="0" w:line="16" w:lineRule="exact"/>
        <w:rPr>
          <w:rFonts w:ascii="Arial" w:cs="Arial" w:eastAsia="Arial" w:hAnsi="Arial"/>
          <w:sz w:val="22"/>
          <w:szCs w:val="22"/>
          <w:color w:val="auto"/>
        </w:rPr>
      </w:pPr>
    </w:p>
    <w:p>
      <w:pPr>
        <w:jc w:val="both"/>
        <w:ind w:left="1460" w:right="60" w:hanging="318"/>
        <w:spacing w:after="0" w:line="277" w:lineRule="auto"/>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Explaining comparable market analysis and encouraging you to have the real estate agent assist you in putting one together on the home you are purchasing. This will help you determine the best price for the property and eliminate purchasing an over-priced home.</w:t>
      </w:r>
    </w:p>
    <w:p>
      <w:pPr>
        <w:spacing w:after="0" w:line="15" w:lineRule="exact"/>
        <w:rPr>
          <w:rFonts w:ascii="Arial" w:cs="Arial" w:eastAsia="Arial" w:hAnsi="Arial"/>
          <w:sz w:val="22"/>
          <w:szCs w:val="22"/>
          <w:color w:val="auto"/>
        </w:rPr>
      </w:pPr>
    </w:p>
    <w:p>
      <w:pPr>
        <w:ind w:left="1460" w:right="400" w:hanging="318"/>
        <w:spacing w:after="0" w:line="274" w:lineRule="auto"/>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Assisting with negotiations, which can be very helpful to have the opinion of an uninvolved specialist when you are negotiating the purchase price of a new home.</w:t>
      </w:r>
    </w:p>
    <w:p>
      <w:pPr>
        <w:spacing w:after="0" w:line="16" w:lineRule="exact"/>
        <w:rPr>
          <w:rFonts w:ascii="Arial" w:cs="Arial" w:eastAsia="Arial" w:hAnsi="Arial"/>
          <w:sz w:val="22"/>
          <w:szCs w:val="22"/>
          <w:color w:val="auto"/>
        </w:rPr>
      </w:pPr>
    </w:p>
    <w:p>
      <w:pPr>
        <w:ind w:left="1460" w:right="240" w:hanging="318"/>
        <w:spacing w:after="0" w:line="274" w:lineRule="auto"/>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Reviewing the purchase agreement, or contract. The SIRVA Relocation Consultant will be available to look over the purchase agreement to help determine if it is written in your best interest.</w:t>
      </w:r>
    </w:p>
    <w:p>
      <w:pPr>
        <w:spacing w:after="0" w:line="16" w:lineRule="exact"/>
        <w:rPr>
          <w:rFonts w:ascii="Arial" w:cs="Arial" w:eastAsia="Arial" w:hAnsi="Arial"/>
          <w:sz w:val="22"/>
          <w:szCs w:val="22"/>
          <w:color w:val="auto"/>
        </w:rPr>
      </w:pPr>
    </w:p>
    <w:p>
      <w:pPr>
        <w:jc w:val="both"/>
        <w:ind w:left="1460" w:right="360" w:hanging="318"/>
        <w:spacing w:after="0" w:line="285" w:lineRule="auto"/>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Encouraging you to be prequalified with a lender. In many markets, sellers are requiring buyers to be prequalified at the time the offer to purchase is made. The Company has made lender arrangements through SIRVA Mortgage.</w:t>
      </w:r>
    </w:p>
    <w:p>
      <w:pPr>
        <w:spacing w:after="0" w:line="72" w:lineRule="exact"/>
        <w:rPr>
          <w:rFonts w:ascii="Arial" w:cs="Arial" w:eastAsia="Arial" w:hAnsi="Arial"/>
          <w:sz w:val="22"/>
          <w:szCs w:val="22"/>
          <w:color w:val="auto"/>
        </w:rPr>
      </w:pPr>
    </w:p>
    <w:p>
      <w:pPr>
        <w:ind w:left="820" w:hanging="434"/>
        <w:spacing w:after="0"/>
        <w:tabs>
          <w:tab w:leader="none" w:pos="82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House-Hunting Trip</w:t>
      </w:r>
    </w:p>
    <w:p>
      <w:pPr>
        <w:spacing w:after="0" w:line="70" w:lineRule="exact"/>
        <w:rPr>
          <w:rFonts w:ascii="Arial" w:cs="Arial" w:eastAsia="Arial" w:hAnsi="Arial"/>
          <w:sz w:val="22"/>
          <w:szCs w:val="22"/>
          <w:b w:val="1"/>
          <w:bCs w:val="1"/>
          <w:color w:val="auto"/>
        </w:rPr>
      </w:pPr>
    </w:p>
    <w:p>
      <w:pPr>
        <w:ind w:left="820" w:right="6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The house-hunting trip includes a one-time trip for you and one family member for up to three days/two nights if the distance of the move is 200 miles or less, or seven days/six nights if the distance of the move is more than 200 miles. Reasonable transportation and lodging will be reimbursed, and a per diem meal stipend will be provided ($40 a day for ages 13 and older, and $20 for ages 12 and younger).</w:t>
      </w:r>
    </w:p>
    <w:p>
      <w:pPr>
        <w:spacing w:after="0" w:line="103" w:lineRule="exact"/>
        <w:rPr>
          <w:rFonts w:ascii="Arial" w:cs="Arial" w:eastAsia="Arial" w:hAnsi="Arial"/>
          <w:sz w:val="22"/>
          <w:szCs w:val="22"/>
          <w:b w:val="1"/>
          <w:bCs w:val="1"/>
          <w:color w:val="auto"/>
        </w:rPr>
      </w:pPr>
    </w:p>
    <w:p>
      <w:pPr>
        <w:ind w:left="820" w:right="14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these costs as soon as practicable, but not later than the last day of the calendar year following the calendar year in which the expenses were incurred.</w:t>
      </w:r>
    </w:p>
    <w:p>
      <w:pPr>
        <w:spacing w:after="0" w:line="98" w:lineRule="exact"/>
        <w:rPr>
          <w:rFonts w:ascii="Arial" w:cs="Arial" w:eastAsia="Arial" w:hAnsi="Arial"/>
          <w:sz w:val="22"/>
          <w:szCs w:val="22"/>
          <w:b w:val="1"/>
          <w:bCs w:val="1"/>
          <w:color w:val="auto"/>
        </w:rPr>
      </w:pPr>
    </w:p>
    <w:p>
      <w:pPr>
        <w:ind w:left="82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The reimbursements for the house-hunting trip are taxable, and will be included in your taxable wages reported on your Form W-2. The house-hunting reimbursements will be grossed-up for taxes, as described in the Taxes section.</w:t>
      </w:r>
    </w:p>
    <w:p>
      <w:pPr>
        <w:spacing w:after="0" w:line="180" w:lineRule="exact"/>
        <w:rPr>
          <w:rFonts w:ascii="Arial" w:cs="Arial" w:eastAsia="Arial" w:hAnsi="Arial"/>
          <w:sz w:val="22"/>
          <w:szCs w:val="22"/>
          <w:b w:val="1"/>
          <w:bCs w:val="1"/>
          <w:color w:val="auto"/>
        </w:rPr>
      </w:pPr>
    </w:p>
    <w:p>
      <w:pPr>
        <w:ind w:left="820" w:hanging="434"/>
        <w:spacing w:after="0"/>
        <w:tabs>
          <w:tab w:leader="none" w:pos="82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Temporary Housing Assistance</w:t>
      </w:r>
    </w:p>
    <w:p>
      <w:pPr>
        <w:spacing w:after="0" w:line="70" w:lineRule="exact"/>
        <w:rPr>
          <w:rFonts w:ascii="Arial" w:cs="Arial" w:eastAsia="Arial" w:hAnsi="Arial"/>
          <w:sz w:val="22"/>
          <w:szCs w:val="22"/>
          <w:b w:val="1"/>
          <w:bCs w:val="1"/>
          <w:color w:val="auto"/>
        </w:rPr>
      </w:pPr>
    </w:p>
    <w:p>
      <w:pPr>
        <w:ind w:left="820" w:right="60"/>
        <w:spacing w:after="0" w:line="377"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provide assistance for temporary housing expenses such as travel and lodging. In order to qualify for the assistance, the following conditions must be met:</w:t>
      </w:r>
    </w:p>
    <w:p>
      <w:pPr>
        <w:spacing w:after="0" w:line="15" w:lineRule="exact"/>
        <w:rPr>
          <w:rFonts w:ascii="Arial" w:cs="Arial" w:eastAsia="Arial" w:hAnsi="Arial"/>
          <w:sz w:val="22"/>
          <w:szCs w:val="22"/>
          <w:b w:val="1"/>
          <w:bCs w:val="1"/>
          <w:color w:val="auto"/>
        </w:rPr>
      </w:pPr>
    </w:p>
    <w:p>
      <w:pPr>
        <w:ind w:left="1460" w:hanging="318"/>
        <w:spacing w:after="0"/>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You must not have established a permanent residence in the new area.</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Your position and work have transferred permanently to the new office.</w:t>
      </w:r>
    </w:p>
    <w:p>
      <w:pPr>
        <w:spacing w:after="0" w:line="44" w:lineRule="exact"/>
        <w:rPr>
          <w:rFonts w:ascii="Arial" w:cs="Arial" w:eastAsia="Arial" w:hAnsi="Arial"/>
          <w:sz w:val="22"/>
          <w:szCs w:val="22"/>
          <w:color w:val="auto"/>
        </w:rPr>
      </w:pPr>
    </w:p>
    <w:p>
      <w:pPr>
        <w:ind w:left="1460" w:right="720" w:hanging="318"/>
        <w:spacing w:after="0" w:line="288" w:lineRule="auto"/>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 new lease has not been executed or a new home closing has not occurred and you still have a residence in the former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17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33" w:name="page134"/>
    <w:bookmarkEnd w:id="133"/>
    <w:p>
      <w:pPr>
        <w:ind w:left="1460" w:hanging="318"/>
        <w:spacing w:after="0"/>
        <w:tabs>
          <w:tab w:leader="none" w:pos="1460" w:val="left"/>
        </w:tabs>
        <w:numPr>
          <w:ilvl w:val="0"/>
          <w:numId w:val="8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You are not submitting travel/hotel/meal expenses through Brighthouse Services, LLC’s Business</w:t>
      </w:r>
    </w:p>
    <w:p>
      <w:pPr>
        <w:spacing w:after="0" w:line="4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Expense Reimbursement system.</w:t>
      </w:r>
    </w:p>
    <w:p>
      <w:pPr>
        <w:spacing w:after="0" w:line="44" w:lineRule="exact"/>
        <w:rPr>
          <w:sz w:val="20"/>
          <w:szCs w:val="20"/>
          <w:color w:val="auto"/>
        </w:rPr>
      </w:pPr>
    </w:p>
    <w:p>
      <w:pPr>
        <w:ind w:left="820" w:right="260"/>
        <w:spacing w:after="0" w:line="283" w:lineRule="auto"/>
        <w:rPr>
          <w:sz w:val="20"/>
          <w:szCs w:val="20"/>
          <w:color w:val="auto"/>
        </w:rPr>
      </w:pPr>
      <w:r>
        <w:rPr>
          <w:rFonts w:ascii="Arial" w:cs="Arial" w:eastAsia="Arial" w:hAnsi="Arial"/>
          <w:sz w:val="22"/>
          <w:szCs w:val="22"/>
          <w:color w:val="auto"/>
        </w:rPr>
        <w:t>You will receive temporary housing assistance for up to 60 days if you are purchasing a home, or 30 days if you will be renting a home. If you need a rental car during your time in temporary housing, Brighthouse Services, LLC will reimburse you for the rental car for the duration of time you are in temporary housing. You must submit eligible expenses online or complete a SIRVA Relocation Expense Report form and provide copies of all expenses and their receipts.</w:t>
      </w:r>
    </w:p>
    <w:p>
      <w:pPr>
        <w:spacing w:after="0" w:line="102" w:lineRule="exact"/>
        <w:rPr>
          <w:sz w:val="20"/>
          <w:szCs w:val="20"/>
          <w:color w:val="auto"/>
        </w:rPr>
      </w:pPr>
    </w:p>
    <w:p>
      <w:pPr>
        <w:ind w:left="820" w:right="300"/>
        <w:spacing w:after="0" w:line="285"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expenses as soon as practicable, but not later than the last day of the calendar year following the calendar year in which the expenses were incurred.</w:t>
      </w:r>
    </w:p>
    <w:p>
      <w:pPr>
        <w:spacing w:after="0" w:line="98" w:lineRule="exact"/>
        <w:rPr>
          <w:sz w:val="20"/>
          <w:szCs w:val="20"/>
          <w:color w:val="auto"/>
        </w:rPr>
      </w:pPr>
    </w:p>
    <w:p>
      <w:pPr>
        <w:ind w:left="820" w:right="120"/>
        <w:spacing w:after="0" w:line="285" w:lineRule="auto"/>
        <w:rPr>
          <w:sz w:val="20"/>
          <w:szCs w:val="20"/>
          <w:color w:val="auto"/>
        </w:rPr>
      </w:pPr>
      <w:r>
        <w:rPr>
          <w:rFonts w:ascii="Arial" w:cs="Arial" w:eastAsia="Arial" w:hAnsi="Arial"/>
          <w:sz w:val="22"/>
          <w:szCs w:val="22"/>
          <w:color w:val="auto"/>
        </w:rPr>
        <w:t>Temporary Housing Assistance reimbursement is taxable, and will be included in your taxable wages reported on your Form W-2. The Temporary Housing Assistance reimbursement will be grossed-up for taxes, as described in the Taxes section.</w:t>
      </w:r>
    </w:p>
    <w:p>
      <w:pPr>
        <w:spacing w:after="0" w:line="180" w:lineRule="exact"/>
        <w:rPr>
          <w:sz w:val="20"/>
          <w:szCs w:val="20"/>
          <w:color w:val="auto"/>
        </w:rPr>
      </w:pPr>
    </w:p>
    <w:p>
      <w:pPr>
        <w:ind w:left="820" w:hanging="434"/>
        <w:spacing w:after="0"/>
        <w:tabs>
          <w:tab w:leader="none" w:pos="82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Allowance</w:t>
      </w:r>
    </w:p>
    <w:p>
      <w:pPr>
        <w:spacing w:after="0" w:line="70" w:lineRule="exact"/>
        <w:rPr>
          <w:rFonts w:ascii="Arial" w:cs="Arial" w:eastAsia="Arial" w:hAnsi="Arial"/>
          <w:sz w:val="22"/>
          <w:szCs w:val="22"/>
          <w:b w:val="1"/>
          <w:bCs w:val="1"/>
          <w:color w:val="auto"/>
        </w:rPr>
      </w:pPr>
    </w:p>
    <w:p>
      <w:pPr>
        <w:ind w:left="820" w:right="4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provide you with a $10,000 Miscellaneous Allowance to help offset expenses associated with your relocation. You are not required to furnish any accounting or documentation as to how you utilized this allowance. This payment will generally be made available to you approximately six weeks prior to the effective date of the transfer of your location in the payroll system, but in no event later than the March 1 following the calendar year in which you signed your Repayment Agreement.</w:t>
      </w:r>
    </w:p>
    <w:p>
      <w:pPr>
        <w:spacing w:after="0" w:line="102"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1"/>
          <w:szCs w:val="21"/>
          <w:color w:val="auto"/>
        </w:rPr>
        <w:t>The Miscellaneous Allowance is taxable, and will be included in your taxable wages reported on your Form W-</w:t>
      </w:r>
    </w:p>
    <w:p>
      <w:pPr>
        <w:spacing w:after="0" w:line="55" w:lineRule="exact"/>
        <w:rPr>
          <w:rFonts w:ascii="Arial" w:cs="Arial" w:eastAsia="Arial" w:hAnsi="Arial"/>
          <w:sz w:val="22"/>
          <w:szCs w:val="22"/>
          <w:b w:val="1"/>
          <w:bCs w:val="1"/>
          <w:color w:val="auto"/>
        </w:rPr>
      </w:pPr>
    </w:p>
    <w:p>
      <w:pPr>
        <w:ind w:left="1060" w:hanging="242"/>
        <w:spacing w:after="0"/>
        <w:tabs>
          <w:tab w:leader="none" w:pos="10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Miscellaneous Allowance will be grossed-up for taxes as described in the Taxes section.</w:t>
      </w:r>
    </w:p>
    <w:p>
      <w:pPr>
        <w:spacing w:after="0" w:line="234" w:lineRule="exact"/>
        <w:rPr>
          <w:rFonts w:ascii="Arial" w:cs="Arial" w:eastAsia="Arial" w:hAnsi="Arial"/>
          <w:sz w:val="22"/>
          <w:szCs w:val="22"/>
          <w:color w:val="auto"/>
        </w:rPr>
      </w:pPr>
    </w:p>
    <w:p>
      <w:pPr>
        <w:ind w:left="820" w:hanging="434"/>
        <w:spacing w:after="0"/>
        <w:tabs>
          <w:tab w:leader="none" w:pos="82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Home Purchase Assistance</w:t>
      </w:r>
    </w:p>
    <w:p>
      <w:pPr>
        <w:spacing w:after="0" w:line="70" w:lineRule="exact"/>
        <w:rPr>
          <w:rFonts w:ascii="Arial" w:cs="Arial" w:eastAsia="Arial" w:hAnsi="Arial"/>
          <w:sz w:val="22"/>
          <w:szCs w:val="22"/>
          <w:b w:val="1"/>
          <w:bCs w:val="1"/>
          <w:color w:val="auto"/>
        </w:rPr>
      </w:pPr>
    </w:p>
    <w:p>
      <w:pPr>
        <w:ind w:left="8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To help you find a home in the new location that is suitable for your family’s needs, Brighthouse Services, LLC provides you with assistance from SIRVA. SIRVA will, through its affiliate, SIRVA Mortgage, provide various mortgage-related services for you if you currently own a home and will be purchasing a home in the destination location. The assistance will include:</w:t>
      </w:r>
    </w:p>
    <w:p>
      <w:pPr>
        <w:spacing w:after="0" w:line="103" w:lineRule="exact"/>
        <w:rPr>
          <w:rFonts w:ascii="Arial" w:cs="Arial" w:eastAsia="Arial" w:hAnsi="Arial"/>
          <w:sz w:val="22"/>
          <w:szCs w:val="22"/>
          <w:b w:val="1"/>
          <w:bCs w:val="1"/>
          <w:color w:val="auto"/>
        </w:rPr>
      </w:pPr>
    </w:p>
    <w:p>
      <w:pPr>
        <w:ind w:left="1460" w:right="180" w:hanging="318"/>
        <w:spacing w:after="0" w:line="288" w:lineRule="auto"/>
        <w:tabs>
          <w:tab w:leader="none" w:pos="1460" w:val="left"/>
        </w:tabs>
        <w:numPr>
          <w:ilvl w:val="2"/>
          <w:numId w:val="83"/>
        </w:numPr>
        <w:rPr>
          <w:rFonts w:ascii="Arial" w:cs="Arial" w:eastAsia="Arial" w:hAnsi="Arial"/>
          <w:sz w:val="22"/>
          <w:szCs w:val="22"/>
          <w:color w:val="auto"/>
        </w:rPr>
      </w:pPr>
      <w:r>
        <w:rPr>
          <w:rFonts w:ascii="Arial" w:cs="Arial" w:eastAsia="Arial" w:hAnsi="Arial"/>
          <w:sz w:val="22"/>
          <w:szCs w:val="22"/>
          <w:color w:val="auto"/>
        </w:rPr>
        <w:t>Counseling on various types of loan programs available and the impact of those programs based upon your specific financial situation and relocation mortgage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18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34" w:name="page135"/>
    <w:bookmarkEnd w:id="134"/>
    <w:p>
      <w:pPr>
        <w:ind w:left="1460" w:right="120" w:hanging="318"/>
        <w:spacing w:after="0" w:line="295" w:lineRule="auto"/>
        <w:tabs>
          <w:tab w:leader="none" w:pos="1460" w:val="left"/>
        </w:tabs>
        <w:numPr>
          <w:ilvl w:val="0"/>
          <w:numId w:val="84"/>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Pre-approval assessment for mortgage financing, including credit review, so you are more aware of the value of a home you can acquire in the destination location. You are encouraged to be pre- approved</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before embarking on a home finding trip. This benefit is without cost or obligation.</w:t>
      </w:r>
    </w:p>
    <w:p>
      <w:pPr>
        <w:spacing w:after="0" w:line="44" w:lineRule="exact"/>
        <w:rPr>
          <w:sz w:val="20"/>
          <w:szCs w:val="20"/>
          <w:color w:val="auto"/>
        </w:rPr>
      </w:pPr>
    </w:p>
    <w:p>
      <w:pPr>
        <w:ind w:left="820"/>
        <w:spacing w:after="0" w:line="283" w:lineRule="auto"/>
        <w:rPr>
          <w:sz w:val="20"/>
          <w:szCs w:val="20"/>
          <w:color w:val="auto"/>
        </w:rPr>
      </w:pPr>
      <w:r>
        <w:rPr>
          <w:rFonts w:ascii="Arial" w:cs="Arial" w:eastAsia="Arial" w:hAnsi="Arial"/>
          <w:sz w:val="22"/>
          <w:szCs w:val="22"/>
          <w:color w:val="auto"/>
        </w:rPr>
        <w:t>SIRVA Mortgage is a mortgage banker that is licensed to originate loans in all fifty states plus Washington DC, specializing in relocation lending. SIRVA Mortgage offers a wide variety of mortgage products through the nation’s leading lenders. SIRVA will shop rates and programs through its multi-lender approach to find the most competitive rate for your mortgage loan.</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SIRVA Mortgage offers a no closing cost loan. In order to be eligible for the no closing cost loan program:</w:t>
      </w:r>
    </w:p>
    <w:p>
      <w:pPr>
        <w:spacing w:after="0" w:line="152" w:lineRule="exact"/>
        <w:rPr>
          <w:sz w:val="20"/>
          <w:szCs w:val="20"/>
          <w:color w:val="auto"/>
        </w:rPr>
      </w:pPr>
    </w:p>
    <w:p>
      <w:pPr>
        <w:ind w:left="1460" w:hanging="318"/>
        <w:spacing w:after="0"/>
        <w:tabs>
          <w:tab w:leader="none" w:pos="14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You must sell your home through SIRVA’s Home Sale Assistance program.</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residence purchased must be your permanent residence.</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home purchased cannot be a mobile home or boat.</w:t>
      </w:r>
    </w:p>
    <w:p>
      <w:pPr>
        <w:spacing w:after="0" w:line="44" w:lineRule="exact"/>
        <w:rPr>
          <w:sz w:val="20"/>
          <w:szCs w:val="20"/>
          <w:color w:val="auto"/>
        </w:rPr>
      </w:pPr>
    </w:p>
    <w:p>
      <w:pPr>
        <w:ind w:left="820" w:right="240"/>
        <w:spacing w:after="0" w:line="288" w:lineRule="auto"/>
        <w:rPr>
          <w:sz w:val="20"/>
          <w:szCs w:val="20"/>
          <w:color w:val="auto"/>
        </w:rPr>
      </w:pPr>
      <w:r>
        <w:rPr>
          <w:rFonts w:ascii="Arial" w:cs="Arial" w:eastAsia="Arial" w:hAnsi="Arial"/>
          <w:sz w:val="22"/>
          <w:szCs w:val="22"/>
          <w:color w:val="auto"/>
        </w:rPr>
        <w:t>You must be responsible for recurring costs such as prepaid interest, real estate taxes, and private mortgage insurance (PMI).</w:t>
      </w:r>
    </w:p>
    <w:p>
      <w:pPr>
        <w:spacing w:after="0" w:line="95" w:lineRule="exact"/>
        <w:rPr>
          <w:sz w:val="20"/>
          <w:szCs w:val="20"/>
          <w:color w:val="auto"/>
        </w:rPr>
      </w:pPr>
    </w:p>
    <w:p>
      <w:pPr>
        <w:ind w:left="820" w:right="320"/>
        <w:spacing w:after="0" w:line="288" w:lineRule="auto"/>
        <w:rPr>
          <w:sz w:val="20"/>
          <w:szCs w:val="20"/>
          <w:color w:val="auto"/>
        </w:rPr>
      </w:pPr>
      <w:r>
        <w:rPr>
          <w:rFonts w:ascii="Arial" w:cs="Arial" w:eastAsia="Arial" w:hAnsi="Arial"/>
          <w:sz w:val="22"/>
          <w:szCs w:val="22"/>
          <w:color w:val="auto"/>
        </w:rPr>
        <w:t>If you participate in the no closing cost loan program through SIRVA Mortgage, tax assistance (gross-up) on the new home purchase closing costs will not be applicable.</w:t>
      </w:r>
    </w:p>
    <w:p>
      <w:pPr>
        <w:spacing w:after="0" w:line="95" w:lineRule="exact"/>
        <w:rPr>
          <w:sz w:val="20"/>
          <w:szCs w:val="20"/>
          <w:color w:val="auto"/>
        </w:rPr>
      </w:pPr>
    </w:p>
    <w:p>
      <w:pPr>
        <w:ind w:left="820" w:right="640"/>
        <w:spacing w:after="0" w:line="285" w:lineRule="auto"/>
        <w:rPr>
          <w:sz w:val="20"/>
          <w:szCs w:val="20"/>
          <w:color w:val="auto"/>
        </w:rPr>
      </w:pPr>
      <w:r>
        <w:rPr>
          <w:rFonts w:ascii="Arial" w:cs="Arial" w:eastAsia="Arial" w:hAnsi="Arial"/>
          <w:sz w:val="22"/>
          <w:szCs w:val="22"/>
          <w:color w:val="auto"/>
        </w:rPr>
        <w:t>If your home is ineligible for Home Sale Assistance program, the closing costs on the new home will be reimbursed. The reimbursement will be considered compensation and the Company will gross-up for the reimbursement for taxes as described in the Taxes section.</w:t>
      </w:r>
    </w:p>
    <w:p>
      <w:pPr>
        <w:spacing w:after="0" w:line="98" w:lineRule="exact"/>
        <w:rPr>
          <w:sz w:val="20"/>
          <w:szCs w:val="20"/>
          <w:color w:val="auto"/>
        </w:rPr>
      </w:pPr>
    </w:p>
    <w:p>
      <w:pPr>
        <w:ind w:left="820" w:right="60"/>
        <w:spacing w:after="0" w:line="283" w:lineRule="auto"/>
        <w:rPr>
          <w:sz w:val="20"/>
          <w:szCs w:val="20"/>
          <w:color w:val="auto"/>
        </w:rPr>
      </w:pPr>
      <w:r>
        <w:rPr>
          <w:rFonts w:ascii="Arial" w:cs="Arial" w:eastAsia="Arial" w:hAnsi="Arial"/>
          <w:sz w:val="22"/>
          <w:szCs w:val="22"/>
          <w:color w:val="auto"/>
        </w:rPr>
        <w:t xml:space="preserve">If you elect not to participate in the no closing cost loan program and use a lender other than SIRVA Mortgage, the closing costs on the new home will be reimbursed. The reimbursement will be reported as additional compensation, although Brighthouse Services, LLC will </w:t>
      </w:r>
      <w:r>
        <w:rPr>
          <w:rFonts w:ascii="Arial" w:cs="Arial" w:eastAsia="Arial" w:hAnsi="Arial"/>
          <w:sz w:val="22"/>
          <w:szCs w:val="22"/>
          <w:b w:val="1"/>
          <w:bCs w:val="1"/>
          <w:i w:val="1"/>
          <w:iCs w:val="1"/>
          <w:color w:val="auto"/>
        </w:rPr>
        <w:t>not</w:t>
      </w:r>
      <w:r>
        <w:rPr>
          <w:rFonts w:ascii="Arial" w:cs="Arial" w:eastAsia="Arial" w:hAnsi="Arial"/>
          <w:sz w:val="22"/>
          <w:szCs w:val="22"/>
          <w:color w:val="auto"/>
        </w:rPr>
        <w:t xml:space="preserve"> provide tax assistance in the form of a tax gross-up.</w:t>
      </w:r>
    </w:p>
    <w:p>
      <w:pPr>
        <w:spacing w:after="0" w:line="103" w:lineRule="exact"/>
        <w:rPr>
          <w:sz w:val="20"/>
          <w:szCs w:val="20"/>
          <w:color w:val="auto"/>
        </w:rPr>
      </w:pPr>
    </w:p>
    <w:p>
      <w:pPr>
        <w:ind w:left="820" w:right="100"/>
        <w:spacing w:after="0" w:line="285" w:lineRule="auto"/>
        <w:rPr>
          <w:sz w:val="20"/>
          <w:szCs w:val="20"/>
          <w:color w:val="auto"/>
        </w:rPr>
      </w:pPr>
      <w:r>
        <w:rPr>
          <w:rFonts w:ascii="Arial" w:cs="Arial" w:eastAsia="Arial" w:hAnsi="Arial"/>
          <w:sz w:val="22"/>
          <w:szCs w:val="22"/>
          <w:color w:val="auto"/>
        </w:rPr>
        <w:t>A general home inspection will be recommended by your SIRVA Relocation Consultant to help you assess the prospective home’s overall condition. Brighthouse Services, LLC will reimburse the cost of this inspection in addition to providing the no closing cost loan.</w:t>
      </w:r>
    </w:p>
    <w:p>
      <w:pPr>
        <w:spacing w:after="0" w:line="98" w:lineRule="exact"/>
        <w:rPr>
          <w:sz w:val="20"/>
          <w:szCs w:val="20"/>
          <w:color w:val="auto"/>
        </w:rPr>
      </w:pPr>
    </w:p>
    <w:p>
      <w:pPr>
        <w:ind w:left="820" w:right="220"/>
        <w:spacing w:after="0" w:line="288" w:lineRule="auto"/>
        <w:rPr>
          <w:sz w:val="20"/>
          <w:szCs w:val="20"/>
          <w:color w:val="auto"/>
        </w:rPr>
      </w:pPr>
      <w:r>
        <w:rPr>
          <w:rFonts w:ascii="Arial" w:cs="Arial" w:eastAsia="Arial" w:hAnsi="Arial"/>
          <w:sz w:val="22"/>
          <w:szCs w:val="22"/>
          <w:color w:val="auto"/>
        </w:rPr>
        <w:t>The general home inspection will be reported as additional compensation and Brighthouse Services, LLC will gross-up for the reimbursement for taxes as described in the Taxes section.</w:t>
      </w:r>
    </w:p>
    <w:p>
      <w:pPr>
        <w:spacing w:after="0" w:line="95" w:lineRule="exact"/>
        <w:rPr>
          <w:sz w:val="20"/>
          <w:szCs w:val="20"/>
          <w:color w:val="auto"/>
        </w:rPr>
      </w:pPr>
    </w:p>
    <w:p>
      <w:pPr>
        <w:ind w:left="820" w:right="780"/>
        <w:spacing w:after="0" w:line="288" w:lineRule="auto"/>
        <w:rPr>
          <w:sz w:val="20"/>
          <w:szCs w:val="20"/>
          <w:color w:val="auto"/>
        </w:rPr>
      </w:pPr>
      <w:r>
        <w:rPr>
          <w:rFonts w:ascii="Arial" w:cs="Arial" w:eastAsia="Arial" w:hAnsi="Arial"/>
          <w:sz w:val="22"/>
          <w:szCs w:val="22"/>
          <w:color w:val="auto"/>
        </w:rPr>
        <w:t>Once you have submitted all the documents required for the reimbursements under this subsection (e), Brighthouse Services, LLC will reimburse the expenses as soon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19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35" w:name="page136"/>
    <w:bookmarkEnd w:id="135"/>
    <w:p>
      <w:pPr>
        <w:ind w:left="820" w:right="82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practicable, but not later than the last day of the calendar year following the calendar year in which the expenses were incurred.</w:t>
      </w:r>
    </w:p>
    <w:p>
      <w:pPr>
        <w:spacing w:after="0" w:line="95" w:lineRule="exact"/>
        <w:rPr>
          <w:sz w:val="20"/>
          <w:szCs w:val="20"/>
          <w:color w:val="auto"/>
        </w:rPr>
      </w:pPr>
    </w:p>
    <w:p>
      <w:pPr>
        <w:ind w:left="820" w:right="80"/>
        <w:spacing w:after="0" w:line="283" w:lineRule="auto"/>
        <w:rPr>
          <w:sz w:val="20"/>
          <w:szCs w:val="20"/>
          <w:color w:val="auto"/>
        </w:rPr>
      </w:pPr>
      <w:r>
        <w:rPr>
          <w:rFonts w:ascii="Arial" w:cs="Arial" w:eastAsia="Arial" w:hAnsi="Arial"/>
          <w:sz w:val="22"/>
          <w:szCs w:val="22"/>
          <w:color w:val="auto"/>
        </w:rPr>
        <w:t>NOTE: Building a new home versus buying an existing property can be a frustrating and expensive proposition. It’s a personal decision, but you are encouraged to purchase an existing home to avoid the added costs (which are your responsibility) and risks involved in purchasing new construction. Some of the added costs you may incur include:</w:t>
      </w:r>
    </w:p>
    <w:p>
      <w:pPr>
        <w:spacing w:after="0" w:line="103" w:lineRule="exact"/>
        <w:rPr>
          <w:sz w:val="20"/>
          <w:szCs w:val="20"/>
          <w:color w:val="auto"/>
        </w:rPr>
      </w:pPr>
    </w:p>
    <w:p>
      <w:pPr>
        <w:ind w:left="1460" w:hanging="318"/>
        <w:spacing w:after="0"/>
        <w:tabs>
          <w:tab w:leader="none" w:pos="14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Additional temporary housing expenses due to construction delays.</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Reimbursement of purchase closing costs related to the builder or construction loan.</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Household goods storage costs.</w:t>
      </w:r>
    </w:p>
    <w:p>
      <w:pPr>
        <w:spacing w:after="0" w:line="44" w:lineRule="exact"/>
        <w:rPr>
          <w:sz w:val="20"/>
          <w:szCs w:val="20"/>
          <w:color w:val="auto"/>
        </w:rPr>
      </w:pPr>
    </w:p>
    <w:p>
      <w:pPr>
        <w:ind w:left="820" w:right="200"/>
        <w:spacing w:after="0" w:line="283" w:lineRule="auto"/>
        <w:rPr>
          <w:sz w:val="20"/>
          <w:szCs w:val="20"/>
          <w:color w:val="auto"/>
        </w:rPr>
      </w:pPr>
      <w:r>
        <w:rPr>
          <w:rFonts w:ascii="Arial" w:cs="Arial" w:eastAsia="Arial" w:hAnsi="Arial"/>
          <w:sz w:val="22"/>
          <w:szCs w:val="22"/>
          <w:color w:val="auto"/>
        </w:rPr>
        <w:t>In the event that you are relocated again, it is important to keep in mind when purchasing a home that SIRVA will not accept certain properties into Home Sale Assistance. See the Home Sale Assistance section for a checklist of ineligible properties. However, if you choose to build a new home, Brighthouse Services, LLC will reimburse certain closing costs that it determines, in its discretion, to be reasonable.</w:t>
      </w:r>
    </w:p>
    <w:p>
      <w:pPr>
        <w:spacing w:after="0" w:line="185" w:lineRule="exact"/>
        <w:rPr>
          <w:sz w:val="20"/>
          <w:szCs w:val="20"/>
          <w:color w:val="auto"/>
        </w:rPr>
      </w:pPr>
    </w:p>
    <w:p>
      <w:pPr>
        <w:ind w:left="820" w:hanging="434"/>
        <w:spacing w:after="0"/>
        <w:tabs>
          <w:tab w:leader="none" w:pos="82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Rental Assistance</w:t>
      </w:r>
    </w:p>
    <w:p>
      <w:pPr>
        <w:spacing w:after="0" w:line="70" w:lineRule="exact"/>
        <w:rPr>
          <w:rFonts w:ascii="Arial" w:cs="Arial" w:eastAsia="Arial" w:hAnsi="Arial"/>
          <w:sz w:val="22"/>
          <w:szCs w:val="22"/>
          <w:b w:val="1"/>
          <w:bCs w:val="1"/>
          <w:color w:val="auto"/>
        </w:rPr>
      </w:pPr>
    </w:p>
    <w:p>
      <w:pPr>
        <w:ind w:left="820" w:right="180"/>
        <w:spacing w:after="0" w:line="281" w:lineRule="auto"/>
        <w:rPr>
          <w:rFonts w:ascii="Arial" w:cs="Arial" w:eastAsia="Arial" w:hAnsi="Arial"/>
          <w:sz w:val="22"/>
          <w:szCs w:val="22"/>
          <w:b w:val="1"/>
          <w:bCs w:val="1"/>
          <w:color w:val="auto"/>
        </w:rPr>
      </w:pPr>
      <w:r>
        <w:rPr>
          <w:rFonts w:ascii="Arial" w:cs="Arial" w:eastAsia="Arial" w:hAnsi="Arial"/>
          <w:sz w:val="22"/>
          <w:szCs w:val="22"/>
          <w:color w:val="auto"/>
        </w:rPr>
        <w:t>If you choose to rent a home in the new location, your Relocation Consultant will assist you in finding a home to rent in the destination location. You will be contacted to review the program and benefits, and discuss your rental housing and community needs. You will then be referred to a rental expert at the destination location. If you are obligated to pay a finder or broker’s fee, Brighthouse Services, LLC will reimburse the fee that is normal and customary for that location, not to exceed 15% of the first year’s rent.</w:t>
      </w:r>
    </w:p>
    <w:p>
      <w:pPr>
        <w:spacing w:after="0" w:line="4" w:lineRule="exact"/>
        <w:rPr>
          <w:rFonts w:ascii="Arial" w:cs="Arial" w:eastAsia="Arial" w:hAnsi="Arial"/>
          <w:sz w:val="22"/>
          <w:szCs w:val="22"/>
          <w:b w:val="1"/>
          <w:bCs w:val="1"/>
          <w:color w:val="auto"/>
        </w:rPr>
      </w:pPr>
    </w:p>
    <w:p>
      <w:pPr>
        <w:ind w:left="820" w:right="560"/>
        <w:spacing w:after="0" w:line="281"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 fee as soon as practicable, but not later than the last day of the calendar year following the calendar year in which the fee was incurred.</w:t>
      </w:r>
    </w:p>
    <w:p>
      <w:pPr>
        <w:spacing w:after="0" w:line="2" w:lineRule="exact"/>
        <w:rPr>
          <w:rFonts w:ascii="Arial" w:cs="Arial" w:eastAsia="Arial" w:hAnsi="Arial"/>
          <w:sz w:val="22"/>
          <w:szCs w:val="22"/>
          <w:b w:val="1"/>
          <w:bCs w:val="1"/>
          <w:color w:val="auto"/>
        </w:rPr>
      </w:pPr>
    </w:p>
    <w:p>
      <w:pPr>
        <w:ind w:left="820"/>
        <w:spacing w:after="0" w:line="281" w:lineRule="auto"/>
        <w:rPr>
          <w:rFonts w:ascii="Arial" w:cs="Arial" w:eastAsia="Arial" w:hAnsi="Arial"/>
          <w:sz w:val="22"/>
          <w:szCs w:val="22"/>
          <w:b w:val="1"/>
          <w:bCs w:val="1"/>
          <w:color w:val="auto"/>
        </w:rPr>
      </w:pPr>
      <w:r>
        <w:rPr>
          <w:rFonts w:ascii="Arial" w:cs="Arial" w:eastAsia="Arial" w:hAnsi="Arial"/>
          <w:sz w:val="22"/>
          <w:szCs w:val="22"/>
          <w:color w:val="auto"/>
        </w:rPr>
        <w:t>The reimbursement for the finder or broker’s fee is taxable, and will be included in your taxable wages reported on your Form W-2. The finder or broker’s fee reimbursement will be grossed-up for taxes as described in the Taxes section.</w:t>
      </w:r>
    </w:p>
    <w:p>
      <w:pPr>
        <w:spacing w:after="0" w:line="2"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The Relocation Consultant will counsel you on areas of consideration during the rental process such as:</w:t>
      </w:r>
    </w:p>
    <w:p>
      <w:pPr>
        <w:spacing w:after="0" w:line="152" w:lineRule="exact"/>
        <w:rPr>
          <w:rFonts w:ascii="Arial" w:cs="Arial" w:eastAsia="Arial" w:hAnsi="Arial"/>
          <w:sz w:val="22"/>
          <w:szCs w:val="22"/>
          <w:b w:val="1"/>
          <w:bCs w:val="1"/>
          <w:color w:val="auto"/>
        </w:rPr>
      </w:pPr>
    </w:p>
    <w:p>
      <w:pPr>
        <w:ind w:left="1460" w:hanging="318"/>
        <w:spacing w:after="0"/>
        <w:tabs>
          <w:tab w:leader="none" w:pos="1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Rental applications</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Rental deposits</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Security considerations</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Lease considerations</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Renters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20 | </w:t>
      </w:r>
      <w:r>
        <w:rPr>
          <w:rFonts w:ascii="Arial" w:cs="Arial" w:eastAsia="Arial" w:hAnsi="Arial"/>
          <w:sz w:val="19"/>
          <w:szCs w:val="19"/>
          <w:color w:val="7F7F7F"/>
        </w:rPr>
        <w:t>Page</w:t>
      </w:r>
    </w:p>
    <w:p>
      <w:pPr>
        <w:sectPr>
          <w:pgSz w:w="11900" w:h="16838" w:orient="portrait"/>
          <w:cols w:equalWidth="0" w:num="1">
            <w:col w:w="11400"/>
          </w:cols>
          <w:pgMar w:left="240" w:top="862" w:right="259" w:bottom="1440" w:gutter="0" w:footer="0" w:header="0"/>
        </w:sectPr>
      </w:pPr>
    </w:p>
    <w:bookmarkStart w:id="136" w:name="page137"/>
    <w:bookmarkEnd w:id="136"/>
    <w:p>
      <w:pPr>
        <w:ind w:left="820" w:right="100"/>
        <w:spacing w:after="0" w:line="28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If you do sign a lease in the new location, please make sure it includes the following Lease Cancellation Clause, which will allow you to cancel the lease without penalty providing proper notice is given in the event of a Brighthouse Services, LLC-initiated relocation:</w:t>
      </w:r>
    </w:p>
    <w:p>
      <w:pPr>
        <w:spacing w:after="0" w:line="76" w:lineRule="exact"/>
        <w:rPr>
          <w:sz w:val="20"/>
          <w:szCs w:val="20"/>
          <w:color w:val="auto"/>
        </w:rPr>
      </w:pPr>
    </w:p>
    <w:p>
      <w:pPr>
        <w:ind w:left="1060" w:right="340"/>
        <w:spacing w:after="0" w:line="295" w:lineRule="auto"/>
        <w:rPr>
          <w:sz w:val="20"/>
          <w:szCs w:val="20"/>
          <w:color w:val="auto"/>
        </w:rPr>
      </w:pPr>
      <w:r>
        <w:rPr>
          <w:rFonts w:ascii="Arial" w:cs="Arial" w:eastAsia="Arial" w:hAnsi="Arial"/>
          <w:sz w:val="22"/>
          <w:szCs w:val="22"/>
          <w:color w:val="auto"/>
        </w:rPr>
        <w:t xml:space="preserve">“If tenant </w:t>
      </w:r>
      <w:r>
        <w:rPr>
          <w:rFonts w:ascii="Arial" w:cs="Arial" w:eastAsia="Arial" w:hAnsi="Arial"/>
          <w:sz w:val="22"/>
          <w:szCs w:val="22"/>
          <w:i w:val="1"/>
          <w:iCs w:val="1"/>
          <w:color w:val="auto"/>
        </w:rPr>
        <w:t>is transferred out of the city or country in which the leased premises is located, then tenant may</w:t>
      </w:r>
      <w:r>
        <w:rPr>
          <w:rFonts w:ascii="Arial" w:cs="Arial" w:eastAsia="Arial" w:hAnsi="Arial"/>
          <w:sz w:val="22"/>
          <w:szCs w:val="22"/>
          <w:color w:val="auto"/>
        </w:rPr>
        <w:t xml:space="preserve"> </w:t>
      </w:r>
      <w:r>
        <w:rPr>
          <w:rFonts w:ascii="Arial" w:cs="Arial" w:eastAsia="Arial" w:hAnsi="Arial"/>
          <w:sz w:val="22"/>
          <w:szCs w:val="22"/>
          <w:i w:val="1"/>
          <w:iCs w:val="1"/>
          <w:color w:val="auto"/>
        </w:rPr>
        <w:t>terminate this lease by giving sixty (60) days written notice, with a copy of the company transfer notice attached, provided tenant is not otherwise in default.”</w:t>
      </w:r>
    </w:p>
    <w:p>
      <w:pPr>
        <w:spacing w:after="0" w:line="238" w:lineRule="exact"/>
        <w:rPr>
          <w:sz w:val="20"/>
          <w:szCs w:val="20"/>
          <w:color w:val="auto"/>
        </w:rPr>
      </w:pPr>
    </w:p>
    <w:p>
      <w:pPr>
        <w:ind w:left="1300" w:hanging="252"/>
        <w:spacing w:after="0"/>
        <w:tabs>
          <w:tab w:leader="none" w:pos="13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Rental Home Finding Trip</w:t>
      </w:r>
    </w:p>
    <w:p>
      <w:pPr>
        <w:spacing w:after="0" w:line="70" w:lineRule="exact"/>
        <w:rPr>
          <w:rFonts w:ascii="Arial" w:cs="Arial" w:eastAsia="Arial" w:hAnsi="Arial"/>
          <w:sz w:val="22"/>
          <w:szCs w:val="22"/>
          <w:b w:val="1"/>
          <w:bCs w:val="1"/>
          <w:color w:val="auto"/>
        </w:rPr>
      </w:pPr>
    </w:p>
    <w:p>
      <w:pPr>
        <w:ind w:left="1300" w:right="20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provide you with a one-time trip for you and one family member for up to three days/two nights if the distance of the move is 200 miles or less, or seven days/six nights if the distance of the move is more than 200 miles. Reasonable transportation and lodging will be reimbursed, and a per diem meal stipend will be provided ($40 a day for ages 13 and older, and $20 for ages 12 and younger).</w:t>
      </w:r>
    </w:p>
    <w:p>
      <w:pPr>
        <w:spacing w:after="0" w:line="102" w:lineRule="exact"/>
        <w:rPr>
          <w:rFonts w:ascii="Arial" w:cs="Arial" w:eastAsia="Arial" w:hAnsi="Arial"/>
          <w:sz w:val="22"/>
          <w:szCs w:val="22"/>
          <w:b w:val="1"/>
          <w:bCs w:val="1"/>
          <w:color w:val="auto"/>
        </w:rPr>
      </w:pPr>
    </w:p>
    <w:p>
      <w:pPr>
        <w:ind w:left="1300" w:right="2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these costs as soon as practicable, but not later than the last day of the calendar year following the calendar year in which the expenses were incurred.</w:t>
      </w:r>
    </w:p>
    <w:p>
      <w:pPr>
        <w:spacing w:after="0" w:line="98" w:lineRule="exact"/>
        <w:rPr>
          <w:rFonts w:ascii="Arial" w:cs="Arial" w:eastAsia="Arial" w:hAnsi="Arial"/>
          <w:sz w:val="22"/>
          <w:szCs w:val="22"/>
          <w:b w:val="1"/>
          <w:bCs w:val="1"/>
          <w:color w:val="auto"/>
        </w:rPr>
      </w:pPr>
    </w:p>
    <w:p>
      <w:pPr>
        <w:ind w:left="130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The reimbursement for the home-finding trip is taxable, and will be included in your taxable wages reported on your Form W-2. The home-finding reimbursement will be grossed-up for taxes as described in the Taxes section.</w:t>
      </w:r>
    </w:p>
    <w:p>
      <w:pPr>
        <w:spacing w:after="0" w:line="98" w:lineRule="exact"/>
        <w:rPr>
          <w:rFonts w:ascii="Arial" w:cs="Arial" w:eastAsia="Arial" w:hAnsi="Arial"/>
          <w:sz w:val="22"/>
          <w:szCs w:val="22"/>
          <w:b w:val="1"/>
          <w:bCs w:val="1"/>
          <w:color w:val="auto"/>
        </w:rPr>
      </w:pPr>
    </w:p>
    <w:p>
      <w:pPr>
        <w:ind w:left="1300" w:right="8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**If it is not known whether you want to purchase or rent a home in your destination location, only one trip is allowed (either house-hunting or rental home finding).</w:t>
      </w:r>
    </w:p>
    <w:p>
      <w:pPr>
        <w:spacing w:after="0" w:line="244" w:lineRule="exact"/>
        <w:rPr>
          <w:rFonts w:ascii="Arial" w:cs="Arial" w:eastAsia="Arial" w:hAnsi="Arial"/>
          <w:sz w:val="22"/>
          <w:szCs w:val="22"/>
          <w:b w:val="1"/>
          <w:bCs w:val="1"/>
          <w:color w:val="auto"/>
        </w:rPr>
      </w:pPr>
    </w:p>
    <w:p>
      <w:pPr>
        <w:ind w:left="1300" w:hanging="252"/>
        <w:spacing w:after="0"/>
        <w:tabs>
          <w:tab w:leader="none" w:pos="13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Lease Cancellation Payment</w:t>
      </w:r>
    </w:p>
    <w:p>
      <w:pPr>
        <w:spacing w:after="0" w:line="70" w:lineRule="exact"/>
        <w:rPr>
          <w:rFonts w:ascii="Arial" w:cs="Arial" w:eastAsia="Arial" w:hAnsi="Arial"/>
          <w:sz w:val="22"/>
          <w:szCs w:val="22"/>
          <w:b w:val="1"/>
          <w:bCs w:val="1"/>
          <w:color w:val="auto"/>
        </w:rPr>
      </w:pPr>
    </w:p>
    <w:p>
      <w:pPr>
        <w:ind w:left="1300" w:right="6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If you incur penalties for canceling or breaking your lease, Brighthouse Services, LLC will reimburse up to two months’ rent to assist with this payment. This penalty does not include the loss of deposit due to damage, repairs, pet damage or neglect.</w:t>
      </w:r>
    </w:p>
    <w:p>
      <w:pPr>
        <w:spacing w:after="0" w:line="98" w:lineRule="exact"/>
        <w:rPr>
          <w:rFonts w:ascii="Arial" w:cs="Arial" w:eastAsia="Arial" w:hAnsi="Arial"/>
          <w:sz w:val="22"/>
          <w:szCs w:val="22"/>
          <w:b w:val="1"/>
          <w:bCs w:val="1"/>
          <w:color w:val="auto"/>
        </w:rPr>
      </w:pPr>
    </w:p>
    <w:p>
      <w:pPr>
        <w:jc w:val="both"/>
        <w:ind w:left="1300" w:right="20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To receive payment, submit expenses online or through a Relocation Expense Report form along with a copy of your lease and a letter from the landlord or property manager outlining the charges no later than 60 days after the date on which your lease is terminated.</w:t>
      </w:r>
    </w:p>
    <w:p>
      <w:pPr>
        <w:spacing w:after="0" w:line="98" w:lineRule="exact"/>
        <w:rPr>
          <w:rFonts w:ascii="Arial" w:cs="Arial" w:eastAsia="Arial" w:hAnsi="Arial"/>
          <w:sz w:val="22"/>
          <w:szCs w:val="22"/>
          <w:b w:val="1"/>
          <w:bCs w:val="1"/>
          <w:color w:val="auto"/>
        </w:rPr>
      </w:pPr>
    </w:p>
    <w:p>
      <w:pPr>
        <w:ind w:left="1300" w:right="20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 penalties as soon as practicable,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21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37" w:name="page138"/>
    <w:bookmarkEnd w:id="137"/>
    <w:p>
      <w:pPr>
        <w:ind w:left="1300" w:right="44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not later than the last day of the calendar year following the calendar year in which the penalties were incurred.</w:t>
      </w:r>
    </w:p>
    <w:p>
      <w:pPr>
        <w:spacing w:after="0" w:line="95" w:lineRule="exact"/>
        <w:rPr>
          <w:sz w:val="20"/>
          <w:szCs w:val="20"/>
          <w:color w:val="auto"/>
        </w:rPr>
      </w:pPr>
    </w:p>
    <w:p>
      <w:pPr>
        <w:ind w:left="1300"/>
        <w:spacing w:after="0" w:line="285" w:lineRule="auto"/>
        <w:rPr>
          <w:sz w:val="20"/>
          <w:szCs w:val="20"/>
          <w:color w:val="auto"/>
        </w:rPr>
      </w:pPr>
      <w:r>
        <w:rPr>
          <w:rFonts w:ascii="Arial" w:cs="Arial" w:eastAsia="Arial" w:hAnsi="Arial"/>
          <w:sz w:val="22"/>
          <w:szCs w:val="22"/>
          <w:color w:val="auto"/>
        </w:rPr>
        <w:t>The payment reimbursing your lease cancelation fee is taxable, and will be included in your taxable wages reported on your Form W-2. The lease cancellation fee reimbursement will be grossed-up for taxes as described in the Taxes section.</w:t>
      </w:r>
    </w:p>
    <w:p>
      <w:pPr>
        <w:spacing w:after="0" w:line="98" w:lineRule="exact"/>
        <w:rPr>
          <w:sz w:val="20"/>
          <w:szCs w:val="20"/>
          <w:color w:val="auto"/>
        </w:rPr>
      </w:pPr>
    </w:p>
    <w:p>
      <w:pPr>
        <w:jc w:val="both"/>
        <w:ind w:left="820" w:right="460"/>
        <w:spacing w:after="0" w:line="285" w:lineRule="auto"/>
        <w:rPr>
          <w:sz w:val="20"/>
          <w:szCs w:val="20"/>
          <w:color w:val="auto"/>
        </w:rPr>
      </w:pPr>
      <w:r>
        <w:rPr>
          <w:rFonts w:ascii="Arial" w:cs="Arial" w:eastAsia="Arial" w:hAnsi="Arial"/>
          <w:sz w:val="22"/>
          <w:szCs w:val="22"/>
          <w:color w:val="auto"/>
        </w:rPr>
        <w:t>Depending on the location, SIRVA will advise you as to whether Brighthouse Services, LLC will be directly billed for these cancellation fees, or whether you must pay the fees yourself and submit for reimbursement (including receipts) online or by a Relocation Expense Report form.</w:t>
      </w:r>
    </w:p>
    <w:p>
      <w:pPr>
        <w:spacing w:after="0" w:line="180" w:lineRule="exact"/>
        <w:rPr>
          <w:sz w:val="20"/>
          <w:szCs w:val="20"/>
          <w:color w:val="auto"/>
        </w:rPr>
      </w:pPr>
    </w:p>
    <w:p>
      <w:pPr>
        <w:ind w:left="820" w:hanging="434"/>
        <w:spacing w:after="0"/>
        <w:tabs>
          <w:tab w:leader="none" w:pos="82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Transportation and/or Storage of Your Household Goods</w:t>
      </w:r>
    </w:p>
    <w:p>
      <w:pPr>
        <w:spacing w:after="0" w:line="70" w:lineRule="exact"/>
        <w:rPr>
          <w:rFonts w:ascii="Arial" w:cs="Arial" w:eastAsia="Arial" w:hAnsi="Arial"/>
          <w:sz w:val="22"/>
          <w:szCs w:val="22"/>
          <w:b w:val="1"/>
          <w:bCs w:val="1"/>
          <w:color w:val="auto"/>
        </w:rPr>
      </w:pPr>
    </w:p>
    <w:p>
      <w:pPr>
        <w:ind w:left="820" w:right="20"/>
        <w:spacing w:after="0" w:line="295" w:lineRule="auto"/>
        <w:rPr>
          <w:rFonts w:ascii="Arial" w:cs="Arial" w:eastAsia="Arial" w:hAnsi="Arial"/>
          <w:sz w:val="22"/>
          <w:szCs w:val="22"/>
          <w:b w:val="1"/>
          <w:bCs w:val="1"/>
          <w:color w:val="auto"/>
        </w:rPr>
      </w:pPr>
      <w:r>
        <w:rPr>
          <w:rFonts w:ascii="Arial" w:cs="Arial" w:eastAsia="Arial" w:hAnsi="Arial"/>
          <w:sz w:val="21"/>
          <w:szCs w:val="21"/>
          <w:color w:val="auto"/>
        </w:rPr>
        <w:t>Your SIRVA Relocation Consultant will help you with the arrangements for moving your household goods to the new location. The SIRVA Relocation Consultant will explain the process and put you in touch with a professional mover. It is important that you or an adult family member arrange to be present to supervise the move and that you provide a telephone number where the moving company can reach you prior to your move</w:t>
      </w:r>
    </w:p>
    <w:p>
      <w:pPr>
        <w:spacing w:after="0" w:line="1" w:lineRule="exact"/>
        <w:rPr>
          <w:rFonts w:ascii="Arial" w:cs="Arial" w:eastAsia="Arial" w:hAnsi="Arial"/>
          <w:sz w:val="22"/>
          <w:szCs w:val="22"/>
          <w:b w:val="1"/>
          <w:bCs w:val="1"/>
          <w:color w:val="auto"/>
        </w:rPr>
      </w:pPr>
    </w:p>
    <w:p>
      <w:pPr>
        <w:ind w:left="820" w:right="24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 xml:space="preserve">date. Brighthouse Services, LLC will be billed directly from the carrier for the cost of shipping your household goods. </w:t>
      </w:r>
      <w:r>
        <w:rPr>
          <w:rFonts w:ascii="Arial" w:cs="Arial" w:eastAsia="Arial" w:hAnsi="Arial"/>
          <w:sz w:val="22"/>
          <w:szCs w:val="22"/>
          <w:b w:val="1"/>
          <w:bCs w:val="1"/>
          <w:color w:val="auto"/>
        </w:rPr>
        <w:t>Brighthouse Services, LLC does not reimburse tips to the movers</w:t>
      </w:r>
      <w:r>
        <w:rPr>
          <w:rFonts w:ascii="Arial" w:cs="Arial" w:eastAsia="Arial" w:hAnsi="Arial"/>
          <w:sz w:val="22"/>
          <w:szCs w:val="22"/>
          <w:color w:val="auto"/>
        </w:rPr>
        <w:t>.</w:t>
      </w:r>
    </w:p>
    <w:p>
      <w:pPr>
        <w:spacing w:after="0" w:line="244" w:lineRule="exact"/>
        <w:rPr>
          <w:rFonts w:ascii="Arial" w:cs="Arial" w:eastAsia="Arial" w:hAnsi="Arial"/>
          <w:sz w:val="22"/>
          <w:szCs w:val="22"/>
          <w:b w:val="1"/>
          <w:bCs w:val="1"/>
          <w:color w:val="auto"/>
        </w:rPr>
      </w:pPr>
    </w:p>
    <w:p>
      <w:pPr>
        <w:ind w:left="1300" w:hanging="252"/>
        <w:spacing w:after="0"/>
        <w:tabs>
          <w:tab w:leader="none" w:pos="1300" w:val="left"/>
        </w:tabs>
        <w:numPr>
          <w:ilvl w:val="1"/>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Authorized Charges</w:t>
      </w:r>
    </w:p>
    <w:p>
      <w:pPr>
        <w:spacing w:after="0" w:line="70" w:lineRule="exact"/>
        <w:rPr>
          <w:rFonts w:ascii="Arial" w:cs="Arial" w:eastAsia="Arial" w:hAnsi="Arial"/>
          <w:sz w:val="22"/>
          <w:szCs w:val="22"/>
          <w:b w:val="1"/>
          <w:bCs w:val="1"/>
          <w:color w:val="auto"/>
        </w:rPr>
      </w:pPr>
    </w:p>
    <w:p>
      <w:pPr>
        <w:ind w:left="1300" w:right="30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pay the following charges in connection with your move by an approved professional moving service:</w:t>
      </w:r>
    </w:p>
    <w:p>
      <w:pPr>
        <w:spacing w:after="0" w:line="95" w:lineRule="exact"/>
        <w:rPr>
          <w:rFonts w:ascii="Arial" w:cs="Arial" w:eastAsia="Arial" w:hAnsi="Arial"/>
          <w:sz w:val="22"/>
          <w:szCs w:val="22"/>
          <w:b w:val="1"/>
          <w:bCs w:val="1"/>
          <w:color w:val="auto"/>
        </w:rPr>
      </w:pPr>
    </w:p>
    <w:p>
      <w:pPr>
        <w:ind w:left="1620" w:hanging="315"/>
        <w:spacing w:after="0"/>
        <w:tabs>
          <w:tab w:leader="none" w:pos="1620" w:val="left"/>
        </w:tabs>
        <w:numPr>
          <w:ilvl w:val="2"/>
          <w:numId w:val="89"/>
        </w:numPr>
        <w:rPr>
          <w:rFonts w:ascii="Arial" w:cs="Arial" w:eastAsia="Arial" w:hAnsi="Arial"/>
          <w:sz w:val="22"/>
          <w:szCs w:val="22"/>
          <w:color w:val="auto"/>
        </w:rPr>
      </w:pPr>
      <w:r>
        <w:rPr>
          <w:rFonts w:ascii="Arial" w:cs="Arial" w:eastAsia="Arial" w:hAnsi="Arial"/>
          <w:sz w:val="22"/>
          <w:szCs w:val="22"/>
          <w:color w:val="auto"/>
        </w:rPr>
        <w:t>Provide all required packing materials.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2"/>
          <w:numId w:val="89"/>
        </w:numPr>
        <w:rPr>
          <w:rFonts w:ascii="Arial" w:cs="Arial" w:eastAsia="Arial" w:hAnsi="Arial"/>
          <w:sz w:val="22"/>
          <w:szCs w:val="22"/>
          <w:color w:val="auto"/>
        </w:rPr>
      </w:pPr>
      <w:r>
        <w:rPr>
          <w:rFonts w:ascii="Arial" w:cs="Arial" w:eastAsia="Arial" w:hAnsi="Arial"/>
          <w:sz w:val="22"/>
          <w:szCs w:val="22"/>
          <w:color w:val="auto"/>
        </w:rPr>
        <w:t>Crate and uncrate necessary household items as recommended by the movers.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2"/>
          <w:numId w:val="89"/>
        </w:numPr>
        <w:rPr>
          <w:rFonts w:ascii="Arial" w:cs="Arial" w:eastAsia="Arial" w:hAnsi="Arial"/>
          <w:sz w:val="22"/>
          <w:szCs w:val="22"/>
          <w:color w:val="auto"/>
        </w:rPr>
      </w:pPr>
      <w:r>
        <w:rPr>
          <w:rFonts w:ascii="Arial" w:cs="Arial" w:eastAsia="Arial" w:hAnsi="Arial"/>
          <w:sz w:val="22"/>
          <w:szCs w:val="22"/>
          <w:color w:val="auto"/>
        </w:rPr>
        <w:t>Perform normal appliance servicing at origin and destination locations.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2"/>
          <w:numId w:val="89"/>
        </w:numPr>
        <w:rPr>
          <w:rFonts w:ascii="Arial" w:cs="Arial" w:eastAsia="Arial" w:hAnsi="Arial"/>
          <w:sz w:val="22"/>
          <w:szCs w:val="22"/>
          <w:color w:val="auto"/>
        </w:rPr>
      </w:pPr>
      <w:r>
        <w:rPr>
          <w:rFonts w:ascii="Arial" w:cs="Arial" w:eastAsia="Arial" w:hAnsi="Arial"/>
          <w:sz w:val="22"/>
          <w:szCs w:val="22"/>
          <w:color w:val="auto"/>
        </w:rPr>
        <w:t>Perform all packing, loading, transporting, and unloading.</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2"/>
          <w:numId w:val="89"/>
        </w:numPr>
        <w:rPr>
          <w:rFonts w:ascii="Arial" w:cs="Arial" w:eastAsia="Arial" w:hAnsi="Arial"/>
          <w:sz w:val="22"/>
          <w:szCs w:val="22"/>
          <w:color w:val="auto"/>
        </w:rPr>
      </w:pPr>
      <w:r>
        <w:rPr>
          <w:rFonts w:ascii="Arial" w:cs="Arial" w:eastAsia="Arial" w:hAnsi="Arial"/>
          <w:sz w:val="22"/>
          <w:szCs w:val="22"/>
          <w:color w:val="auto"/>
        </w:rPr>
        <w:t>Provide partial unpacking services.</w:t>
      </w:r>
    </w:p>
    <w:p>
      <w:pPr>
        <w:spacing w:after="0" w:line="44" w:lineRule="exact"/>
        <w:rPr>
          <w:rFonts w:ascii="Arial" w:cs="Arial" w:eastAsia="Arial" w:hAnsi="Arial"/>
          <w:sz w:val="22"/>
          <w:szCs w:val="22"/>
          <w:color w:val="auto"/>
        </w:rPr>
      </w:pPr>
    </w:p>
    <w:p>
      <w:pPr>
        <w:ind w:left="1620" w:right="200" w:hanging="315"/>
        <w:spacing w:after="0" w:line="295" w:lineRule="auto"/>
        <w:tabs>
          <w:tab w:leader="none" w:pos="1620" w:val="left"/>
        </w:tabs>
        <w:numPr>
          <w:ilvl w:val="2"/>
          <w:numId w:val="89"/>
        </w:numPr>
        <w:rPr>
          <w:rFonts w:ascii="Arial" w:cs="Arial" w:eastAsia="Arial" w:hAnsi="Arial"/>
          <w:sz w:val="21"/>
          <w:szCs w:val="21"/>
          <w:color w:val="auto"/>
        </w:rPr>
      </w:pPr>
      <w:r>
        <w:rPr>
          <w:rFonts w:ascii="Arial" w:cs="Arial" w:eastAsia="Arial" w:hAnsi="Arial"/>
          <w:sz w:val="21"/>
          <w:szCs w:val="21"/>
          <w:color w:val="auto"/>
        </w:rPr>
        <w:t>Remove debris upon completion of the move (includes one pickup by the carrier of all cartons unpacked by you within 30 days of delivery); make sure during any unpacking that you inspect every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carton and all packaging material so that no item is accidentally discarded.</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Partial unpacking services include:</w:t>
      </w:r>
    </w:p>
    <w:p>
      <w:pPr>
        <w:spacing w:after="0" w:line="152" w:lineRule="exact"/>
        <w:rPr>
          <w:sz w:val="20"/>
          <w:szCs w:val="20"/>
          <w:color w:val="auto"/>
        </w:rPr>
      </w:pPr>
    </w:p>
    <w:p>
      <w:pPr>
        <w:ind w:left="1620" w:right="1080" w:hanging="315"/>
        <w:spacing w:after="0" w:line="274" w:lineRule="auto"/>
        <w:tabs>
          <w:tab w:leader="none" w:pos="16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Unload the moving van and place furniture and boxes in specific rooms in the home per the transferee’s instructions.</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Unpack mattresses and assemble beds.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Unpack dresser mirrors and similar items and reassemble.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22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38" w:name="page139"/>
    <w:bookmarkEnd w:id="138"/>
    <w:p>
      <w:pPr>
        <w:jc w:val="both"/>
        <w:ind w:left="1620" w:right="180" w:hanging="315"/>
        <w:spacing w:after="0" w:line="295" w:lineRule="auto"/>
        <w:tabs>
          <w:tab w:leader="none" w:pos="1620" w:val="left"/>
        </w:tabs>
        <w:numPr>
          <w:ilvl w:val="0"/>
          <w:numId w:val="91"/>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Reassemble any item disassembled by the mover to facilitate transportation. Exceptions include any item needing professional expertise to reassemble, such as a slate pool table, major appliances, etc.</w:t>
      </w:r>
    </w:p>
    <w:p>
      <w:pPr>
        <w:spacing w:after="0" w:line="1" w:lineRule="exact"/>
        <w:rPr>
          <w:sz w:val="20"/>
          <w:szCs w:val="20"/>
          <w:color w:val="auto"/>
        </w:rPr>
      </w:pPr>
    </w:p>
    <w:p>
      <w:pPr>
        <w:ind w:left="1300" w:right="200"/>
        <w:spacing w:after="0" w:line="301" w:lineRule="auto"/>
        <w:rPr>
          <w:sz w:val="20"/>
          <w:szCs w:val="20"/>
          <w:color w:val="auto"/>
        </w:rPr>
      </w:pPr>
      <w:r>
        <w:rPr>
          <w:rFonts w:ascii="Arial" w:cs="Arial" w:eastAsia="Arial" w:hAnsi="Arial"/>
          <w:sz w:val="21"/>
          <w:szCs w:val="21"/>
          <w:color w:val="auto"/>
        </w:rPr>
        <w:t>Items of value such as deeds, coin collections, jewelry and precious stones should not be shipped with the carrier. Should you choose to ship these items, you must make special arrangements, at your own expense, to do so. If you do send such items with the SIRVA- selected mover and do not disclose them, then neither the mover nor the insurer will be responsible for any loss or damage to such items.</w:t>
      </w:r>
    </w:p>
    <w:p>
      <w:pPr>
        <w:spacing w:after="0" w:line="85" w:lineRule="exact"/>
        <w:rPr>
          <w:sz w:val="20"/>
          <w:szCs w:val="20"/>
          <w:color w:val="auto"/>
        </w:rPr>
      </w:pPr>
    </w:p>
    <w:p>
      <w:pPr>
        <w:ind w:left="1300"/>
        <w:spacing w:after="0" w:line="283" w:lineRule="auto"/>
        <w:rPr>
          <w:sz w:val="20"/>
          <w:szCs w:val="20"/>
          <w:color w:val="auto"/>
        </w:rPr>
      </w:pPr>
      <w:r>
        <w:rPr>
          <w:rFonts w:ascii="Arial" w:cs="Arial" w:eastAsia="Arial" w:hAnsi="Arial"/>
          <w:sz w:val="22"/>
          <w:szCs w:val="22"/>
          <w:color w:val="auto"/>
        </w:rPr>
        <w:t>The moving service will prepare a complete inventory list of the household goods describing the condition of each item (nicks, scratches, dents, etc.). You should review the inventory list carefully to make sure you agree with the driver's description before signing the inventory list. The inventory list is an important document in the settlement of claims for loss and damage.</w:t>
      </w:r>
    </w:p>
    <w:p>
      <w:pPr>
        <w:spacing w:after="0" w:line="103" w:lineRule="exact"/>
        <w:rPr>
          <w:sz w:val="20"/>
          <w:szCs w:val="20"/>
          <w:color w:val="auto"/>
        </w:rPr>
      </w:pPr>
    </w:p>
    <w:p>
      <w:pPr>
        <w:ind w:left="1300" w:right="40"/>
        <w:spacing w:after="0" w:line="282" w:lineRule="auto"/>
        <w:rPr>
          <w:sz w:val="20"/>
          <w:szCs w:val="20"/>
          <w:color w:val="auto"/>
        </w:rPr>
      </w:pPr>
      <w:r>
        <w:rPr>
          <w:rFonts w:ascii="Arial" w:cs="Arial" w:eastAsia="Arial" w:hAnsi="Arial"/>
          <w:sz w:val="22"/>
          <w:szCs w:val="22"/>
          <w:color w:val="auto"/>
        </w:rPr>
        <w:t>If you must vacate your residence at the departure location before you have procured permanent housing at the destination location, the Brighthouse Services, LLC will pay for storage costs of household goods for up to 60 days if you are a homeowner in the departure location or up to 30 days if you are a renter in the departure location. Storage costs are figured on a daily basis. Although storage will be provided, the Brighthouse Services, LLC recommends that you attempt to coordinate the shipment to be transported directly from your home at the departure location to your home at the destination location to avoid excessive handling of your household goods. The Brighthouse Services, LLC will not cover the cost of accessing items that have been placed in storage. Your mover will designate an agent to arrange storage of your goods. Be sure to obtain the name, address, and telephone number of the warehouse where your goods will be stored. The storage costs are taxable and will be included in your taxable wages reported on your Form W-2. The value of these expenses will be grossed-up for taxes via a gross up payment as described in the Taxes section below.</w:t>
      </w:r>
    </w:p>
    <w:p>
      <w:pPr>
        <w:spacing w:after="0" w:line="256" w:lineRule="exact"/>
        <w:rPr>
          <w:sz w:val="20"/>
          <w:szCs w:val="20"/>
          <w:color w:val="auto"/>
        </w:rPr>
      </w:pPr>
    </w:p>
    <w:p>
      <w:pPr>
        <w:ind w:left="1300" w:hanging="252"/>
        <w:spacing w:after="0"/>
        <w:tabs>
          <w:tab w:leader="none" w:pos="13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Brighthouse Services, LLC will not pay for the following:</w:t>
      </w:r>
    </w:p>
    <w:p>
      <w:pPr>
        <w:spacing w:after="0" w:line="70" w:lineRule="exact"/>
        <w:rPr>
          <w:rFonts w:ascii="Arial" w:cs="Arial" w:eastAsia="Arial" w:hAnsi="Arial"/>
          <w:sz w:val="22"/>
          <w:szCs w:val="22"/>
          <w:b w:val="1"/>
          <w:bCs w:val="1"/>
          <w:color w:val="auto"/>
        </w:rPr>
      </w:pPr>
    </w:p>
    <w:p>
      <w:pPr>
        <w:ind w:left="1620" w:hanging="315"/>
        <w:spacing w:after="0"/>
        <w:tabs>
          <w:tab w:leader="none" w:pos="16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Exclusive use of the moving service van or truck, expedited service or extra drop off/pick up stops.</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Housecleaning, maid, or debris removal service at either the old or new home.</w:t>
      </w:r>
    </w:p>
    <w:p>
      <w:pPr>
        <w:spacing w:after="0" w:line="44" w:lineRule="exact"/>
        <w:rPr>
          <w:rFonts w:ascii="Arial" w:cs="Arial" w:eastAsia="Arial" w:hAnsi="Arial"/>
          <w:sz w:val="22"/>
          <w:szCs w:val="22"/>
          <w:color w:val="auto"/>
        </w:rPr>
      </w:pPr>
    </w:p>
    <w:p>
      <w:pPr>
        <w:ind w:left="1620" w:right="720" w:hanging="315"/>
        <w:spacing w:after="0" w:line="274" w:lineRule="auto"/>
        <w:tabs>
          <w:tab w:leader="none" w:pos="16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Removal or installation of wall-to-wall carpeting, draperies and/or rods, electrical fixtures, water softeners, or similar items.</w:t>
      </w:r>
    </w:p>
    <w:p>
      <w:pPr>
        <w:spacing w:after="0" w:line="16" w:lineRule="exact"/>
        <w:rPr>
          <w:rFonts w:ascii="Arial" w:cs="Arial" w:eastAsia="Arial" w:hAnsi="Arial"/>
          <w:sz w:val="22"/>
          <w:szCs w:val="22"/>
          <w:color w:val="auto"/>
        </w:rPr>
      </w:pPr>
    </w:p>
    <w:p>
      <w:pPr>
        <w:ind w:left="1620" w:hanging="315"/>
        <w:spacing w:after="0" w:line="274" w:lineRule="auto"/>
        <w:tabs>
          <w:tab w:leader="none" w:pos="16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Packing or transportation of boats, trailers, airplanes, household pets, plants, building materials, wood, or any perishable item.</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Transportation of flammable items such as paints, household cleaners,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23 | </w:t>
      </w:r>
      <w:r>
        <w:rPr>
          <w:rFonts w:ascii="Arial" w:cs="Arial" w:eastAsia="Arial" w:hAnsi="Arial"/>
          <w:sz w:val="19"/>
          <w:szCs w:val="19"/>
          <w:color w:val="7F7F7F"/>
        </w:rPr>
        <w:t>Page</w:t>
      </w:r>
    </w:p>
    <w:p>
      <w:pPr>
        <w:sectPr>
          <w:pgSz w:w="11900" w:h="16838" w:orient="portrait"/>
          <w:cols w:equalWidth="0" w:num="1">
            <w:col w:w="11400"/>
          </w:cols>
          <w:pgMar w:left="240" w:top="862" w:right="259" w:bottom="1440" w:gutter="0" w:footer="0" w:header="0"/>
        </w:sectPr>
      </w:pPr>
    </w:p>
    <w:bookmarkStart w:id="139" w:name="page140"/>
    <w:bookmarkEnd w:id="139"/>
    <w:p>
      <w:pPr>
        <w:ind w:left="1620" w:right="340" w:hanging="315"/>
        <w:spacing w:after="0" w:line="274" w:lineRule="auto"/>
        <w:tabs>
          <w:tab w:leader="none" w:pos="1620" w:val="left"/>
        </w:tabs>
        <w:numPr>
          <w:ilvl w:val="0"/>
          <w:numId w:val="9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Swing sets, portable swimming pools, waterbeds, hot tubs, utility sheds, fencing, or items of similar nature.</w:t>
      </w:r>
    </w:p>
    <w:p>
      <w:pPr>
        <w:spacing w:after="0" w:line="16" w:lineRule="exact"/>
        <w:rPr>
          <w:rFonts w:ascii="Arial" w:cs="Arial" w:eastAsia="Arial" w:hAnsi="Arial"/>
          <w:sz w:val="22"/>
          <w:szCs w:val="22"/>
          <w:color w:val="auto"/>
        </w:rPr>
      </w:pPr>
    </w:p>
    <w:p>
      <w:pPr>
        <w:ind w:left="1620" w:hanging="315"/>
        <w:spacing w:after="0"/>
        <w:tabs>
          <w:tab w:leader="none" w:pos="16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Firearms and/or ammunition.</w:t>
      </w:r>
    </w:p>
    <w:p>
      <w:pPr>
        <w:spacing w:after="0" w:line="44" w:lineRule="exact"/>
        <w:rPr>
          <w:rFonts w:ascii="Arial" w:cs="Arial" w:eastAsia="Arial" w:hAnsi="Arial"/>
          <w:sz w:val="22"/>
          <w:szCs w:val="22"/>
          <w:color w:val="auto"/>
        </w:rPr>
      </w:pPr>
    </w:p>
    <w:p>
      <w:pPr>
        <w:ind w:left="1620" w:hanging="315"/>
        <w:spacing w:after="0"/>
        <w:tabs>
          <w:tab w:leader="none" w:pos="16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Valuable items, such as jewelry, precious stones, art, or collectibles (coins, sports memorabilia, etc.).</w:t>
      </w:r>
    </w:p>
    <w:p>
      <w:pPr>
        <w:spacing w:after="0" w:line="205"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iii.Replacement Value Protection of Household Goods</w:t>
      </w:r>
    </w:p>
    <w:p>
      <w:pPr>
        <w:spacing w:after="0" w:line="70" w:lineRule="exact"/>
        <w:rPr>
          <w:sz w:val="20"/>
          <w:szCs w:val="20"/>
          <w:color w:val="auto"/>
        </w:rPr>
      </w:pPr>
    </w:p>
    <w:p>
      <w:pPr>
        <w:ind w:left="1300" w:right="20"/>
        <w:spacing w:after="0" w:line="282" w:lineRule="auto"/>
        <w:rPr>
          <w:sz w:val="20"/>
          <w:szCs w:val="20"/>
          <w:color w:val="auto"/>
        </w:rPr>
      </w:pPr>
      <w:r>
        <w:rPr>
          <w:rFonts w:ascii="Arial" w:cs="Arial" w:eastAsia="Arial" w:hAnsi="Arial"/>
          <w:sz w:val="22"/>
          <w:szCs w:val="22"/>
          <w:color w:val="auto"/>
        </w:rPr>
        <w:t>Replacement value protection will be provided through the selected moving company based on a dollar value per pound, multiplied by the total weight of the shipment (excluding automobiles). Discuss valuation coverage based on the pre-move survey with your Relocation Consultant or the moving company representative. If coverage is not adequate, additional coverage may be procured. Any items lost or damaged while in the carrier’s custody, will be either repaired or replaced with a similar kind or the carrier will pay the replacement value of such items. High value items must be listed on a separate inventory form and are not covered by Brighthouse Services, LLC. Brighthouse Services, LLC cannot replace (nor will shippers agree to handle) high value items like securities, cash, art, heirlooms or precious jewelry. We recommend that you pack and transport these items yourself, or that you hire (at your own expense) a specialized carrier to do so.</w:t>
      </w:r>
    </w:p>
    <w:p>
      <w:pPr>
        <w:spacing w:after="0" w:line="107" w:lineRule="exact"/>
        <w:rPr>
          <w:sz w:val="20"/>
          <w:szCs w:val="20"/>
          <w:color w:val="auto"/>
        </w:rPr>
      </w:pPr>
    </w:p>
    <w:p>
      <w:pPr>
        <w:ind w:left="820"/>
        <w:spacing w:after="0" w:line="285" w:lineRule="auto"/>
        <w:rPr>
          <w:sz w:val="20"/>
          <w:szCs w:val="20"/>
          <w:color w:val="auto"/>
        </w:rPr>
      </w:pPr>
      <w:r>
        <w:rPr>
          <w:rFonts w:ascii="Arial" w:cs="Arial" w:eastAsia="Arial" w:hAnsi="Arial"/>
          <w:sz w:val="22"/>
          <w:szCs w:val="22"/>
          <w:color w:val="auto"/>
        </w:rPr>
        <w:t>The costs associated with your household goods shipment will be included in your taxable wages reported on your Form W-2. The value of these expenses will be grossed-up for taxes via a gross up payment as described in the Taxes section below.</w:t>
      </w:r>
    </w:p>
    <w:p>
      <w:pPr>
        <w:spacing w:after="0" w:line="180" w:lineRule="exact"/>
        <w:rPr>
          <w:sz w:val="20"/>
          <w:szCs w:val="20"/>
          <w:color w:val="auto"/>
        </w:rPr>
      </w:pPr>
    </w:p>
    <w:p>
      <w:pPr>
        <w:ind w:left="820" w:hanging="434"/>
        <w:spacing w:after="0"/>
        <w:tabs>
          <w:tab w:leader="none" w:pos="8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Automobile Shipping</w:t>
      </w:r>
    </w:p>
    <w:p>
      <w:pPr>
        <w:spacing w:after="0" w:line="70" w:lineRule="exact"/>
        <w:rPr>
          <w:rFonts w:ascii="Arial" w:cs="Arial" w:eastAsia="Arial" w:hAnsi="Arial"/>
          <w:sz w:val="22"/>
          <w:szCs w:val="22"/>
          <w:b w:val="1"/>
          <w:bCs w:val="1"/>
          <w:color w:val="auto"/>
        </w:rPr>
      </w:pPr>
    </w:p>
    <w:p>
      <w:pPr>
        <w:ind w:left="820"/>
        <w:spacing w:after="0" w:line="282" w:lineRule="auto"/>
        <w:rPr>
          <w:rFonts w:ascii="Arial" w:cs="Arial" w:eastAsia="Arial" w:hAnsi="Arial"/>
          <w:sz w:val="22"/>
          <w:szCs w:val="22"/>
          <w:b w:val="1"/>
          <w:bCs w:val="1"/>
          <w:color w:val="auto"/>
        </w:rPr>
      </w:pPr>
      <w:r>
        <w:rPr>
          <w:rFonts w:ascii="Arial" w:cs="Arial" w:eastAsia="Arial" w:hAnsi="Arial"/>
          <w:sz w:val="22"/>
          <w:szCs w:val="22"/>
          <w:color w:val="auto"/>
        </w:rPr>
        <w:t>Your automobiles will be handled by the same carrier who handles your household goods or in some cases, a dedicated automobile carrier. Brighthouse Services, LLC will pay the cost of shipping for up to two cars if the distance of your move is 500 miles or more. Brighthouse Services, LLC is paying for the standard shipping of both vehicles. It will not pay extra costs associated with shipping an antique or collectible car. In order to ensure that the van lines can transport the automobile(s), arrangements should be made at least six weeks before packing day. The costs incurred to ship your automobile(s) are taxable, and will be included in your taxable wages reported on your Form W-2. The value of these expenses will be grossed-up income taxes via a gross up payment as described in the Taxes section below.</w:t>
      </w:r>
    </w:p>
    <w:p>
      <w:pPr>
        <w:spacing w:after="0" w:line="189" w:lineRule="exact"/>
        <w:rPr>
          <w:rFonts w:ascii="Arial" w:cs="Arial" w:eastAsia="Arial" w:hAnsi="Arial"/>
          <w:sz w:val="22"/>
          <w:szCs w:val="22"/>
          <w:b w:val="1"/>
          <w:bCs w:val="1"/>
          <w:color w:val="auto"/>
        </w:rPr>
      </w:pPr>
    </w:p>
    <w:p>
      <w:pPr>
        <w:ind w:left="820" w:hanging="434"/>
        <w:spacing w:after="0"/>
        <w:tabs>
          <w:tab w:leader="none" w:pos="8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Moving Day and Final Trip</w:t>
      </w:r>
    </w:p>
    <w:p>
      <w:pPr>
        <w:spacing w:after="0" w:line="70" w:lineRule="exact"/>
        <w:rPr>
          <w:rFonts w:ascii="Arial" w:cs="Arial" w:eastAsia="Arial" w:hAnsi="Arial"/>
          <w:sz w:val="22"/>
          <w:szCs w:val="22"/>
          <w:b w:val="1"/>
          <w:bCs w:val="1"/>
          <w:color w:val="auto"/>
        </w:rPr>
      </w:pPr>
    </w:p>
    <w:p>
      <w:pPr>
        <w:ind w:left="820" w:right="82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reimburse eligible en route expenses from the departure location to the destination location incurred by you and your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24 | </w:t>
      </w:r>
      <w:r>
        <w:rPr>
          <w:rFonts w:ascii="Arial" w:cs="Arial" w:eastAsia="Arial" w:hAnsi="Arial"/>
          <w:sz w:val="19"/>
          <w:szCs w:val="19"/>
          <w:color w:val="7F7F7F"/>
        </w:rPr>
        <w:t>Page</w:t>
      </w:r>
    </w:p>
    <w:p>
      <w:pPr>
        <w:sectPr>
          <w:pgSz w:w="11900" w:h="16838" w:orient="portrait"/>
          <w:cols w:equalWidth="0" w:num="1">
            <w:col w:w="11400"/>
          </w:cols>
          <w:pgMar w:left="240" w:top="862" w:right="259" w:bottom="1440" w:gutter="0" w:footer="0" w:header="0"/>
        </w:sectPr>
      </w:pPr>
    </w:p>
    <w:bookmarkStart w:id="140" w:name="page141"/>
    <w:bookmarkEnd w:id="140"/>
    <w:p>
      <w:pPr>
        <w:ind w:left="820" w:right="24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members. You must book all travel through the Company’s designated travel booking tool and in accordance with the Company’s travel policy. Expenses include:</w:t>
      </w:r>
    </w:p>
    <w:p>
      <w:pPr>
        <w:spacing w:after="0" w:line="95" w:lineRule="exact"/>
        <w:rPr>
          <w:sz w:val="20"/>
          <w:szCs w:val="20"/>
          <w:color w:val="auto"/>
        </w:rPr>
      </w:pPr>
    </w:p>
    <w:p>
      <w:pPr>
        <w:ind w:left="1460" w:hanging="318"/>
        <w:spacing w:after="0"/>
        <w:tabs>
          <w:tab w:leader="none" w:pos="14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Airfare</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Transportation to and from the terminal</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Airline luggage charges (one bag per person)</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Lodging</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One night in the departure location</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Nights in route</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One night in the destination location</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Meals</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$40 per diem per family member age 13 and older</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$20 per diem per family member age 12 and younger</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Receipts will not be required</w:t>
      </w:r>
    </w:p>
    <w:p>
      <w:pPr>
        <w:spacing w:after="0" w:line="44" w:lineRule="exact"/>
        <w:rPr>
          <w:rFonts w:ascii="Arial" w:cs="Arial" w:eastAsia="Arial" w:hAnsi="Arial"/>
          <w:sz w:val="22"/>
          <w:szCs w:val="22"/>
          <w:color w:val="auto"/>
        </w:rPr>
      </w:pPr>
    </w:p>
    <w:p>
      <w:pPr>
        <w:ind w:left="1460" w:hanging="318"/>
        <w:spacing w:after="0"/>
        <w:tabs>
          <w:tab w:leader="none" w:pos="14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Mileage</w:t>
      </w:r>
    </w:p>
    <w:p>
      <w:pPr>
        <w:spacing w:after="0" w:line="44" w:lineRule="exact"/>
        <w:rPr>
          <w:rFonts w:ascii="Arial" w:cs="Arial" w:eastAsia="Arial" w:hAnsi="Arial"/>
          <w:sz w:val="22"/>
          <w:szCs w:val="22"/>
          <w:color w:val="auto"/>
        </w:rPr>
      </w:pPr>
    </w:p>
    <w:p>
      <w:pPr>
        <w:ind w:left="1880" w:hanging="332"/>
        <w:spacing w:after="0"/>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Reimbursed at the current IRS business rate for up to two automobiles</w:t>
      </w:r>
    </w:p>
    <w:p>
      <w:pPr>
        <w:spacing w:after="0" w:line="44" w:lineRule="exact"/>
        <w:rPr>
          <w:rFonts w:ascii="Arial" w:cs="Arial" w:eastAsia="Arial" w:hAnsi="Arial"/>
          <w:sz w:val="22"/>
          <w:szCs w:val="22"/>
          <w:color w:val="auto"/>
        </w:rPr>
      </w:pPr>
    </w:p>
    <w:p>
      <w:pPr>
        <w:ind w:left="1880" w:right="320" w:hanging="332"/>
        <w:spacing w:after="0" w:line="274" w:lineRule="auto"/>
        <w:tabs>
          <w:tab w:leader="none" w:pos="1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Brighthouse Services, LLC covers up to a total of two automobiles, whether by shipping, mileage reimbursement or a combination of both.</w:t>
      </w:r>
    </w:p>
    <w:p>
      <w:pPr>
        <w:spacing w:after="0" w:line="16" w:lineRule="exact"/>
        <w:rPr>
          <w:rFonts w:ascii="Arial" w:cs="Arial" w:eastAsia="Arial" w:hAnsi="Arial"/>
          <w:sz w:val="22"/>
          <w:szCs w:val="22"/>
          <w:color w:val="auto"/>
        </w:rPr>
      </w:pPr>
    </w:p>
    <w:p>
      <w:pPr>
        <w:ind w:left="1460" w:hanging="318"/>
        <w:spacing w:after="0"/>
        <w:tabs>
          <w:tab w:leader="none" w:pos="14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Parking and tolls</w:t>
      </w:r>
    </w:p>
    <w:p>
      <w:pPr>
        <w:spacing w:after="0" w:line="44" w:lineRule="exact"/>
        <w:rPr>
          <w:sz w:val="20"/>
          <w:szCs w:val="20"/>
          <w:color w:val="auto"/>
        </w:rPr>
      </w:pPr>
    </w:p>
    <w:p>
      <w:pPr>
        <w:ind w:left="820" w:right="160"/>
        <w:spacing w:after="0" w:line="283" w:lineRule="auto"/>
        <w:rPr>
          <w:sz w:val="20"/>
          <w:szCs w:val="20"/>
          <w:color w:val="auto"/>
        </w:rPr>
      </w:pPr>
      <w:r>
        <w:rPr>
          <w:rFonts w:ascii="Arial" w:cs="Arial" w:eastAsia="Arial" w:hAnsi="Arial"/>
          <w:sz w:val="22"/>
          <w:szCs w:val="22"/>
          <w:color w:val="auto"/>
        </w:rPr>
        <w:t>To limit lodging and meal expenses when driving to the destination location, Brighthouse Services, LLC will expect you to travel a minimum of 500 miles per day as established by Google Maps or an equivalent source. Your trip must be made by the most direct route—no vacation, extended trips, personal side trips, or leisure travel will be covered.</w:t>
      </w:r>
    </w:p>
    <w:p>
      <w:pPr>
        <w:spacing w:after="0" w:line="103" w:lineRule="exact"/>
        <w:rPr>
          <w:sz w:val="20"/>
          <w:szCs w:val="20"/>
          <w:color w:val="auto"/>
        </w:rPr>
      </w:pPr>
    </w:p>
    <w:p>
      <w:pPr>
        <w:ind w:left="820" w:right="300"/>
        <w:spacing w:after="0" w:line="285"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expenses as soon as practicable, but not later than the last day of the calendar year following the calendar year in which the expenses were incurred.</w:t>
      </w:r>
    </w:p>
    <w:p>
      <w:pPr>
        <w:spacing w:after="0" w:line="98" w:lineRule="exact"/>
        <w:rPr>
          <w:sz w:val="20"/>
          <w:szCs w:val="20"/>
          <w:color w:val="auto"/>
        </w:rPr>
      </w:pPr>
    </w:p>
    <w:p>
      <w:pPr>
        <w:jc w:val="both"/>
        <w:ind w:left="820" w:right="240"/>
        <w:spacing w:after="0" w:line="285" w:lineRule="auto"/>
        <w:rPr>
          <w:sz w:val="20"/>
          <w:szCs w:val="20"/>
          <w:color w:val="auto"/>
        </w:rPr>
      </w:pPr>
      <w:r>
        <w:rPr>
          <w:rFonts w:ascii="Arial" w:cs="Arial" w:eastAsia="Arial" w:hAnsi="Arial"/>
          <w:sz w:val="22"/>
          <w:szCs w:val="22"/>
          <w:color w:val="auto"/>
        </w:rPr>
        <w:t>Lodging, airfare, meals, parking, tolls and mileage expenses are taxable, and will be included in your taxable wages reported on your Form W-2. The value of these expenses will be grossed-up for taxes via a gross up payment as described in the Taxes section below.</w:t>
      </w:r>
    </w:p>
    <w:p>
      <w:pPr>
        <w:spacing w:after="0" w:line="72" w:lineRule="exact"/>
        <w:rPr>
          <w:sz w:val="20"/>
          <w:szCs w:val="20"/>
          <w:color w:val="auto"/>
        </w:rPr>
      </w:pPr>
    </w:p>
    <w:p>
      <w:pPr>
        <w:ind w:left="820" w:hanging="434"/>
        <w:spacing w:after="0"/>
        <w:tabs>
          <w:tab w:leader="none" w:pos="82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Career Assistance Services</w:t>
      </w:r>
    </w:p>
    <w:p>
      <w:pPr>
        <w:spacing w:after="0" w:line="70" w:lineRule="exact"/>
        <w:rPr>
          <w:rFonts w:ascii="Arial" w:cs="Arial" w:eastAsia="Arial" w:hAnsi="Arial"/>
          <w:sz w:val="22"/>
          <w:szCs w:val="22"/>
          <w:b w:val="1"/>
          <w:bCs w:val="1"/>
          <w:color w:val="auto"/>
        </w:rPr>
      </w:pPr>
    </w:p>
    <w:p>
      <w:pPr>
        <w:ind w:left="8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offers your spouse or domestic partner career guidance to help with a job search in the new area through the Impact Group. A Career Counselor will develop or give input on resume or curriculum vitae, cover letters, letters of introduction, etc. The Career Counselor will provide the job seeker with information regarding local industry, salary range, licensing and/or certification, and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25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41" w:name="page142"/>
    <w:bookmarkEnd w:id="141"/>
    <w:p>
      <w:pPr>
        <w:ind w:left="820" w:right="300"/>
        <w:spacing w:after="0" w:line="28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information for pertinent associations. They will provide a listing of resources to assist in the job search. The Career Counselor can administer career assistance tools such as Strong Interest Inventory, Self-Directed Search, Myers Briggs Inventory, and other assessments to help in the job search.</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21"/>
          <w:szCs w:val="21"/>
          <w:color w:val="auto"/>
        </w:rPr>
        <w:t>Career Assistance services are taxable, and will be included in your taxable wages reported on your Form W-</w:t>
      </w:r>
    </w:p>
    <w:p>
      <w:pPr>
        <w:spacing w:after="0" w:line="56" w:lineRule="exact"/>
        <w:rPr>
          <w:sz w:val="20"/>
          <w:szCs w:val="20"/>
          <w:color w:val="auto"/>
        </w:rPr>
      </w:pPr>
    </w:p>
    <w:p>
      <w:pPr>
        <w:ind w:left="820" w:right="940"/>
        <w:spacing w:after="0" w:line="288" w:lineRule="auto"/>
        <w:rPr>
          <w:sz w:val="20"/>
          <w:szCs w:val="20"/>
          <w:color w:val="auto"/>
        </w:rPr>
      </w:pPr>
      <w:r>
        <w:rPr>
          <w:rFonts w:ascii="Arial" w:cs="Arial" w:eastAsia="Arial" w:hAnsi="Arial"/>
          <w:sz w:val="22"/>
          <w:szCs w:val="22"/>
          <w:color w:val="auto"/>
        </w:rPr>
        <w:t>2. The value of the career assistance services will be grossed-up for taxes via a gross up payment as described in the Taxes section.</w:t>
      </w:r>
    </w:p>
    <w:p>
      <w:pPr>
        <w:spacing w:after="0" w:line="177" w:lineRule="exact"/>
        <w:rPr>
          <w:sz w:val="20"/>
          <w:szCs w:val="20"/>
          <w:color w:val="auto"/>
        </w:rPr>
      </w:pPr>
    </w:p>
    <w:p>
      <w:pPr>
        <w:ind w:left="820" w:hanging="434"/>
        <w:spacing w:after="0"/>
        <w:tabs>
          <w:tab w:leader="none" w:pos="82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Community Assistance Services</w:t>
      </w:r>
    </w:p>
    <w:p>
      <w:pPr>
        <w:spacing w:after="0" w:line="70" w:lineRule="exact"/>
        <w:rPr>
          <w:rFonts w:ascii="Arial" w:cs="Arial" w:eastAsia="Arial" w:hAnsi="Arial"/>
          <w:sz w:val="22"/>
          <w:szCs w:val="22"/>
          <w:b w:val="1"/>
          <w:bCs w:val="1"/>
          <w:color w:val="auto"/>
        </w:rPr>
      </w:pPr>
    </w:p>
    <w:p>
      <w:pPr>
        <w:ind w:left="820" w:right="2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provides assistance to you and your household members with gathering information regarding the new communities. The research is conducted at the time of the need and customized to your specific needs. A Community Counselor will provide detailed information to enable you and your household members to make educated decisions about daycare, schools, activities, or whatever they need to resume their lifestyles in the new community.</w:t>
      </w:r>
    </w:p>
    <w:p>
      <w:pPr>
        <w:spacing w:after="0" w:line="102" w:lineRule="exact"/>
        <w:rPr>
          <w:rFonts w:ascii="Arial" w:cs="Arial" w:eastAsia="Arial" w:hAnsi="Arial"/>
          <w:sz w:val="22"/>
          <w:szCs w:val="22"/>
          <w:b w:val="1"/>
          <w:bCs w:val="1"/>
          <w:color w:val="auto"/>
        </w:rPr>
      </w:pPr>
    </w:p>
    <w:p>
      <w:pPr>
        <w:ind w:left="820" w:right="100"/>
        <w:spacing w:after="0" w:line="283" w:lineRule="auto"/>
        <w:rPr>
          <w:rFonts w:ascii="Arial" w:cs="Arial" w:eastAsia="Arial" w:hAnsi="Arial"/>
          <w:sz w:val="22"/>
          <w:szCs w:val="22"/>
          <w:b w:val="1"/>
          <w:bCs w:val="1"/>
          <w:color w:val="auto"/>
        </w:rPr>
      </w:pPr>
      <w:r>
        <w:rPr>
          <w:rFonts w:ascii="Arial" w:cs="Arial" w:eastAsia="Arial" w:hAnsi="Arial"/>
          <w:sz w:val="22"/>
          <w:szCs w:val="22"/>
          <w:color w:val="auto"/>
        </w:rPr>
        <w:t>Research topics can include, but are not limited to: public and private schools, day care, preschool, child care, recreational interests, pet boarding and veterinary services, elder care needs, medical resources, shopping, places of worship, volunteer opportunities, and cultural and professional sports venues. The information requested is treated as confidential and the research information is provided only to you and your household members.</w:t>
      </w:r>
    </w:p>
    <w:p>
      <w:pPr>
        <w:spacing w:after="0" w:line="102" w:lineRule="exact"/>
        <w:rPr>
          <w:rFonts w:ascii="Arial" w:cs="Arial" w:eastAsia="Arial" w:hAnsi="Arial"/>
          <w:sz w:val="22"/>
          <w:szCs w:val="22"/>
          <w:b w:val="1"/>
          <w:bCs w:val="1"/>
          <w:color w:val="auto"/>
        </w:rPr>
      </w:pPr>
    </w:p>
    <w:p>
      <w:pPr>
        <w:ind w:left="820" w:right="8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Community assistance services are taxable, and will be included in your taxable wages reported on your Form W-2. The value of the community assistance services will be grossed-up for taxes via a gross up payment as described in the Taxes section below.</w:t>
      </w:r>
    </w:p>
    <w:p>
      <w:pPr>
        <w:spacing w:after="0" w:line="28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VIII.</w:t>
      </w:r>
      <w:r>
        <w:rPr>
          <w:sz w:val="20"/>
          <w:szCs w:val="20"/>
          <w:color w:val="auto"/>
        </w:rPr>
        <w:tab/>
      </w:r>
      <w:r>
        <w:rPr>
          <w:rFonts w:ascii="Arial" w:cs="Arial" w:eastAsia="Arial" w:hAnsi="Arial"/>
          <w:sz w:val="19"/>
          <w:szCs w:val="19"/>
          <w:b w:val="1"/>
          <w:bCs w:val="1"/>
          <w:color w:val="auto"/>
        </w:rPr>
        <w:t>TAXES</w:t>
      </w:r>
    </w:p>
    <w:p>
      <w:pPr>
        <w:spacing w:after="0" w:line="84" w:lineRule="exact"/>
        <w:rPr>
          <w:sz w:val="20"/>
          <w:szCs w:val="20"/>
          <w:color w:val="auto"/>
        </w:rPr>
      </w:pPr>
    </w:p>
    <w:p>
      <w:pPr>
        <w:jc w:val="both"/>
        <w:ind w:left="660" w:right="220"/>
        <w:spacing w:after="0" w:line="285" w:lineRule="auto"/>
        <w:rPr>
          <w:sz w:val="20"/>
          <w:szCs w:val="20"/>
          <w:color w:val="auto"/>
        </w:rPr>
      </w:pPr>
      <w:r>
        <w:rPr>
          <w:rFonts w:ascii="Arial" w:cs="Arial" w:eastAsia="Arial" w:hAnsi="Arial"/>
          <w:sz w:val="22"/>
          <w:szCs w:val="22"/>
          <w:color w:val="auto"/>
        </w:rPr>
        <w:t>The tax effects of relocation transactions can only be determined on an individual basis. It is important that you talk to a tax professional to find out how certain kinds of assistance may affect your own tax situation. Keep in mind that Brighthouse Services, LLC will not reimburse tax preparation or tax counseling expenses.</w:t>
      </w:r>
    </w:p>
    <w:p>
      <w:pPr>
        <w:spacing w:after="0" w:line="98" w:lineRule="exact"/>
        <w:rPr>
          <w:sz w:val="20"/>
          <w:szCs w:val="20"/>
          <w:color w:val="auto"/>
        </w:rPr>
      </w:pPr>
    </w:p>
    <w:p>
      <w:pPr>
        <w:ind w:left="660" w:right="560"/>
        <w:spacing w:after="0" w:line="285" w:lineRule="auto"/>
        <w:rPr>
          <w:sz w:val="20"/>
          <w:szCs w:val="20"/>
          <w:color w:val="auto"/>
        </w:rPr>
      </w:pPr>
      <w:r>
        <w:rPr>
          <w:rFonts w:ascii="Arial" w:cs="Arial" w:eastAsia="Arial" w:hAnsi="Arial"/>
          <w:sz w:val="22"/>
          <w:szCs w:val="22"/>
          <w:color w:val="auto"/>
        </w:rPr>
        <w:t>The current tax law and Internal Revenue Service (IRS) regulations require that Brighthouse Services, LLC report as wages all relocation expense reimbursements made to you, or paid on your behalf that are not excludable expenses.</w:t>
      </w:r>
    </w:p>
    <w:p>
      <w:pPr>
        <w:spacing w:after="0" w:line="98" w:lineRule="exact"/>
        <w:rPr>
          <w:sz w:val="20"/>
          <w:szCs w:val="20"/>
          <w:color w:val="auto"/>
        </w:rPr>
      </w:pPr>
    </w:p>
    <w:p>
      <w:pPr>
        <w:jc w:val="both"/>
        <w:ind w:left="660"/>
        <w:spacing w:after="0" w:line="283" w:lineRule="auto"/>
        <w:rPr>
          <w:sz w:val="20"/>
          <w:szCs w:val="20"/>
          <w:color w:val="auto"/>
        </w:rPr>
      </w:pPr>
      <w:r>
        <w:rPr>
          <w:rFonts w:ascii="Arial" w:cs="Arial" w:eastAsia="Arial" w:hAnsi="Arial"/>
          <w:sz w:val="22"/>
          <w:szCs w:val="22"/>
          <w:color w:val="auto"/>
        </w:rPr>
        <w:t>Brighthouse Services, LLC will include all taxable reimbursed relocation expenses as wages on your W-2 form in the year in which they are paid. You will also receive a statement called the Relocation Tax Report from SIRVA detailing the relocation expenses related to your move including all lump-sum payments paid to you and money paid to tax authorities on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26 | </w:t>
      </w:r>
      <w:r>
        <w:rPr>
          <w:rFonts w:ascii="Arial" w:cs="Arial" w:eastAsia="Arial" w:hAnsi="Arial"/>
          <w:sz w:val="19"/>
          <w:szCs w:val="19"/>
          <w:color w:val="7F7F7F"/>
        </w:rPr>
        <w:t>Page</w:t>
      </w:r>
    </w:p>
    <w:p>
      <w:pPr>
        <w:sectPr>
          <w:pgSz w:w="11900" w:h="16838" w:orient="portrait"/>
          <w:cols w:equalWidth="0" w:num="1">
            <w:col w:w="11420"/>
          </w:cols>
          <w:pgMar w:left="240" w:top="862" w:right="239" w:bottom="1440" w:gutter="0" w:footer="0" w:header="0"/>
        </w:sectPr>
      </w:pPr>
    </w:p>
    <w:bookmarkStart w:id="142" w:name="page143"/>
    <w:bookmarkEnd w:id="142"/>
    <w:p>
      <w:pPr>
        <w:jc w:val="both"/>
        <w:ind w:left="660" w:right="2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behalf to help offset the tax liability from this additional income. This money paid to tax authorities to help offset the tax liability is called a tax gross-up.</w:t>
      </w:r>
    </w:p>
    <w:p>
      <w:pPr>
        <w:spacing w:after="0" w:line="95" w:lineRule="exact"/>
        <w:rPr>
          <w:sz w:val="20"/>
          <w:szCs w:val="20"/>
          <w:color w:val="auto"/>
        </w:rPr>
      </w:pPr>
    </w:p>
    <w:p>
      <w:pPr>
        <w:jc w:val="both"/>
        <w:ind w:left="660" w:right="20"/>
        <w:spacing w:after="0" w:line="283" w:lineRule="auto"/>
        <w:rPr>
          <w:sz w:val="20"/>
          <w:szCs w:val="20"/>
          <w:color w:val="auto"/>
        </w:rPr>
      </w:pPr>
      <w:r>
        <w:rPr>
          <w:rFonts w:ascii="Arial" w:cs="Arial" w:eastAsia="Arial" w:hAnsi="Arial"/>
          <w:sz w:val="22"/>
          <w:szCs w:val="22"/>
          <w:color w:val="auto"/>
        </w:rPr>
        <w:t>A tax gross-up is a payment made on your behalf by Brighthouse Services, LLC with respect to your Social Security and Medicare taxes, and the federal, state and local income taxes that would be due on the relocation expenses reported as wages to you. The taxes paid by the Company are also additional wages to you. The company will pay the tax on the additional wages resulting from the payment of taxes. This tax on the tax paid by the company is known as a gross-up. All gross-up payments are included in the wages and taxes reported on your W-2 form.</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tax gross-up calculation will be based on the following factors:</w:t>
      </w:r>
    </w:p>
    <w:p>
      <w:pPr>
        <w:spacing w:after="0" w:line="152" w:lineRule="exact"/>
        <w:rPr>
          <w:sz w:val="20"/>
          <w:szCs w:val="20"/>
          <w:color w:val="auto"/>
        </w:rPr>
      </w:pPr>
    </w:p>
    <w:p>
      <w:pPr>
        <w:ind w:left="1300" w:hanging="320"/>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Your tax filing status.</w:t>
      </w:r>
    </w:p>
    <w:p>
      <w:pPr>
        <w:spacing w:after="0" w:line="44" w:lineRule="exact"/>
        <w:rPr>
          <w:rFonts w:ascii="Arial" w:cs="Arial" w:eastAsia="Arial" w:hAnsi="Arial"/>
          <w:sz w:val="22"/>
          <w:szCs w:val="22"/>
          <w:color w:val="auto"/>
        </w:rPr>
      </w:pPr>
    </w:p>
    <w:p>
      <w:pPr>
        <w:ind w:left="1300" w:right="420" w:hanging="320"/>
        <w:spacing w:after="0" w:line="278"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Your tax rates based on your compensation from Brighthouse Services, LLC. Compensation from Brighthouse Services, LLC is defined to only include your annualized base salary and relocation expenses. Any bonus and stock options, etc. are excluded. Brighthouse Services, LLC will not include any spousal income, even if you are filing jointly.</w:t>
      </w:r>
    </w:p>
    <w:p>
      <w:pPr>
        <w:spacing w:after="0" w:line="16" w:lineRule="exact"/>
        <w:rPr>
          <w:rFonts w:ascii="Arial" w:cs="Arial" w:eastAsia="Arial" w:hAnsi="Arial"/>
          <w:sz w:val="22"/>
          <w:szCs w:val="22"/>
          <w:color w:val="auto"/>
        </w:rPr>
      </w:pPr>
    </w:p>
    <w:p>
      <w:pPr>
        <w:ind w:left="1300" w:hanging="320"/>
        <w:spacing w:after="0"/>
        <w:tabs>
          <w:tab w:leader="none" w:pos="130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higher of the standard deduction or estimated itemized deduction of the respective taxing authorities.</w:t>
      </w:r>
    </w:p>
    <w:p>
      <w:pPr>
        <w:spacing w:after="0" w:line="55" w:lineRule="exact"/>
        <w:rPr>
          <w:rFonts w:ascii="Arial" w:cs="Arial" w:eastAsia="Arial" w:hAnsi="Arial"/>
          <w:sz w:val="21"/>
          <w:szCs w:val="21"/>
          <w:color w:val="auto"/>
        </w:rPr>
      </w:pPr>
    </w:p>
    <w:p>
      <w:pPr>
        <w:ind w:left="1300" w:hanging="320"/>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Your destination state.</w:t>
      </w:r>
    </w:p>
    <w:p>
      <w:pPr>
        <w:spacing w:after="0" w:line="44" w:lineRule="exact"/>
        <w:rPr>
          <w:sz w:val="20"/>
          <w:szCs w:val="20"/>
          <w:color w:val="auto"/>
        </w:rPr>
      </w:pPr>
    </w:p>
    <w:p>
      <w:pPr>
        <w:ind w:left="660" w:right="740"/>
        <w:spacing w:after="0" w:line="285" w:lineRule="auto"/>
        <w:rPr>
          <w:sz w:val="20"/>
          <w:szCs w:val="20"/>
          <w:color w:val="auto"/>
        </w:rPr>
      </w:pPr>
      <w:r>
        <w:rPr>
          <w:rFonts w:ascii="Arial" w:cs="Arial" w:eastAsia="Arial" w:hAnsi="Arial"/>
          <w:sz w:val="22"/>
          <w:szCs w:val="22"/>
          <w:color w:val="auto"/>
        </w:rPr>
        <w:t>Nothing in this Policy should be construed as providing, directly or indirectly, income tax advice. For more information about moving expenses, we suggest that you retain the services of a professional tax advisor/preparer.</w:t>
      </w:r>
    </w:p>
    <w:p>
      <w:pPr>
        <w:spacing w:after="0" w:line="98" w:lineRule="exact"/>
        <w:rPr>
          <w:sz w:val="20"/>
          <w:szCs w:val="20"/>
          <w:color w:val="auto"/>
        </w:rPr>
      </w:pPr>
    </w:p>
    <w:p>
      <w:pPr>
        <w:ind w:left="660" w:right="80"/>
        <w:spacing w:after="0" w:line="288" w:lineRule="auto"/>
        <w:rPr>
          <w:sz w:val="20"/>
          <w:szCs w:val="20"/>
          <w:color w:val="auto"/>
        </w:rPr>
      </w:pPr>
      <w:r>
        <w:rPr>
          <w:rFonts w:ascii="Arial" w:cs="Arial" w:eastAsia="Arial" w:hAnsi="Arial"/>
          <w:sz w:val="22"/>
          <w:szCs w:val="22"/>
          <w:color w:val="auto"/>
        </w:rPr>
        <w:t>An expense reimbursement or allowance will not be subject to a gross-up payment unless this Policy specifically states otherwise.</w:t>
      </w:r>
    </w:p>
    <w:p>
      <w:pPr>
        <w:spacing w:after="0" w:line="95" w:lineRule="exact"/>
        <w:rPr>
          <w:sz w:val="20"/>
          <w:szCs w:val="20"/>
          <w:color w:val="auto"/>
        </w:rPr>
      </w:pPr>
    </w:p>
    <w:p>
      <w:pPr>
        <w:ind w:left="660" w:right="240"/>
        <w:spacing w:after="0" w:line="288" w:lineRule="auto"/>
        <w:rPr>
          <w:sz w:val="20"/>
          <w:szCs w:val="20"/>
          <w:color w:val="auto"/>
        </w:rPr>
      </w:pPr>
      <w:r>
        <w:rPr>
          <w:rFonts w:ascii="Arial" w:cs="Arial" w:eastAsia="Arial" w:hAnsi="Arial"/>
          <w:sz w:val="22"/>
          <w:szCs w:val="22"/>
          <w:color w:val="auto"/>
        </w:rPr>
        <w:t>For your convenience, the following table summarizes how Brighthouse Services, LLC withholds taxes and the relocation allowance under this Policy.</w:t>
      </w:r>
    </w:p>
    <w:p>
      <w:pPr>
        <w:spacing w:after="0" w:line="190" w:lineRule="exact"/>
        <w:rPr>
          <w:sz w:val="20"/>
          <w:szCs w:val="20"/>
          <w:color w:val="auto"/>
        </w:rPr>
      </w:pPr>
    </w:p>
    <w:tbl>
      <w:tblPr>
        <w:tblLayout w:type="fixed"/>
        <w:tblInd w:w="90" w:type="dxa"/>
        <w:tblCellMar>
          <w:top w:w="0" w:type="dxa"/>
          <w:left w:w="0" w:type="dxa"/>
          <w:bottom w:w="0" w:type="dxa"/>
          <w:right w:w="0" w:type="dxa"/>
        </w:tblCellMar>
      </w:tblPr>
      <w:tr>
        <w:trPr>
          <w:trHeight w:val="264"/>
        </w:trPr>
        <w:tc>
          <w:tcPr>
            <w:tcW w:w="3660" w:type="dxa"/>
            <w:vAlign w:val="bottom"/>
            <w:tcBorders>
              <w:top w:val="single" w:sz="8" w:color="auto"/>
              <w:left w:val="single" w:sz="8" w:color="auto"/>
              <w:bottom w:val="single" w:sz="8" w:color="auto"/>
              <w:right w:val="single" w:sz="8" w:color="auto"/>
            </w:tcBorders>
            <w:shd w:val="clear" w:color="auto" w:fill="D9D9D9"/>
          </w:tcPr>
          <w:p>
            <w:pPr>
              <w:ind w:left="180"/>
              <w:spacing w:after="0"/>
              <w:rPr>
                <w:sz w:val="20"/>
                <w:szCs w:val="20"/>
                <w:color w:val="auto"/>
              </w:rPr>
            </w:pPr>
            <w:r>
              <w:rPr>
                <w:rFonts w:ascii="Arial" w:cs="Arial" w:eastAsia="Arial" w:hAnsi="Arial"/>
                <w:sz w:val="18"/>
                <w:szCs w:val="18"/>
                <w:b w:val="1"/>
                <w:bCs w:val="1"/>
                <w:color w:val="auto"/>
              </w:rPr>
              <w:t>Relocation Expense</w:t>
            </w:r>
          </w:p>
        </w:tc>
        <w:tc>
          <w:tcPr>
            <w:tcW w:w="126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Taxable</w:t>
            </w:r>
          </w:p>
        </w:tc>
        <w:tc>
          <w:tcPr>
            <w:tcW w:w="2600" w:type="dxa"/>
            <w:vAlign w:val="bottom"/>
            <w:tcBorders>
              <w:top w:val="single" w:sz="8" w:color="auto"/>
              <w:bottom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8"/>
                <w:szCs w:val="18"/>
                <w:b w:val="1"/>
                <w:bCs w:val="1"/>
                <w:color w:val="auto"/>
              </w:rPr>
              <w:t>Gross-Up Calculation</w:t>
            </w:r>
          </w:p>
        </w:tc>
        <w:tc>
          <w:tcPr>
            <w:tcW w:w="3840" w:type="dxa"/>
            <w:vAlign w:val="bottom"/>
            <w:tcBorders>
              <w:top w:val="single" w:sz="8" w:color="auto"/>
              <w:bottom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Payment Deadline</w:t>
            </w:r>
          </w:p>
        </w:tc>
      </w:tr>
      <w:tr>
        <w:trPr>
          <w:trHeight w:val="250"/>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Rental/House Hunting Trip</w:t>
            </w:r>
          </w:p>
        </w:tc>
        <w:tc>
          <w:tcPr>
            <w:tcW w:w="1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250"/>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Miscellaneous Allowance Lump Sum</w:t>
            </w:r>
          </w:p>
        </w:tc>
        <w:tc>
          <w:tcPr>
            <w:tcW w:w="1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Deadline for allowances</w:t>
            </w:r>
            <w:r>
              <w:rPr>
                <w:rFonts w:ascii="Arial" w:cs="Arial" w:eastAsia="Arial" w:hAnsi="Arial"/>
                <w:sz w:val="15"/>
                <w:szCs w:val="15"/>
                <w:color w:val="auto"/>
              </w:rPr>
              <w:t>1</w:t>
            </w:r>
          </w:p>
        </w:tc>
      </w:tr>
      <w:tr>
        <w:trPr>
          <w:trHeight w:val="250"/>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Temporary Housing Assistance</w:t>
            </w:r>
          </w:p>
        </w:tc>
        <w:tc>
          <w:tcPr>
            <w:tcW w:w="1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Final Move meals, mileage, airfare,</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246"/>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lodging, tolls, parking</w:t>
            </w: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29"/>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Transportation of Household Goods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Employer will generally be billed directly by</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moving company. If employee pays moving</w:t>
            </w:r>
          </w:p>
        </w:tc>
      </w:tr>
      <w:tr>
        <w:trPr>
          <w:trHeight w:val="224"/>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bill, deadline for reimbursement</w:t>
            </w:r>
            <w:r>
              <w:rPr>
                <w:rFonts w:ascii="Arial" w:cs="Arial" w:eastAsia="Arial" w:hAnsi="Arial"/>
                <w:sz w:val="15"/>
                <w:szCs w:val="15"/>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27 | </w:t>
      </w:r>
      <w:r>
        <w:rPr>
          <w:rFonts w:ascii="Arial" w:cs="Arial" w:eastAsia="Arial" w:hAnsi="Arial"/>
          <w:sz w:val="19"/>
          <w:szCs w:val="19"/>
          <w:color w:val="7F7F7F"/>
        </w:rPr>
        <w:t>Page</w:t>
      </w:r>
    </w:p>
    <w:p>
      <w:pPr>
        <w:sectPr>
          <w:pgSz w:w="11900" w:h="16838" w:orient="portrait"/>
          <w:cols w:equalWidth="0" w:num="1">
            <w:col w:w="11440"/>
          </w:cols>
          <w:pgMar w:left="240" w:top="862" w:right="219" w:bottom="1440" w:gutter="0" w:footer="0" w:header="0"/>
        </w:sectPr>
      </w:pPr>
    </w:p>
    <w:bookmarkStart w:id="143" w:name="page144"/>
    <w:bookmarkEnd w:id="143"/>
    <w:tbl>
      <w:tblPr>
        <w:tblLayout w:type="fixed"/>
        <w:tblInd w:w="90" w:type="dxa"/>
        <w:tblCellMar>
          <w:top w:w="0" w:type="dxa"/>
          <w:left w:w="0" w:type="dxa"/>
          <w:bottom w:w="0" w:type="dxa"/>
          <w:right w:w="0" w:type="dxa"/>
        </w:tblCellMar>
      </w:tblPr>
      <w:tr>
        <w:trPr>
          <w:trHeight w:val="264"/>
        </w:trPr>
        <w:tc>
          <w:tcPr>
            <w:tcW w:w="3660" w:type="dxa"/>
            <w:vAlign w:val="bottom"/>
            <w:tcBorders>
              <w:top w:val="single" w:sz="8" w:color="auto"/>
              <w:left w:val="single" w:sz="8" w:color="auto"/>
              <w:bottom w:val="single" w:sz="8" w:color="auto"/>
              <w:right w:val="single" w:sz="8" w:color="auto"/>
            </w:tcBorders>
            <w:shd w:val="clear" w:color="auto" w:fill="D9D9D9"/>
          </w:tcPr>
          <w:p>
            <w:pPr>
              <w:ind w:left="180"/>
              <w:spacing w:after="0"/>
              <w:rPr>
                <w:sz w:val="20"/>
                <w:szCs w:val="20"/>
                <w:color w:val="auto"/>
              </w:rPr>
            </w:pPr>
            <w:r>
              <w:rPr>
                <w:rFonts w:ascii="Arial" w:cs="Arial" w:eastAsia="Arial" w:hAnsi="Arial"/>
                <w:sz w:val="18"/>
                <w:szCs w:val="18"/>
                <w:b w:val="1"/>
                <w:bCs w:val="1"/>
                <w:color w:val="auto"/>
              </w:rPr>
              <w:t>Relocation Expense</w:t>
            </w:r>
          </w:p>
        </w:tc>
        <w:tc>
          <w:tcPr>
            <w:tcW w:w="126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Taxable</w:t>
            </w:r>
          </w:p>
        </w:tc>
        <w:tc>
          <w:tcPr>
            <w:tcW w:w="2600" w:type="dxa"/>
            <w:vAlign w:val="bottom"/>
            <w:tcBorders>
              <w:top w:val="single" w:sz="8" w:color="auto"/>
              <w:bottom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8"/>
                <w:szCs w:val="18"/>
                <w:b w:val="1"/>
                <w:bCs w:val="1"/>
                <w:color w:val="auto"/>
              </w:rPr>
              <w:t>Gross-Up Calculation</w:t>
            </w:r>
          </w:p>
        </w:tc>
        <w:tc>
          <w:tcPr>
            <w:tcW w:w="3840" w:type="dxa"/>
            <w:vAlign w:val="bottom"/>
            <w:tcBorders>
              <w:top w:val="single" w:sz="8" w:color="auto"/>
              <w:bottom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Payment Deadline</w:t>
            </w:r>
          </w:p>
        </w:tc>
      </w:tr>
      <w:tr>
        <w:trPr>
          <w:trHeight w:val="229"/>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Storage of Household Goods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Employer will generally be billed directly by</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moving company. If employee pays storage</w:t>
            </w:r>
          </w:p>
        </w:tc>
      </w:tr>
      <w:tr>
        <w:trPr>
          <w:trHeight w:val="224"/>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bill, deadline for reimbursement</w:t>
            </w:r>
            <w:r>
              <w:rPr>
                <w:rFonts w:ascii="Arial" w:cs="Arial" w:eastAsia="Arial" w:hAnsi="Arial"/>
                <w:sz w:val="15"/>
                <w:szCs w:val="15"/>
                <w:color w:val="auto"/>
              </w:rPr>
              <w:t>2</w:t>
            </w: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New Home Closing Costs (No Closing</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closing cost, as such,</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r>
      <w:tr>
        <w:trPr>
          <w:trHeight w:val="225"/>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Cost Loan program)</w:t>
            </w:r>
          </w:p>
        </w:tc>
        <w:tc>
          <w:tcPr>
            <w:tcW w:w="126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nothing to include in</w:t>
            </w:r>
          </w:p>
        </w:tc>
        <w:tc>
          <w:tcPr>
            <w:tcW w:w="3840" w:type="dxa"/>
            <w:vAlign w:val="bottom"/>
            <w:tcBorders>
              <w:right w:val="single" w:sz="8" w:color="auto"/>
            </w:tcBorders>
          </w:tcPr>
          <w:p>
            <w:pPr>
              <w:spacing w:after="0"/>
              <w:rPr>
                <w:sz w:val="19"/>
                <w:szCs w:val="19"/>
                <w:color w:val="auto"/>
              </w:rPr>
            </w:pPr>
          </w:p>
        </w:tc>
      </w:tr>
      <w:tr>
        <w:trPr>
          <w:trHeight w:val="224"/>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employee’s income</w:t>
            </w:r>
          </w:p>
        </w:tc>
        <w:tc>
          <w:tcPr>
            <w:tcW w:w="3840" w:type="dxa"/>
            <w:vAlign w:val="bottom"/>
            <w:tcBorders>
              <w:bottom w:val="single" w:sz="8" w:color="auto"/>
              <w:right w:val="single" w:sz="8" w:color="auto"/>
            </w:tcBorders>
          </w:tcPr>
          <w:p>
            <w:pPr>
              <w:spacing w:after="0"/>
              <w:rPr>
                <w:sz w:val="19"/>
                <w:szCs w:val="19"/>
                <w:color w:val="auto"/>
              </w:rPr>
            </w:pP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New Home Closing Costs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203"/>
        </w:trPr>
        <w:tc>
          <w:tcPr>
            <w:tcW w:w="3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(reimbursement if home not eligible for</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r>
      <w:tr>
        <w:trPr>
          <w:trHeight w:val="246"/>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Purchase Assistance)</w:t>
            </w: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New Home Closing Costs (when</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203"/>
        </w:trPr>
        <w:tc>
          <w:tcPr>
            <w:tcW w:w="3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employee chooses a lender other than</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r>
      <w:tr>
        <w:trPr>
          <w:trHeight w:val="246"/>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SIRVA Mortgage)</w:t>
            </w: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Finder or Broker’s Fee for New Rental</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reimburseent</w:t>
            </w:r>
            <w:r>
              <w:rPr>
                <w:rFonts w:ascii="Arial" w:cs="Arial" w:eastAsia="Arial" w:hAnsi="Arial"/>
                <w:sz w:val="15"/>
                <w:szCs w:val="15"/>
                <w:color w:val="auto"/>
              </w:rPr>
              <w:t>2</w:t>
            </w:r>
          </w:p>
        </w:tc>
      </w:tr>
      <w:tr>
        <w:trPr>
          <w:trHeight w:val="246"/>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w:t>
            </w: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Sale through</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 – not included in</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r>
      <w:tr>
        <w:trPr>
          <w:trHeight w:val="246"/>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SIRVA</w:t>
            </w: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employee income</w:t>
            </w:r>
          </w:p>
        </w:tc>
        <w:tc>
          <w:tcPr>
            <w:tcW w:w="3840" w:type="dxa"/>
            <w:vAlign w:val="bottom"/>
            <w:tcBorders>
              <w:bottom w:val="single" w:sz="8" w:color="auto"/>
              <w:right w:val="single" w:sz="8" w:color="auto"/>
            </w:tcBorders>
          </w:tcPr>
          <w:p>
            <w:pPr>
              <w:spacing w:after="0"/>
              <w:rPr>
                <w:sz w:val="21"/>
                <w:szCs w:val="21"/>
                <w:color w:val="auto"/>
              </w:rPr>
            </w:pPr>
          </w:p>
        </w:tc>
      </w:tr>
      <w:tr>
        <w:trPr>
          <w:trHeight w:val="20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Sale – Direct Reimbursement for</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246"/>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Excluded Primary Homes and Coops</w:t>
            </w: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29"/>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Loss-on-Sale</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Generally, on the 1st or 2nd pay day following</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date that all necessary</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documents are submitted to</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SIRVA, but not later than the March</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1 following the calendar year in which the</w:t>
            </w:r>
          </w:p>
        </w:tc>
      </w:tr>
      <w:tr>
        <w:trPr>
          <w:trHeight w:val="224"/>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closing of the sale of your house occurs</w:t>
            </w:r>
          </w:p>
        </w:tc>
      </w:tr>
      <w:tr>
        <w:trPr>
          <w:trHeight w:val="243"/>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Lease Cancellation</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122"/>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r>
      <w:tr>
        <w:trPr>
          <w:trHeight w:val="23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Career/Community Assistance</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 – employer will pay provider directly</w:t>
            </w:r>
          </w:p>
        </w:tc>
      </w:tr>
      <w:tr>
        <w:trPr>
          <w:trHeight w:val="122"/>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r>
      <w:tr>
        <w:trPr>
          <w:trHeight w:val="222"/>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Participation Bonus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Generally, as soon as possible, but not</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later than March 1 following the calendar</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year in which the closing of the sale of</w:t>
            </w:r>
          </w:p>
        </w:tc>
      </w:tr>
      <w:tr>
        <w:trPr>
          <w:trHeight w:val="217"/>
        </w:trPr>
        <w:tc>
          <w:tcPr>
            <w:tcW w:w="36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your house occurs</w:t>
            </w:r>
          </w:p>
        </w:tc>
      </w:tr>
      <w:tr>
        <w:trPr>
          <w:trHeight w:val="122"/>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r>
      <w:tr>
        <w:trPr>
          <w:trHeight w:val="222"/>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Automobile Shipping</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Employer will generally be billed directly by</w:t>
            </w: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moving company. If employee pays moving</w:t>
            </w:r>
          </w:p>
        </w:tc>
      </w:tr>
      <w:tr>
        <w:trPr>
          <w:trHeight w:val="217"/>
        </w:trPr>
        <w:tc>
          <w:tcPr>
            <w:tcW w:w="36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company’s bill, deadline for reimbursement</w:t>
            </w:r>
            <w:r>
              <w:rPr>
                <w:rFonts w:ascii="Arial" w:cs="Arial" w:eastAsia="Arial" w:hAnsi="Arial"/>
                <w:sz w:val="15"/>
                <w:szCs w:val="15"/>
                <w:color w:val="auto"/>
              </w:rPr>
              <w:t>2</w:t>
            </w:r>
          </w:p>
        </w:tc>
      </w:tr>
      <w:tr>
        <w:trPr>
          <w:trHeight w:val="122"/>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r>
      <w:tr>
        <w:trPr>
          <w:trHeight w:val="237"/>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Inspection Costs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r>
      <w:tr>
        <w:trPr>
          <w:trHeight w:val="122"/>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r>
    </w:p>
    <w:p>
      <w:pPr>
        <w:ind w:left="660" w:right="120" w:hanging="139"/>
        <w:spacing w:after="0" w:line="211" w:lineRule="auto"/>
        <w:tabs>
          <w:tab w:leader="none" w:pos="677" w:val="left"/>
        </w:tabs>
        <w:numPr>
          <w:ilvl w:val="0"/>
          <w:numId w:val="99"/>
        </w:numPr>
        <w:rPr>
          <w:rFonts w:ascii="Arial" w:cs="Arial" w:eastAsia="Arial" w:hAnsi="Arial"/>
          <w:sz w:val="33"/>
          <w:szCs w:val="33"/>
          <w:color w:val="auto"/>
          <w:vertAlign w:val="superscript"/>
        </w:rPr>
      </w:pPr>
      <w:r>
        <w:rPr>
          <w:rFonts w:ascii="Arial" w:cs="Arial" w:eastAsia="Arial" w:hAnsi="Arial"/>
          <w:sz w:val="22"/>
          <w:szCs w:val="22"/>
          <w:color w:val="auto"/>
        </w:rPr>
        <w:t>These items are considered allowances. Allowance will be paid no later than the March 1 following the calendar year in which you signed your Repayment Agreement.</w:t>
      </w:r>
    </w:p>
    <w:p>
      <w:pPr>
        <w:spacing w:after="0" w:line="146" w:lineRule="exact"/>
        <w:rPr>
          <w:sz w:val="20"/>
          <w:szCs w:val="20"/>
          <w:color w:val="auto"/>
        </w:rPr>
      </w:pPr>
    </w:p>
    <w:p>
      <w:pPr>
        <w:ind w:left="660" w:right="160" w:hanging="139"/>
        <w:spacing w:after="0" w:line="211" w:lineRule="auto"/>
        <w:tabs>
          <w:tab w:leader="none" w:pos="663" w:val="left"/>
        </w:tabs>
        <w:numPr>
          <w:ilvl w:val="0"/>
          <w:numId w:val="100"/>
        </w:numPr>
        <w:rPr>
          <w:rFonts w:ascii="Arial" w:cs="Arial" w:eastAsia="Arial" w:hAnsi="Arial"/>
          <w:sz w:val="33"/>
          <w:szCs w:val="33"/>
          <w:color w:val="auto"/>
          <w:vertAlign w:val="superscript"/>
        </w:rPr>
      </w:pPr>
      <w:r>
        <w:rPr>
          <w:rFonts w:ascii="Arial" w:cs="Arial" w:eastAsia="Arial" w:hAnsi="Arial"/>
          <w:sz w:val="22"/>
          <w:szCs w:val="22"/>
          <w:color w:val="auto"/>
        </w:rPr>
        <w:t>These items are considered expense reimbursements. Assuming all documents required by the Company have been submitted by the due date established by the Company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28 | </w:t>
      </w:r>
      <w:r>
        <w:rPr>
          <w:rFonts w:ascii="Arial" w:cs="Arial" w:eastAsia="Arial" w:hAnsi="Arial"/>
          <w:sz w:val="19"/>
          <w:szCs w:val="19"/>
          <w:color w:val="7F7F7F"/>
        </w:rPr>
        <w:t>Page</w:t>
      </w:r>
    </w:p>
    <w:p>
      <w:pPr>
        <w:sectPr>
          <w:pgSz w:w="11900" w:h="16838" w:orient="portrait"/>
          <w:cols w:equalWidth="0" w:num="1">
            <w:col w:w="11440"/>
          </w:cols>
          <w:pgMar w:left="240" w:top="957" w:right="219" w:bottom="1440" w:gutter="0" w:footer="0" w:header="0"/>
        </w:sectPr>
      </w:pPr>
    </w:p>
    <w:bookmarkStart w:id="144" w:name="page145"/>
    <w:bookmarkEnd w:id="144"/>
    <w:p>
      <w:pPr>
        <w:ind w:left="660" w:right="18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claims for reimbursement, expense reimbursements will be paid not later than the last day of the calendar year following the calendar in which the expense was incurred.</w:t>
      </w:r>
    </w:p>
    <w:p>
      <w:pPr>
        <w:spacing w:after="0" w:line="28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u w:val="single" w:color="auto"/>
          <w:color w:val="auto"/>
        </w:rPr>
        <w:t>IX.</w:t>
      </w:r>
      <w:r>
        <w:rPr>
          <w:sz w:val="20"/>
          <w:szCs w:val="20"/>
          <w:color w:val="auto"/>
        </w:rPr>
        <w:tab/>
      </w:r>
      <w:r>
        <w:rPr>
          <w:rFonts w:ascii="Arial" w:cs="Arial" w:eastAsia="Arial" w:hAnsi="Arial"/>
          <w:sz w:val="21"/>
          <w:szCs w:val="21"/>
          <w:b w:val="1"/>
          <w:bCs w:val="1"/>
          <w:color w:val="auto"/>
        </w:rPr>
        <w:t>CONDITIONS FOR RECEIVING BENEFITS</w:t>
      </w:r>
    </w:p>
    <w:p>
      <w:pPr>
        <w:spacing w:after="0" w:line="84"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color w:val="auto"/>
        </w:rPr>
        <w:t>To receive payment of allowances and reimbursements or to receive services under this Policy, on the day such allowances or reimbursements are paid or services provided, you (i) must be actively employed by the Company, (ii) are not under investigation by Human Resources or by any governmental authority for any criminal activity or otherwise, or (iii) must be in good standing with the Company. Further, if your employment terminates for any reason before you incur reimbursable expenses, before an event resulting in the payment of an allowance, or before you use any services under this Policy, you will not be entitled to the reimbursement, allowance, services, or other benefits under this Policy.</w:t>
      </w:r>
    </w:p>
    <w:p>
      <w:pPr>
        <w:spacing w:after="0" w:line="365" w:lineRule="exact"/>
        <w:rPr>
          <w:sz w:val="20"/>
          <w:szCs w:val="20"/>
          <w:color w:val="auto"/>
        </w:rPr>
      </w:pPr>
    </w:p>
    <w:p>
      <w:pPr>
        <w:ind w:left="400" w:hanging="392"/>
        <w:spacing w:after="0"/>
        <w:tabs>
          <w:tab w:leader="none" w:pos="40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CLAIMS AND APPEAL PROCEDURES</w:t>
      </w:r>
    </w:p>
    <w:p>
      <w:pPr>
        <w:spacing w:after="0" w:line="84" w:lineRule="exact"/>
        <w:rPr>
          <w:sz w:val="20"/>
          <w:szCs w:val="20"/>
          <w:color w:val="auto"/>
        </w:rPr>
      </w:pPr>
    </w:p>
    <w:p>
      <w:pPr>
        <w:ind w:left="660" w:right="100"/>
        <w:spacing w:after="0" w:line="282" w:lineRule="auto"/>
        <w:rPr>
          <w:sz w:val="20"/>
          <w:szCs w:val="20"/>
          <w:color w:val="auto"/>
        </w:rPr>
      </w:pPr>
      <w:r>
        <w:rPr>
          <w:rFonts w:ascii="Arial" w:cs="Arial" w:eastAsia="Arial" w:hAnsi="Arial"/>
          <w:sz w:val="22"/>
          <w:szCs w:val="22"/>
          <w:color w:val="auto"/>
        </w:rPr>
        <w:t>If you wish to challenge an adverse benefit determination, payment amount or plan interpretation relating to benefits under this Policy, you must file a claim. In order to be considered a “claim” under this Policy, your challenge must be made in writing via email and sent to your SIRVA Relocation Consultant in a timely manner as determined by Brighthouse Services, LLC or its delegate, in its sole discretion. You should note that a question or inquiry you may make to your manager or a member of human resources concerning or questioning your benefits will not be treated as a "claim" under these rules unless these procedures are followed. Further, any advice or interpretation regarding the Policy that you may receive from a manager or a human resources representative is not authoritative or binding.</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Claims will be responded to within 30 days.</w:t>
      </w:r>
    </w:p>
    <w:p>
      <w:pPr>
        <w:spacing w:after="0" w:line="152" w:lineRule="exact"/>
        <w:rPr>
          <w:sz w:val="20"/>
          <w:szCs w:val="20"/>
          <w:color w:val="auto"/>
        </w:rPr>
      </w:pPr>
    </w:p>
    <w:p>
      <w:pPr>
        <w:ind w:left="660"/>
        <w:spacing w:after="0" w:line="304" w:lineRule="auto"/>
        <w:rPr>
          <w:sz w:val="20"/>
          <w:szCs w:val="20"/>
          <w:color w:val="auto"/>
        </w:rPr>
      </w:pPr>
      <w:r>
        <w:rPr>
          <w:rFonts w:ascii="Arial" w:cs="Arial" w:eastAsia="Arial" w:hAnsi="Arial"/>
          <w:sz w:val="21"/>
          <w:szCs w:val="21"/>
          <w:color w:val="auto"/>
        </w:rPr>
        <w:t>If your claim has been denied, you will receive a written explanation for the reason for the denial. If you receive a denial you will have 60 days from the date on the letter to appeal if you disagree with the determination. After that period, no further administrative appeals can be made. Appeals must be made in writing and sent to:</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Administrator – Brighthouse Relocation Policy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Appeals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11225 North Community House Road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Charlotte, NC 28277</w:t>
      </w:r>
    </w:p>
    <w:p>
      <w:pPr>
        <w:spacing w:after="0" w:line="152" w:lineRule="exact"/>
        <w:rPr>
          <w:sz w:val="20"/>
          <w:szCs w:val="20"/>
          <w:color w:val="auto"/>
        </w:rPr>
      </w:pPr>
    </w:p>
    <w:p>
      <w:pPr>
        <w:ind w:left="660" w:right="60"/>
        <w:spacing w:after="0" w:line="283" w:lineRule="auto"/>
        <w:rPr>
          <w:sz w:val="20"/>
          <w:szCs w:val="20"/>
          <w:color w:val="auto"/>
        </w:rPr>
      </w:pPr>
      <w:r>
        <w:rPr>
          <w:rFonts w:ascii="Arial" w:cs="Arial" w:eastAsia="Arial" w:hAnsi="Arial"/>
          <w:sz w:val="22"/>
          <w:szCs w:val="22"/>
          <w:color w:val="auto"/>
        </w:rPr>
        <w:t>If you appeal, you may submit written comments, documents, records and other information relating to the claim as part of the review. The review by the administrator or his or her designee will consider all comments, documents, records and other information submitted by you at the time of the appeal. The initial adverse decision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29 | </w:t>
      </w:r>
      <w:r>
        <w:rPr>
          <w:rFonts w:ascii="Arial" w:cs="Arial" w:eastAsia="Arial" w:hAnsi="Arial"/>
          <w:sz w:val="19"/>
          <w:szCs w:val="19"/>
          <w:color w:val="7F7F7F"/>
        </w:rPr>
        <w:t>Page</w:t>
      </w:r>
    </w:p>
    <w:p>
      <w:pPr>
        <w:sectPr>
          <w:pgSz w:w="11900" w:h="16838" w:orient="portrait"/>
          <w:cols w:equalWidth="0" w:num="1">
            <w:col w:w="11400"/>
          </w:cols>
          <w:pgMar w:left="240" w:top="862" w:right="259" w:bottom="1440" w:gutter="0" w:footer="0" w:header="0"/>
        </w:sectPr>
      </w:pPr>
    </w:p>
    <w:bookmarkStart w:id="145" w:name="page146"/>
    <w:bookmarkEnd w:id="145"/>
    <w:p>
      <w:pPr>
        <w:ind w:left="660" w:right="200"/>
        <w:spacing w:after="0" w:line="28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7517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291465"/>
                    </a:xfrm>
                    <a:prstGeom prst="rect">
                      <a:avLst/>
                    </a:prstGeom>
                    <a:noFill/>
                  </pic:spPr>
                </pic:pic>
              </a:graphicData>
            </a:graphic>
          </wp:anchor>
        </w:drawing>
        <w:t>not receive any deference in the appeal decision making process. The administrator will review the appeal and decide within 60 days.</w:t>
      </w:r>
    </w:p>
    <w:p>
      <w:pPr>
        <w:spacing w:after="0" w:line="95" w:lineRule="exact"/>
        <w:rPr>
          <w:sz w:val="20"/>
          <w:szCs w:val="20"/>
          <w:color w:val="auto"/>
        </w:rPr>
      </w:pPr>
    </w:p>
    <w:p>
      <w:pPr>
        <w:ind w:left="660" w:right="40"/>
        <w:spacing w:after="0" w:line="285" w:lineRule="auto"/>
        <w:rPr>
          <w:sz w:val="20"/>
          <w:szCs w:val="20"/>
          <w:color w:val="auto"/>
        </w:rPr>
      </w:pPr>
      <w:r>
        <w:rPr>
          <w:rFonts w:ascii="Arial" w:cs="Arial" w:eastAsia="Arial" w:hAnsi="Arial"/>
          <w:sz w:val="22"/>
          <w:szCs w:val="22"/>
          <w:color w:val="auto"/>
        </w:rPr>
        <w:t>If the administrator needs additional information to reach a determination, the Policy administrator will notify you, in writing, before the end of the 60-day review period, that the deadline for responding to the appeal has been extended for another 60 days.</w:t>
      </w:r>
    </w:p>
    <w:p>
      <w:pPr>
        <w:spacing w:after="0" w:line="98" w:lineRule="exact"/>
        <w:rPr>
          <w:sz w:val="20"/>
          <w:szCs w:val="20"/>
          <w:color w:val="auto"/>
        </w:rPr>
      </w:pPr>
    </w:p>
    <w:p>
      <w:pPr>
        <w:ind w:left="660" w:right="60"/>
        <w:spacing w:after="0" w:line="283" w:lineRule="auto"/>
        <w:rPr>
          <w:sz w:val="20"/>
          <w:szCs w:val="20"/>
          <w:color w:val="auto"/>
        </w:rPr>
      </w:pPr>
      <w:r>
        <w:rPr>
          <w:rFonts w:ascii="Arial" w:cs="Arial" w:eastAsia="Arial" w:hAnsi="Arial"/>
          <w:sz w:val="22"/>
          <w:szCs w:val="22"/>
          <w:color w:val="auto"/>
        </w:rPr>
        <w:t>All appeal decisions are final and are not open to further administrative appeal. The administrator or his or her designee has full discretion in making all required determinations. If you wish to pursue your claim further, a civil suit challenging a denial of benefits under this Policy must be filed not later than six months after the date of the denial of the final appeal.</w:t>
      </w:r>
    </w:p>
    <w:p>
      <w:pPr>
        <w:spacing w:after="0" w:line="29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21"/>
          <w:szCs w:val="21"/>
          <w:b w:val="1"/>
          <w:bCs w:val="1"/>
          <w:color w:val="auto"/>
        </w:rPr>
        <w:t>EXCLUSION OF PAYMENTS FOR PURPOSES OF BENEFITS OR STATUTORY SEVERANCE</w:t>
      </w:r>
    </w:p>
    <w:p>
      <w:pPr>
        <w:spacing w:after="0" w:line="84" w:lineRule="exact"/>
        <w:rPr>
          <w:sz w:val="20"/>
          <w:szCs w:val="20"/>
          <w:color w:val="auto"/>
        </w:rPr>
      </w:pPr>
    </w:p>
    <w:p>
      <w:pPr>
        <w:ind w:left="660"/>
        <w:spacing w:after="0" w:line="299" w:lineRule="auto"/>
        <w:rPr>
          <w:sz w:val="20"/>
          <w:szCs w:val="20"/>
          <w:color w:val="auto"/>
        </w:rPr>
      </w:pPr>
      <w:r>
        <w:rPr>
          <w:rFonts w:ascii="Arial" w:cs="Arial" w:eastAsia="Arial" w:hAnsi="Arial"/>
          <w:sz w:val="21"/>
          <w:szCs w:val="21"/>
          <w:color w:val="auto"/>
        </w:rPr>
        <w:t>Payments or benefits made under this Policy are not part of your salary for the purpose of benefit determinations and are not considered benefit eligible compensation or salary for the purpose of calculating benefits under any retirement plan, both pension or 401(k) plan, if applicable, insurance, or other benefit program of Brighthouse Services, LLC. Additionally, to the extent allowable under local law, payments or benefits made under this Policy shall not be used for the purposes of calculating your severance, whether statutory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30 | </w:t>
      </w:r>
      <w:r>
        <w:rPr>
          <w:rFonts w:ascii="Arial" w:cs="Arial" w:eastAsia="Arial" w:hAnsi="Arial"/>
          <w:sz w:val="19"/>
          <w:szCs w:val="19"/>
          <w:color w:val="7F7F7F"/>
        </w:rPr>
        <w:t>Page</w:t>
      </w:r>
    </w:p>
    <w:p>
      <w:pPr>
        <w:sectPr>
          <w:pgSz w:w="11900" w:h="16838" w:orient="portrait"/>
          <w:cols w:equalWidth="0" w:num="1">
            <w:col w:w="11400"/>
          </w:cols>
          <w:pgMar w:left="240" w:top="862" w:right="259" w:bottom="1440" w:gutter="0" w:footer="0" w:header="0"/>
        </w:sectPr>
      </w:pPr>
    </w:p>
    <w:bookmarkStart w:id="146" w:name="page147"/>
    <w:bookmarkEnd w:id="146"/>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30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47" w:name="page148"/>
    <w:bookmarkEnd w:id="147"/>
    <w:p>
      <w:pPr>
        <w:ind w:left="1048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Anant Bhalla, certify that:</w:t>
      </w:r>
    </w:p>
    <w:p>
      <w:pPr>
        <w:spacing w:after="0" w:line="171"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306"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31750</wp:posOffset>
            </wp:positionV>
            <wp:extent cx="32245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 Eric T. Steigerwalt, certify that, to my knowledge, (i) Brighthouse Financial, Inc.'s Quarterly Report on Form 10-Q for the quarter ended September 30, 2018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31750</wp:posOffset>
            </wp:positionV>
            <wp:extent cx="29927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 Chief Executive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 Anant Bhalla, certify that, to my knowledge, (i) Brighthouse Financial, Inc.’s Quarterly Report on Form 10-Q for the quarter ended September 30, 2018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322"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31750</wp:posOffset>
            </wp:positionV>
            <wp:extent cx="30956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1)"/>
      <w:numFmt w:val="lowerRoman"/>
      <w:start w:val="4"/>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lowerRoman"/>
      <w:start w:val="3"/>
    </w:lvl>
  </w:abstractNum>
  <w:abstractNum w:abstractNumId="9">
    <w:nsid w:val="39386575"/>
    <w:multiLevelType w:val="hybridMultilevel"/>
    <w:lvl w:ilvl="0">
      <w:lvlJc w:val="left"/>
      <w:lvlText w:val="%1."/>
      <w:numFmt w:val="decimal"/>
      <w:start w:val="4"/>
    </w:lvl>
  </w:abstractNum>
  <w:abstractNum w:abstractNumId="10">
    <w:nsid w:val="1CF10FD8"/>
    <w:multiLevelType w:val="hybridMultilevel"/>
    <w:lvl w:ilvl="0">
      <w:lvlJc w:val="left"/>
      <w:lvlText w:val="%1."/>
      <w:numFmt w:val="decimal"/>
      <w:start w:val="4"/>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lowerRoman"/>
      <w:start w:val="2"/>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4"/>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4"/>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4"/>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6"/>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8"/>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lowerRoman"/>
      <w:start w:val="1"/>
    </w:lvl>
  </w:abstractNum>
  <w:abstractNum w:abstractNumId="37">
    <w:nsid w:val="98A3148"/>
    <w:multiLevelType w:val="hybridMultilevel"/>
    <w:lvl w:ilvl="0">
      <w:lvlJc w:val="left"/>
      <w:lvlText w:val="•"/>
      <w:numFmt w:val="bullet"/>
      <w:start w:val="1"/>
    </w:lvl>
    <w:lvl w:ilvl="1">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lowerRoman"/>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emdash "/>
      <w:numFmt w:val="bullet"/>
      <w:start w:val="1"/>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upperLetter"/>
      <w:start w:val="35"/>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upperLetter"/>
      <w:start w:val="6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3"/>
    </w:lvl>
    <w:lvl w:ilvl="1">
      <w:lvlJc w:val="left"/>
      <w:lvlText w:val="◦"/>
      <w:numFmt w:val="bullet"/>
      <w:start w:val="1"/>
    </w:lvl>
  </w:abstractNum>
  <w:abstractNum w:abstractNumId="69">
    <w:nsid w:val="885E1B"/>
    <w:multiLevelType w:val="hybridMultilevel"/>
    <w:lvl w:ilvl="0">
      <w:lvlJc w:val="left"/>
      <w:lvlText w:val="%1."/>
      <w:numFmt w:val="upperLetter"/>
      <w:start w:val="21"/>
    </w:lvl>
    <w:lvl w:ilvl="1">
      <w:lvlJc w:val="left"/>
      <w:lvlText w:val="◦"/>
      <w:numFmt w:val="bullet"/>
      <w:start w:val="1"/>
    </w:lvl>
  </w:abstractNum>
  <w:abstractNum w:abstractNumId="70">
    <w:nsid w:val="76272110"/>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71">
    <w:nsid w:val="4C04A8AF"/>
    <w:multiLevelType w:val="hybridMultilevel"/>
    <w:lvl w:ilvl="0">
      <w:lvlJc w:val="left"/>
      <w:lvlText w:val="%1."/>
      <w:numFmt w:val="lowerLetter"/>
      <w:start w:val="1"/>
    </w:lvl>
    <w:lvl w:ilvl="1">
      <w:lvlJc w:val="left"/>
      <w:lvlText w:val="◦"/>
      <w:numFmt w:val="bullet"/>
      <w:start w:val="1"/>
    </w:lvl>
  </w:abstractNum>
  <w:abstractNum w:abstractNumId="72">
    <w:nsid w:val="1716703B"/>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73">
    <w:nsid w:val="14E17E33"/>
    <w:multiLevelType w:val="hybridMultilevel"/>
    <w:lvl w:ilvl="0">
      <w:lvlJc w:val="left"/>
      <w:lvlText w:val="%1."/>
      <w:numFmt w:val="lowerRoman"/>
      <w:start w:val="2"/>
    </w:lvl>
    <w:lvl w:ilvl="1">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76">
    <w:nsid w:val="68EBC550"/>
    <w:multiLevelType w:val="hybridMultilevel"/>
    <w:lvl w:ilvl="0">
      <w:lvlJc w:val="left"/>
      <w:lvlText w:val="%1."/>
      <w:numFmt w:val="lowerRoman"/>
      <w:start w:val="5"/>
    </w:lvl>
  </w:abstractNum>
  <w:abstractNum w:abstractNumId="77">
    <w:nsid w:val="2DF6D648"/>
    <w:multiLevelType w:val="hybridMultilevel"/>
    <w:lvl w:ilvl="0">
      <w:lvlJc w:val="left"/>
      <w:lvlText w:val="%1."/>
      <w:numFmt w:val="lowerLetter"/>
      <w:start w:val="3"/>
    </w:lvl>
  </w:abstractNum>
  <w:abstractNum w:abstractNumId="78">
    <w:nsid w:val="46B7D447"/>
    <w:multiLevelType w:val="hybridMultilevel"/>
    <w:lvl w:ilvl="0">
      <w:lvlJc w:val="left"/>
      <w:lvlText w:val="%1."/>
      <w:numFmt w:val="lowerRoman"/>
      <w:start w:val="1"/>
    </w:lvl>
  </w:abstractNum>
  <w:abstractNum w:abstractNumId="79">
    <w:nsid w:val="4A2AC315"/>
    <w:multiLevelType w:val="hybridMultilevel"/>
    <w:lvl w:ilvl="0">
      <w:lvlJc w:val="left"/>
      <w:lvlText w:val="%1."/>
      <w:numFmt w:val="lowerLetter"/>
      <w:start w:val="1"/>
    </w:lvl>
    <w:lvl w:ilvl="1">
      <w:lvlJc w:val="left"/>
      <w:lvlText w:val="◦"/>
      <w:numFmt w:val="bullet"/>
      <w:start w:val="1"/>
    </w:lvl>
  </w:abstractNum>
  <w:abstractNum w:abstractNumId="80">
    <w:nsid w:val="39EE015C"/>
    <w:multiLevelType w:val="hybridMultilevel"/>
    <w:lvl w:ilvl="0">
      <w:lvlJc w:val="left"/>
      <w:lvlText w:val="%1."/>
      <w:numFmt w:val="lowerLetter"/>
      <w:start w:val="1"/>
    </w:lvl>
    <w:lvl w:ilvl="1">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1."/>
      <w:numFmt w:val="lowerLetter"/>
      <w:start w:val="4"/>
    </w:lvl>
    <w:lvl w:ilvl="1">
      <w:lvlJc w:val="left"/>
      <w:lvlText w:val="%2."/>
      <w:numFmt w:val="decimal"/>
      <w:start w:val="2"/>
    </w:lvl>
    <w:lvl w:ilvl="2">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lowerLetter"/>
      <w:start w:val="6"/>
    </w:lvl>
    <w:lvl w:ilvl="1">
      <w:lvlJc w:val="left"/>
      <w:lvlText w:val="◦"/>
      <w:numFmt w:val="bullet"/>
      <w:start w:val="1"/>
    </w:lvl>
  </w:abstractNum>
  <w:abstractNum w:abstractNumId="87">
    <w:nsid w:val="49DA307D"/>
    <w:multiLevelType w:val="hybridMultilevel"/>
    <w:lvl w:ilvl="0">
      <w:lvlJc w:val="left"/>
      <w:lvlText w:val="%1."/>
      <w:numFmt w:val="lowerRoman"/>
      <w:start w:val="1"/>
    </w:lvl>
  </w:abstractNum>
  <w:abstractNum w:abstractNumId="88">
    <w:nsid w:val="7055A5F5"/>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lowerRoman"/>
      <w:start w:val="2"/>
    </w:lvl>
    <w:lvl w:ilvl="1">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1."/>
      <w:numFmt w:val="lowerLetter"/>
      <w:start w:val="8"/>
    </w:lvl>
  </w:abstractNum>
  <w:abstractNum w:abstractNumId="94">
    <w:nsid w:val="7672BD23"/>
    <w:multiLevelType w:val="hybridMultilevel"/>
    <w:lvl w:ilvl="0">
      <w:lvlJc w:val="left"/>
      <w:lvlText w:val="◦"/>
      <w:numFmt w:val="bullet"/>
      <w:start w:val="1"/>
    </w:lvl>
    <w:lvl w:ilvl="1">
      <w:lvlJc w:val="left"/>
      <w:lvlText w:val="•"/>
      <w:numFmt w:val="bullet"/>
      <w:start w:val="1"/>
    </w:lvl>
  </w:abstractNum>
  <w:abstractNum w:abstractNumId="95">
    <w:nsid w:val="6FC75AF8"/>
    <w:multiLevelType w:val="hybridMultilevel"/>
    <w:lvl w:ilvl="0">
      <w:lvlJc w:val="left"/>
      <w:lvlText w:val="%1."/>
      <w:numFmt w:val="lowerLetter"/>
      <w:start w:val="10"/>
    </w:lvl>
  </w:abstractNum>
  <w:abstractNum w:abstractNumId="96">
    <w:nsid w:val="6A5F7029"/>
    <w:multiLevelType w:val="hybridMultilevel"/>
    <w:lvl w:ilvl="0">
      <w:lvlJc w:val="left"/>
      <w:lvlText w:val="%1."/>
      <w:numFmt w:val="lowerLetter"/>
      <w:start w:val="1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1"/>
      <w:numFmt w:val="bullet"/>
      <w:start w:val="1"/>
    </w:lvl>
  </w:abstractNum>
  <w:abstractNum w:abstractNumId="99">
    <w:nsid w:val="73A1821B"/>
    <w:multiLevelType w:val="hybridMultilevel"/>
    <w:lvl w:ilvl="0">
      <w:lvlJc w:val="left"/>
      <w:lvlText w:val="2"/>
      <w:numFmt w:val="bullet"/>
      <w:start w:val="1"/>
    </w:lvl>
  </w:abstractNum>
  <w:abstractNum w:abstractNumId="100">
    <w:nsid w:val="7DE67713"/>
    <w:multiLevelType w:val="hybridMultilevel"/>
    <w:lvl w:ilvl="0">
      <w:lvlJc w:val="left"/>
      <w:lvlText w:val="%1."/>
      <w:numFmt w:val="upperLetter"/>
      <w:start w:val="24"/>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pn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jpeg"/><Relationship Id="rId92" Type="http://schemas.openxmlformats.org/officeDocument/2006/relationships/image" Target="media/image83.png"/><Relationship Id="rId93" Type="http://schemas.openxmlformats.org/officeDocument/2006/relationships/image" Target="media/image84.jpe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png"/><Relationship Id="rId97" Type="http://schemas.openxmlformats.org/officeDocument/2006/relationships/image" Target="media/image88.jpeg"/><Relationship Id="rId98" Type="http://schemas.openxmlformats.org/officeDocument/2006/relationships/image" Target="media/image89.pn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jpe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png"/><Relationship Id="rId113" Type="http://schemas.openxmlformats.org/officeDocument/2006/relationships/image" Target="media/image104.jpeg"/><Relationship Id="rId114" Type="http://schemas.openxmlformats.org/officeDocument/2006/relationships/image" Target="media/image105.pn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jpe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jpeg"/><Relationship Id="rId122" Type="http://schemas.openxmlformats.org/officeDocument/2006/relationships/image" Target="media/image113.png"/><Relationship Id="rId123" Type="http://schemas.openxmlformats.org/officeDocument/2006/relationships/image" Target="media/image114.jpeg"/><Relationship Id="rId124" Type="http://schemas.openxmlformats.org/officeDocument/2006/relationships/image" Target="media/image115.png"/><Relationship Id="rId125" Type="http://schemas.openxmlformats.org/officeDocument/2006/relationships/image" Target="media/image116.jpeg"/><Relationship Id="rId126" Type="http://schemas.openxmlformats.org/officeDocument/2006/relationships/image" Target="media/image117.png"/><Relationship Id="rId127" Type="http://schemas.openxmlformats.org/officeDocument/2006/relationships/image" Target="media/image118.jpeg"/><Relationship Id="rId128" Type="http://schemas.openxmlformats.org/officeDocument/2006/relationships/image" Target="media/image119.png"/><Relationship Id="rId129" Type="http://schemas.openxmlformats.org/officeDocument/2006/relationships/image" Target="media/image120.jpeg"/><Relationship Id="rId130"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jpeg"/><Relationship Id="rId134" Type="http://schemas.openxmlformats.org/officeDocument/2006/relationships/image" Target="media/image125.png"/><Relationship Id="rId135" Type="http://schemas.openxmlformats.org/officeDocument/2006/relationships/image" Target="media/image126.jpeg"/><Relationship Id="rId136" Type="http://schemas.openxmlformats.org/officeDocument/2006/relationships/image" Target="media/image127.png"/><Relationship Id="rId137" Type="http://schemas.openxmlformats.org/officeDocument/2006/relationships/image" Target="media/image128.jpe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80" Type="http://schemas.openxmlformats.org/officeDocument/2006/relationships/hyperlink" Target="http://www.sec.gov/Archives/edgar/data/1685040/000119312518271784/d617704dex41.htm" TargetMode="External"/><Relationship Id="rId81" Type="http://schemas.openxmlformats.org/officeDocument/2006/relationships/hyperlink" Target="http://www.sec.gov/Archives/edgar/data/1685040/000119312518271784/d61770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2019-12-28T18:35:36Z</dcterms:created>
  <dcterms:modified xsi:type="dcterms:W3CDTF">2019-12-28T18:35:36Z</dcterms:modified>
</cp:coreProperties>
</file>