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7048500" cy="4939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939030"/>
                    </a:xfrm>
                    <a:prstGeom prst="rect">
                      <a:avLst/>
                    </a:prstGeom>
                    <a:noFill/>
                  </pic:spPr>
                </pic:pic>
              </a:graphicData>
            </a:graphic>
          </wp:anchor>
        </w:drawing>
      </w:r>
    </w:p>
    <w:p>
      <w:pPr>
        <w:spacing w:after="0" w:line="1086" w:lineRule="exact"/>
        <w:rPr>
          <w:sz w:val="24"/>
          <w:szCs w:val="24"/>
          <w:color w:val="auto"/>
        </w:rPr>
      </w:pPr>
    </w:p>
    <w:p>
      <w:pPr>
        <w:sectPr>
          <w:pgSz w:w="11900" w:h="16838" w:orient="portrait"/>
          <w:cols w:equalWidth="0" w:num="2">
            <w:col w:w="2340" w:space="32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Hooley Stephen C</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11225 N COMMUNITY HOUSE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Brighthouse Financial,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BHF</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06/02/2026</w:t>
      </w:r>
    </w:p>
    <w:p>
      <w:pPr>
        <w:spacing w:after="0" w:line="20" w:lineRule="exact"/>
        <w:rPr>
          <w:sz w:val="24"/>
          <w:szCs w:val="24"/>
          <w:color w:val="auto"/>
        </w:rPr>
      </w:pPr>
      <w:r>
        <w:rPr>
          <w:sz w:val="24"/>
          <w:szCs w:val="24"/>
          <w:color w:val="auto"/>
        </w:rPr>
        <w:br w:type="column"/>
      </w: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19" w:space="720"/>
            <w:col w:w="3341"/>
          </w:cols>
          <w:pgMar w:left="460" w:top="215" w:right="359" w:bottom="1440" w:gutter="0" w:footer="0" w:header="0"/>
          <w:type w:val="continuous"/>
        </w:sectPr>
      </w:pPr>
    </w:p>
    <w:p>
      <w:pPr>
        <w:spacing w:after="0" w:line="22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CHARLOTTE</w:t>
            </w: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28277</w:t>
            </w: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w w:val="98"/>
              </w:rPr>
              <w:t>2,837</w:t>
            </w:r>
            <w:r>
              <w:rPr>
                <w:rFonts w:ascii="Times New Roman" w:cs="Times New Roman" w:eastAsia="Times New Roman" w:hAnsi="Times New Roman"/>
                <w:sz w:val="20"/>
                <w:szCs w:val="20"/>
                <w:color w:val="008000"/>
                <w:w w:val="98"/>
                <w:vertAlign w:val="superscript"/>
              </w:rPr>
              <w:t>(2)</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2,837</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06/02/2026</w:t>
            </w:r>
          </w:p>
        </w:tc>
        <w:tc>
          <w:tcPr>
            <w:tcW w:w="1060" w:type="dxa"/>
            <w:vAlign w:val="bottom"/>
          </w:tcPr>
          <w:p>
            <w:pPr>
              <w:spacing w:after="0"/>
              <w:rPr>
                <w:sz w:val="5"/>
                <w:szCs w:val="5"/>
                <w:color w:val="auto"/>
              </w:rPr>
            </w:pPr>
          </w:p>
        </w:tc>
        <w:tc>
          <w:tcPr>
            <w:tcW w:w="780" w:type="dxa"/>
            <w:vAlign w:val="bottom"/>
            <w:vMerge w:val="restart"/>
          </w:tcPr>
          <w:p>
            <w:pPr>
              <w:ind w:left="14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700" w:type="dxa"/>
            <w:vAlign w:val="bottom"/>
            <w:vMerge w:val="restart"/>
          </w:tcPr>
          <w:p>
            <w:pPr>
              <w:ind w:left="30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06/02/2026</w:t>
            </w:r>
          </w:p>
        </w:tc>
        <w:tc>
          <w:tcPr>
            <w:tcW w:w="106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2,837</w:t>
            </w:r>
            <w:r>
              <w:rPr>
                <w:rFonts w:ascii="Times New Roman" w:cs="Times New Roman" w:eastAsia="Times New Roman" w:hAnsi="Times New Roman"/>
                <w:sz w:val="20"/>
                <w:szCs w:val="20"/>
                <w:color w:val="008000"/>
                <w:vertAlign w:val="superscript"/>
              </w:rPr>
              <w:t>(2)</w:t>
            </w:r>
          </w:p>
        </w:tc>
        <w:tc>
          <w:tcPr>
            <w:tcW w:w="48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2,837</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20,716</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2,651</w:t>
            </w:r>
            <w:r>
              <w:rPr>
                <w:rFonts w:ascii="Times New Roman" w:cs="Times New Roman" w:eastAsia="Times New Roman" w:hAnsi="Times New Roman"/>
                <w:sz w:val="20"/>
                <w:szCs w:val="20"/>
                <w:color w:val="008000"/>
                <w:vertAlign w:val="superscript"/>
              </w:rPr>
              <w:t>(2)</w:t>
            </w: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2,651</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06/02/2026</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2,651</w:t>
            </w:r>
          </w:p>
        </w:tc>
        <w:tc>
          <w:tcPr>
            <w:tcW w:w="700" w:type="dxa"/>
            <w:vAlign w:val="bottom"/>
            <w:vMerge w:val="restart"/>
          </w:tcPr>
          <w:p>
            <w:pPr>
              <w:ind w:left="30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Brighthouse Financial, Inc. ("BHF")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for service as a Board member pursuant to the Brighthouse Financial, Inc. 2017 Non-Management Director Stock Compensation Plan.</w:t>
      </w:r>
    </w:p>
    <w:p>
      <w:pPr>
        <w:spacing w:after="0" w:line="38" w:lineRule="exact"/>
        <w:rPr>
          <w:rFonts w:ascii="Times New Roman" w:cs="Times New Roman" w:eastAsia="Times New Roman" w:hAnsi="Times New Roman"/>
          <w:sz w:val="13"/>
          <w:szCs w:val="13"/>
          <w:color w:val="008000"/>
        </w:rPr>
      </w:pPr>
    </w:p>
    <w:p>
      <w:pPr>
        <w:ind w:left="40" w:right="20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the date of the 2026 annual meeting of stockholders of BHF. The Reporting Person has elected to defer these shares pursuant to the Brighthouse Services, LLC Deferred Compensation Plan for Non-Management Directors (the "Deferred Compensation Plan"). Payment of the shares will be made (i) in accordance with the Reporting Person's deferral election; or, if earlier, (ii) starting upon termination of the Reporting Person's service as a Director.</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RSU represents the deferred right to receive one share of BHF common stock, or a cash payment equal to the value of one share of BHF common stock.</w:t>
      </w:r>
    </w:p>
    <w:p>
      <w:pPr>
        <w:spacing w:after="0" w:line="38" w:lineRule="exact"/>
        <w:rPr>
          <w:rFonts w:ascii="Times New Roman" w:cs="Times New Roman" w:eastAsia="Times New Roman" w:hAnsi="Times New Roman"/>
          <w:sz w:val="13"/>
          <w:szCs w:val="13"/>
          <w:color w:val="008000"/>
        </w:rPr>
      </w:pPr>
    </w:p>
    <w:p>
      <w:pPr>
        <w:ind w:left="40" w:right="3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the earlier of the first anniversary of the grant date or the date of the 2027 annual meeting of stockholders of BHF. Vested shares will be deferred in accordance with the Reporting Person's deferral election pursuant to the Deferred Compensation Plan.</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Alexander V. Ulianov,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-4445</wp:posOffset>
            </wp:positionV>
            <wp:extent cx="1048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8385" cy="8255"/>
                    </a:xfrm>
                    <a:prstGeom prst="rect">
                      <a:avLst/>
                    </a:prstGeom>
                    <a:noFill/>
                  </pic:spPr>
                </pic:pic>
              </a:graphicData>
            </a:graphic>
          </wp:anchor>
        </w:drawing>
      </w:r>
    </w:p>
    <w:p>
      <w:pPr>
        <w:spacing w:after="0" w:line="8"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on behalf of</w:t>
        <w:tab/>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1868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Stephen C. Hooley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78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63574" TargetMode="External"/><Relationship Id="rId14" Type="http://schemas.openxmlformats.org/officeDocument/2006/relationships/hyperlink" Target="http://www.sec.gov/cgi-bin/browse-edgar?action=getcompany&amp;CIK=0001685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2026-06-04T15:42:48Z</dcterms:created>
  <dcterms:modified xsi:type="dcterms:W3CDTF">2026-06-04T15:42:48Z</dcterms:modified>
</cp:coreProperties>
</file>