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99"/>
        <w:spacing w:after="0"/>
        <w:rPr>
          <w:sz w:val="20"/>
          <w:szCs w:val="20"/>
          <w:color w:val="auto"/>
        </w:rPr>
      </w:pPr>
      <w:r>
        <w:rPr>
          <w:rFonts w:ascii="Arial" w:cs="Arial" w:eastAsia="Arial" w:hAnsi="Arial"/>
          <w:sz w:val="18"/>
          <w:szCs w:val="18"/>
          <w:b w:val="1"/>
          <w:bCs w:val="1"/>
          <w:color w:val="auto"/>
        </w:rPr>
        <w:t>REGISTRATION STATEMENT FILE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13335</wp:posOffset>
            </wp:positionV>
            <wp:extent cx="5871845"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71845" cy="119380"/>
                    </a:xfrm>
                    <a:prstGeom prst="rect">
                      <a:avLst/>
                    </a:prstGeom>
                    <a:noFill/>
                  </pic:spPr>
                </pic:pic>
              </a:graphicData>
            </a:graphic>
          </wp:anchor>
        </w:drawing>
      </w:r>
    </w:p>
    <w:p>
      <w:pPr>
        <w:spacing w:after="0" w:line="247" w:lineRule="exact"/>
        <w:rPr>
          <w:sz w:val="24"/>
          <w:szCs w:val="24"/>
          <w:color w:val="auto"/>
        </w:rPr>
      </w:pPr>
    </w:p>
    <w:p>
      <w:pPr>
        <w:jc w:val="center"/>
        <w:ind w:right="239"/>
        <w:spacing w:after="0"/>
        <w:rPr>
          <w:sz w:val="20"/>
          <w:szCs w:val="20"/>
          <w:color w:val="auto"/>
        </w:rPr>
      </w:pPr>
      <w:r>
        <w:rPr>
          <w:rFonts w:ascii="Arial" w:cs="Arial" w:eastAsia="Arial" w:hAnsi="Arial"/>
          <w:sz w:val="23"/>
          <w:szCs w:val="23"/>
          <w:b w:val="1"/>
          <w:bCs w:val="1"/>
          <w:color w:val="auto"/>
        </w:rPr>
        <w:t>UNITED STATES</w:t>
      </w:r>
    </w:p>
    <w:p>
      <w:pPr>
        <w:jc w:val="center"/>
        <w:ind w:right="199"/>
        <w:spacing w:after="0"/>
        <w:rPr>
          <w:sz w:val="20"/>
          <w:szCs w:val="20"/>
          <w:color w:val="auto"/>
        </w:rPr>
      </w:pPr>
      <w:r>
        <w:rPr>
          <w:rFonts w:ascii="Arial" w:cs="Arial" w:eastAsia="Arial" w:hAnsi="Arial"/>
          <w:sz w:val="23"/>
          <w:szCs w:val="23"/>
          <w:b w:val="1"/>
          <w:bCs w:val="1"/>
          <w:color w:val="auto"/>
        </w:rPr>
        <w:t>SECURITIES AND EXCHANGE COMMISSION</w:t>
      </w:r>
    </w:p>
    <w:p>
      <w:pPr>
        <w:spacing w:after="0" w:line="99"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WASHINGTON, D.C. 20549</w:t>
      </w:r>
    </w:p>
    <w:p>
      <w:pPr>
        <w:spacing w:after="0" w:line="151" w:lineRule="exact"/>
        <w:rPr>
          <w:sz w:val="24"/>
          <w:szCs w:val="24"/>
          <w:color w:val="auto"/>
        </w:rPr>
      </w:pPr>
    </w:p>
    <w:p>
      <w:pPr>
        <w:ind w:left="3900"/>
        <w:spacing w:after="0"/>
        <w:rPr>
          <w:sz w:val="20"/>
          <w:szCs w:val="20"/>
          <w:color w:val="auto"/>
        </w:rPr>
      </w:pPr>
      <w:r>
        <w:rPr>
          <w:rFonts w:ascii="Arial" w:cs="Arial" w:eastAsia="Arial" w:hAnsi="Arial"/>
          <w:sz w:val="29"/>
          <w:szCs w:val="29"/>
          <w:b w:val="1"/>
          <w:bCs w:val="1"/>
          <w:color w:val="auto"/>
        </w:rPr>
        <w:t>FORM S-3</w:t>
      </w:r>
    </w:p>
    <w:p>
      <w:pPr>
        <w:spacing w:after="0" w:line="139" w:lineRule="exact"/>
        <w:rPr>
          <w:sz w:val="24"/>
          <w:szCs w:val="24"/>
          <w:color w:val="auto"/>
        </w:rPr>
      </w:pPr>
    </w:p>
    <w:p>
      <w:pPr>
        <w:ind w:left="2600"/>
        <w:spacing w:after="0"/>
        <w:rPr>
          <w:sz w:val="20"/>
          <w:szCs w:val="20"/>
          <w:color w:val="auto"/>
        </w:rPr>
      </w:pPr>
      <w:r>
        <w:rPr>
          <w:rFonts w:ascii="Arial" w:cs="Arial" w:eastAsia="Arial" w:hAnsi="Arial"/>
          <w:sz w:val="29"/>
          <w:szCs w:val="29"/>
          <w:b w:val="1"/>
          <w:bCs w:val="1"/>
          <w:color w:val="auto"/>
        </w:rPr>
        <w:t>REGISTRATION STATEMENT</w:t>
      </w:r>
    </w:p>
    <w:p>
      <w:pPr>
        <w:spacing w:after="0" w:line="48"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UNDER THE SECURITIES ACT OF 1933</w:t>
      </w:r>
    </w:p>
    <w:p>
      <w:pPr>
        <w:spacing w:after="0" w:line="123"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BRIGHTHOUSE LIFE INSURANCE COMPANY</w:t>
      </w:r>
    </w:p>
    <w:p>
      <w:pPr>
        <w:spacing w:after="0" w:line="37" w:lineRule="exact"/>
        <w:rPr>
          <w:sz w:val="24"/>
          <w:szCs w:val="24"/>
          <w:color w:val="auto"/>
        </w:rPr>
      </w:pPr>
    </w:p>
    <w:p>
      <w:pPr>
        <w:ind w:left="2540"/>
        <w:spacing w:after="0"/>
        <w:rPr>
          <w:sz w:val="20"/>
          <w:szCs w:val="20"/>
          <w:color w:val="auto"/>
        </w:rPr>
      </w:pPr>
      <w:r>
        <w:rPr>
          <w:rFonts w:ascii="Arial" w:cs="Arial" w:eastAsia="Arial" w:hAnsi="Arial"/>
          <w:sz w:val="18"/>
          <w:szCs w:val="18"/>
          <w:color w:val="auto"/>
        </w:rPr>
        <w:t>(Exact name of registrant as specified in its charter)</w:t>
      </w:r>
    </w:p>
    <w:p>
      <w:pPr>
        <w:spacing w:after="0" w:line="9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228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9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06-0566090</w:t>
      </w:r>
    </w:p>
    <w:p>
      <w:pPr>
        <w:spacing w:after="0" w:line="27"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(I.R.S. Employer Identification Number)</w:t>
      </w:r>
    </w:p>
    <w:p>
      <w:pPr>
        <w:spacing w:after="0" w:line="113" w:lineRule="exact"/>
        <w:rPr>
          <w:sz w:val="24"/>
          <w:szCs w:val="24"/>
          <w:color w:val="auto"/>
        </w:rPr>
      </w:pPr>
    </w:p>
    <w:p>
      <w:pPr>
        <w:ind w:left="2080"/>
        <w:spacing w:after="0"/>
        <w:rPr>
          <w:sz w:val="20"/>
          <w:szCs w:val="20"/>
          <w:color w:val="auto"/>
        </w:rPr>
      </w:pPr>
      <w:r>
        <w:rPr>
          <w:rFonts w:ascii="Arial" w:cs="Arial" w:eastAsia="Arial" w:hAnsi="Arial"/>
          <w:sz w:val="18"/>
          <w:szCs w:val="18"/>
          <w:b w:val="1"/>
          <w:bCs w:val="1"/>
          <w:color w:val="auto"/>
        </w:rPr>
        <w:t>11225 North Community House Road, Charlotte, NC 28277</w:t>
      </w:r>
    </w:p>
    <w:p>
      <w:pPr>
        <w:ind w:left="3980"/>
        <w:spacing w:after="0"/>
        <w:rPr>
          <w:sz w:val="20"/>
          <w:szCs w:val="20"/>
          <w:color w:val="auto"/>
        </w:rPr>
      </w:pPr>
      <w:r>
        <w:rPr>
          <w:rFonts w:ascii="Arial" w:cs="Arial" w:eastAsia="Arial" w:hAnsi="Arial"/>
          <w:sz w:val="18"/>
          <w:szCs w:val="18"/>
          <w:b w:val="1"/>
          <w:bCs w:val="1"/>
          <w:color w:val="auto"/>
        </w:rPr>
        <w:t>(980) 365-7100</w:t>
      </w:r>
    </w:p>
    <w:p>
      <w:pPr>
        <w:ind w:left="1640"/>
        <w:spacing w:after="0" w:line="213" w:lineRule="auto"/>
        <w:rPr>
          <w:sz w:val="20"/>
          <w:szCs w:val="20"/>
          <w:color w:val="auto"/>
        </w:rPr>
      </w:pPr>
      <w:r>
        <w:rPr>
          <w:rFonts w:ascii="Arial" w:cs="Arial" w:eastAsia="Arial" w:hAnsi="Arial"/>
          <w:sz w:val="18"/>
          <w:szCs w:val="18"/>
          <w:color w:val="auto"/>
        </w:rPr>
        <w:t>(Address, including zip code, and telephone number, including area code,</w:t>
      </w:r>
    </w:p>
    <w:p>
      <w:pPr>
        <w:spacing w:after="0" w:line="1"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of registrant’s principal executive offices)</w:t>
      </w:r>
    </w:p>
    <w:p>
      <w:pPr>
        <w:spacing w:after="0" w:line="126"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Brighthouse Life Insurance Company</w:t>
      </w:r>
    </w:p>
    <w:p>
      <w:pPr>
        <w:jc w:val="center"/>
        <w:ind w:right="259"/>
        <w:spacing w:after="0" w:line="219" w:lineRule="auto"/>
        <w:rPr>
          <w:sz w:val="20"/>
          <w:szCs w:val="20"/>
          <w:color w:val="auto"/>
        </w:rPr>
      </w:pPr>
      <w:r>
        <w:rPr>
          <w:rFonts w:ascii="Arial" w:cs="Arial" w:eastAsia="Arial" w:hAnsi="Arial"/>
          <w:sz w:val="18"/>
          <w:szCs w:val="18"/>
          <w:b w:val="1"/>
          <w:bCs w:val="1"/>
          <w:color w:val="auto"/>
        </w:rPr>
        <w:t>c/o The Corporation Trust Company</w:t>
      </w:r>
    </w:p>
    <w:p>
      <w:pPr>
        <w:jc w:val="center"/>
        <w:ind w:right="259"/>
        <w:spacing w:after="0" w:line="234" w:lineRule="auto"/>
        <w:rPr>
          <w:sz w:val="20"/>
          <w:szCs w:val="20"/>
          <w:color w:val="auto"/>
        </w:rPr>
      </w:pPr>
      <w:r>
        <w:rPr>
          <w:rFonts w:ascii="Arial" w:cs="Arial" w:eastAsia="Arial" w:hAnsi="Arial"/>
          <w:sz w:val="18"/>
          <w:szCs w:val="18"/>
          <w:b w:val="1"/>
          <w:bCs w:val="1"/>
          <w:color w:val="auto"/>
        </w:rPr>
        <w:t>1209 Orange Street</w:t>
      </w:r>
    </w:p>
    <w:p>
      <w:pPr>
        <w:ind w:left="3500"/>
        <w:spacing w:after="0" w:line="220" w:lineRule="auto"/>
        <w:rPr>
          <w:sz w:val="20"/>
          <w:szCs w:val="20"/>
          <w:color w:val="auto"/>
        </w:rPr>
      </w:pPr>
      <w:r>
        <w:rPr>
          <w:rFonts w:ascii="Arial" w:cs="Arial" w:eastAsia="Arial" w:hAnsi="Arial"/>
          <w:sz w:val="18"/>
          <w:szCs w:val="18"/>
          <w:b w:val="1"/>
          <w:bCs w:val="1"/>
          <w:color w:val="auto"/>
        </w:rPr>
        <w:t>Corporation Trust Center</w:t>
      </w:r>
    </w:p>
    <w:p>
      <w:pPr>
        <w:ind w:left="3620"/>
        <w:spacing w:after="0" w:line="203" w:lineRule="auto"/>
        <w:rPr>
          <w:sz w:val="20"/>
          <w:szCs w:val="20"/>
          <w:color w:val="auto"/>
        </w:rPr>
      </w:pPr>
      <w:r>
        <w:rPr>
          <w:rFonts w:ascii="Arial" w:cs="Arial" w:eastAsia="Arial" w:hAnsi="Arial"/>
          <w:sz w:val="18"/>
          <w:szCs w:val="18"/>
          <w:b w:val="1"/>
          <w:bCs w:val="1"/>
          <w:color w:val="auto"/>
        </w:rPr>
        <w:t>Wilmington, DE 19801</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(302) 658-7581</w:t>
      </w:r>
    </w:p>
    <w:p>
      <w:pPr>
        <w:jc w:val="center"/>
        <w:ind w:right="239"/>
        <w:spacing w:after="0" w:line="229" w:lineRule="auto"/>
        <w:rPr>
          <w:sz w:val="20"/>
          <w:szCs w:val="20"/>
          <w:color w:val="auto"/>
        </w:rPr>
      </w:pPr>
      <w:r>
        <w:rPr>
          <w:rFonts w:ascii="Arial" w:cs="Arial" w:eastAsia="Arial" w:hAnsi="Arial"/>
          <w:sz w:val="18"/>
          <w:szCs w:val="18"/>
          <w:color w:val="auto"/>
        </w:rPr>
        <w:t>(Name, address, including zip code, and telephone number,</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including area code, of agent for service)</w:t>
      </w:r>
    </w:p>
    <w:p>
      <w:pPr>
        <w:spacing w:after="0" w:line="115" w:lineRule="exact"/>
        <w:rPr>
          <w:sz w:val="24"/>
          <w:szCs w:val="24"/>
          <w:color w:val="auto"/>
        </w:rPr>
      </w:pPr>
    </w:p>
    <w:p>
      <w:pPr>
        <w:jc w:val="center"/>
        <w:ind w:right="199"/>
        <w:spacing w:after="0"/>
        <w:rPr>
          <w:sz w:val="20"/>
          <w:szCs w:val="20"/>
          <w:color w:val="auto"/>
        </w:rPr>
      </w:pPr>
      <w:r>
        <w:rPr>
          <w:rFonts w:ascii="Arial" w:cs="Arial" w:eastAsia="Arial" w:hAnsi="Arial"/>
          <w:sz w:val="18"/>
          <w:szCs w:val="18"/>
          <w:i w:val="1"/>
          <w:iCs w:val="1"/>
          <w:color w:val="auto"/>
        </w:rPr>
        <w:t>Copies to:</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W. Thomas Conner</w:t>
      </w:r>
    </w:p>
    <w:p>
      <w:pPr>
        <w:jc w:val="center"/>
        <w:ind w:right="239"/>
        <w:spacing w:after="0" w:line="234" w:lineRule="auto"/>
        <w:rPr>
          <w:sz w:val="20"/>
          <w:szCs w:val="20"/>
          <w:color w:val="auto"/>
        </w:rPr>
      </w:pPr>
      <w:r>
        <w:rPr>
          <w:rFonts w:ascii="Arial" w:cs="Arial" w:eastAsia="Arial" w:hAnsi="Arial"/>
          <w:sz w:val="18"/>
          <w:szCs w:val="18"/>
          <w:color w:val="auto"/>
        </w:rPr>
        <w:t>Carlton Fields</w:t>
      </w:r>
    </w:p>
    <w:p>
      <w:pPr>
        <w:ind w:left="3720"/>
        <w:spacing w:after="0" w:line="219" w:lineRule="auto"/>
        <w:rPr>
          <w:sz w:val="20"/>
          <w:szCs w:val="20"/>
          <w:color w:val="auto"/>
        </w:rPr>
      </w:pPr>
      <w:r>
        <w:rPr>
          <w:rFonts w:ascii="Arial" w:cs="Arial" w:eastAsia="Arial" w:hAnsi="Arial"/>
          <w:sz w:val="18"/>
          <w:szCs w:val="18"/>
          <w:color w:val="auto"/>
        </w:rPr>
        <w:t>1625 Eye Street, NW</w:t>
      </w:r>
    </w:p>
    <w:p>
      <w:pPr>
        <w:ind w:left="4180"/>
        <w:spacing w:after="0" w:line="204" w:lineRule="auto"/>
        <w:rPr>
          <w:sz w:val="20"/>
          <w:szCs w:val="20"/>
          <w:color w:val="auto"/>
        </w:rPr>
      </w:pPr>
      <w:r>
        <w:rPr>
          <w:rFonts w:ascii="Arial" w:cs="Arial" w:eastAsia="Arial" w:hAnsi="Arial"/>
          <w:sz w:val="18"/>
          <w:szCs w:val="18"/>
          <w:color w:val="auto"/>
        </w:rPr>
        <w:t>Suite 800</w:t>
      </w:r>
    </w:p>
    <w:p>
      <w:pPr>
        <w:jc w:val="center"/>
        <w:ind w:right="199"/>
        <w:spacing w:after="0"/>
        <w:rPr>
          <w:sz w:val="20"/>
          <w:szCs w:val="20"/>
          <w:color w:val="auto"/>
        </w:rPr>
      </w:pPr>
      <w:r>
        <w:rPr>
          <w:rFonts w:ascii="Arial" w:cs="Arial" w:eastAsia="Arial" w:hAnsi="Arial"/>
          <w:sz w:val="18"/>
          <w:szCs w:val="18"/>
          <w:color w:val="auto"/>
        </w:rPr>
        <w:t>Washington, DC 20006</w:t>
      </w:r>
    </w:p>
    <w:p>
      <w:pPr>
        <w:spacing w:after="0" w:line="86" w:lineRule="exact"/>
        <w:rPr>
          <w:sz w:val="24"/>
          <w:szCs w:val="24"/>
          <w:color w:val="auto"/>
        </w:rPr>
      </w:pPr>
    </w:p>
    <w:p>
      <w:pPr>
        <w:ind w:right="1079"/>
        <w:spacing w:after="0" w:line="287" w:lineRule="auto"/>
        <w:rPr>
          <w:sz w:val="20"/>
          <w:szCs w:val="20"/>
          <w:color w:val="auto"/>
        </w:rPr>
      </w:pPr>
      <w:r>
        <w:rPr>
          <w:rFonts w:ascii="Arial" w:cs="Arial" w:eastAsia="Arial" w:hAnsi="Arial"/>
          <w:sz w:val="18"/>
          <w:szCs w:val="18"/>
          <w:color w:val="auto"/>
        </w:rPr>
        <w:t>Approximate date of commencement of proposed sale to the public: As soon as practicable following the effectiveness of the registration statement.</w:t>
      </w:r>
    </w:p>
    <w:p>
      <w:pPr>
        <w:spacing w:after="0" w:line="58" w:lineRule="exact"/>
        <w:rPr>
          <w:sz w:val="24"/>
          <w:szCs w:val="24"/>
          <w:color w:val="auto"/>
        </w:rPr>
      </w:pPr>
    </w:p>
    <w:p>
      <w:pPr>
        <w:ind w:right="379"/>
        <w:spacing w:after="0" w:line="23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76" w:lineRule="exact"/>
        <w:rPr>
          <w:sz w:val="24"/>
          <w:szCs w:val="24"/>
          <w:color w:val="auto"/>
        </w:rPr>
      </w:pPr>
    </w:p>
    <w:p>
      <w:pPr>
        <w:ind w:right="239"/>
        <w:spacing w:after="0" w:line="232"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offered only in connection with dividend or interest reinvestment plans, check the following box: </w:t>
      </w:r>
      <w:r>
        <w:rPr>
          <w:rFonts w:ascii="MS PGothic" w:cs="MS PGothic" w:eastAsia="MS PGothic" w:hAnsi="MS PGothic"/>
          <w:sz w:val="18"/>
          <w:szCs w:val="18"/>
          <w:color w:val="auto"/>
        </w:rPr>
        <w:t>☒</w:t>
      </w:r>
    </w:p>
    <w:p>
      <w:pPr>
        <w:spacing w:after="0" w:line="76" w:lineRule="exact"/>
        <w:rPr>
          <w:sz w:val="24"/>
          <w:szCs w:val="24"/>
          <w:color w:val="auto"/>
        </w:rPr>
      </w:pPr>
    </w:p>
    <w:p>
      <w:pPr>
        <w:ind w:right="319"/>
        <w:spacing w:after="0" w:line="232"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6" w:lineRule="exact"/>
        <w:rPr>
          <w:sz w:val="24"/>
          <w:szCs w:val="24"/>
          <w:color w:val="auto"/>
        </w:rPr>
      </w:pPr>
    </w:p>
    <w:p>
      <w:pPr>
        <w:ind w:right="279"/>
        <w:spacing w:after="0" w:line="232"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3" w:lineRule="exact"/>
        <w:rPr>
          <w:sz w:val="24"/>
          <w:szCs w:val="24"/>
          <w:color w:val="auto"/>
        </w:rPr>
      </w:pPr>
    </w:p>
    <w:p>
      <w:pPr>
        <w:ind w:right="199"/>
        <w:spacing w:after="0" w:line="232"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9379"/>
          </w:cols>
          <w:pgMar w:left="1080" w:top="890" w:right="1440" w:bottom="1440" w:gutter="0" w:footer="0" w:header="0"/>
        </w:sectPr>
      </w:pPr>
    </w:p>
    <w:bookmarkStart w:id="1" w:name="page2"/>
    <w:bookmarkEnd w:id="1"/>
    <w:p>
      <w:pPr>
        <w:jc w:val="both"/>
        <w:ind w:right="279"/>
        <w:spacing w:after="0" w:line="232"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63" w:lineRule="exact"/>
        <w:rPr>
          <w:sz w:val="20"/>
          <w:szCs w:val="20"/>
          <w:color w:val="auto"/>
        </w:rPr>
      </w:pPr>
    </w:p>
    <w:p>
      <w:pPr>
        <w:ind w:right="359"/>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 w:lineRule="exact"/>
        <w:rPr>
          <w:sz w:val="20"/>
          <w:szCs w:val="20"/>
          <w:color w:val="auto"/>
        </w:rPr>
      </w:pPr>
    </w:p>
    <w:tbl>
      <w:tblPr>
        <w:tblLayout w:type="fixed"/>
        <w:tblInd w:w="2140" w:type="dxa"/>
        <w:tblCellMar>
          <w:top w:w="0" w:type="dxa"/>
          <w:left w:w="0" w:type="dxa"/>
          <w:bottom w:w="0" w:type="dxa"/>
          <w:right w:w="0" w:type="dxa"/>
        </w:tblCellMar>
      </w:tblPr>
      <w:tr>
        <w:trPr>
          <w:trHeight w:val="303"/>
        </w:trPr>
        <w:tc>
          <w:tcPr>
            <w:tcW w:w="232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720" w:type="dxa"/>
            <w:vAlign w:val="bottom"/>
          </w:tcPr>
          <w:p>
            <w:pPr>
              <w:ind w:left="3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6"/>
        </w:trPr>
        <w:tc>
          <w:tcPr>
            <w:tcW w:w="23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304"/>
        </w:trPr>
        <w:tc>
          <w:tcPr>
            <w:tcW w:w="2320" w:type="dxa"/>
            <w:vAlign w:val="bottom"/>
            <w:tcBorders>
              <w:bottom w:val="single" w:sz="8" w:color="F0FFFF"/>
            </w:tcBorders>
            <w:shd w:val="clear" w:color="auto" w:fill="F0FFFF"/>
          </w:tcPr>
          <w:p>
            <w:pPr>
              <w:ind w:left="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720" w:type="dxa"/>
            <w:vAlign w:val="bottom"/>
            <w:tcBorders>
              <w:bottom w:val="single" w:sz="8" w:color="F0FFFF"/>
            </w:tcBorders>
            <w:shd w:val="clear" w:color="auto" w:fill="F0FFFF"/>
          </w:tcPr>
          <w:p>
            <w:pPr>
              <w:ind w:left="30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03"/>
        </w:trPr>
        <w:tc>
          <w:tcPr>
            <w:tcW w:w="2320" w:type="dxa"/>
            <w:vAlign w:val="bottom"/>
          </w:tcPr>
          <w:p>
            <w:pPr>
              <w:spacing w:after="0"/>
              <w:rPr>
                <w:sz w:val="24"/>
                <w:szCs w:val="24"/>
                <w:color w:val="auto"/>
              </w:rPr>
            </w:pPr>
          </w:p>
        </w:tc>
        <w:tc>
          <w:tcPr>
            <w:tcW w:w="2720" w:type="dxa"/>
            <w:vAlign w:val="bottom"/>
          </w:tcPr>
          <w:p>
            <w:pPr>
              <w:ind w:left="3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83" w:lineRule="exact"/>
        <w:rPr>
          <w:sz w:val="20"/>
          <w:szCs w:val="20"/>
          <w:color w:val="auto"/>
        </w:rPr>
      </w:pPr>
    </w:p>
    <w:p>
      <w:pPr>
        <w:ind w:right="239"/>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63" w:lineRule="exact"/>
        <w:rPr>
          <w:sz w:val="20"/>
          <w:szCs w:val="20"/>
          <w:color w:val="auto"/>
        </w:rPr>
      </w:pPr>
    </w:p>
    <w:p>
      <w:pPr>
        <w:ind w:right="259"/>
        <w:spacing w:after="0" w:line="259"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10160</wp:posOffset>
            </wp:positionV>
            <wp:extent cx="5871845" cy="93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71845" cy="93980"/>
                    </a:xfrm>
                    <a:prstGeom prst="rect">
                      <a:avLst/>
                    </a:prstGeom>
                    <a:noFill/>
                  </pic:spPr>
                </pic:pic>
              </a:graphicData>
            </a:graphic>
          </wp:anchor>
        </w:drawing>
      </w:r>
    </w:p>
    <w:p>
      <w:pPr>
        <w:sectPr>
          <w:pgSz w:w="11900" w:h="16838" w:orient="portrait"/>
          <w:cols w:equalWidth="0" w:num="1">
            <w:col w:w="9379"/>
          </w:cols>
          <w:pgMar w:left="1080" w:top="904"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135890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FF000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0" w:lineRule="exact"/>
        <w:rPr>
          <w:sz w:val="20"/>
          <w:szCs w:val="20"/>
          <w:color w:val="auto"/>
        </w:rPr>
      </w:pPr>
    </w:p>
    <w:p>
      <w:pPr>
        <w:spacing w:after="0" w:line="382" w:lineRule="exact"/>
        <w:rPr>
          <w:sz w:val="20"/>
          <w:szCs w:val="20"/>
          <w:color w:val="auto"/>
        </w:rPr>
      </w:pPr>
    </w:p>
    <w:p>
      <w:pPr>
        <w:jc w:val="center"/>
        <w:ind w:left="120" w:right="639"/>
        <w:spacing w:after="0" w:line="245" w:lineRule="auto"/>
        <w:rPr>
          <w:sz w:val="20"/>
          <w:szCs w:val="20"/>
          <w:color w:val="auto"/>
        </w:rPr>
      </w:pPr>
      <w:r>
        <w:rPr>
          <w:rFonts w:ascii="Times New Roman" w:cs="Times New Roman" w:eastAsia="Times New Roman" w:hAnsi="Times New Roman"/>
          <w:sz w:val="32"/>
          <w:szCs w:val="32"/>
          <w:b w:val="1"/>
          <w:bCs w:val="1"/>
          <w:color w:val="auto"/>
        </w:rPr>
        <w:t>BRIGHTHOUSE SHIELD</w:t>
      </w:r>
      <w:r>
        <w:rPr>
          <w:rFonts w:ascii="Times New Roman" w:cs="Times New Roman" w:eastAsia="Times New Roman" w:hAnsi="Times New Roman"/>
          <w:sz w:val="41"/>
          <w:szCs w:val="41"/>
          <w:b w:val="1"/>
          <w:bCs w:val="1"/>
          <w:color w:val="auto"/>
          <w:vertAlign w:val="superscript"/>
        </w:rPr>
        <w:t>®</w:t>
      </w:r>
      <w:r>
        <w:rPr>
          <w:rFonts w:ascii="Times New Roman" w:cs="Times New Roman" w:eastAsia="Times New Roman" w:hAnsi="Times New Roman"/>
          <w:sz w:val="32"/>
          <w:szCs w:val="32"/>
          <w:b w:val="1"/>
          <w:bCs w:val="1"/>
          <w:color w:val="auto"/>
        </w:rPr>
        <w:t xml:space="preserve"> LEVEL SELECT 3-YEAR ANNUITY</w:t>
      </w:r>
    </w:p>
    <w:p>
      <w:pPr>
        <w:spacing w:after="0" w:line="155" w:lineRule="exact"/>
        <w:rPr>
          <w:sz w:val="20"/>
          <w:szCs w:val="20"/>
          <w:color w:val="auto"/>
        </w:rPr>
      </w:pPr>
    </w:p>
    <w:p>
      <w:pPr>
        <w:jc w:val="both"/>
        <w:ind w:left="120" w:right="639" w:firstLine="360"/>
        <w:spacing w:after="0" w:line="249" w:lineRule="auto"/>
        <w:rPr>
          <w:sz w:val="20"/>
          <w:szCs w:val="20"/>
          <w:color w:val="auto"/>
        </w:rPr>
      </w:pPr>
      <w:r>
        <w:rPr>
          <w:rFonts w:ascii="Times New Roman" w:cs="Times New Roman" w:eastAsia="Times New Roman" w:hAnsi="Times New Roman"/>
          <w:sz w:val="18"/>
          <w:szCs w:val="18"/>
          <w:color w:val="auto"/>
        </w:rPr>
        <w:t>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is an individual single premium deferred index-linked annuity contract (the “Contract”) issued by Brighthouse Life Insurance Company (“BLIC”, “we”, “our” or “us”). This means additional purchase payments will not be accepted.</w:t>
      </w:r>
    </w:p>
    <w:p>
      <w:pPr>
        <w:spacing w:after="0" w:line="190"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This Contract is available for use in connection with Non-Qualified Plans, Traditional IRAs and Roth IRAs. BLIC is located at 11225 North Community House Road, Charlotte, NC 28277. The telephone number is 1-888-243-1932. Brighthouse Securities, LLC, 11225 North Community House Road, Charlotte, NC 28277, is the principal underwriter and distributor of the Contracts.</w:t>
      </w:r>
    </w:p>
    <w:p>
      <w:pPr>
        <w:spacing w:after="0" w:line="176"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Please read the prospectus carefully before investing and keep it for future reference. </w:t>
      </w:r>
      <w:r>
        <w:rPr>
          <w:rFonts w:ascii="Times New Roman" w:cs="Times New Roman" w:eastAsia="Times New Roman" w:hAnsi="Times New Roman"/>
          <w:sz w:val="18"/>
          <w:szCs w:val="18"/>
          <w:color w:val="auto"/>
        </w:rPr>
        <w:t>This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important information, including a description of all material features, rights and obligations of the Contract. BLIC’s obligations under the Contract are subject to our financial strength and claims-paying ability. The investment options under the Contract include (1) the various Shield Options which credit positive, negative, or zero interest based on the performance of an underlying index, and provide certain protections in that BLIC will absorb specified levels of negative index returns; and (2) the Fixed Account, if available, which guarantees principal and interest. The Contract also includes the Performance Lock Rider that allows you to lock positive Index Performance on certain Shield Options.</w:t>
      </w:r>
    </w:p>
    <w:p>
      <w:pPr>
        <w:spacing w:after="0" w:line="77"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The currently offered Shield Options provide that we will absorb losses at least equal to 10%, 15%, and 25%. Under these Shield Options, the maximum amount of loss you could experience due to negative index performance at the end of a Term, after taking into account these levels of protection, would be: 90% for 10% downside protection; 85% for 15% downside protection; and 75% for 25% downside protection. We do not guarantee that there will always be a Shield Option under the Contract that provides this minimum amount of downside protection; however, there will always be at least one Shield Option available that offers downside protection, although it may not be substantially similar to one of the currently available Shield Options. </w:t>
      </w:r>
      <w:r>
        <w:rPr>
          <w:rFonts w:ascii="Times New Roman" w:cs="Times New Roman" w:eastAsia="Times New Roman" w:hAnsi="Times New Roman"/>
          <w:sz w:val="18"/>
          <w:szCs w:val="18"/>
          <w:color w:val="auto"/>
        </w:rPr>
        <w:t>In return for downside protection, we may limit positive index gains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Shield Options.</w:t>
      </w:r>
    </w:p>
    <w:p>
      <w:pPr>
        <w:spacing w:after="0" w:line="84" w:lineRule="exact"/>
        <w:rPr>
          <w:sz w:val="20"/>
          <w:szCs w:val="20"/>
          <w:color w:val="auto"/>
        </w:rPr>
      </w:pPr>
    </w:p>
    <w:p>
      <w:pPr>
        <w:ind w:left="480" w:right="659"/>
        <w:spacing w:after="0" w:line="261" w:lineRule="auto"/>
        <w:rPr>
          <w:sz w:val="20"/>
          <w:szCs w:val="20"/>
          <w:color w:val="auto"/>
        </w:rPr>
      </w:pPr>
      <w:r>
        <w:rPr>
          <w:rFonts w:ascii="Times New Roman" w:cs="Times New Roman" w:eastAsia="Times New Roman" w:hAnsi="Times New Roman"/>
          <w:sz w:val="18"/>
          <w:szCs w:val="18"/>
          <w:color w:val="auto"/>
        </w:rPr>
        <w:t>Each Shield Option also has a Rate Crediting Type (the Cap Rate, Step Rate, or Step Rate Edge), which are the ways in</w:t>
      </w:r>
    </w:p>
    <w:p>
      <w:pPr>
        <w:jc w:val="both"/>
        <w:ind w:left="120" w:right="639"/>
        <w:spacing w:after="0" w:line="252" w:lineRule="auto"/>
        <w:rPr>
          <w:sz w:val="20"/>
          <w:szCs w:val="20"/>
          <w:color w:val="auto"/>
        </w:rPr>
      </w:pPr>
      <w:r>
        <w:rPr>
          <w:rFonts w:ascii="Times New Roman" w:cs="Times New Roman" w:eastAsia="Times New Roman" w:hAnsi="Times New Roman"/>
          <w:sz w:val="18"/>
          <w:szCs w:val="18"/>
          <w:color w:val="auto"/>
        </w:rPr>
        <w:t xml:space="preserve">which we calculate any positive interest credited based on the performance of the underlying Index. </w:t>
      </w:r>
      <w:r>
        <w:rPr>
          <w:rFonts w:ascii="Times New Roman" w:cs="Times New Roman" w:eastAsia="Times New Roman" w:hAnsi="Times New Roman"/>
          <w:sz w:val="18"/>
          <w:szCs w:val="18"/>
          <w:b w:val="1"/>
          <w:bCs w:val="1"/>
          <w:color w:val="auto"/>
        </w:rPr>
        <w:t>We limit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 you can earn on a Shield Option through the Rate Crediting Type. The Minimum Guaranteed Cap Rate for your Contract is the amount shown on your Contract Schedule, but will not be less than 2% for Shield Options with a 1-Year Term, 6% for Shield Options with a 3-Year Term and 8% for Shield Options with a 6-Year Term. The Minimum Guaranteed Step Rate for your Contract is the amount shown on your Contract Schedule, but will not be less than 1.5%. The Minimum Guaranteed Edge Rate for your Contract is the amount shown on your Contract Schedule, but will not be less than 1.5%.</w:t>
      </w:r>
    </w:p>
    <w:p>
      <w:pPr>
        <w:spacing w:after="0" w:line="80"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Contract is a complex investment. Investment in the Contract involves investment risks, including potential loss of principal. You should not buy this Contract if you are not willing to assume these investment risks.</w:t>
      </w:r>
    </w:p>
    <w:p>
      <w:pPr>
        <w:spacing w:after="0" w:line="64"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The Contract is not a short-term investment and is not appropriate for an investor who needs ready access to cash. The Contract permits ongoing withdrawals from the Shield Options prior to the Term End Date. However, the Contract may not be appropriate for you if you plan to take withdrawals from a Shield Option prior to the Term End Date, especially if you plan to take ongoing withdrawals such as required minimum distributions or withdrawals under the systematic withdrawal program. Withdrawals (including required minimum distributions (“RMDs”) and systematic withdrawals) and Surrenders may be subject to Withdrawal Charges, income taxes, and income tax penalties if taken before age 59½, and, if taken from the Shield Options before the end of a Term, may be based on an Interim Value calculation. In extreme circumstances, you could lose up to 100% of the value of the Shield Option if you make a withdrawal or Surrender from the Shield Options before the Term End Date. If you do intend to take ongoing withdrawals under the Contract, particularly from a Shield Option during the Term, you should consult with a financial professional about whether the Contract is appropriate for you.</w:t>
      </w:r>
    </w:p>
    <w:p>
      <w:pPr>
        <w:spacing w:after="0" w:line="86"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If you are a new investor in the Contract, you may cancel the Contract within 10 days after receiving it without paying fees or penalties by mailing or delivering the Contract to either us or the financial professional who sold it. In some states the period may be longer. Upon cancellation, you will either receive a full refund of the amount you paid with your</w:t>
      </w:r>
    </w:p>
    <w:p>
      <w:pPr>
        <w:sectPr>
          <w:pgSz w:w="11900" w:h="16838" w:orient="portrait"/>
          <w:cols w:equalWidth="0" w:num="1">
            <w:col w:w="9019"/>
          </w:cols>
          <w:pgMar w:left="1440" w:top="765" w:right="1440" w:bottom="739" w:gutter="0" w:footer="0" w:header="0"/>
        </w:sectPr>
      </w:pPr>
    </w:p>
    <w:bookmarkStart w:id="4" w:name="page5"/>
    <w:bookmarkEnd w:id="4"/>
    <w:p>
      <w:pPr>
        <w:jc w:val="both"/>
        <w:ind w:left="120" w:right="65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application or your total Account Value (although we will apply an Interim Value calculation). You should review this prospectus or consult with your financial professional, for additional information about the specific cancellation terms that apply.</w:t>
      </w:r>
    </w:p>
    <w:p>
      <w:pPr>
        <w:spacing w:after="0" w:line="172" w:lineRule="exact"/>
        <w:rPr>
          <w:sz w:val="20"/>
          <w:szCs w:val="20"/>
          <w:color w:val="auto"/>
        </w:rPr>
      </w:pPr>
    </w:p>
    <w:p>
      <w:pPr>
        <w:jc w:val="both"/>
        <w:ind w:left="120" w:right="6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these securities or the adequacy of this prospectus. Any representation to the contrary is a criminal offense. Mutual funds, annuities and insurance products are not deposits of any bank and are not insured or guaranteed by the Federal Deposit Insurance Corporation (the “FDIC”) or any other government agency. You may lose money invested in the Contract.</w:t>
      </w:r>
    </w:p>
    <w:p>
      <w:pPr>
        <w:spacing w:after="0" w:line="179" w:lineRule="exact"/>
        <w:rPr>
          <w:sz w:val="20"/>
          <w:szCs w:val="20"/>
          <w:color w:val="auto"/>
        </w:rPr>
      </w:pPr>
    </w:p>
    <w:p>
      <w:pPr>
        <w:jc w:val="both"/>
        <w:ind w:left="120" w:right="6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Contracts may be distributed through broker-dealers that have relationships with banks or other financial institutions or by employees of such banks. However, the Contracts are not deposits or obligations of, or guaranteed by such institutions or any Federal regulatory agency. Additional information about certain investment products, including registered index-linked annuities, has been prepared by the SEC’s staff and is available at Investor.gov.</w:t>
      </w:r>
    </w:p>
    <w:p>
      <w:pPr>
        <w:spacing w:after="0" w:line="179" w:lineRule="exact"/>
        <w:rPr>
          <w:sz w:val="20"/>
          <w:szCs w:val="20"/>
          <w:color w:val="auto"/>
        </w:rPr>
      </w:pPr>
    </w:p>
    <w:p>
      <w:pPr>
        <w:jc w:val="both"/>
        <w:ind w:left="120" w:right="6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principal underwriter of the Contract is Brighthouse Securities, LLC. The offering of the Contract is intended to be continuous.</w:t>
      </w:r>
    </w:p>
    <w:p>
      <w:pPr>
        <w:spacing w:after="0" w:line="15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Prospectus dated [TO BE UPDATED BY AMENDMENT]</w:t>
      </w:r>
    </w:p>
    <w:p>
      <w:pPr>
        <w:sectPr>
          <w:pgSz w:w="11900" w:h="16838" w:orient="portrait"/>
          <w:cols w:equalWidth="0" w:num="1">
            <w:col w:w="9019"/>
          </w:cols>
          <w:pgMar w:left="1440" w:top="742" w:right="1440" w:bottom="1440" w:gutter="0" w:footer="0" w:header="0"/>
        </w:sectPr>
      </w:pPr>
    </w:p>
    <w:bookmarkStart w:id="5" w:name="page6"/>
    <w:bookmarkEnd w:id="5"/>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60" w:type="dxa"/>
            <w:vAlign w:val="bottom"/>
            <w:gridSpan w:val="1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56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SPECIAL TERMS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69"/>
        </w:trPr>
        <w:tc>
          <w:tcPr>
            <w:tcW w:w="1360" w:type="dxa"/>
            <w:vAlign w:val="bottom"/>
            <w:tcBorders>
              <w:top w:val="single" w:sz="8" w:color="0000EE"/>
            </w:tcBorders>
            <w:gridSpan w:val="10"/>
            <w:shd w:val="clear" w:color="auto" w:fill="F0FFFF"/>
          </w:tcPr>
          <w:p>
            <w:pPr>
              <w:spacing w:after="0" w:line="169" w:lineRule="exact"/>
              <w:rPr>
                <w:sz w:val="20"/>
                <w:szCs w:val="20"/>
                <w:color w:val="auto"/>
              </w:rPr>
            </w:pPr>
            <w:r>
              <w:rPr>
                <w:rFonts w:ascii="Times New Roman" w:cs="Times New Roman" w:eastAsia="Times New Roman" w:hAnsi="Times New Roman"/>
                <w:sz w:val="18"/>
                <w:szCs w:val="18"/>
                <w:color w:val="0000EE"/>
              </w:rPr>
              <w:t>SUMMARY</w:t>
            </w:r>
          </w:p>
        </w:tc>
        <w:tc>
          <w:tcPr>
            <w:tcW w:w="5200" w:type="dxa"/>
            <w:vAlign w:val="bottom"/>
            <w:gridSpan w:val="35"/>
            <w:shd w:val="clear" w:color="auto" w:fill="F0FFFF"/>
          </w:tcPr>
          <w:p>
            <w:pPr>
              <w:spacing w:after="0"/>
              <w:rPr>
                <w:sz w:val="14"/>
                <w:szCs w:val="14"/>
                <w:color w:val="auto"/>
              </w:rPr>
            </w:pP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About the Contract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Phases of the Contract</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Accumulation Period</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Income Period</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Contract Features</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Contract Adjustment</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Key Features of the Contract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560" w:type="dxa"/>
            <w:vAlign w:val="bottom"/>
            <w:gridSpan w:val="4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RISK FACTORS</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560" w:type="dxa"/>
            <w:vAlign w:val="bottom"/>
            <w:gridSpan w:val="45"/>
          </w:tcPr>
          <w:p>
            <w:pPr>
              <w:spacing w:after="0" w:line="162" w:lineRule="exact"/>
              <w:rPr>
                <w:sz w:val="20"/>
                <w:szCs w:val="20"/>
                <w:color w:val="auto"/>
              </w:rPr>
            </w:pPr>
            <w:r>
              <w:rPr>
                <w:rFonts w:ascii="Times New Roman" w:cs="Times New Roman" w:eastAsia="Times New Roman" w:hAnsi="Times New Roman"/>
                <w:sz w:val="18"/>
                <w:szCs w:val="18"/>
                <w:color w:val="0000EE"/>
              </w:rPr>
              <w:t>THE ANNUITY CONTRACT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Replacement of Contracts</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560" w:type="dxa"/>
            <w:vAlign w:val="bottom"/>
            <w:gridSpan w:val="45"/>
          </w:tcPr>
          <w:p>
            <w:pPr>
              <w:spacing w:after="0" w:line="162" w:lineRule="exact"/>
              <w:rPr>
                <w:sz w:val="20"/>
                <w:szCs w:val="20"/>
                <w:color w:val="auto"/>
              </w:rPr>
            </w:pPr>
            <w:r>
              <w:rPr>
                <w:rFonts w:ascii="Times New Roman" w:cs="Times New Roman" w:eastAsia="Times New Roman" w:hAnsi="Times New Roman"/>
                <w:sz w:val="18"/>
                <w:szCs w:val="18"/>
                <w:color w:val="0000EE"/>
              </w:rPr>
              <w:t>PURCHASE</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Purchase Payment</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Allocation of the Purchase Payment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560" w:type="dxa"/>
            <w:vAlign w:val="bottom"/>
            <w:gridSpan w:val="4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SHIELD OPTIONS</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560" w:type="dxa"/>
            <w:vAlign w:val="bottom"/>
            <w:gridSpan w:val="45"/>
          </w:tcPr>
          <w:p>
            <w:pPr>
              <w:spacing w:after="0" w:line="162" w:lineRule="exact"/>
              <w:rPr>
                <w:sz w:val="20"/>
                <w:szCs w:val="20"/>
                <w:color w:val="auto"/>
              </w:rPr>
            </w:pPr>
            <w:r>
              <w:rPr>
                <w:rFonts w:ascii="Times New Roman" w:cs="Times New Roman" w:eastAsia="Times New Roman" w:hAnsi="Times New Roman"/>
                <w:sz w:val="18"/>
                <w:szCs w:val="18"/>
                <w:color w:val="0000EE"/>
              </w:rPr>
              <w:t>TERM</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Term Start Date</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Term End Date</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560" w:type="dxa"/>
            <w:vAlign w:val="bottom"/>
            <w:gridSpan w:val="4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INDICES</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Index Value</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Index Performance</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560" w:type="dxa"/>
            <w:vAlign w:val="bottom"/>
            <w:gridSpan w:val="45"/>
          </w:tcPr>
          <w:p>
            <w:pPr>
              <w:spacing w:after="0" w:line="162" w:lineRule="exact"/>
              <w:rPr>
                <w:sz w:val="20"/>
                <w:szCs w:val="20"/>
                <w:color w:val="auto"/>
              </w:rPr>
            </w:pPr>
            <w:r>
              <w:rPr>
                <w:rFonts w:ascii="Times New Roman" w:cs="Times New Roman" w:eastAsia="Times New Roman" w:hAnsi="Times New Roman"/>
                <w:sz w:val="18"/>
                <w:szCs w:val="18"/>
                <w:color w:val="0000EE"/>
              </w:rPr>
              <w:t>SHIELD RATES</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560" w:type="dxa"/>
            <w:vAlign w:val="bottom"/>
            <w:gridSpan w:val="4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RATE CREDITING TYPES</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Cap Rate</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Step Rate</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Step Rate Edge</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Rate Crediting Type Considerations</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560" w:type="dxa"/>
            <w:vAlign w:val="bottom"/>
            <w:gridSpan w:val="45"/>
          </w:tcPr>
          <w:p>
            <w:pPr>
              <w:spacing w:after="0" w:line="162" w:lineRule="exact"/>
              <w:rPr>
                <w:sz w:val="20"/>
                <w:szCs w:val="20"/>
                <w:color w:val="auto"/>
              </w:rPr>
            </w:pPr>
            <w:r>
              <w:rPr>
                <w:rFonts w:ascii="Times New Roman" w:cs="Times New Roman" w:eastAsia="Times New Roman" w:hAnsi="Times New Roman"/>
                <w:sz w:val="18"/>
                <w:szCs w:val="18"/>
                <w:color w:val="0000EE"/>
              </w:rPr>
              <w:t>ADDITION OR DISCONTINUANCE OF A SHIELD OPTION</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560" w:type="dxa"/>
            <w:vAlign w:val="bottom"/>
            <w:gridSpan w:val="4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ACCOUNT VALUE</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560" w:type="dxa"/>
            <w:vAlign w:val="bottom"/>
            <w:gridSpan w:val="45"/>
          </w:tcPr>
          <w:p>
            <w:pPr>
              <w:spacing w:after="0" w:line="162" w:lineRule="exact"/>
              <w:rPr>
                <w:sz w:val="20"/>
                <w:szCs w:val="20"/>
                <w:color w:val="auto"/>
              </w:rPr>
            </w:pPr>
            <w:r>
              <w:rPr>
                <w:rFonts w:ascii="Times New Roman" w:cs="Times New Roman" w:eastAsia="Times New Roman" w:hAnsi="Times New Roman"/>
                <w:sz w:val="18"/>
                <w:szCs w:val="18"/>
                <w:color w:val="0000EE"/>
              </w:rPr>
              <w:t>INVESTMENT AMOUNT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Investment Amount without Performance Lock</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Investment Amount with Performance Lock</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560" w:type="dxa"/>
            <w:vAlign w:val="bottom"/>
            <w:gridSpan w:val="4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INTERIM VALUE CALCULATION</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Interim Value Calculation without Performance Lock</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Interim Value Calculation with Performance Lock</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Accrued Shield Rate for Interim Value Calculation</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Accrued Cap Rate for Interim Value Calculation</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Accrued Edge Rate for Interim Value Calculation</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Accrued Step Rate for Interim Value Calculation</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560" w:type="dxa"/>
            <w:vAlign w:val="bottom"/>
            <w:gridSpan w:val="45"/>
          </w:tcPr>
          <w:p>
            <w:pPr>
              <w:spacing w:after="0" w:line="162" w:lineRule="exact"/>
              <w:rPr>
                <w:sz w:val="20"/>
                <w:szCs w:val="20"/>
                <w:color w:val="auto"/>
              </w:rPr>
            </w:pPr>
            <w:r>
              <w:rPr>
                <w:rFonts w:ascii="Times New Roman" w:cs="Times New Roman" w:eastAsia="Times New Roman" w:hAnsi="Times New Roman"/>
                <w:sz w:val="18"/>
                <w:szCs w:val="18"/>
                <w:color w:val="0000EE"/>
              </w:rPr>
              <w:t>WITHDRAWAL PROVISIONS</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Withdrawal Charge</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When No Withdrawal Charge Applies</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Systematic Withdrawal Program</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560" w:type="dxa"/>
            <w:vAlign w:val="bottom"/>
            <w:gridSpan w:val="45"/>
          </w:tcPr>
          <w:p>
            <w:pPr>
              <w:spacing w:after="0" w:line="162" w:lineRule="exact"/>
              <w:rPr>
                <w:sz w:val="20"/>
                <w:szCs w:val="20"/>
                <w:color w:val="auto"/>
              </w:rPr>
            </w:pPr>
            <w:r>
              <w:rPr>
                <w:rFonts w:ascii="Times New Roman" w:cs="Times New Roman" w:eastAsia="Times New Roman" w:hAnsi="Times New Roman"/>
                <w:sz w:val="18"/>
                <w:szCs w:val="18"/>
                <w:color w:val="0000EE"/>
              </w:rPr>
              <w:t>TRANSFERS</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2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Transfers without Performance Lock</w:t>
            </w:r>
          </w:p>
        </w:tc>
        <w:tc>
          <w:tcPr>
            <w:tcW w:w="17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1600" w:type="dxa"/>
            <w:vAlign w:val="bottom"/>
            <w:tcBorders>
              <w:top w:val="single" w:sz="8" w:color="F0FFFF"/>
            </w:tcBorders>
            <w:shd w:val="clear" w:color="auto" w:fill="F0FFFF"/>
          </w:tcPr>
          <w:p>
            <w:pPr>
              <w:spacing w:after="0"/>
              <w:rPr>
                <w:sz w:val="5"/>
                <w:szCs w:val="5"/>
                <w:color w:val="auto"/>
              </w:rPr>
            </w:pPr>
          </w:p>
        </w:tc>
        <w:tc>
          <w:tcPr>
            <w:tcW w:w="170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Transfers with Performance Lock</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Borders>
              <w:bottom w:val="single" w:sz="8" w:color="F0FFFF"/>
            </w:tcBorders>
            <w:shd w:val="clear" w:color="auto" w:fill="F0FFFF"/>
          </w:tcPr>
          <w:p>
            <w:pPr>
              <w:spacing w:after="0"/>
              <w:rPr>
                <w:sz w:val="14"/>
                <w:szCs w:val="14"/>
                <w:color w:val="auto"/>
              </w:rPr>
            </w:pPr>
          </w:p>
        </w:tc>
        <w:tc>
          <w:tcPr>
            <w:tcW w:w="4600" w:type="dxa"/>
            <w:vAlign w:val="bottom"/>
            <w:tcBorders>
              <w:bottom w:val="single" w:sz="8" w:color="0000EE"/>
            </w:tcBorders>
            <w:gridSpan w:val="43"/>
            <w:shd w:val="clear" w:color="auto" w:fill="F0FFFF"/>
          </w:tcPr>
          <w:p>
            <w:pPr>
              <w:spacing w:after="0" w:line="142" w:lineRule="exact"/>
              <w:rPr>
                <w:sz w:val="20"/>
                <w:szCs w:val="20"/>
                <w:color w:val="auto"/>
              </w:rPr>
            </w:pPr>
            <w:r>
              <w:rPr>
                <w:rFonts w:ascii="Times New Roman" w:cs="Times New Roman" w:eastAsia="Times New Roman" w:hAnsi="Times New Roman"/>
                <w:sz w:val="16"/>
                <w:szCs w:val="16"/>
                <w:color w:val="0000EE"/>
              </w:rPr>
              <w:t>Availability of the Performance Lock with a New Shield Option</w:t>
            </w:r>
          </w:p>
        </w:tc>
        <w:tc>
          <w:tcPr>
            <w:tcW w:w="1600" w:type="dxa"/>
            <w:vAlign w:val="bottom"/>
            <w:tcBorders>
              <w:bottom w:val="single" w:sz="8" w:color="F0FFFF"/>
            </w:tcBorders>
            <w:vMerge w:val="restart"/>
            <w:shd w:val="clear" w:color="auto" w:fill="F0FFFF"/>
          </w:tcPr>
          <w:p>
            <w:pPr>
              <w:spacing w:after="0"/>
              <w:rPr>
                <w:sz w:val="14"/>
                <w:szCs w:val="14"/>
                <w:color w:val="auto"/>
              </w:rPr>
            </w:pPr>
          </w:p>
        </w:tc>
        <w:tc>
          <w:tcPr>
            <w:tcW w:w="1700" w:type="dxa"/>
            <w:vAlign w:val="bottom"/>
            <w:tcBorders>
              <w:bottom w:val="single" w:sz="8" w:color="F0FFFF"/>
            </w:tcBorders>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61"/>
        </w:trPr>
        <w:tc>
          <w:tcPr>
            <w:tcW w:w="360" w:type="dxa"/>
            <w:vAlign w:val="bottom"/>
            <w:shd w:val="clear" w:color="auto" w:fill="F0FFFF"/>
          </w:tcPr>
          <w:p>
            <w:pPr>
              <w:spacing w:after="0"/>
              <w:rPr>
                <w:sz w:val="5"/>
                <w:szCs w:val="5"/>
                <w:color w:val="auto"/>
              </w:rPr>
            </w:pPr>
          </w:p>
        </w:tc>
        <w:tc>
          <w:tcPr>
            <w:tcW w:w="3260" w:type="dxa"/>
            <w:vAlign w:val="bottom"/>
            <w:gridSpan w:val="34"/>
            <w:shd w:val="clear" w:color="auto" w:fill="F0FFFF"/>
          </w:tcPr>
          <w:p>
            <w:pPr>
              <w:spacing w:after="0"/>
              <w:rPr>
                <w:sz w:val="5"/>
                <w:szCs w:val="5"/>
                <w:color w:val="auto"/>
              </w:rPr>
            </w:pPr>
          </w:p>
        </w:tc>
        <w:tc>
          <w:tcPr>
            <w:tcW w:w="1340" w:type="dxa"/>
            <w:vAlign w:val="bottom"/>
            <w:gridSpan w:val="9"/>
            <w:shd w:val="clear" w:color="auto" w:fill="F0FFFF"/>
          </w:tcPr>
          <w:p>
            <w:pPr>
              <w:spacing w:after="0"/>
              <w:rPr>
                <w:sz w:val="5"/>
                <w:szCs w:val="5"/>
                <w:color w:val="auto"/>
              </w:rPr>
            </w:pPr>
          </w:p>
        </w:tc>
        <w:tc>
          <w:tcPr>
            <w:tcW w:w="1600" w:type="dxa"/>
            <w:vAlign w:val="bottom"/>
            <w:vMerge w:val="continue"/>
            <w:shd w:val="clear" w:color="auto" w:fill="F0FFFF"/>
          </w:tcPr>
          <w:p>
            <w:pPr>
              <w:spacing w:after="0"/>
              <w:rPr>
                <w:sz w:val="5"/>
                <w:szCs w:val="5"/>
                <w:color w:val="auto"/>
              </w:rPr>
            </w:pPr>
          </w:p>
        </w:tc>
        <w:tc>
          <w:tcPr>
            <w:tcW w:w="1700" w:type="dxa"/>
            <w:vAlign w:val="bottom"/>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200" w:type="dxa"/>
            <w:vAlign w:val="bottom"/>
            <w:gridSpan w:val="44"/>
          </w:tcPr>
          <w:p>
            <w:pPr>
              <w:spacing w:after="0" w:line="142" w:lineRule="exact"/>
              <w:rPr>
                <w:sz w:val="20"/>
                <w:szCs w:val="20"/>
                <w:color w:val="auto"/>
              </w:rPr>
            </w:pPr>
            <w:r>
              <w:rPr>
                <w:rFonts w:ascii="Times New Roman" w:cs="Times New Roman" w:eastAsia="Times New Roman" w:hAnsi="Times New Roman"/>
                <w:sz w:val="16"/>
                <w:szCs w:val="16"/>
                <w:color w:val="0000EE"/>
              </w:rPr>
              <w:t>Transfer Requirements for the Fixed Account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871"/>
        </w:trPr>
        <w:tc>
          <w:tcPr>
            <w:tcW w:w="360" w:type="dxa"/>
            <w:vAlign w:val="bottom"/>
          </w:tcPr>
          <w:p>
            <w:pPr>
              <w:spacing w:after="0"/>
              <w:rPr>
                <w:sz w:val="24"/>
                <w:szCs w:val="24"/>
                <w:color w:val="auto"/>
              </w:rPr>
            </w:pPr>
          </w:p>
        </w:tc>
        <w:tc>
          <w:tcPr>
            <w:tcW w:w="3260" w:type="dxa"/>
            <w:vAlign w:val="bottom"/>
            <w:tcBorders>
              <w:top w:val="single" w:sz="8" w:color="0000EE"/>
            </w:tcBorders>
            <w:gridSpan w:val="34"/>
          </w:tcPr>
          <w:p>
            <w:pPr>
              <w:spacing w:after="0"/>
              <w:rPr>
                <w:sz w:val="24"/>
                <w:szCs w:val="24"/>
                <w:color w:val="auto"/>
              </w:rPr>
            </w:pP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738"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bookmarkStart w:id="6" w:name="page7"/>
    <w:bookmarkEnd w:id="6"/>
    <w:tbl>
      <w:tblPr>
        <w:tblLayout w:type="fixed"/>
        <w:tblInd w:w="120" w:type="dxa"/>
        <w:tblCellMar>
          <w:top w:w="0" w:type="dxa"/>
          <w:left w:w="0" w:type="dxa"/>
          <w:bottom w:w="0" w:type="dxa"/>
          <w:right w:w="0" w:type="dxa"/>
        </w:tblCellMar>
      </w:tblPr>
      <w:tr>
        <w:trPr>
          <w:trHeight w:val="234"/>
        </w:trPr>
        <w:tc>
          <w:tcPr>
            <w:tcW w:w="832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PERFORMANCE LOCK BENEFIT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62"/>
        </w:trPr>
        <w:tc>
          <w:tcPr>
            <w:tcW w:w="360" w:type="dxa"/>
            <w:vAlign w:val="bottom"/>
            <w:tcBorders>
              <w:top w:val="single" w:sz="8" w:color="0000EE"/>
            </w:tcBorders>
            <w:shd w:val="clear" w:color="auto" w:fill="F0FFFF"/>
          </w:tcPr>
          <w:p>
            <w:pPr>
              <w:spacing w:after="0"/>
              <w:rPr>
                <w:sz w:val="14"/>
                <w:szCs w:val="14"/>
                <w:color w:val="auto"/>
              </w:rPr>
            </w:pPr>
          </w:p>
        </w:tc>
        <w:tc>
          <w:tcPr>
            <w:tcW w:w="2280" w:type="dxa"/>
            <w:vAlign w:val="bottom"/>
            <w:tcBorders>
              <w:top w:val="single" w:sz="8" w:color="0000EE"/>
            </w:tcBorders>
            <w:gridSpan w:val="2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Locked Index Value</w:t>
            </w:r>
          </w:p>
        </w:tc>
        <w:tc>
          <w:tcPr>
            <w:tcW w:w="5680" w:type="dxa"/>
            <w:vAlign w:val="bottom"/>
            <w:gridSpan w:val="19"/>
            <w:shd w:val="clear" w:color="auto" w:fill="F0FFFF"/>
          </w:tcPr>
          <w:p>
            <w:pPr>
              <w:spacing w:after="0"/>
              <w:rPr>
                <w:sz w:val="14"/>
                <w:szCs w:val="14"/>
                <w:color w:val="auto"/>
              </w:rPr>
            </w:pP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960" w:type="dxa"/>
            <w:vAlign w:val="bottom"/>
            <w:gridSpan w:val="45"/>
          </w:tcPr>
          <w:p>
            <w:pPr>
              <w:spacing w:after="0" w:line="162" w:lineRule="exact"/>
              <w:rPr>
                <w:sz w:val="20"/>
                <w:szCs w:val="20"/>
                <w:color w:val="auto"/>
              </w:rPr>
            </w:pPr>
            <w:r>
              <w:rPr>
                <w:rFonts w:ascii="Times New Roman" w:cs="Times New Roman" w:eastAsia="Times New Roman" w:hAnsi="Times New Roman"/>
                <w:sz w:val="18"/>
                <w:szCs w:val="18"/>
                <w:color w:val="0000EE"/>
              </w:rPr>
              <w:t>Setting a Target Index Value</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960" w:type="dxa"/>
            <w:vAlign w:val="bottom"/>
            <w:gridSpan w:val="4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Index Performance with a Locked Index Value</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960" w:type="dxa"/>
            <w:vAlign w:val="bottom"/>
            <w:gridSpan w:val="45"/>
          </w:tcPr>
          <w:p>
            <w:pPr>
              <w:spacing w:after="0" w:line="162" w:lineRule="exact"/>
              <w:rPr>
                <w:sz w:val="20"/>
                <w:szCs w:val="20"/>
                <w:color w:val="auto"/>
              </w:rPr>
            </w:pPr>
            <w:r>
              <w:rPr>
                <w:rFonts w:ascii="Times New Roman" w:cs="Times New Roman" w:eastAsia="Times New Roman" w:hAnsi="Times New Roman"/>
                <w:sz w:val="18"/>
                <w:szCs w:val="18"/>
                <w:color w:val="0000EE"/>
              </w:rPr>
              <w:t>Performance Lock Factor</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960" w:type="dxa"/>
            <w:vAlign w:val="bottom"/>
            <w:gridSpan w:val="4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Availability of the Performance Lock</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tcPr>
          <w:p>
            <w:pPr>
              <w:spacing w:after="0" w:line="162" w:lineRule="exact"/>
              <w:rPr>
                <w:sz w:val="20"/>
                <w:szCs w:val="20"/>
                <w:color w:val="auto"/>
              </w:rPr>
            </w:pPr>
            <w:r>
              <w:rPr>
                <w:rFonts w:ascii="Times New Roman" w:cs="Times New Roman" w:eastAsia="Times New Roman" w:hAnsi="Times New Roman"/>
                <w:sz w:val="18"/>
                <w:szCs w:val="18"/>
                <w:color w:val="0000EE"/>
              </w:rPr>
              <w:t>DEATH BENEFIT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960" w:type="dxa"/>
            <w:vAlign w:val="bottom"/>
            <w:gridSpan w:val="4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Standard Death Benefit</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General Death Benefit Provisions</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76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Controlled Payout</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Death of Owner During the Accumulation Period</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760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Death of Annuitant During the Accumulation Period</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Death Benefit Options</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INCOME PAYMENTS (THE INCOME PERIOD)</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960" w:type="dxa"/>
            <w:vAlign w:val="bottom"/>
            <w:gridSpan w:val="45"/>
          </w:tcPr>
          <w:p>
            <w:pPr>
              <w:spacing w:after="0" w:line="162" w:lineRule="exact"/>
              <w:rPr>
                <w:sz w:val="20"/>
                <w:szCs w:val="20"/>
                <w:color w:val="auto"/>
              </w:rPr>
            </w:pPr>
            <w:r>
              <w:rPr>
                <w:rFonts w:ascii="Times New Roman" w:cs="Times New Roman" w:eastAsia="Times New Roman" w:hAnsi="Times New Roman"/>
                <w:sz w:val="18"/>
                <w:szCs w:val="18"/>
                <w:color w:val="0000EE"/>
              </w:rPr>
              <w:t>Annuity Date</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960" w:type="dxa"/>
            <w:vAlign w:val="bottom"/>
            <w:gridSpan w:val="4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Maturity Date</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960" w:type="dxa"/>
            <w:vAlign w:val="bottom"/>
            <w:gridSpan w:val="45"/>
          </w:tcPr>
          <w:p>
            <w:pPr>
              <w:spacing w:after="0" w:line="162" w:lineRule="exact"/>
              <w:rPr>
                <w:sz w:val="20"/>
                <w:szCs w:val="20"/>
                <w:color w:val="auto"/>
              </w:rPr>
            </w:pPr>
            <w:r>
              <w:rPr>
                <w:rFonts w:ascii="Times New Roman" w:cs="Times New Roman" w:eastAsia="Times New Roman" w:hAnsi="Times New Roman"/>
                <w:sz w:val="18"/>
                <w:szCs w:val="18"/>
                <w:color w:val="0000EE"/>
              </w:rPr>
              <w:t>Income Payments</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960" w:type="dxa"/>
            <w:vAlign w:val="bottom"/>
            <w:gridSpan w:val="4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Annuity Options</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960" w:type="dxa"/>
            <w:vAlign w:val="bottom"/>
            <w:gridSpan w:val="45"/>
          </w:tcPr>
          <w:p>
            <w:pPr>
              <w:spacing w:after="0" w:line="162" w:lineRule="exact"/>
              <w:rPr>
                <w:sz w:val="20"/>
                <w:szCs w:val="20"/>
                <w:color w:val="auto"/>
              </w:rPr>
            </w:pPr>
            <w:r>
              <w:rPr>
                <w:rFonts w:ascii="Times New Roman" w:cs="Times New Roman" w:eastAsia="Times New Roman" w:hAnsi="Times New Roman"/>
                <w:sz w:val="18"/>
                <w:szCs w:val="18"/>
                <w:color w:val="0000EE"/>
              </w:rPr>
              <w:t>Death of Owner During the Income Period</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PREMIUM AND OTHER TAXES</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tcPr>
          <w:p>
            <w:pPr>
              <w:spacing w:after="0" w:line="162" w:lineRule="exact"/>
              <w:rPr>
                <w:sz w:val="20"/>
                <w:szCs w:val="20"/>
                <w:color w:val="auto"/>
              </w:rPr>
            </w:pPr>
            <w:r>
              <w:rPr>
                <w:rFonts w:ascii="Times New Roman" w:cs="Times New Roman" w:eastAsia="Times New Roman" w:hAnsi="Times New Roman"/>
                <w:sz w:val="18"/>
                <w:szCs w:val="18"/>
                <w:color w:val="0000EE"/>
              </w:rPr>
              <w:t>INCOME TAXES</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FEDERAL TAX CONSIDERATIONS</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tcPr>
          <w:p>
            <w:pPr>
              <w:spacing w:after="0" w:line="162" w:lineRule="exact"/>
              <w:rPr>
                <w:sz w:val="20"/>
                <w:szCs w:val="20"/>
                <w:color w:val="auto"/>
              </w:rPr>
            </w:pPr>
            <w:r>
              <w:rPr>
                <w:rFonts w:ascii="Times New Roman" w:cs="Times New Roman" w:eastAsia="Times New Roman" w:hAnsi="Times New Roman"/>
                <w:sz w:val="18"/>
                <w:szCs w:val="18"/>
                <w:color w:val="0000EE"/>
              </w:rPr>
              <w:t>YOUR RIGHT TO CANCEL (FREE LOOK)</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OWNERSHIP PROVISIONS</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tcPr>
          <w:p>
            <w:pPr>
              <w:spacing w:after="0" w:line="162" w:lineRule="exact"/>
              <w:rPr>
                <w:sz w:val="20"/>
                <w:szCs w:val="20"/>
                <w:color w:val="auto"/>
              </w:rPr>
            </w:pPr>
            <w:r>
              <w:rPr>
                <w:rFonts w:ascii="Times New Roman" w:cs="Times New Roman" w:eastAsia="Times New Roman" w:hAnsi="Times New Roman"/>
                <w:sz w:val="18"/>
                <w:szCs w:val="18"/>
                <w:color w:val="0000EE"/>
              </w:rPr>
              <w:t>ABANDONED PROPERTY REQUIREMENTS</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SUSPENSION OF PAYMENTS OR TRANSFERS</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tcPr>
          <w:p>
            <w:pPr>
              <w:spacing w:after="0" w:line="162" w:lineRule="exact"/>
              <w:rPr>
                <w:sz w:val="20"/>
                <w:szCs w:val="20"/>
                <w:color w:val="auto"/>
              </w:rPr>
            </w:pPr>
            <w:r>
              <w:rPr>
                <w:rFonts w:ascii="Times New Roman" w:cs="Times New Roman" w:eastAsia="Times New Roman" w:hAnsi="Times New Roman"/>
                <w:sz w:val="18"/>
                <w:szCs w:val="18"/>
                <w:color w:val="0000EE"/>
              </w:rPr>
              <w:t>WHEN WE CAN CANCEL YOUR CONTRACT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THE INSURANCE COMPANY</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960" w:type="dxa"/>
            <w:vAlign w:val="bottom"/>
            <w:gridSpan w:val="45"/>
          </w:tcPr>
          <w:p>
            <w:pPr>
              <w:spacing w:after="0" w:line="162" w:lineRule="exact"/>
              <w:rPr>
                <w:sz w:val="20"/>
                <w:szCs w:val="20"/>
                <w:color w:val="auto"/>
              </w:rPr>
            </w:pPr>
            <w:r>
              <w:rPr>
                <w:rFonts w:ascii="Times New Roman" w:cs="Times New Roman" w:eastAsia="Times New Roman" w:hAnsi="Times New Roman"/>
                <w:sz w:val="18"/>
                <w:szCs w:val="18"/>
                <w:color w:val="0000EE"/>
              </w:rPr>
              <w:t>Brighthouse Life Insurance Company (“BLIC”)</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THE SEPARATE ACCOUNT</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tcPr>
          <w:p>
            <w:pPr>
              <w:spacing w:after="0" w:line="162" w:lineRule="exact"/>
              <w:rPr>
                <w:sz w:val="20"/>
                <w:szCs w:val="20"/>
                <w:color w:val="auto"/>
              </w:rPr>
            </w:pPr>
            <w:r>
              <w:rPr>
                <w:rFonts w:ascii="Times New Roman" w:cs="Times New Roman" w:eastAsia="Times New Roman" w:hAnsi="Times New Roman"/>
                <w:sz w:val="18"/>
                <w:szCs w:val="18"/>
                <w:color w:val="0000EE"/>
              </w:rPr>
              <w:t>INVESTMENTS BY BLIC</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ANNUAL STATEMENT</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tcPr>
          <w:p>
            <w:pPr>
              <w:spacing w:after="0" w:line="162" w:lineRule="exact"/>
              <w:rPr>
                <w:sz w:val="20"/>
                <w:szCs w:val="20"/>
                <w:color w:val="auto"/>
              </w:rPr>
            </w:pPr>
            <w:r>
              <w:rPr>
                <w:rFonts w:ascii="Times New Roman" w:cs="Times New Roman" w:eastAsia="Times New Roman" w:hAnsi="Times New Roman"/>
                <w:sz w:val="18"/>
                <w:szCs w:val="18"/>
                <w:color w:val="0000EE"/>
              </w:rPr>
              <w:t>DISTRIBUTION OF THE CONTRACTS</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THE FIXED ACCOUNT</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tcPr>
          <w:p>
            <w:pPr>
              <w:spacing w:after="0" w:line="162" w:lineRule="exact"/>
              <w:rPr>
                <w:sz w:val="20"/>
                <w:szCs w:val="20"/>
                <w:color w:val="auto"/>
              </w:rPr>
            </w:pPr>
            <w:r>
              <w:rPr>
                <w:rFonts w:ascii="Times New Roman" w:cs="Times New Roman" w:eastAsia="Times New Roman" w:hAnsi="Times New Roman"/>
                <w:sz w:val="18"/>
                <w:szCs w:val="18"/>
                <w:color w:val="0000EE"/>
              </w:rPr>
              <w:t>RESTRICTIONS ON FINANCIAL TRANSACTIONS</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REQUESTS AND ELECTIONS</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tcPr>
          <w:p>
            <w:pPr>
              <w:spacing w:after="0" w:line="162" w:lineRule="exact"/>
              <w:rPr>
                <w:sz w:val="20"/>
                <w:szCs w:val="20"/>
                <w:color w:val="auto"/>
              </w:rPr>
            </w:pPr>
            <w:r>
              <w:rPr>
                <w:rFonts w:ascii="Times New Roman" w:cs="Times New Roman" w:eastAsia="Times New Roman" w:hAnsi="Times New Roman"/>
                <w:sz w:val="18"/>
                <w:szCs w:val="18"/>
                <w:color w:val="0000EE"/>
              </w:rPr>
              <w:t>CONFIRMING TRANSACTIONS</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LEGAL PROCEEDINGS</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tcPr>
          <w:p>
            <w:pPr>
              <w:spacing w:after="0" w:line="162"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tcPr>
          <w:p>
            <w:pPr>
              <w:spacing w:after="0" w:line="162" w:lineRule="exact"/>
              <w:rPr>
                <w:sz w:val="20"/>
                <w:szCs w:val="20"/>
                <w:color w:val="auto"/>
              </w:rPr>
            </w:pPr>
            <w:r>
              <w:rPr>
                <w:rFonts w:ascii="Times New Roman" w:cs="Times New Roman" w:eastAsia="Times New Roman" w:hAnsi="Times New Roman"/>
                <w:sz w:val="18"/>
                <w:szCs w:val="18"/>
                <w:color w:val="0000EE"/>
              </w:rPr>
              <w:t>STATE VARIATIONS</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ELECTRONIC DELIVERY</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tcPr>
          <w:p>
            <w:pPr>
              <w:spacing w:after="0" w:line="162" w:lineRule="exact"/>
              <w:rPr>
                <w:sz w:val="20"/>
                <w:szCs w:val="20"/>
                <w:color w:val="auto"/>
              </w:rPr>
            </w:pPr>
            <w:r>
              <w:rPr>
                <w:rFonts w:ascii="Times New Roman" w:cs="Times New Roman" w:eastAsia="Times New Roman" w:hAnsi="Times New Roman"/>
                <w:sz w:val="18"/>
                <w:szCs w:val="18"/>
                <w:color w:val="0000EE"/>
              </w:rPr>
              <w:t>AMENDMENT OF THE CONTRACT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MISSTATEMENT</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tcPr>
          <w:p>
            <w:pPr>
              <w:spacing w:after="0" w:line="162"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tcBorders>
              <w:bottom w:val="single" w:sz="8" w:color="0000EE"/>
            </w:tcBorders>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highlight w:val="white"/>
                <w:w w:val="99"/>
              </w:rPr>
              <w:t>DISCLOSURE OF COMMISSION POSITION ON INDEMNIFICATION FOR SECURITIES ACT LIABILITIES</w:t>
            </w:r>
          </w:p>
        </w:tc>
        <w:tc>
          <w:tcPr>
            <w:tcW w:w="420" w:type="dxa"/>
            <w:vAlign w:val="bottom"/>
            <w:tcBorders>
              <w:bottom w:val="single" w:sz="8" w:color="F0FFFF"/>
            </w:tcBorders>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highlight w:val="white"/>
              </w:rPr>
              <w:t>74</w:t>
            </w:r>
          </w:p>
        </w:tc>
        <w:tc>
          <w:tcPr>
            <w:tcW w:w="0" w:type="dxa"/>
            <w:vAlign w:val="bottom"/>
          </w:tcPr>
          <w:p>
            <w:pPr>
              <w:spacing w:after="0"/>
              <w:rPr>
                <w:sz w:val="1"/>
                <w:szCs w:val="1"/>
                <w:color w:val="auto"/>
              </w:rPr>
            </w:pPr>
          </w:p>
        </w:tc>
      </w:tr>
      <w:tr>
        <w:trPr>
          <w:trHeight w:val="61"/>
        </w:trPr>
        <w:tc>
          <w:tcPr>
            <w:tcW w:w="360" w:type="dxa"/>
            <w:vAlign w:val="bottom"/>
            <w:shd w:val="clear" w:color="auto" w:fill="F0FFFF"/>
          </w:tcPr>
          <w:p>
            <w:pPr>
              <w:spacing w:after="0"/>
              <w:rPr>
                <w:sz w:val="5"/>
                <w:szCs w:val="5"/>
                <w:color w:val="auto"/>
              </w:rPr>
            </w:pPr>
          </w:p>
        </w:tc>
        <w:tc>
          <w:tcPr>
            <w:tcW w:w="360" w:type="dxa"/>
            <w:vAlign w:val="bottom"/>
            <w:shd w:val="clear" w:color="auto" w:fill="F0FFFF"/>
          </w:tcPr>
          <w:p>
            <w:pPr>
              <w:spacing w:after="0"/>
              <w:rPr>
                <w:sz w:val="5"/>
                <w:szCs w:val="5"/>
                <w:color w:val="auto"/>
              </w:rPr>
            </w:pPr>
          </w:p>
        </w:tc>
        <w:tc>
          <w:tcPr>
            <w:tcW w:w="40" w:type="dxa"/>
            <w:vAlign w:val="bottom"/>
            <w:shd w:val="clear" w:color="auto" w:fill="F0FFFF"/>
          </w:tcPr>
          <w:p>
            <w:pPr>
              <w:spacing w:after="0"/>
              <w:rPr>
                <w:sz w:val="5"/>
                <w:szCs w:val="5"/>
                <w:color w:val="auto"/>
              </w:rPr>
            </w:pPr>
          </w:p>
        </w:tc>
        <w:tc>
          <w:tcPr>
            <w:tcW w:w="100" w:type="dxa"/>
            <w:vAlign w:val="bottom"/>
            <w:shd w:val="clear" w:color="auto" w:fill="F0FFFF"/>
          </w:tcPr>
          <w:p>
            <w:pPr>
              <w:spacing w:after="0"/>
              <w:rPr>
                <w:sz w:val="5"/>
                <w:szCs w:val="5"/>
                <w:color w:val="auto"/>
              </w:rPr>
            </w:pPr>
          </w:p>
        </w:tc>
        <w:tc>
          <w:tcPr>
            <w:tcW w:w="20" w:type="dxa"/>
            <w:vAlign w:val="bottom"/>
            <w:shd w:val="clear" w:color="auto" w:fill="F0FFFF"/>
          </w:tcPr>
          <w:p>
            <w:pPr>
              <w:spacing w:after="0"/>
              <w:rPr>
                <w:sz w:val="5"/>
                <w:szCs w:val="5"/>
                <w:color w:val="auto"/>
              </w:rPr>
            </w:pPr>
          </w:p>
        </w:tc>
        <w:tc>
          <w:tcPr>
            <w:tcW w:w="40" w:type="dxa"/>
            <w:vAlign w:val="bottom"/>
            <w:shd w:val="clear" w:color="auto" w:fill="F0FFFF"/>
          </w:tcPr>
          <w:p>
            <w:pPr>
              <w:spacing w:after="0"/>
              <w:rPr>
                <w:sz w:val="5"/>
                <w:szCs w:val="5"/>
                <w:color w:val="auto"/>
              </w:rPr>
            </w:pPr>
          </w:p>
        </w:tc>
        <w:tc>
          <w:tcPr>
            <w:tcW w:w="400" w:type="dxa"/>
            <w:vAlign w:val="bottom"/>
            <w:shd w:val="clear" w:color="auto" w:fill="F0FFFF"/>
          </w:tcPr>
          <w:p>
            <w:pPr>
              <w:spacing w:after="0"/>
              <w:rPr>
                <w:sz w:val="5"/>
                <w:szCs w:val="5"/>
                <w:color w:val="auto"/>
              </w:rPr>
            </w:pPr>
          </w:p>
        </w:tc>
        <w:tc>
          <w:tcPr>
            <w:tcW w:w="20" w:type="dxa"/>
            <w:vAlign w:val="bottom"/>
            <w:shd w:val="clear" w:color="auto" w:fill="F0FFFF"/>
          </w:tcPr>
          <w:p>
            <w:pPr>
              <w:spacing w:after="0"/>
              <w:rPr>
                <w:sz w:val="5"/>
                <w:szCs w:val="5"/>
                <w:color w:val="auto"/>
              </w:rPr>
            </w:pPr>
          </w:p>
        </w:tc>
        <w:tc>
          <w:tcPr>
            <w:tcW w:w="20" w:type="dxa"/>
            <w:vAlign w:val="bottom"/>
            <w:shd w:val="clear" w:color="auto" w:fill="F0FFFF"/>
          </w:tcPr>
          <w:p>
            <w:pPr>
              <w:spacing w:after="0"/>
              <w:rPr>
                <w:sz w:val="5"/>
                <w:szCs w:val="5"/>
                <w:color w:val="auto"/>
              </w:rPr>
            </w:pPr>
          </w:p>
        </w:tc>
        <w:tc>
          <w:tcPr>
            <w:tcW w:w="200" w:type="dxa"/>
            <w:vAlign w:val="bottom"/>
            <w:shd w:val="clear" w:color="auto" w:fill="F0FFFF"/>
          </w:tcPr>
          <w:p>
            <w:pPr>
              <w:spacing w:after="0"/>
              <w:rPr>
                <w:sz w:val="5"/>
                <w:szCs w:val="5"/>
                <w:color w:val="auto"/>
              </w:rPr>
            </w:pPr>
          </w:p>
        </w:tc>
        <w:tc>
          <w:tcPr>
            <w:tcW w:w="60" w:type="dxa"/>
            <w:vAlign w:val="bottom"/>
            <w:shd w:val="clear" w:color="auto" w:fill="F0FFFF"/>
          </w:tcPr>
          <w:p>
            <w:pPr>
              <w:spacing w:after="0"/>
              <w:rPr>
                <w:sz w:val="5"/>
                <w:szCs w:val="5"/>
                <w:color w:val="auto"/>
              </w:rPr>
            </w:pPr>
          </w:p>
        </w:tc>
        <w:tc>
          <w:tcPr>
            <w:tcW w:w="20" w:type="dxa"/>
            <w:vAlign w:val="bottom"/>
            <w:shd w:val="clear" w:color="auto" w:fill="F0FFFF"/>
          </w:tcPr>
          <w:p>
            <w:pPr>
              <w:spacing w:after="0"/>
              <w:rPr>
                <w:sz w:val="5"/>
                <w:szCs w:val="5"/>
                <w:color w:val="auto"/>
              </w:rPr>
            </w:pPr>
          </w:p>
        </w:tc>
        <w:tc>
          <w:tcPr>
            <w:tcW w:w="160" w:type="dxa"/>
            <w:vAlign w:val="bottom"/>
            <w:shd w:val="clear" w:color="auto" w:fill="F0FFFF"/>
          </w:tcPr>
          <w:p>
            <w:pPr>
              <w:spacing w:after="0"/>
              <w:rPr>
                <w:sz w:val="5"/>
                <w:szCs w:val="5"/>
                <w:color w:val="auto"/>
              </w:rPr>
            </w:pPr>
          </w:p>
        </w:tc>
        <w:tc>
          <w:tcPr>
            <w:tcW w:w="40" w:type="dxa"/>
            <w:vAlign w:val="bottom"/>
            <w:shd w:val="clear" w:color="auto" w:fill="F0FFFF"/>
          </w:tcPr>
          <w:p>
            <w:pPr>
              <w:spacing w:after="0"/>
              <w:rPr>
                <w:sz w:val="5"/>
                <w:szCs w:val="5"/>
                <w:color w:val="auto"/>
              </w:rPr>
            </w:pPr>
          </w:p>
        </w:tc>
        <w:tc>
          <w:tcPr>
            <w:tcW w:w="20" w:type="dxa"/>
            <w:vAlign w:val="bottom"/>
            <w:shd w:val="clear" w:color="auto" w:fill="F0FFFF"/>
          </w:tcPr>
          <w:p>
            <w:pPr>
              <w:spacing w:after="0"/>
              <w:rPr>
                <w:sz w:val="5"/>
                <w:szCs w:val="5"/>
                <w:color w:val="auto"/>
              </w:rPr>
            </w:pPr>
          </w:p>
        </w:tc>
        <w:tc>
          <w:tcPr>
            <w:tcW w:w="140" w:type="dxa"/>
            <w:vAlign w:val="bottom"/>
            <w:shd w:val="clear" w:color="auto" w:fill="F0FFFF"/>
          </w:tcPr>
          <w:p>
            <w:pPr>
              <w:spacing w:after="0"/>
              <w:rPr>
                <w:sz w:val="5"/>
                <w:szCs w:val="5"/>
                <w:color w:val="auto"/>
              </w:rPr>
            </w:pPr>
          </w:p>
        </w:tc>
        <w:tc>
          <w:tcPr>
            <w:tcW w:w="20" w:type="dxa"/>
            <w:vAlign w:val="bottom"/>
            <w:shd w:val="clear" w:color="auto" w:fill="F0FFFF"/>
          </w:tcPr>
          <w:p>
            <w:pPr>
              <w:spacing w:after="0"/>
              <w:rPr>
                <w:sz w:val="5"/>
                <w:szCs w:val="5"/>
                <w:color w:val="auto"/>
              </w:rPr>
            </w:pPr>
          </w:p>
        </w:tc>
        <w:tc>
          <w:tcPr>
            <w:tcW w:w="20" w:type="dxa"/>
            <w:vAlign w:val="bottom"/>
            <w:shd w:val="clear" w:color="auto" w:fill="F0FFFF"/>
          </w:tcPr>
          <w:p>
            <w:pPr>
              <w:spacing w:after="0"/>
              <w:rPr>
                <w:sz w:val="5"/>
                <w:szCs w:val="5"/>
                <w:color w:val="auto"/>
              </w:rPr>
            </w:pPr>
          </w:p>
        </w:tc>
        <w:tc>
          <w:tcPr>
            <w:tcW w:w="100" w:type="dxa"/>
            <w:vAlign w:val="bottom"/>
            <w:shd w:val="clear" w:color="auto" w:fill="F0FFFF"/>
          </w:tcPr>
          <w:p>
            <w:pPr>
              <w:spacing w:after="0"/>
              <w:rPr>
                <w:sz w:val="5"/>
                <w:szCs w:val="5"/>
                <w:color w:val="auto"/>
              </w:rPr>
            </w:pPr>
          </w:p>
        </w:tc>
        <w:tc>
          <w:tcPr>
            <w:tcW w:w="40" w:type="dxa"/>
            <w:vAlign w:val="bottom"/>
            <w:shd w:val="clear" w:color="auto" w:fill="F0FFFF"/>
          </w:tcPr>
          <w:p>
            <w:pPr>
              <w:spacing w:after="0"/>
              <w:rPr>
                <w:sz w:val="5"/>
                <w:szCs w:val="5"/>
                <w:color w:val="auto"/>
              </w:rPr>
            </w:pPr>
          </w:p>
        </w:tc>
        <w:tc>
          <w:tcPr>
            <w:tcW w:w="20" w:type="dxa"/>
            <w:vAlign w:val="bottom"/>
            <w:shd w:val="clear" w:color="auto" w:fill="F0FFFF"/>
          </w:tcPr>
          <w:p>
            <w:pPr>
              <w:spacing w:after="0"/>
              <w:rPr>
                <w:sz w:val="5"/>
                <w:szCs w:val="5"/>
                <w:color w:val="auto"/>
              </w:rPr>
            </w:pPr>
          </w:p>
        </w:tc>
        <w:tc>
          <w:tcPr>
            <w:tcW w:w="140" w:type="dxa"/>
            <w:vAlign w:val="bottom"/>
            <w:shd w:val="clear" w:color="auto" w:fill="F0FFFF"/>
          </w:tcPr>
          <w:p>
            <w:pPr>
              <w:spacing w:after="0"/>
              <w:rPr>
                <w:sz w:val="5"/>
                <w:szCs w:val="5"/>
                <w:color w:val="auto"/>
              </w:rPr>
            </w:pPr>
          </w:p>
        </w:tc>
        <w:tc>
          <w:tcPr>
            <w:tcW w:w="20" w:type="dxa"/>
            <w:vAlign w:val="bottom"/>
            <w:shd w:val="clear" w:color="auto" w:fill="F0FFFF"/>
          </w:tcPr>
          <w:p>
            <w:pPr>
              <w:spacing w:after="0"/>
              <w:rPr>
                <w:sz w:val="5"/>
                <w:szCs w:val="5"/>
                <w:color w:val="auto"/>
              </w:rPr>
            </w:pPr>
          </w:p>
        </w:tc>
        <w:tc>
          <w:tcPr>
            <w:tcW w:w="40" w:type="dxa"/>
            <w:vAlign w:val="bottom"/>
            <w:shd w:val="clear" w:color="auto" w:fill="F0FFFF"/>
          </w:tcPr>
          <w:p>
            <w:pPr>
              <w:spacing w:after="0"/>
              <w:rPr>
                <w:sz w:val="5"/>
                <w:szCs w:val="5"/>
                <w:color w:val="auto"/>
              </w:rPr>
            </w:pPr>
          </w:p>
        </w:tc>
        <w:tc>
          <w:tcPr>
            <w:tcW w:w="120" w:type="dxa"/>
            <w:vAlign w:val="bottom"/>
            <w:shd w:val="clear" w:color="auto" w:fill="F0FFFF"/>
          </w:tcPr>
          <w:p>
            <w:pPr>
              <w:spacing w:after="0"/>
              <w:rPr>
                <w:sz w:val="5"/>
                <w:szCs w:val="5"/>
                <w:color w:val="auto"/>
              </w:rPr>
            </w:pPr>
          </w:p>
        </w:tc>
        <w:tc>
          <w:tcPr>
            <w:tcW w:w="20" w:type="dxa"/>
            <w:vAlign w:val="bottom"/>
            <w:shd w:val="clear" w:color="auto" w:fill="F0FFFF"/>
          </w:tcPr>
          <w:p>
            <w:pPr>
              <w:spacing w:after="0"/>
              <w:rPr>
                <w:sz w:val="5"/>
                <w:szCs w:val="5"/>
                <w:color w:val="auto"/>
              </w:rPr>
            </w:pPr>
          </w:p>
        </w:tc>
        <w:tc>
          <w:tcPr>
            <w:tcW w:w="100" w:type="dxa"/>
            <w:vAlign w:val="bottom"/>
            <w:shd w:val="clear" w:color="auto" w:fill="F0FFFF"/>
          </w:tcPr>
          <w:p>
            <w:pPr>
              <w:spacing w:after="0"/>
              <w:rPr>
                <w:sz w:val="5"/>
                <w:szCs w:val="5"/>
                <w:color w:val="auto"/>
              </w:rPr>
            </w:pPr>
          </w:p>
        </w:tc>
        <w:tc>
          <w:tcPr>
            <w:tcW w:w="140" w:type="dxa"/>
            <w:vAlign w:val="bottom"/>
            <w:shd w:val="clear" w:color="auto" w:fill="F0FFFF"/>
          </w:tcPr>
          <w:p>
            <w:pPr>
              <w:spacing w:after="0"/>
              <w:rPr>
                <w:sz w:val="5"/>
                <w:szCs w:val="5"/>
                <w:color w:val="auto"/>
              </w:rPr>
            </w:pPr>
          </w:p>
        </w:tc>
        <w:tc>
          <w:tcPr>
            <w:tcW w:w="60" w:type="dxa"/>
            <w:vAlign w:val="bottom"/>
            <w:shd w:val="clear" w:color="auto" w:fill="F0FFFF"/>
          </w:tcPr>
          <w:p>
            <w:pPr>
              <w:spacing w:after="0"/>
              <w:rPr>
                <w:sz w:val="5"/>
                <w:szCs w:val="5"/>
                <w:color w:val="auto"/>
              </w:rPr>
            </w:pPr>
          </w:p>
        </w:tc>
        <w:tc>
          <w:tcPr>
            <w:tcW w:w="200" w:type="dxa"/>
            <w:vAlign w:val="bottom"/>
            <w:shd w:val="clear" w:color="auto" w:fill="F0FFFF"/>
          </w:tcPr>
          <w:p>
            <w:pPr>
              <w:spacing w:after="0"/>
              <w:rPr>
                <w:sz w:val="5"/>
                <w:szCs w:val="5"/>
                <w:color w:val="auto"/>
              </w:rPr>
            </w:pPr>
          </w:p>
        </w:tc>
        <w:tc>
          <w:tcPr>
            <w:tcW w:w="100" w:type="dxa"/>
            <w:vAlign w:val="bottom"/>
            <w:shd w:val="clear" w:color="auto" w:fill="F0FFFF"/>
          </w:tcPr>
          <w:p>
            <w:pPr>
              <w:spacing w:after="0"/>
              <w:rPr>
                <w:sz w:val="5"/>
                <w:szCs w:val="5"/>
                <w:color w:val="auto"/>
              </w:rPr>
            </w:pPr>
          </w:p>
        </w:tc>
        <w:tc>
          <w:tcPr>
            <w:tcW w:w="160" w:type="dxa"/>
            <w:vAlign w:val="bottom"/>
            <w:shd w:val="clear" w:color="auto" w:fill="F0FFFF"/>
          </w:tcPr>
          <w:p>
            <w:pPr>
              <w:spacing w:after="0"/>
              <w:rPr>
                <w:sz w:val="5"/>
                <w:szCs w:val="5"/>
                <w:color w:val="auto"/>
              </w:rPr>
            </w:pPr>
          </w:p>
        </w:tc>
        <w:tc>
          <w:tcPr>
            <w:tcW w:w="120" w:type="dxa"/>
            <w:vAlign w:val="bottom"/>
            <w:shd w:val="clear" w:color="auto" w:fill="F0FFFF"/>
          </w:tcPr>
          <w:p>
            <w:pPr>
              <w:spacing w:after="0"/>
              <w:rPr>
                <w:sz w:val="5"/>
                <w:szCs w:val="5"/>
                <w:color w:val="auto"/>
              </w:rPr>
            </w:pPr>
          </w:p>
        </w:tc>
        <w:tc>
          <w:tcPr>
            <w:tcW w:w="100" w:type="dxa"/>
            <w:vAlign w:val="bottom"/>
            <w:shd w:val="clear" w:color="auto" w:fill="F0FFFF"/>
          </w:tcPr>
          <w:p>
            <w:pPr>
              <w:spacing w:after="0"/>
              <w:rPr>
                <w:sz w:val="5"/>
                <w:szCs w:val="5"/>
                <w:color w:val="auto"/>
              </w:rPr>
            </w:pPr>
          </w:p>
        </w:tc>
        <w:tc>
          <w:tcPr>
            <w:tcW w:w="100" w:type="dxa"/>
            <w:vAlign w:val="bottom"/>
            <w:shd w:val="clear" w:color="auto" w:fill="F0FFFF"/>
          </w:tcPr>
          <w:p>
            <w:pPr>
              <w:spacing w:after="0"/>
              <w:rPr>
                <w:sz w:val="5"/>
                <w:szCs w:val="5"/>
                <w:color w:val="auto"/>
              </w:rPr>
            </w:pPr>
          </w:p>
        </w:tc>
        <w:tc>
          <w:tcPr>
            <w:tcW w:w="20" w:type="dxa"/>
            <w:vAlign w:val="bottom"/>
            <w:shd w:val="clear" w:color="auto" w:fill="F0FFFF"/>
          </w:tcPr>
          <w:p>
            <w:pPr>
              <w:spacing w:after="0"/>
              <w:rPr>
                <w:sz w:val="5"/>
                <w:szCs w:val="5"/>
                <w:color w:val="auto"/>
              </w:rPr>
            </w:pPr>
          </w:p>
        </w:tc>
        <w:tc>
          <w:tcPr>
            <w:tcW w:w="60" w:type="dxa"/>
            <w:vAlign w:val="bottom"/>
            <w:shd w:val="clear" w:color="auto" w:fill="F0FFFF"/>
          </w:tcPr>
          <w:p>
            <w:pPr>
              <w:spacing w:after="0"/>
              <w:rPr>
                <w:sz w:val="5"/>
                <w:szCs w:val="5"/>
                <w:color w:val="auto"/>
              </w:rPr>
            </w:pPr>
          </w:p>
        </w:tc>
        <w:tc>
          <w:tcPr>
            <w:tcW w:w="100" w:type="dxa"/>
            <w:vAlign w:val="bottom"/>
            <w:shd w:val="clear" w:color="auto" w:fill="F0FFFF"/>
          </w:tcPr>
          <w:p>
            <w:pPr>
              <w:spacing w:after="0"/>
              <w:rPr>
                <w:sz w:val="5"/>
                <w:szCs w:val="5"/>
                <w:color w:val="auto"/>
              </w:rPr>
            </w:pPr>
          </w:p>
        </w:tc>
        <w:tc>
          <w:tcPr>
            <w:tcW w:w="200" w:type="dxa"/>
            <w:vAlign w:val="bottom"/>
            <w:shd w:val="clear" w:color="auto" w:fill="F0FFFF"/>
          </w:tcPr>
          <w:p>
            <w:pPr>
              <w:spacing w:after="0"/>
              <w:rPr>
                <w:sz w:val="5"/>
                <w:szCs w:val="5"/>
                <w:color w:val="auto"/>
              </w:rPr>
            </w:pPr>
          </w:p>
        </w:tc>
        <w:tc>
          <w:tcPr>
            <w:tcW w:w="20" w:type="dxa"/>
            <w:vAlign w:val="bottom"/>
            <w:shd w:val="clear" w:color="auto" w:fill="F0FFFF"/>
          </w:tcPr>
          <w:p>
            <w:pPr>
              <w:spacing w:after="0"/>
              <w:rPr>
                <w:sz w:val="5"/>
                <w:szCs w:val="5"/>
                <w:color w:val="auto"/>
              </w:rPr>
            </w:pPr>
          </w:p>
        </w:tc>
        <w:tc>
          <w:tcPr>
            <w:tcW w:w="240" w:type="dxa"/>
            <w:vAlign w:val="bottom"/>
            <w:shd w:val="clear" w:color="auto" w:fill="F0FFFF"/>
          </w:tcPr>
          <w:p>
            <w:pPr>
              <w:spacing w:after="0"/>
              <w:rPr>
                <w:sz w:val="5"/>
                <w:szCs w:val="5"/>
                <w:color w:val="auto"/>
              </w:rPr>
            </w:pPr>
          </w:p>
        </w:tc>
        <w:tc>
          <w:tcPr>
            <w:tcW w:w="20" w:type="dxa"/>
            <w:vAlign w:val="bottom"/>
            <w:shd w:val="clear" w:color="auto" w:fill="F0FFFF"/>
          </w:tcPr>
          <w:p>
            <w:pPr>
              <w:spacing w:after="0"/>
              <w:rPr>
                <w:sz w:val="5"/>
                <w:szCs w:val="5"/>
                <w:color w:val="auto"/>
              </w:rPr>
            </w:pPr>
          </w:p>
        </w:tc>
        <w:tc>
          <w:tcPr>
            <w:tcW w:w="220" w:type="dxa"/>
            <w:vAlign w:val="bottom"/>
            <w:shd w:val="clear" w:color="auto" w:fill="F0FFFF"/>
          </w:tcPr>
          <w:p>
            <w:pPr>
              <w:spacing w:after="0"/>
              <w:rPr>
                <w:sz w:val="5"/>
                <w:szCs w:val="5"/>
                <w:color w:val="auto"/>
              </w:rPr>
            </w:pPr>
          </w:p>
        </w:tc>
        <w:tc>
          <w:tcPr>
            <w:tcW w:w="120" w:type="dxa"/>
            <w:vAlign w:val="bottom"/>
            <w:shd w:val="clear" w:color="auto" w:fill="F0FFFF"/>
          </w:tcPr>
          <w:p>
            <w:pPr>
              <w:spacing w:after="0"/>
              <w:rPr>
                <w:sz w:val="5"/>
                <w:szCs w:val="5"/>
                <w:color w:val="auto"/>
              </w:rPr>
            </w:pPr>
          </w:p>
        </w:tc>
        <w:tc>
          <w:tcPr>
            <w:tcW w:w="160" w:type="dxa"/>
            <w:vAlign w:val="bottom"/>
            <w:shd w:val="clear" w:color="auto" w:fill="F0FFFF"/>
          </w:tcPr>
          <w:p>
            <w:pPr>
              <w:spacing w:after="0"/>
              <w:rPr>
                <w:sz w:val="5"/>
                <w:szCs w:val="5"/>
                <w:color w:val="auto"/>
              </w:rPr>
            </w:pPr>
          </w:p>
        </w:tc>
        <w:tc>
          <w:tcPr>
            <w:tcW w:w="3540" w:type="dxa"/>
            <w:vAlign w:val="bottom"/>
            <w:shd w:val="clear" w:color="auto" w:fill="F0FFFF"/>
          </w:tcPr>
          <w:p>
            <w:pPr>
              <w:spacing w:after="0"/>
              <w:rPr>
                <w:sz w:val="5"/>
                <w:szCs w:val="5"/>
                <w:color w:val="auto"/>
              </w:rPr>
            </w:pPr>
          </w:p>
        </w:tc>
        <w:tc>
          <w:tcPr>
            <w:tcW w:w="420" w:type="dxa"/>
            <w:vAlign w:val="bottom"/>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tcPr>
          <w:p>
            <w:pPr>
              <w:spacing w:after="0" w:line="162" w:lineRule="exact"/>
              <w:rPr>
                <w:sz w:val="20"/>
                <w:szCs w:val="20"/>
                <w:color w:val="auto"/>
              </w:rPr>
            </w:pPr>
            <w:r>
              <w:rPr>
                <w:rFonts w:ascii="Times New Roman" w:cs="Times New Roman" w:eastAsia="Times New Roman" w:hAnsi="Times New Roman"/>
                <w:sz w:val="18"/>
                <w:szCs w:val="18"/>
                <w:color w:val="0000EE"/>
              </w:rPr>
              <w:t>Appendix A — Index Publishers</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4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Appendix B — Index Substitution Investment Amount Example</w:t>
            </w:r>
          </w:p>
        </w:tc>
        <w:tc>
          <w:tcPr>
            <w:tcW w:w="4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3540" w:type="dxa"/>
            <w:vAlign w:val="bottom"/>
            <w:tcBorders>
              <w:top w:val="single" w:sz="8" w:color="F0FFFF"/>
            </w:tcBorders>
            <w:shd w:val="clear" w:color="auto" w:fill="F0FFFF"/>
          </w:tcPr>
          <w:p>
            <w:pPr>
              <w:spacing w:after="0"/>
              <w:rPr>
                <w:sz w:val="5"/>
                <w:szCs w:val="5"/>
                <w:color w:val="auto"/>
              </w:rPr>
            </w:pPr>
          </w:p>
        </w:tc>
        <w:tc>
          <w:tcPr>
            <w:tcW w:w="4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60" w:type="dxa"/>
            <w:vAlign w:val="bottom"/>
            <w:tcBorders>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EE"/>
              </w:rPr>
              <w:t>Appendix C</w:t>
            </w:r>
          </w:p>
        </w:tc>
        <w:tc>
          <w:tcPr>
            <w:tcW w:w="60" w:type="dxa"/>
            <w:vAlign w:val="bottom"/>
            <w:gridSpan w:val="2"/>
            <w:vMerge w:val="restart"/>
          </w:tcPr>
          <w:p>
            <w:pPr>
              <w:spacing w:after="0"/>
              <w:rPr>
                <w:sz w:val="14"/>
                <w:szCs w:val="14"/>
                <w:color w:val="auto"/>
              </w:rPr>
            </w:pPr>
          </w:p>
        </w:tc>
        <w:tc>
          <w:tcPr>
            <w:tcW w:w="3340" w:type="dxa"/>
            <w:vAlign w:val="bottom"/>
            <w:tcBorders>
              <w:bottom w:val="single" w:sz="8" w:color="0000EE"/>
            </w:tcBorders>
            <w:gridSpan w:val="35"/>
          </w:tcPr>
          <w:p>
            <w:pPr>
              <w:spacing w:after="0" w:line="142" w:lineRule="exact"/>
              <w:rPr>
                <w:sz w:val="20"/>
                <w:szCs w:val="20"/>
                <w:color w:val="auto"/>
              </w:rPr>
            </w:pPr>
            <w:r>
              <w:rPr>
                <w:rFonts w:ascii="Times New Roman" w:cs="Times New Roman" w:eastAsia="Times New Roman" w:hAnsi="Times New Roman"/>
                <w:sz w:val="16"/>
                <w:szCs w:val="16"/>
                <w:color w:val="0000EE"/>
              </w:rPr>
              <w:t>— Return of Premium Death Benefit Example</w:t>
            </w:r>
          </w:p>
        </w:tc>
        <w:tc>
          <w:tcPr>
            <w:tcW w:w="4060" w:type="dxa"/>
            <w:vAlign w:val="bottom"/>
            <w:gridSpan w:val="5"/>
            <w:vMerge w:val="restart"/>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r>
        <w:trPr>
          <w:trHeight w:val="61"/>
        </w:trPr>
        <w:tc>
          <w:tcPr>
            <w:tcW w:w="860" w:type="dxa"/>
            <w:vAlign w:val="bottom"/>
            <w:gridSpan w:val="4"/>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1620" w:type="dxa"/>
            <w:vAlign w:val="bottom"/>
            <w:gridSpan w:val="20"/>
          </w:tcPr>
          <w:p>
            <w:pPr>
              <w:spacing w:after="0"/>
              <w:rPr>
                <w:sz w:val="5"/>
                <w:szCs w:val="5"/>
                <w:color w:val="auto"/>
              </w:rPr>
            </w:pPr>
          </w:p>
        </w:tc>
        <w:tc>
          <w:tcPr>
            <w:tcW w:w="1720" w:type="dxa"/>
            <w:vAlign w:val="bottom"/>
            <w:gridSpan w:val="15"/>
          </w:tcPr>
          <w:p>
            <w:pPr>
              <w:spacing w:after="0"/>
              <w:rPr>
                <w:sz w:val="5"/>
                <w:szCs w:val="5"/>
                <w:color w:val="auto"/>
              </w:rPr>
            </w:pPr>
          </w:p>
        </w:tc>
        <w:tc>
          <w:tcPr>
            <w:tcW w:w="4060" w:type="dxa"/>
            <w:vAlign w:val="bottom"/>
            <w:gridSpan w:val="5"/>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540" w:type="dxa"/>
            <w:vAlign w:val="bottom"/>
            <w:tcBorders>
              <w:bottom w:val="single" w:sz="8" w:color="0000EE"/>
            </w:tcBorders>
            <w:gridSpan w:val="2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w w:val="99"/>
              </w:rPr>
              <w:t>Appendix D — The Fixed Account</w:t>
            </w:r>
          </w:p>
        </w:tc>
        <w:tc>
          <w:tcPr>
            <w:tcW w:w="5780" w:type="dxa"/>
            <w:vAlign w:val="bottom"/>
            <w:tcBorders>
              <w:bottom w:val="single" w:sz="8" w:color="F0FFFF"/>
            </w:tcBorders>
            <w:gridSpan w:val="20"/>
            <w:shd w:val="clear" w:color="auto" w:fill="F0FFFF"/>
          </w:tcPr>
          <w:p>
            <w:pPr>
              <w:spacing w:after="0"/>
              <w:rPr>
                <w:sz w:val="14"/>
                <w:szCs w:val="14"/>
                <w:color w:val="auto"/>
              </w:rPr>
            </w:pPr>
          </w:p>
        </w:tc>
        <w:tc>
          <w:tcPr>
            <w:tcW w:w="420" w:type="dxa"/>
            <w:vAlign w:val="bottom"/>
            <w:tcBorders>
              <w:bottom w:val="single" w:sz="8" w:color="F0FFFF"/>
            </w:tcBorders>
            <w:shd w:val="clear" w:color="auto" w:fill="F0FFFF"/>
          </w:tcPr>
          <w:p>
            <w:pPr>
              <w:jc w:val="right"/>
              <w:spacing w:after="0" w:line="162" w:lineRule="exact"/>
              <w:rPr>
                <w:sz w:val="20"/>
                <w:szCs w:val="20"/>
                <w:color w:val="auto"/>
              </w:rPr>
            </w:pPr>
            <w:r>
              <w:rPr>
                <w:rFonts w:ascii="Times New Roman" w:cs="Times New Roman" w:eastAsia="Times New Roman" w:hAnsi="Times New Roman"/>
                <w:sz w:val="18"/>
                <w:szCs w:val="18"/>
                <w:color w:val="auto"/>
              </w:rPr>
              <w:t>D-1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133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1330" w:right="1440" w:bottom="1440" w:gutter="0" w:footer="0" w:header="0"/>
          <w:type w:val="continuous"/>
        </w:sectPr>
      </w:pPr>
    </w:p>
    <w:bookmarkStart w:id="7" w:name="page8"/>
    <w:bookmarkEnd w:id="7"/>
    <w:p>
      <w:pPr>
        <w:ind w:left="3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SPECIAL TERMS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prospectus, the following capitalized terms have the indicated meanings:</w:t>
      </w:r>
    </w:p>
    <w:p>
      <w:pPr>
        <w:spacing w:after="0" w:line="113"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Account Value.</w:t>
      </w:r>
      <w:r>
        <w:rPr>
          <w:rFonts w:ascii="Times New Roman" w:cs="Times New Roman" w:eastAsia="Times New Roman" w:hAnsi="Times New Roman"/>
          <w:sz w:val="18"/>
          <w:szCs w:val="18"/>
          <w:color w:val="auto"/>
        </w:rPr>
        <w:t xml:space="preserve">  The total of the Fixed Account Value and the value of the Shield Option(s) under the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Accumulation Period.</w:t>
      </w:r>
    </w:p>
    <w:p>
      <w:pPr>
        <w:spacing w:after="0" w:line="60" w:lineRule="exact"/>
        <w:rPr>
          <w:sz w:val="20"/>
          <w:szCs w:val="20"/>
          <w:color w:val="auto"/>
        </w:rPr>
      </w:pPr>
    </w:p>
    <w:p>
      <w:pPr>
        <w:jc w:val="both"/>
        <w:ind w:left="120" w:right="639"/>
        <w:spacing w:after="0" w:line="259" w:lineRule="auto"/>
        <w:rPr>
          <w:sz w:val="20"/>
          <w:szCs w:val="20"/>
          <w:color w:val="auto"/>
        </w:rPr>
      </w:pPr>
      <w:r>
        <w:rPr>
          <w:rFonts w:ascii="Times New Roman" w:cs="Times New Roman" w:eastAsia="Times New Roman" w:hAnsi="Times New Roman"/>
          <w:sz w:val="18"/>
          <w:szCs w:val="18"/>
          <w:b w:val="1"/>
          <w:bCs w:val="1"/>
          <w:color w:val="auto"/>
        </w:rPr>
        <w:t>Accrued Cap Rate.</w:t>
      </w:r>
      <w:r>
        <w:rPr>
          <w:rFonts w:ascii="Times New Roman" w:cs="Times New Roman" w:eastAsia="Times New Roman" w:hAnsi="Times New Roman"/>
          <w:sz w:val="18"/>
          <w:szCs w:val="18"/>
          <w:color w:val="auto"/>
        </w:rPr>
        <w:t xml:space="preserve">  The portion of the Cap Rate that has accrued from the Term Start Date to any day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This is the maximum Index Performance that may be applied in calculating the Interim Value on any day prior to the Term End Date if Index Performance is greater than zero. The Accrued Cap Rate is equal to the Cap Rate multiplied by the number of days elapsed since the Term Start Date, divided by the total number of days in the Term.</w:t>
      </w:r>
    </w:p>
    <w:p>
      <w:pPr>
        <w:spacing w:after="0" w:line="85" w:lineRule="exact"/>
        <w:rPr>
          <w:sz w:val="20"/>
          <w:szCs w:val="20"/>
          <w:color w:val="auto"/>
        </w:rPr>
      </w:pPr>
    </w:p>
    <w:p>
      <w:pPr>
        <w:jc w:val="both"/>
        <w:ind w:left="120" w:right="63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Accrued Edge Rate. </w:t>
      </w:r>
      <w:r>
        <w:rPr>
          <w:rFonts w:ascii="Times New Roman" w:cs="Times New Roman" w:eastAsia="Times New Roman" w:hAnsi="Times New Roman"/>
          <w:sz w:val="18"/>
          <w:szCs w:val="18"/>
          <w:color w:val="auto"/>
        </w:rPr>
        <w:t>The portion of the Edge Rate that has accrued from the Term Start date to any day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This is the rate that will be applied in calculating the Interim Value on any day prior to the Term End Date if Index Performance is equal to or greater than the Shield Rate. The Accrued Edge Rate is equal to the Edge Rate multiplied by the number of days elapsed since the Term Start Date, divided by the total number of days in the Term.</w:t>
      </w:r>
    </w:p>
    <w:p>
      <w:pPr>
        <w:spacing w:after="0" w:line="71" w:lineRule="exact"/>
        <w:rPr>
          <w:sz w:val="20"/>
          <w:szCs w:val="20"/>
          <w:color w:val="auto"/>
        </w:rPr>
      </w:pPr>
    </w:p>
    <w:p>
      <w:pPr>
        <w:jc w:val="both"/>
        <w:ind w:left="120" w:right="639"/>
        <w:spacing w:after="0" w:line="259" w:lineRule="auto"/>
        <w:rPr>
          <w:sz w:val="20"/>
          <w:szCs w:val="20"/>
          <w:color w:val="auto"/>
        </w:rPr>
      </w:pPr>
      <w:r>
        <w:rPr>
          <w:rFonts w:ascii="Times New Roman" w:cs="Times New Roman" w:eastAsia="Times New Roman" w:hAnsi="Times New Roman"/>
          <w:sz w:val="18"/>
          <w:szCs w:val="18"/>
          <w:b w:val="1"/>
          <w:bCs w:val="1"/>
          <w:color w:val="auto"/>
        </w:rPr>
        <w:t>Accrued Shield Rate.</w:t>
      </w:r>
      <w:r>
        <w:rPr>
          <w:rFonts w:ascii="Times New Roman" w:cs="Times New Roman" w:eastAsia="Times New Roman" w:hAnsi="Times New Roman"/>
          <w:sz w:val="18"/>
          <w:szCs w:val="18"/>
          <w:color w:val="auto"/>
        </w:rPr>
        <w:t xml:space="preserve">  The portion of the Shield Rate that has accrued from the Term Start Date to any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Term. This is the amount that will be applied in calculating the Interim Value on any day prior to the Term End Date if Index Performance is less than zero. The Accrued Shield Rate is equal to the Shield Rate multiplied by the number of days elapsed since the Term Start Date, divided by the total number of days in the Term.</w:t>
      </w:r>
    </w:p>
    <w:p>
      <w:pPr>
        <w:spacing w:after="0" w:line="85" w:lineRule="exact"/>
        <w:rPr>
          <w:sz w:val="20"/>
          <w:szCs w:val="20"/>
          <w:color w:val="auto"/>
        </w:rPr>
      </w:pPr>
    </w:p>
    <w:p>
      <w:pPr>
        <w:jc w:val="both"/>
        <w:ind w:left="120" w:right="639"/>
        <w:spacing w:after="0" w:line="260" w:lineRule="auto"/>
        <w:rPr>
          <w:sz w:val="20"/>
          <w:szCs w:val="20"/>
          <w:color w:val="auto"/>
        </w:rPr>
      </w:pPr>
      <w:r>
        <w:rPr>
          <w:rFonts w:ascii="Times New Roman" w:cs="Times New Roman" w:eastAsia="Times New Roman" w:hAnsi="Times New Roman"/>
          <w:sz w:val="18"/>
          <w:szCs w:val="18"/>
          <w:b w:val="1"/>
          <w:bCs w:val="1"/>
          <w:color w:val="auto"/>
        </w:rPr>
        <w:t>Accrued Step Rate.</w:t>
      </w:r>
      <w:r>
        <w:rPr>
          <w:rFonts w:ascii="Times New Roman" w:cs="Times New Roman" w:eastAsia="Times New Roman" w:hAnsi="Times New Roman"/>
          <w:sz w:val="18"/>
          <w:szCs w:val="18"/>
          <w:color w:val="auto"/>
        </w:rPr>
        <w:t xml:space="preserve">  The portion of the Step Rate that has accrued from the Term Start Date to any day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This is the rate that will be applied in calculating the Interim Value on any day prior to the Term End Date if Index Performance is equal to or greater than zero. The Accrued Step Rate is equal to the Step Rate multiplied by the number of days elapsed since the Term Start Date, divided by the total number of days in the Term.</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Accumulation Period.</w:t>
      </w:r>
      <w:r>
        <w:rPr>
          <w:rFonts w:ascii="Times New Roman" w:cs="Times New Roman" w:eastAsia="Times New Roman" w:hAnsi="Times New Roman"/>
          <w:sz w:val="18"/>
          <w:szCs w:val="18"/>
          <w:color w:val="auto"/>
        </w:rPr>
        <w:t xml:space="preserve">   The period prior to the Annuity Date.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Annuitant.</w:t>
      </w:r>
      <w:r>
        <w:rPr>
          <w:rFonts w:ascii="Times New Roman" w:cs="Times New Roman" w:eastAsia="Times New Roman" w:hAnsi="Times New Roman"/>
          <w:sz w:val="18"/>
          <w:szCs w:val="18"/>
          <w:color w:val="auto"/>
        </w:rPr>
        <w:t xml:space="preserve">   The natural person(s) listed on the Contract Schedule on whose life Income Payments are based.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reference to Annuitant will also include any Joint Annuitant under an Annuity Option.</w:t>
      </w:r>
    </w:p>
    <w:p>
      <w:pPr>
        <w:spacing w:after="0" w:line="95"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Annuity Date.</w:t>
      </w:r>
      <w:r>
        <w:rPr>
          <w:rFonts w:ascii="Times New Roman" w:cs="Times New Roman" w:eastAsia="Times New Roman" w:hAnsi="Times New Roman"/>
          <w:sz w:val="18"/>
          <w:szCs w:val="18"/>
          <w:color w:val="auto"/>
        </w:rPr>
        <w:t xml:space="preserve">  A date on which you choose to begin receiving Income Payments. If we agree, you may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Annuity Date, subject to certain requirements. If you do not choose an Annuity Date, the Annuity Date will be the Annuity Date indicated on the Contract Schedule.</w:t>
      </w:r>
    </w:p>
    <w:p>
      <w:pPr>
        <w:spacing w:after="0" w:line="63"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Annuity Service Office.</w:t>
      </w:r>
      <w:r>
        <w:rPr>
          <w:rFonts w:ascii="Times New Roman" w:cs="Times New Roman" w:eastAsia="Times New Roman" w:hAnsi="Times New Roman"/>
          <w:sz w:val="18"/>
          <w:szCs w:val="18"/>
          <w:color w:val="auto"/>
        </w:rPr>
        <w:t xml:space="preserve">  The office indicated on the Contract Schedule to which notices and requests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sent, or as otherwise changed by notification from us.</w:t>
      </w:r>
    </w:p>
    <w:p>
      <w:pPr>
        <w:spacing w:after="0" w:line="47" w:lineRule="exact"/>
        <w:rPr>
          <w:sz w:val="20"/>
          <w:szCs w:val="20"/>
          <w:color w:val="auto"/>
        </w:rPr>
      </w:pPr>
    </w:p>
    <w:p>
      <w:pPr>
        <w:ind w:left="120"/>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BLIC (“we,” “us,” “our”).</w:t>
      </w:r>
      <w:r>
        <w:rPr>
          <w:sz w:val="20"/>
          <w:szCs w:val="20"/>
          <w:color w:val="auto"/>
        </w:rPr>
        <w:tab/>
      </w:r>
      <w:r>
        <w:rPr>
          <w:rFonts w:ascii="Times New Roman" w:cs="Times New Roman" w:eastAsia="Times New Roman" w:hAnsi="Times New Roman"/>
          <w:sz w:val="17"/>
          <w:szCs w:val="17"/>
          <w:color w:val="auto"/>
        </w:rPr>
        <w:t>Brighthouse Life Insurance Company.</w:t>
      </w:r>
    </w:p>
    <w:p>
      <w:pPr>
        <w:spacing w:after="0" w:line="117"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 xml:space="preserve">  The person(s) or entity(ies) you name to receive a death benefit payable under the Contract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death of the Owner or a Joint Owner, or in certain circumstances, an Annuitant.</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Brighthouse Securities.</w:t>
      </w:r>
      <w:r>
        <w:rPr>
          <w:rFonts w:ascii="Times New Roman" w:cs="Times New Roman" w:eastAsia="Times New Roman" w:hAnsi="Times New Roman"/>
          <w:sz w:val="18"/>
          <w:szCs w:val="18"/>
          <w:color w:val="auto"/>
        </w:rPr>
        <w:t xml:space="preserve">   Brighthouse Securities, LLC.</w:t>
      </w:r>
    </w:p>
    <w:p>
      <w:pPr>
        <w:spacing w:after="0" w:line="117" w:lineRule="exact"/>
        <w:rPr>
          <w:sz w:val="20"/>
          <w:szCs w:val="20"/>
          <w:color w:val="auto"/>
        </w:rPr>
      </w:pPr>
    </w:p>
    <w:p>
      <w:pPr>
        <w:jc w:val="both"/>
        <w:ind w:left="120" w:right="639"/>
        <w:spacing w:after="0" w:line="259" w:lineRule="auto"/>
        <w:rPr>
          <w:sz w:val="20"/>
          <w:szCs w:val="20"/>
          <w:color w:val="auto"/>
        </w:rPr>
      </w:pP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Our “business day” is generally any day the New York Stock Exchange (NYSE) is open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trading. For purposes of receipt of Notice for administrative requests and transactions, a Business Day ends at the earlier of 4:00 PM Eastern Standard Time or when the NYSE closes. If the SEC determines the existence of emergency conditions on any day, and consequently, the NYSE does not open, then that day is not a Business Day.</w:t>
      </w:r>
    </w:p>
    <w:p>
      <w:pPr>
        <w:spacing w:after="0" w:line="71"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Cap Rate. </w:t>
      </w:r>
      <w:r>
        <w:rPr>
          <w:rFonts w:ascii="Times New Roman" w:cs="Times New Roman" w:eastAsia="Times New Roman" w:hAnsi="Times New Roman"/>
          <w:sz w:val="18"/>
          <w:szCs w:val="18"/>
          <w:color w:val="auto"/>
        </w:rPr>
        <w:t>The maximum rate that may be credited at the Term End Date based on Index Performance.</w:t>
      </w:r>
      <w:r>
        <w:rPr>
          <w:rFonts w:ascii="Times New Roman" w:cs="Times New Roman" w:eastAsia="Times New Roman" w:hAnsi="Times New Roman"/>
          <w:sz w:val="18"/>
          <w:szCs w:val="18"/>
          <w:b w:val="1"/>
          <w:bCs w:val="1"/>
          <w:color w:val="auto"/>
        </w:rPr>
        <w:t xml:space="preserve"> The Cap Rate may vary between Shield Options and, unless you have a Shield Option with a 1-year Term, is not an annual rate.</w:t>
      </w:r>
    </w:p>
    <w:p>
      <w:pPr>
        <w:spacing w:after="0" w:line="63"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xml:space="preserve">  The Internal Revenue Code of 1986, as amended, and all related laws and regulations, which are in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of the Contract.</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xml:space="preserve">   The legal agreement between you and BLIC. It contains relevant provisions of your deferred annuity.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Anniversary.</w:t>
      </w:r>
      <w:r>
        <w:rPr>
          <w:rFonts w:ascii="Times New Roman" w:cs="Times New Roman" w:eastAsia="Times New Roman" w:hAnsi="Times New Roman"/>
          <w:sz w:val="18"/>
          <w:szCs w:val="18"/>
          <w:color w:val="auto"/>
        </w:rPr>
        <w:t xml:space="preserve">   An anniversary of the Issue Date of the Contract.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Schedule.</w:t>
      </w:r>
      <w:r>
        <w:rPr>
          <w:rFonts w:ascii="Times New Roman" w:cs="Times New Roman" w:eastAsia="Times New Roman" w:hAnsi="Times New Roman"/>
          <w:sz w:val="18"/>
          <w:szCs w:val="18"/>
          <w:color w:val="auto"/>
        </w:rPr>
        <w:t xml:space="preserve">   The schedule attached to your Contract.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Year.</w:t>
      </w:r>
      <w:r>
        <w:rPr>
          <w:rFonts w:ascii="Times New Roman" w:cs="Times New Roman" w:eastAsia="Times New Roman" w:hAnsi="Times New Roman"/>
          <w:sz w:val="18"/>
          <w:szCs w:val="18"/>
          <w:color w:val="auto"/>
        </w:rPr>
        <w:t xml:space="preserve">   A one-year period starting on the Issue Date and on each Contract Anniversary thereafter.</w:t>
      </w:r>
    </w:p>
    <w:p>
      <w:pPr>
        <w:spacing w:after="0" w:line="117"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Death Benefit Amount. </w:t>
      </w:r>
      <w:r>
        <w:rPr>
          <w:rFonts w:ascii="Times New Roman" w:cs="Times New Roman" w:eastAsia="Times New Roman" w:hAnsi="Times New Roman"/>
          <w:sz w:val="18"/>
          <w:szCs w:val="18"/>
          <w:color w:val="auto"/>
        </w:rPr>
        <w:t>For Owners age 81 or older at the Issue Date of the Contract, the standard death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the Account Value. For Owners age 80 or younger at the Issue Date of the Contract, the standard death benefit (known as the Return of Premium death benefit) is the greater of the Account Value or your Purchase Payment (reduced proportionally by the</w:t>
      </w:r>
    </w:p>
    <w:p>
      <w:pPr>
        <w:sectPr>
          <w:pgSz w:w="11900" w:h="16838" w:orient="portrait"/>
          <w:cols w:equalWidth="0" w:num="1">
            <w:col w:w="9019"/>
          </w:cols>
          <w:pgMar w:left="1440" w:top="1373" w:right="1440" w:bottom="416" w:gutter="0" w:footer="0" w:header="0"/>
        </w:sectPr>
      </w:pPr>
    </w:p>
    <w:p>
      <w:pPr>
        <w:spacing w:after="0" w:line="2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019"/>
          </w:cols>
          <w:pgMar w:left="1440" w:top="1373" w:right="1440" w:bottom="416" w:gutter="0" w:footer="0" w:header="0"/>
          <w:type w:val="continuous"/>
        </w:sectPr>
      </w:pPr>
    </w:p>
    <w:bookmarkStart w:id="8" w:name="page9"/>
    <w:bookmarkEnd w:id="8"/>
    <w:p>
      <w:pPr>
        <w:jc w:val="both"/>
        <w:ind w:left="120" w:right="63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percentage reduction in Account Value of the Shield Option(s) and the Fixed Account for each partial withdrawal (including any applicable Withdrawal Charge)). The Death Benefit Amount is determined as of the end of the Business Day on which we have received Notice of due proof of death and an acceptable election for the payment method.</w:t>
      </w:r>
    </w:p>
    <w:p>
      <w:pPr>
        <w:spacing w:after="0" w:line="68"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Edge Rate. </w:t>
      </w:r>
      <w:r>
        <w:rPr>
          <w:rFonts w:ascii="Times New Roman" w:cs="Times New Roman" w:eastAsia="Times New Roman" w:hAnsi="Times New Roman"/>
          <w:sz w:val="18"/>
          <w:szCs w:val="18"/>
          <w:color w:val="auto"/>
        </w:rPr>
        <w:t>The rate credited at the Term End Date if the Index Performance is equal to or greater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Shield Rate. </w:t>
      </w:r>
      <w:r>
        <w:rPr>
          <w:rFonts w:ascii="Times New Roman" w:cs="Times New Roman" w:eastAsia="Times New Roman" w:hAnsi="Times New Roman"/>
          <w:sz w:val="18"/>
          <w:szCs w:val="18"/>
          <w:b w:val="1"/>
          <w:bCs w:val="1"/>
          <w:color w:val="auto"/>
        </w:rPr>
        <w:t>The Edge Rate may vary between Shield Options and, unless you have a Shield Option with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1-year Term, it is not an annual rate. </w:t>
      </w:r>
      <w:r>
        <w:rPr>
          <w:rFonts w:ascii="Times New Roman" w:cs="Times New Roman" w:eastAsia="Times New Roman" w:hAnsi="Times New Roman"/>
          <w:sz w:val="18"/>
          <w:szCs w:val="18"/>
          <w:color w:val="auto"/>
        </w:rPr>
        <w:t>A Shield Option with an Edge Rate may also be referred to as a “Shield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with Step Rate Edge” in the prospectus.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ERISA. </w:t>
      </w:r>
      <w:r>
        <w:rPr>
          <w:rFonts w:ascii="Times New Roman" w:cs="Times New Roman" w:eastAsia="Times New Roman" w:hAnsi="Times New Roman"/>
          <w:sz w:val="18"/>
          <w:szCs w:val="18"/>
          <w:color w:val="auto"/>
        </w:rPr>
        <w:t>Employee Retirement Income Security Act of 1974, as amended.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Securities Exchange Act of 1934, as amended.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FDIC.</w:t>
      </w:r>
      <w:r>
        <w:rPr>
          <w:rFonts w:ascii="Times New Roman" w:cs="Times New Roman" w:eastAsia="Times New Roman" w:hAnsi="Times New Roman"/>
          <w:sz w:val="18"/>
          <w:szCs w:val="18"/>
          <w:color w:val="auto"/>
        </w:rPr>
        <w:t xml:space="preserve">   Federal Deposit Insurance Corporation.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xml:space="preserve">   Financial Industry Regulatory Authority.</w:t>
      </w:r>
    </w:p>
    <w:p>
      <w:pPr>
        <w:spacing w:after="0" w:line="117" w:lineRule="exact"/>
        <w:rPr>
          <w:sz w:val="20"/>
          <w:szCs w:val="20"/>
          <w:color w:val="auto"/>
        </w:rPr>
      </w:pPr>
    </w:p>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color w:val="auto"/>
        </w:rPr>
        <w:t>Fixed Account.</w:t>
      </w:r>
      <w:r>
        <w:rPr>
          <w:rFonts w:ascii="Times New Roman" w:cs="Times New Roman" w:eastAsia="Times New Roman" w:hAnsi="Times New Roman"/>
          <w:sz w:val="18"/>
          <w:szCs w:val="18"/>
          <w:color w:val="auto"/>
        </w:rPr>
        <w:t xml:space="preserve">  An account, if available, that consists of all of the assets under the Contract other than those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Separate Account. You may allocate your Purchase Payment or transfer your Investment Amount to the Fixed Account, and you may make a transfer into or out of the Fixed Account. The Fixed Account is part of the General Account assets of BLIC.</w:t>
      </w:r>
    </w:p>
    <w:p>
      <w:pPr>
        <w:spacing w:after="0" w:line="68" w:lineRule="exact"/>
        <w:rPr>
          <w:sz w:val="20"/>
          <w:szCs w:val="20"/>
          <w:color w:val="auto"/>
        </w:rPr>
      </w:pPr>
    </w:p>
    <w:p>
      <w:pPr>
        <w:jc w:val="both"/>
        <w:ind w:left="120" w:right="65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Fixed Account Value. </w:t>
      </w:r>
      <w:r>
        <w:rPr>
          <w:rFonts w:ascii="Times New Roman" w:cs="Times New Roman" w:eastAsia="Times New Roman" w:hAnsi="Times New Roman"/>
          <w:sz w:val="18"/>
          <w:szCs w:val="18"/>
          <w:color w:val="auto"/>
        </w:rPr>
        <w:t>The initial Fixed Account Value is the amount of your Purchase Payment initially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allocated to the Fixed Account. Thereafter, the Fixed Account Value equals: (a) the initial Fixed Account Value or the Fixed Account Value on the most recent Contract Anniversary, including any transfers, whichever is applicable; plus (b) any interest credited by us; less (c) the amount of any withdrawals including any Withdrawal Charges; and less (d) any Premium Tax or other taxes, if applicable.</w:t>
      </w:r>
    </w:p>
    <w:p>
      <w:pPr>
        <w:spacing w:after="0" w:line="71" w:lineRule="exact"/>
        <w:rPr>
          <w:sz w:val="20"/>
          <w:szCs w:val="20"/>
          <w:color w:val="auto"/>
        </w:rPr>
      </w:pPr>
    </w:p>
    <w:p>
      <w:pPr>
        <w:jc w:val="both"/>
        <w:ind w:left="120" w:right="63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Free Look. </w:t>
      </w:r>
      <w:r>
        <w:rPr>
          <w:rFonts w:ascii="Times New Roman" w:cs="Times New Roman" w:eastAsia="Times New Roman" w:hAnsi="Times New Roman"/>
          <w:sz w:val="18"/>
          <w:szCs w:val="18"/>
          <w:color w:val="auto"/>
        </w:rPr>
        <w:t>If you change your mind about owning the Contract, you may cancel the Contract within 10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receiving it by mailing or delivering the Contract to either us or the financial professional who sold it. This is known as a “Free Look.” In some states this period may be longer. Not all Contracts issued are subject to Free Look provisions under state law. We ask that you submit your request to cancel in writing, signed by you, to us (e.g., the Annuity Service Office) or to the financial professional who sold it. When you cancel the Contract within this Free Look period, we will not assess a Withdrawal Charge. Unless otherwise required by state law, you will receive whatever your Contract is worth on the day that we receive your cancellation request. The amount you receive may be more or less than your Purchase Payment depending upon the Shield Options you allocated your Purchase Payment to during the Free Look period. This means that you bear the risk of any decline in the Account Value of your Contract during the Free Look period. We do not refund any charges or deductions assessed during the Free Look period. In certain states, we are required to give back your Purchase Payment if you decide to cancel your Contract during the Free Look period.</w:t>
      </w:r>
    </w:p>
    <w:p>
      <w:pPr>
        <w:spacing w:after="0" w:line="82"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Free Withdrawal Amount. </w:t>
      </w:r>
      <w:r>
        <w:rPr>
          <w:rFonts w:ascii="Times New Roman" w:cs="Times New Roman" w:eastAsia="Times New Roman" w:hAnsi="Times New Roman"/>
          <w:sz w:val="18"/>
          <w:szCs w:val="18"/>
          <w:color w:val="auto"/>
        </w:rPr>
        <w:t>The Free Withdrawal Amount in the first Contract Year is zero. Thereafter, the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Withdrawal Amount each Contract Year is equal to 10% of your Account Value as of the prior Contract Anniversary, less the total amount withdrawn from the Account Value in the current Contract Year. The Free Withdrawal Amount is non-cumulative and is not carried over to other Contract Years.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Account.</w:t>
      </w:r>
      <w:r>
        <w:rPr>
          <w:rFonts w:ascii="Times New Roman" w:cs="Times New Roman" w:eastAsia="Times New Roman" w:hAnsi="Times New Roman"/>
          <w:sz w:val="18"/>
          <w:szCs w:val="18"/>
          <w:color w:val="auto"/>
        </w:rPr>
        <w:t xml:space="preserve">   Comprised of BLIC’s assets, other than assets in any separate accounts it may maintain.</w:t>
      </w:r>
    </w:p>
    <w:p>
      <w:pPr>
        <w:spacing w:after="0" w:line="117" w:lineRule="exact"/>
        <w:rPr>
          <w:sz w:val="20"/>
          <w:szCs w:val="20"/>
          <w:color w:val="auto"/>
        </w:rPr>
      </w:pPr>
    </w:p>
    <w:p>
      <w:pPr>
        <w:jc w:val="both"/>
        <w:ind w:left="120" w:right="639"/>
        <w:spacing w:after="0" w:line="253" w:lineRule="auto"/>
        <w:rPr>
          <w:sz w:val="20"/>
          <w:szCs w:val="20"/>
          <w:color w:val="auto"/>
        </w:rPr>
      </w:pPr>
      <w:r>
        <w:rPr>
          <w:rFonts w:ascii="Times New Roman" w:cs="Times New Roman" w:eastAsia="Times New Roman" w:hAnsi="Times New Roman"/>
          <w:sz w:val="18"/>
          <w:szCs w:val="18"/>
          <w:b w:val="1"/>
          <w:bCs w:val="1"/>
          <w:color w:val="auto"/>
        </w:rPr>
        <w:t>Good Order.</w:t>
      </w:r>
      <w:r>
        <w:rPr>
          <w:rFonts w:ascii="Times New Roman" w:cs="Times New Roman" w:eastAsia="Times New Roman" w:hAnsi="Times New Roman"/>
          <w:sz w:val="18"/>
          <w:szCs w:val="18"/>
          <w:color w:val="auto"/>
        </w:rPr>
        <w:t xml:space="preserve">  A request or transaction generally is considered in “Good Order” if it complies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procedures and the required information is complete and accurate. A request or transaction may be rejected or delayed if not in Good Order. Good Order generally means the actual receipt by us of the instructions relating to the requested transaction in writing (or, when permitted, by telephone) along with all forms, information and supporting legal documentation necessary to effect the transaction. This information and documentation generally includes to the extent applicable to the transaction: your completed application; your contract number; the transaction amount (in dollars or percentage terms); the names and allocations to and/or from the Shield Options, or the Fixed Account if applicable, affected by the requested transaction; the signatures of all Contract Owners (exactly as indicated on the contract), if necessary; Social Security Number or Tax I.D.; and any other information or supporting documentation that we may require, including any spousal or Joint Owner’s consents. With respect to Purchase Payments, Good Order also generally includes receipt by us of sufficient funds to effect the purchase. We may, in our sole discretion, determine whether any particular transaction request is in Good Order, and we reserve the right to change or waive any Good Order requirement at any time. If you have any questions, you should contact us or your financial professional before submitting the form or request.</w:t>
      </w:r>
    </w:p>
    <w:p>
      <w:pPr>
        <w:spacing w:after="0" w:line="77" w:lineRule="exact"/>
        <w:rPr>
          <w:sz w:val="20"/>
          <w:szCs w:val="20"/>
          <w:color w:val="auto"/>
        </w:rPr>
      </w:pPr>
    </w:p>
    <w:p>
      <w:pPr>
        <w:ind w:left="120" w:right="699"/>
        <w:spacing w:after="0" w:line="286" w:lineRule="auto"/>
        <w:rPr>
          <w:sz w:val="20"/>
          <w:szCs w:val="20"/>
          <w:color w:val="auto"/>
        </w:rPr>
      </w:pPr>
      <w:r>
        <w:rPr>
          <w:rFonts w:ascii="Times New Roman" w:cs="Times New Roman" w:eastAsia="Times New Roman" w:hAnsi="Times New Roman"/>
          <w:sz w:val="18"/>
          <w:szCs w:val="18"/>
          <w:b w:val="1"/>
          <w:bCs w:val="1"/>
          <w:color w:val="auto"/>
        </w:rPr>
        <w:t>Income Payments.</w:t>
      </w:r>
      <w:r>
        <w:rPr>
          <w:rFonts w:ascii="Times New Roman" w:cs="Times New Roman" w:eastAsia="Times New Roman" w:hAnsi="Times New Roman"/>
          <w:sz w:val="18"/>
          <w:szCs w:val="18"/>
          <w:color w:val="auto"/>
        </w:rPr>
        <w:t xml:space="preserve">  A series of payments made by us during the Income Period, which we guarantee as to dollar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Period.</w:t>
      </w:r>
      <w:r>
        <w:rPr>
          <w:rFonts w:ascii="Times New Roman" w:cs="Times New Roman" w:eastAsia="Times New Roman" w:hAnsi="Times New Roman"/>
          <w:sz w:val="18"/>
          <w:szCs w:val="18"/>
          <w:color w:val="auto"/>
        </w:rPr>
        <w:t xml:space="preserve">   A period starting on the Annuity Date during which Income Payments are payable.</w:t>
      </w:r>
    </w:p>
    <w:p>
      <w:pPr>
        <w:sectPr>
          <w:pgSz w:w="11900" w:h="16838" w:orient="portrait"/>
          <w:cols w:equalWidth="0" w:num="1">
            <w:col w:w="9019"/>
          </w:cols>
          <w:pgMar w:left="1440" w:top="1377" w:right="1440" w:bottom="1132" w:gutter="0" w:footer="0" w:header="0"/>
        </w:sectPr>
      </w:pPr>
    </w:p>
    <w:p>
      <w:pPr>
        <w:spacing w:after="0" w:line="31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019"/>
          </w:cols>
          <w:pgMar w:left="1440" w:top="1377" w:right="1440" w:bottom="1132" w:gutter="0" w:footer="0" w:header="0"/>
          <w:type w:val="continuous"/>
        </w:sectPr>
      </w:pPr>
    </w:p>
    <w:bookmarkStart w:id="9" w:name="page10"/>
    <w:bookmarkEnd w:id="9"/>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xml:space="preserve">Index (Indices). </w:t>
      </w:r>
      <w:r>
        <w:rPr>
          <w:rFonts w:ascii="Times New Roman" w:cs="Times New Roman" w:eastAsia="Times New Roman" w:hAnsi="Times New Roman"/>
          <w:sz w:val="18"/>
          <w:szCs w:val="18"/>
          <w:color w:val="auto"/>
        </w:rPr>
        <w:t>The underlying index associated with a Shield Option which is used to determine the Index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on a Term End Date. We currently offer Shield Options with indices based on the performance of securities. In the future we may offer Shield Options based on other types of Indices. We may also add other indices at our discretion.</w:t>
      </w:r>
    </w:p>
    <w:p>
      <w:pPr>
        <w:spacing w:after="0" w:line="82"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Index Performance.</w:t>
      </w:r>
      <w:r>
        <w:rPr>
          <w:rFonts w:ascii="Times New Roman" w:cs="Times New Roman" w:eastAsia="Times New Roman" w:hAnsi="Times New Roman"/>
          <w:sz w:val="18"/>
          <w:szCs w:val="18"/>
          <w:color w:val="auto"/>
        </w:rPr>
        <w:t xml:space="preserve">  The percentage change in the Index Value measured from the Term Start Date to any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Term End Date, within the Term. Index Performance can be positive, zero or negative.</w:t>
      </w:r>
    </w:p>
    <w:p>
      <w:pPr>
        <w:spacing w:after="0" w:line="47"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Index Value.</w:t>
      </w:r>
      <w:r>
        <w:rPr>
          <w:rFonts w:ascii="Times New Roman" w:cs="Times New Roman" w:eastAsia="Times New Roman" w:hAnsi="Times New Roman"/>
          <w:sz w:val="18"/>
          <w:szCs w:val="18"/>
          <w:color w:val="auto"/>
        </w:rPr>
        <w:t xml:space="preserve">  The Index Value of an Index, on a Business Day, is the published closing value of the Index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Business Day. The Index Value on any day that is not a Business Day is the value as of the prior Business Day. If an Index Value is not published on a Business Day, the closing Index Value on the next Business Day on which the Index Value is published will be used.</w:t>
      </w:r>
    </w:p>
    <w:p>
      <w:pPr>
        <w:spacing w:after="0" w:line="82"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Interest Rate Term.</w:t>
      </w:r>
      <w:r>
        <w:rPr>
          <w:rFonts w:ascii="Times New Roman" w:cs="Times New Roman" w:eastAsia="Times New Roman" w:hAnsi="Times New Roman"/>
          <w:sz w:val="18"/>
          <w:szCs w:val="18"/>
          <w:color w:val="auto"/>
        </w:rPr>
        <w:t xml:space="preserve">   The length of time over which the current Fixed Account interest rate is guaranteed.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Rate Term will extend beyond the Annuity Date. The minimum Interest Rate Term depends on the date your Contract is issued but will not be less than one (1) year.</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Term End Date.</w:t>
      </w:r>
      <w:r>
        <w:rPr>
          <w:rFonts w:ascii="Times New Roman" w:cs="Times New Roman" w:eastAsia="Times New Roman" w:hAnsi="Times New Roman"/>
          <w:sz w:val="18"/>
          <w:szCs w:val="18"/>
          <w:color w:val="auto"/>
        </w:rPr>
        <w:t xml:space="preserve">   The Contract Anniversary on which an Interest Rate Term ends.</w:t>
      </w:r>
    </w:p>
    <w:p>
      <w:pPr>
        <w:spacing w:after="0" w:line="117"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Interest Rate Term Start Date.</w:t>
      </w:r>
      <w:r>
        <w:rPr>
          <w:rFonts w:ascii="Times New Roman" w:cs="Times New Roman" w:eastAsia="Times New Roman" w:hAnsi="Times New Roman"/>
          <w:sz w:val="18"/>
          <w:szCs w:val="18"/>
          <w:color w:val="auto"/>
        </w:rPr>
        <w:t xml:space="preserve">  The Contract Anniversary on which an Interest Rate Term is established.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chosen at issue, the initial Interest Rate Term Start Date begins on the Issue Date or otherwise it will begin on the first Contract Anniversary on which you allocate to the Fixed Account.</w:t>
      </w:r>
    </w:p>
    <w:p>
      <w:pPr>
        <w:spacing w:after="0" w:line="76" w:lineRule="exact"/>
        <w:rPr>
          <w:sz w:val="20"/>
          <w:szCs w:val="20"/>
          <w:color w:val="auto"/>
        </w:rPr>
      </w:pPr>
    </w:p>
    <w:p>
      <w:pPr>
        <w:jc w:val="both"/>
        <w:ind w:left="120" w:right="639"/>
        <w:spacing w:after="0" w:line="256" w:lineRule="auto"/>
        <w:rPr>
          <w:sz w:val="20"/>
          <w:szCs w:val="20"/>
          <w:color w:val="auto"/>
        </w:rPr>
      </w:pPr>
      <w:r>
        <w:rPr>
          <w:rFonts w:ascii="Times New Roman" w:cs="Times New Roman" w:eastAsia="Times New Roman" w:hAnsi="Times New Roman"/>
          <w:sz w:val="18"/>
          <w:szCs w:val="18"/>
          <w:b w:val="1"/>
          <w:bCs w:val="1"/>
          <w:color w:val="auto"/>
        </w:rPr>
        <w:t>Interim Value without Performance Lock.</w:t>
      </w:r>
      <w:r>
        <w:rPr>
          <w:rFonts w:ascii="Times New Roman" w:cs="Times New Roman" w:eastAsia="Times New Roman" w:hAnsi="Times New Roman"/>
          <w:sz w:val="18"/>
          <w:szCs w:val="18"/>
          <w:color w:val="auto"/>
        </w:rPr>
        <w:t xml:space="preserve">  For each Shield Option without a Locked Index Value, the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assign on any Business Day prior to the Term End Date. During the Transfer Period, the Interim Value of each Shield Option is equal to the Investment Amount at the Term End Date in that Shield Option. After the Transfer Period, the Interim Value of that Shield Option is equal to the Investment Amount at the Term Start Date in that Shield Option, adjusted for the Index Performance of the associated Index and subject to the applicable Accrued Shield Rate, Accrued Cap Rate, Accrued Step Rate, or Accrued Edge Rate. The Interim Value is the amount that is available for annuitization, death benefits, withdrawals and Surrenders.</w:t>
      </w:r>
    </w:p>
    <w:p>
      <w:pPr>
        <w:spacing w:after="0" w:line="88" w:lineRule="exact"/>
        <w:rPr>
          <w:sz w:val="20"/>
          <w:szCs w:val="20"/>
          <w:color w:val="auto"/>
        </w:rPr>
      </w:pPr>
    </w:p>
    <w:p>
      <w:pPr>
        <w:jc w:val="both"/>
        <w:ind w:left="120" w:right="63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Interim Value with Performance Lock. </w:t>
      </w:r>
      <w:r>
        <w:rPr>
          <w:rFonts w:ascii="Times New Roman" w:cs="Times New Roman" w:eastAsia="Times New Roman" w:hAnsi="Times New Roman"/>
          <w:sz w:val="18"/>
          <w:szCs w:val="18"/>
          <w:color w:val="auto"/>
        </w:rPr>
        <w:t>For each Shield Option with a Locked Index Value, the value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on any Business Day prior to the Term End Date. During the Transfer Period, the Interim Value of each Shield Option is equal to the Investment Amount on the Term End Date in that Shield Option. After the Transfer Period, the Interim Value of that Shield Option is equal to the Investment Amount at the Term Start Date in that Shield Option, adjusted for the Index Performance (using the Locked Index Value) of the associated Index and subject to the applicable Accrued Cap Rate (where the Performance Rate is the Index Performance, adjusted for the applicable Accrued Cap Rate), multiplied by the Performance Lock Factor. The Interim Value is the amount that is available for annuitization, death benefits, withdrawals and Surrenders.</w:t>
      </w:r>
    </w:p>
    <w:p>
      <w:pPr>
        <w:spacing w:after="0" w:line="77" w:lineRule="exact"/>
        <w:rPr>
          <w:sz w:val="20"/>
          <w:szCs w:val="20"/>
          <w:color w:val="auto"/>
        </w:rPr>
      </w:pPr>
    </w:p>
    <w:p>
      <w:pPr>
        <w:jc w:val="both"/>
        <w:ind w:left="120" w:right="639"/>
        <w:spacing w:after="0" w:line="256" w:lineRule="auto"/>
        <w:rPr>
          <w:sz w:val="20"/>
          <w:szCs w:val="20"/>
          <w:color w:val="auto"/>
        </w:rPr>
      </w:pPr>
      <w:r>
        <w:rPr>
          <w:rFonts w:ascii="Times New Roman" w:cs="Times New Roman" w:eastAsia="Times New Roman" w:hAnsi="Times New Roman"/>
          <w:sz w:val="18"/>
          <w:szCs w:val="18"/>
          <w:b w:val="1"/>
          <w:bCs w:val="1"/>
          <w:color w:val="auto"/>
        </w:rPr>
        <w:t>Investment Amount without Performance Lock.</w:t>
      </w:r>
      <w:r>
        <w:rPr>
          <w:rFonts w:ascii="Times New Roman" w:cs="Times New Roman" w:eastAsia="Times New Roman" w:hAnsi="Times New Roman"/>
          <w:sz w:val="18"/>
          <w:szCs w:val="18"/>
          <w:color w:val="auto"/>
        </w:rPr>
        <w:t xml:space="preserve">  The Investment Amount, for any Shield Option without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Locked Index Value, is the amount that is allocated to the Shield Option at the Term Start Date, reduced proportionately for any withdrawals at the time of such withdrawals (including any applicable Withdrawal Charge) by the same percentage that the withdrawal reduces the Interim Value attributable to that Shield Option, and then, at Term End Date, adjusted by the Performance Rate. The remaining Investment Amount after a withdrawal will be used as the new Investment Amount for the Term until the Term End Date or the next Interim Value calculation for that Shield Option.</w:t>
      </w:r>
    </w:p>
    <w:p>
      <w:pPr>
        <w:spacing w:after="0" w:line="88" w:lineRule="exact"/>
        <w:rPr>
          <w:sz w:val="20"/>
          <w:szCs w:val="20"/>
          <w:color w:val="auto"/>
        </w:rPr>
      </w:pPr>
    </w:p>
    <w:p>
      <w:pPr>
        <w:jc w:val="both"/>
        <w:ind w:left="120" w:right="639"/>
        <w:spacing w:after="0" w:line="254" w:lineRule="auto"/>
        <w:rPr>
          <w:sz w:val="20"/>
          <w:szCs w:val="20"/>
          <w:color w:val="auto"/>
        </w:rPr>
      </w:pPr>
      <w:r>
        <w:rPr>
          <w:rFonts w:ascii="Times New Roman" w:cs="Times New Roman" w:eastAsia="Times New Roman" w:hAnsi="Times New Roman"/>
          <w:sz w:val="18"/>
          <w:szCs w:val="18"/>
          <w:b w:val="1"/>
          <w:bCs w:val="1"/>
          <w:color w:val="auto"/>
        </w:rPr>
        <w:t>Investment Amount with Performance Lock</w:t>
      </w:r>
      <w:r>
        <w:rPr>
          <w:rFonts w:ascii="Times New Roman" w:cs="Times New Roman" w:eastAsia="Times New Roman" w:hAnsi="Times New Roman"/>
          <w:sz w:val="18"/>
          <w:szCs w:val="18"/>
          <w:color w:val="auto"/>
        </w:rPr>
        <w:t>. The Investment Amount, for any Shield Option with a Locked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Index Value, is the amount that is allocated to the Shield Option at the Term Start Date, reduced proportionately for any withdrawals at the time of such withdrawals (including any Withdrawal Charges) by the same percentage that the withdrawal reduces the Interim Value attributable to that Shield Option, and then, at Term End Date, adjusted by the Performance Rate (using the Locked Index Value) and multiplied by the Performance Lock Factor. The remaining Investment Amount after a withdrawal will be used as the new Investment Amount for the Term until the Term End Date or the next Interim Value calculation for that Shield Option. The Investment Amount for any Shield Option with a Locked Index Value at the end of the Term will not be less than the Investment Amount at the Term Start Date, reduced for any withdrawals by the same percentage that the withdrawal reduces the Interim Value attributable to that Shield Option but not adjusted by the Performance Rate.</w:t>
      </w:r>
    </w:p>
    <w:p>
      <w:pPr>
        <w:spacing w:after="0" w:line="91" w:lineRule="exact"/>
        <w:rPr>
          <w:sz w:val="20"/>
          <w:szCs w:val="20"/>
          <w:color w:val="auto"/>
        </w:rPr>
      </w:pPr>
    </w:p>
    <w:p>
      <w:pPr>
        <w:ind w:left="1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Issue Date.</w:t>
      </w:r>
      <w:r>
        <w:rPr>
          <w:sz w:val="20"/>
          <w:szCs w:val="20"/>
          <w:color w:val="auto"/>
        </w:rPr>
        <w:tab/>
      </w:r>
      <w:r>
        <w:rPr>
          <w:rFonts w:ascii="Times New Roman" w:cs="Times New Roman" w:eastAsia="Times New Roman" w:hAnsi="Times New Roman"/>
          <w:sz w:val="17"/>
          <w:szCs w:val="17"/>
          <w:color w:val="auto"/>
        </w:rPr>
        <w:t>The date the Contract is issued.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Joint Annuitant.</w:t>
      </w:r>
      <w:r>
        <w:rPr>
          <w:rFonts w:ascii="Times New Roman" w:cs="Times New Roman" w:eastAsia="Times New Roman" w:hAnsi="Times New Roman"/>
          <w:sz w:val="18"/>
          <w:szCs w:val="18"/>
          <w:color w:val="auto"/>
        </w:rPr>
        <w:t xml:space="preserve">   If there is more than one Annuitant, each Annuitant will be a Joint Annuitant of the Contract.</w:t>
      </w:r>
    </w:p>
    <w:p>
      <w:pPr>
        <w:spacing w:after="0" w:line="131" w:lineRule="exact"/>
        <w:rPr>
          <w:sz w:val="20"/>
          <w:szCs w:val="20"/>
          <w:color w:val="auto"/>
        </w:rPr>
      </w:pPr>
    </w:p>
    <w:p>
      <w:pPr>
        <w:jc w:val="both"/>
        <w:ind w:left="120" w:right="639"/>
        <w:spacing w:after="0" w:line="286" w:lineRule="auto"/>
        <w:rPr>
          <w:sz w:val="20"/>
          <w:szCs w:val="20"/>
          <w:color w:val="auto"/>
        </w:rPr>
      </w:pPr>
      <w:r>
        <w:rPr>
          <w:rFonts w:ascii="Times New Roman" w:cs="Times New Roman" w:eastAsia="Times New Roman" w:hAnsi="Times New Roman"/>
          <w:sz w:val="18"/>
          <w:szCs w:val="18"/>
          <w:b w:val="1"/>
          <w:bCs w:val="1"/>
          <w:color w:val="auto"/>
        </w:rPr>
        <w:t>Joint Owner.</w:t>
      </w:r>
      <w:r>
        <w:rPr>
          <w:rFonts w:ascii="Times New Roman" w:cs="Times New Roman" w:eastAsia="Times New Roman" w:hAnsi="Times New Roman"/>
          <w:sz w:val="18"/>
          <w:szCs w:val="18"/>
          <w:color w:val="auto"/>
        </w:rPr>
        <w:t xml:space="preserve">  If there is more than one Owner, each Owner will be a Joint Owner of the Contract. Joint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limited to natural persons.</w:t>
      </w:r>
    </w:p>
    <w:p>
      <w:pPr>
        <w:spacing w:after="0" w:line="47"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Locked Index Value. </w:t>
      </w:r>
      <w:r>
        <w:rPr>
          <w:rFonts w:ascii="Times New Roman" w:cs="Times New Roman" w:eastAsia="Times New Roman" w:hAnsi="Times New Roman"/>
          <w:sz w:val="18"/>
          <w:szCs w:val="18"/>
          <w:color w:val="auto"/>
        </w:rPr>
        <w:t>For any Shield Option with Performance Lock, once during each Term you may elect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lock the Index Value if the published closing value of the Index on a Business Day is greater than the Index Value at the Term Start Date.</w:t>
      </w:r>
    </w:p>
    <w:p>
      <w:pPr>
        <w:sectPr>
          <w:pgSz w:w="11900" w:h="16838" w:orient="portrait"/>
          <w:cols w:equalWidth="0" w:num="1">
            <w:col w:w="9019"/>
          </w:cols>
          <w:pgMar w:left="1440" w:top="1373" w:right="1440" w:bottom="808" w:gutter="0" w:footer="0" w:header="0"/>
        </w:sectPr>
      </w:pPr>
    </w:p>
    <w:p>
      <w:pPr>
        <w:spacing w:after="0" w:line="2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1373" w:right="1440" w:bottom="808" w:gutter="0" w:footer="0" w:header="0"/>
          <w:type w:val="continuous"/>
        </w:sectPr>
      </w:pPr>
    </w:p>
    <w:bookmarkStart w:id="10" w:name="page11"/>
    <w:bookmarkEnd w:id="10"/>
    <w:p>
      <w:pPr>
        <w:jc w:val="both"/>
        <w:ind w:left="120" w:right="639"/>
        <w:spacing w:after="0" w:line="27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Maturity Date.</w:t>
      </w:r>
      <w:r>
        <w:rPr>
          <w:rFonts w:ascii="Times New Roman" w:cs="Times New Roman" w:eastAsia="Times New Roman" w:hAnsi="Times New Roman"/>
          <w:sz w:val="18"/>
          <w:szCs w:val="18"/>
          <w:color w:val="auto"/>
        </w:rPr>
        <w:t xml:space="preserve">  The Maturity Date is the Contract Anniversary after the oldest Owner’s 90th birthday or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from the date we issue your Contract, whichever is later. The Contract will be annuitized at the Maturity Date.</w:t>
      </w:r>
    </w:p>
    <w:p>
      <w:pPr>
        <w:spacing w:after="0" w:line="290"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Minimum Account Value. </w:t>
      </w:r>
      <w:r>
        <w:rPr>
          <w:rFonts w:ascii="Times New Roman" w:cs="Times New Roman" w:eastAsia="Times New Roman" w:hAnsi="Times New Roman"/>
          <w:sz w:val="18"/>
          <w:szCs w:val="18"/>
          <w:color w:val="auto"/>
        </w:rPr>
        <w:t>$2,000. If your Account Value falls below the Minimum Account Value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withdrawal (including any applicable Withdrawal Charge) we will treat the withdrawal request as a request for a full withdrawal.</w:t>
      </w:r>
    </w:p>
    <w:p>
      <w:pPr>
        <w:spacing w:after="0" w:line="63"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Minimum Guaranteed Cap Rate. </w:t>
      </w:r>
      <w:r>
        <w:rPr>
          <w:rFonts w:ascii="Times New Roman" w:cs="Times New Roman" w:eastAsia="Times New Roman" w:hAnsi="Times New Roman"/>
          <w:sz w:val="18"/>
          <w:szCs w:val="18"/>
          <w:color w:val="auto"/>
        </w:rPr>
        <w:t>The actual Minimum Guaranteed Cap Rate for your Contract is the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shown on your Contract Schedule but will not be less than 2% for Shield Options with a 1-Year Term and 6% for Shield Options with a 3-Year Term.</w:t>
      </w:r>
    </w:p>
    <w:p>
      <w:pPr>
        <w:spacing w:after="0" w:line="76" w:lineRule="exact"/>
        <w:rPr>
          <w:sz w:val="20"/>
          <w:szCs w:val="20"/>
          <w:color w:val="auto"/>
        </w:rPr>
      </w:pPr>
    </w:p>
    <w:p>
      <w:pPr>
        <w:jc w:val="both"/>
        <w:ind w:left="120" w:right="6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Minimum Guaranteed Edge Rate. </w:t>
      </w:r>
      <w:r>
        <w:rPr>
          <w:rFonts w:ascii="Times New Roman" w:cs="Times New Roman" w:eastAsia="Times New Roman" w:hAnsi="Times New Roman"/>
          <w:sz w:val="18"/>
          <w:szCs w:val="18"/>
          <w:color w:val="auto"/>
        </w:rPr>
        <w:t>The actual Minimum Guaranteed Edge Rate for your Contract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shown on your Contract Schedule but will not be less than 1.5%.</w:t>
      </w:r>
    </w:p>
    <w:p>
      <w:pPr>
        <w:spacing w:after="0" w:line="60"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Minimum Guaranteed Interest Rate.</w:t>
      </w:r>
      <w:r>
        <w:rPr>
          <w:rFonts w:ascii="Times New Roman" w:cs="Times New Roman" w:eastAsia="Times New Roman" w:hAnsi="Times New Roman"/>
          <w:sz w:val="18"/>
          <w:szCs w:val="18"/>
          <w:color w:val="auto"/>
        </w:rPr>
        <w:t xml:space="preserve">  The current Minimum Guaranteed Interest Rate will not be less than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interest rate is guaranteed to be a rate not less than the minimum interest rate allowed by state law—see Appendix D. The actual Minimum Guaranteed Interest Rate for your Contract is the amount shown on your Contract Schedule and applies only to amounts in the Fixed Account.</w:t>
      </w:r>
    </w:p>
    <w:p>
      <w:pPr>
        <w:spacing w:after="0" w:line="68"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Minimum Guaranteed Step Rate.</w:t>
      </w:r>
      <w:r>
        <w:rPr>
          <w:rFonts w:ascii="Times New Roman" w:cs="Times New Roman" w:eastAsia="Times New Roman" w:hAnsi="Times New Roman"/>
          <w:sz w:val="18"/>
          <w:szCs w:val="18"/>
          <w:color w:val="auto"/>
        </w:rPr>
        <w:t xml:space="preserve">  The actual Minimum Guaranteed Step Rate for your Contract is the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shown on your Contract Schedule but will not be less than 1.5%.</w:t>
      </w:r>
    </w:p>
    <w:p>
      <w:pPr>
        <w:spacing w:after="0" w:line="47"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Any form of communication providing information we need, either in a signed writing or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that we approve in advance. All Notices to us must be sent to our Annuity Service Office and received in Good Order. To be effective for a Business Day, a Notice must be received in Good Order prior to the end of that Business Day.</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xml:space="preserve">   New York Stock Exchange.</w:t>
      </w:r>
    </w:p>
    <w:p>
      <w:pPr>
        <w:spacing w:after="0" w:line="117"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Owner (“you”, “yours”).</w:t>
      </w:r>
      <w:r>
        <w:rPr>
          <w:rFonts w:ascii="Times New Roman" w:cs="Times New Roman" w:eastAsia="Times New Roman" w:hAnsi="Times New Roman"/>
          <w:sz w:val="18"/>
          <w:szCs w:val="18"/>
          <w:color w:val="auto"/>
        </w:rPr>
        <w:t xml:space="preserve">  The person(s) entitled to the ownership rights under the Contract. Subject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procedures, we may also permit ownership by a corporation (a type of non-natural person) or certain other legal entities. If Joint Owners are named, all references to Owner shall mean Joint Owners.</w:t>
      </w:r>
    </w:p>
    <w:p>
      <w:pPr>
        <w:spacing w:after="0" w:line="63" w:lineRule="exact"/>
        <w:rPr>
          <w:sz w:val="20"/>
          <w:szCs w:val="20"/>
          <w:color w:val="auto"/>
        </w:rPr>
      </w:pPr>
    </w:p>
    <w:p>
      <w:pPr>
        <w:jc w:val="both"/>
        <w:ind w:left="120" w:right="63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Performance Lock Benefit. </w:t>
      </w:r>
      <w:r>
        <w:rPr>
          <w:rFonts w:ascii="Times New Roman" w:cs="Times New Roman" w:eastAsia="Times New Roman" w:hAnsi="Times New Roman"/>
          <w:sz w:val="18"/>
          <w:szCs w:val="18"/>
          <w:color w:val="auto"/>
        </w:rPr>
        <w:t>A living benefit rider that allows you the option to lock positive Index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on certain Shield Options and that is automatically included with your Contract on the Issue Date. We may also refer to this as the “Performance Lock rider” and/or “Performance Lock.” The Performance Lock Benefit generally is available with each Shield Option, except for those Shield Options with a Step Rate or Edge Rate.</w:t>
      </w:r>
    </w:p>
    <w:p>
      <w:pPr>
        <w:spacing w:after="0" w:line="291" w:lineRule="exact"/>
        <w:rPr>
          <w:sz w:val="20"/>
          <w:szCs w:val="20"/>
          <w:color w:val="auto"/>
        </w:rPr>
      </w:pPr>
    </w:p>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Performance Lock Factor. </w:t>
      </w:r>
      <w:r>
        <w:rPr>
          <w:rFonts w:ascii="Times New Roman" w:cs="Times New Roman" w:eastAsia="Times New Roman" w:hAnsi="Times New Roman"/>
          <w:sz w:val="18"/>
          <w:szCs w:val="18"/>
          <w:color w:val="auto"/>
        </w:rPr>
        <w:t>For any Shield Option with a Locked Index Value, the Performance Lock Factor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percentage we apply to (a) the Interim Value with Performance Lock prior to the end of the Term or (b) the Investment Amount at the end of the Term, as applicable. The percentage that we apply is less than 100% to compensate us for the costs and risks that we assume in providing the Performance Lock with your Shield Option.</w:t>
      </w:r>
    </w:p>
    <w:p>
      <w:pPr>
        <w:spacing w:after="0" w:line="68" w:lineRule="exact"/>
        <w:rPr>
          <w:sz w:val="20"/>
          <w:szCs w:val="20"/>
          <w:color w:val="auto"/>
        </w:rPr>
      </w:pPr>
    </w:p>
    <w:p>
      <w:pPr>
        <w:jc w:val="both"/>
        <w:ind w:left="120" w:right="659"/>
        <w:spacing w:after="0" w:line="256" w:lineRule="auto"/>
        <w:rPr>
          <w:sz w:val="20"/>
          <w:szCs w:val="20"/>
          <w:color w:val="auto"/>
        </w:rPr>
      </w:pPr>
      <w:r>
        <w:rPr>
          <w:rFonts w:ascii="Times New Roman" w:cs="Times New Roman" w:eastAsia="Times New Roman" w:hAnsi="Times New Roman"/>
          <w:sz w:val="18"/>
          <w:szCs w:val="18"/>
          <w:b w:val="1"/>
          <w:bCs w:val="1"/>
          <w:color w:val="auto"/>
        </w:rPr>
        <w:t>Performance Rate.</w:t>
      </w:r>
      <w:r>
        <w:rPr>
          <w:rFonts w:ascii="Times New Roman" w:cs="Times New Roman" w:eastAsia="Times New Roman" w:hAnsi="Times New Roman"/>
          <w:sz w:val="18"/>
          <w:szCs w:val="18"/>
          <w:color w:val="auto"/>
        </w:rPr>
        <w:t xml:space="preserve">  The Performance Rate is based on the Index Performance, adjusted as follows.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End Date, the Index Performance is adjusted for the applicable Accrued Shield Rate, Accrued Cap Rate, Accrued Step Rate, or Accrued Edge Rate. On the Term End Date, the Index Performance is adjusted for the applicable Shield Rate, Cap Rate, Step Rate, or Edge Rate. The Performance Rate can be positive, zero or negative. At the Term End Date, any increase or reduction in the Investment Amount in a particular Shield Option is determined by multiplying the Performance Rate by the Investment Amount of the Shield Option on the last day of the Term.</w:t>
      </w:r>
    </w:p>
    <w:p>
      <w:pPr>
        <w:spacing w:after="0" w:line="295" w:lineRule="exact"/>
        <w:rPr>
          <w:sz w:val="20"/>
          <w:szCs w:val="20"/>
          <w:color w:val="auto"/>
        </w:rPr>
      </w:pPr>
    </w:p>
    <w:p>
      <w:pPr>
        <w:jc w:val="both"/>
        <w:ind w:left="120" w:right="639"/>
        <w:spacing w:after="0" w:line="256" w:lineRule="auto"/>
        <w:rPr>
          <w:sz w:val="20"/>
          <w:szCs w:val="20"/>
          <w:color w:val="auto"/>
        </w:rPr>
      </w:pPr>
      <w:r>
        <w:rPr>
          <w:rFonts w:ascii="Times New Roman" w:cs="Times New Roman" w:eastAsia="Times New Roman" w:hAnsi="Times New Roman"/>
          <w:sz w:val="18"/>
          <w:szCs w:val="18"/>
          <w:b w:val="1"/>
          <w:bCs w:val="1"/>
          <w:color w:val="auto"/>
        </w:rPr>
        <w:t>Performance Rate Adjustment.</w:t>
      </w:r>
      <w:r>
        <w:rPr>
          <w:rFonts w:ascii="Times New Roman" w:cs="Times New Roman" w:eastAsia="Times New Roman" w:hAnsi="Times New Roman"/>
          <w:sz w:val="18"/>
          <w:szCs w:val="18"/>
          <w:color w:val="auto"/>
        </w:rPr>
        <w:t xml:space="preserve">  The adjustment made to the Investment Amount for each Shield Option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during the Term, up to, and including, the Term End Date. Prior to the Term End Date, this adjustment is based on the Index Performance of the associated Index for a particular Term, subject to any applicable Accrued Shield Rate, Accrued Cap Rate, Accrued Step Rate, or Accrued Edge Rate. On the Term End Date, this adjustment is based on the Performance Rate. This adjustment can be positive, zero or negative. When the Performance Rate Adjustment is positive we may also refer to this adjustment as “earnings.” When the Performance Rate Adjustment is negative we may also refer to this adjustment as “losses.”</w:t>
      </w:r>
    </w:p>
    <w:p>
      <w:pPr>
        <w:spacing w:after="0" w:line="75" w:lineRule="exact"/>
        <w:rPr>
          <w:sz w:val="20"/>
          <w:szCs w:val="20"/>
          <w:color w:val="auto"/>
        </w:rPr>
      </w:pPr>
    </w:p>
    <w:p>
      <w:pPr>
        <w:ind w:left="1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Premium Tax.</w:t>
      </w:r>
      <w:r>
        <w:rPr>
          <w:sz w:val="20"/>
          <w:szCs w:val="20"/>
          <w:color w:val="auto"/>
        </w:rPr>
        <w:tab/>
      </w:r>
      <w:r>
        <w:rPr>
          <w:rFonts w:ascii="Times New Roman" w:cs="Times New Roman" w:eastAsia="Times New Roman" w:hAnsi="Times New Roman"/>
          <w:sz w:val="17"/>
          <w:szCs w:val="17"/>
          <w:color w:val="auto"/>
        </w:rPr>
        <w:t>The amount of tax, if any, charged by the state or municipality.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Payment.</w:t>
      </w:r>
      <w:r>
        <w:rPr>
          <w:rFonts w:ascii="Times New Roman" w:cs="Times New Roman" w:eastAsia="Times New Roman" w:hAnsi="Times New Roman"/>
          <w:sz w:val="18"/>
          <w:szCs w:val="18"/>
          <w:color w:val="auto"/>
        </w:rPr>
        <w:t xml:space="preserve">   The amount paid to us under the Contract as consideration for the benefits it provides.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Rate Crediting Type.</w:t>
      </w:r>
      <w:r>
        <w:rPr>
          <w:rFonts w:ascii="Times New Roman" w:cs="Times New Roman" w:eastAsia="Times New Roman" w:hAnsi="Times New Roman"/>
          <w:sz w:val="18"/>
          <w:szCs w:val="18"/>
          <w:color w:val="auto"/>
        </w:rPr>
        <w:t xml:space="preserve">   Either the Cap Rate, Step Rate, or Step Rate Edge.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RMD.</w:t>
      </w:r>
      <w:r>
        <w:rPr>
          <w:rFonts w:ascii="Times New Roman" w:cs="Times New Roman" w:eastAsia="Times New Roman" w:hAnsi="Times New Roman"/>
          <w:sz w:val="18"/>
          <w:szCs w:val="18"/>
          <w:color w:val="auto"/>
        </w:rPr>
        <w:t xml:space="preserve">   Required Minimum Distribution.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Securities and Exchange Commission.</w:t>
      </w:r>
    </w:p>
    <w:p>
      <w:pPr>
        <w:spacing w:after="0" w:line="117"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Separate Account.</w:t>
      </w:r>
      <w:r>
        <w:rPr>
          <w:sz w:val="20"/>
          <w:szCs w:val="20"/>
          <w:color w:val="auto"/>
        </w:rPr>
        <w:tab/>
      </w:r>
      <w:r>
        <w:rPr>
          <w:rFonts w:ascii="Times New Roman" w:cs="Times New Roman" w:eastAsia="Times New Roman" w:hAnsi="Times New Roman"/>
          <w:sz w:val="17"/>
          <w:szCs w:val="17"/>
          <w:color w:val="auto"/>
        </w:rPr>
        <w:t>The separate account is Brighthouse Separate Account SA.</w:t>
      </w:r>
    </w:p>
    <w:p>
      <w:pPr>
        <w:sectPr>
          <w:pgSz w:w="11900" w:h="16838" w:orient="portrait"/>
          <w:cols w:equalWidth="0" w:num="1">
            <w:col w:w="9019"/>
          </w:cols>
          <w:pgMar w:left="1440" w:top="1373" w:right="1440" w:bottom="781" w:gutter="0" w:footer="0" w:header="0"/>
        </w:sectPr>
      </w:pPr>
    </w:p>
    <w:p>
      <w:pPr>
        <w:spacing w:after="0" w:line="29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1373" w:right="1440" w:bottom="781" w:gutter="0" w:footer="0" w:header="0"/>
          <w:type w:val="continuous"/>
        </w:sectPr>
      </w:pPr>
    </w:p>
    <w:bookmarkStart w:id="11" w:name="page12"/>
    <w:bookmarkEnd w:id="11"/>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xml:space="preserve">Shield 10. </w:t>
      </w:r>
      <w:r>
        <w:rPr>
          <w:rFonts w:ascii="Times New Roman" w:cs="Times New Roman" w:eastAsia="Times New Roman" w:hAnsi="Times New Roman"/>
          <w:sz w:val="18"/>
          <w:szCs w:val="18"/>
          <w:color w:val="auto"/>
        </w:rPr>
        <w:t>The Contract provides downside protection through the Shield 10, which is a Shield Rate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negative Index Performance of up to 10% of your Investment Amount is absorbed by us at the Term End Date, which would leave you to absorb any remaining negative Index Performance of up to 90% of your Investment Amount.</w:t>
      </w:r>
    </w:p>
    <w:p>
      <w:pPr>
        <w:spacing w:after="0" w:line="68" w:lineRule="exact"/>
        <w:rPr>
          <w:sz w:val="20"/>
          <w:szCs w:val="20"/>
          <w:color w:val="auto"/>
        </w:rPr>
      </w:pPr>
    </w:p>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Shield 15. </w:t>
      </w:r>
      <w:r>
        <w:rPr>
          <w:rFonts w:ascii="Times New Roman" w:cs="Times New Roman" w:eastAsia="Times New Roman" w:hAnsi="Times New Roman"/>
          <w:sz w:val="18"/>
          <w:szCs w:val="18"/>
          <w:color w:val="auto"/>
        </w:rPr>
        <w:t>The Contract provides downside protection through the Shield 15, which is a Shield Rate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negative Index Performance of up to 15% of your Investment Amount is absorbed by us at the Term End Date, which would leave you to absorb any remaining negative Index Performance of up to 85% of your Investment Amount.</w:t>
      </w:r>
    </w:p>
    <w:p>
      <w:pPr>
        <w:spacing w:after="0" w:line="68" w:lineRule="exact"/>
        <w:rPr>
          <w:sz w:val="20"/>
          <w:szCs w:val="20"/>
          <w:color w:val="auto"/>
        </w:rPr>
      </w:pPr>
    </w:p>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Shield Rate. </w:t>
      </w:r>
      <w:r>
        <w:rPr>
          <w:rFonts w:ascii="Times New Roman" w:cs="Times New Roman" w:eastAsia="Times New Roman" w:hAnsi="Times New Roman"/>
          <w:sz w:val="18"/>
          <w:szCs w:val="18"/>
          <w:color w:val="auto"/>
        </w:rPr>
        <w:t>A limited buffer where we absorb part of any negative Index Performance at the Term End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negative Index Performance beyond the Shield Rate will reduce the Investment Amount associated with the Shield Option. </w:t>
      </w:r>
      <w:r>
        <w:rPr>
          <w:rFonts w:ascii="Times New Roman" w:cs="Times New Roman" w:eastAsia="Times New Roman" w:hAnsi="Times New Roman"/>
          <w:sz w:val="18"/>
          <w:szCs w:val="18"/>
          <w:b w:val="1"/>
          <w:bCs w:val="1"/>
          <w:color w:val="auto"/>
        </w:rPr>
        <w:t>The Shield Rate may vary between Shield Options and, unless you have a Shield Option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 1-year Term, is not an annual rate</w:t>
      </w:r>
      <w:r>
        <w:rPr>
          <w:rFonts w:ascii="Times New Roman" w:cs="Times New Roman" w:eastAsia="Times New Roman" w:hAnsi="Times New Roman"/>
          <w:sz w:val="18"/>
          <w:szCs w:val="18"/>
          <w:color w:val="auto"/>
        </w:rPr>
        <w:t>. We currently offer the following Shield Rates: Shield 10, and Shield 15.</w:t>
      </w:r>
    </w:p>
    <w:p>
      <w:pPr>
        <w:spacing w:after="0" w:line="68"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Shield Option. </w:t>
      </w:r>
      <w:r>
        <w:rPr>
          <w:rFonts w:ascii="Times New Roman" w:cs="Times New Roman" w:eastAsia="Times New Roman" w:hAnsi="Times New Roman"/>
          <w:sz w:val="18"/>
          <w:szCs w:val="18"/>
          <w:color w:val="auto"/>
        </w:rPr>
        <w:t>You may allocate your Purchase Payment or transfer your Investment Amount to one or more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available Shield Options. Each Shield Option offered through this Contract has an associated Term, Index, Shield Rate, and a Rate Crediting Type.</w:t>
      </w:r>
    </w:p>
    <w:p>
      <w:pPr>
        <w:spacing w:after="0" w:line="63"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Step Rate. </w:t>
      </w:r>
      <w:r>
        <w:rPr>
          <w:rFonts w:ascii="Times New Roman" w:cs="Times New Roman" w:eastAsia="Times New Roman" w:hAnsi="Times New Roman"/>
          <w:sz w:val="18"/>
          <w:szCs w:val="18"/>
          <w:color w:val="auto"/>
        </w:rPr>
        <w:t>The rate credited at the Term End Date if the Index Performance is equal to or greater than zero.</w:t>
      </w:r>
      <w:r>
        <w:rPr>
          <w:rFonts w:ascii="Times New Roman" w:cs="Times New Roman" w:eastAsia="Times New Roman" w:hAnsi="Times New Roman"/>
          <w:sz w:val="18"/>
          <w:szCs w:val="18"/>
          <w:b w:val="1"/>
          <w:bCs w:val="1"/>
          <w:color w:val="auto"/>
        </w:rPr>
        <w:t xml:space="preserve"> The Step Rate may vary between Shield Options and, unless you have a Shield Option with a 1-year Term, is not an annual rate.</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Surrender.</w:t>
      </w:r>
      <w:r>
        <w:rPr>
          <w:rFonts w:ascii="Times New Roman" w:cs="Times New Roman" w:eastAsia="Times New Roman" w:hAnsi="Times New Roman"/>
          <w:sz w:val="18"/>
          <w:szCs w:val="18"/>
          <w:color w:val="auto"/>
        </w:rPr>
        <w:t xml:space="preserve">   A full withdrawal of your Account Value.</w:t>
      </w:r>
    </w:p>
    <w:p>
      <w:pPr>
        <w:spacing w:after="0" w:line="117"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Target Index Value. </w:t>
      </w:r>
      <w:r>
        <w:rPr>
          <w:rFonts w:ascii="Times New Roman" w:cs="Times New Roman" w:eastAsia="Times New Roman" w:hAnsi="Times New Roman"/>
          <w:sz w:val="18"/>
          <w:szCs w:val="18"/>
          <w:color w:val="auto"/>
        </w:rPr>
        <w:t>For any Shield Option with Performance Lock, in lieu of providing Notice of election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Business Day, you may, at any time prior to the Term End Date, set a target Index Value at which you would like the Performance Lock to take effect “automatically” (i.e., without further action on your part provided the Index Value meets or exceeds your target Index Value).</w:t>
      </w:r>
    </w:p>
    <w:p>
      <w:pPr>
        <w:spacing w:after="0" w:line="68"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Term is the number of years that the Shield Option is in effect. We currently offer Terms of 1 year,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and 3 years. The initial Term(s) begin on the Issue Date.</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End Date.</w:t>
      </w:r>
      <w:r>
        <w:rPr>
          <w:rFonts w:ascii="Times New Roman" w:cs="Times New Roman" w:eastAsia="Times New Roman" w:hAnsi="Times New Roman"/>
          <w:sz w:val="18"/>
          <w:szCs w:val="18"/>
          <w:color w:val="auto"/>
        </w:rPr>
        <w:t xml:space="preserve">   The Contract Anniversary on which a Shield Option ends.</w:t>
      </w:r>
    </w:p>
    <w:p>
      <w:pPr>
        <w:spacing w:after="0" w:line="117"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Term Start Date. </w:t>
      </w:r>
      <w:r>
        <w:rPr>
          <w:rFonts w:ascii="Times New Roman" w:cs="Times New Roman" w:eastAsia="Times New Roman" w:hAnsi="Times New Roman"/>
          <w:sz w:val="18"/>
          <w:szCs w:val="18"/>
          <w:color w:val="auto"/>
        </w:rPr>
        <w:t>The Contract Anniversary on which a Shield Option is established. The initial Term Start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Date(s) begins on the Issue Date, and thereafter, will be the Contract Anniversary coinciding with the duration of the current Term you have selected.</w:t>
      </w:r>
    </w:p>
    <w:p>
      <w:pPr>
        <w:spacing w:after="0" w:line="63" w:lineRule="exact"/>
        <w:rPr>
          <w:sz w:val="20"/>
          <w:szCs w:val="20"/>
          <w:color w:val="auto"/>
        </w:rPr>
      </w:pPr>
    </w:p>
    <w:p>
      <w:pPr>
        <w:jc w:val="both"/>
        <w:ind w:left="120" w:right="639"/>
        <w:spacing w:after="0" w:line="257" w:lineRule="auto"/>
        <w:rPr>
          <w:sz w:val="20"/>
          <w:szCs w:val="20"/>
          <w:color w:val="auto"/>
        </w:rPr>
      </w:pPr>
      <w:r>
        <w:rPr>
          <w:rFonts w:ascii="Times New Roman" w:cs="Times New Roman" w:eastAsia="Times New Roman" w:hAnsi="Times New Roman"/>
          <w:sz w:val="18"/>
          <w:szCs w:val="18"/>
          <w:b w:val="1"/>
          <w:bCs w:val="1"/>
          <w:color w:val="auto"/>
        </w:rPr>
        <w:t>Transfer Period.</w:t>
      </w:r>
      <w:r>
        <w:rPr>
          <w:rFonts w:ascii="Times New Roman" w:cs="Times New Roman" w:eastAsia="Times New Roman" w:hAnsi="Times New Roman"/>
          <w:sz w:val="18"/>
          <w:szCs w:val="18"/>
          <w:color w:val="auto"/>
        </w:rPr>
        <w:t xml:space="preserve">  The five (5) calendar days following the Contract Anniversary coinciding with the Term 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for each applicable Shield Option and/or the Interest Rate Term End Date for the Fixed Account, during the Accumulation Period. For a Shield Option with a Locked Index Value, the Transfer Period does not apply to transfers of Interim Value (i.e., transfers on any Contract Anniversary prior to the end of the Term). After a Locked Index Value takes effect, you may transfer the Interim Value of that Shield Option before the Term End Date but only on a Contract Anniversary.</w:t>
      </w:r>
    </w:p>
    <w:p>
      <w:pPr>
        <w:spacing w:after="0" w:line="74"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Withdrawal Charge. </w:t>
      </w:r>
      <w:r>
        <w:rPr>
          <w:rFonts w:ascii="Times New Roman" w:cs="Times New Roman" w:eastAsia="Times New Roman" w:hAnsi="Times New Roman"/>
          <w:sz w:val="18"/>
          <w:szCs w:val="18"/>
          <w:color w:val="auto"/>
        </w:rPr>
        <w:t>A charge applied to the percentage of the amount withdrawn from your Account Value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Contract Year in excess of the Free Withdrawal Amount.</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019"/>
          </w:cols>
          <w:pgMar w:left="1440" w:top="1373" w:right="1440" w:bottom="1440" w:gutter="0" w:footer="0" w:header="0"/>
          <w:type w:val="continuous"/>
        </w:sectPr>
      </w:pPr>
    </w:p>
    <w:bookmarkStart w:id="12" w:name="page13"/>
    <w:bookmarkEnd w:id="12"/>
    <w:p>
      <w:pPr>
        <w:ind w:left="37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SUMMARY</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About the Contract</w:t>
      </w:r>
    </w:p>
    <w:p>
      <w:pPr>
        <w:spacing w:after="0" w:line="118" w:lineRule="exact"/>
        <w:rPr>
          <w:sz w:val="20"/>
          <w:szCs w:val="20"/>
          <w:color w:val="auto"/>
        </w:rPr>
      </w:pPr>
    </w:p>
    <w:p>
      <w:pPr>
        <w:jc w:val="both"/>
        <w:ind w:left="120" w:right="639" w:firstLine="360"/>
        <w:spacing w:after="0" w:line="248" w:lineRule="auto"/>
        <w:rPr>
          <w:sz w:val="20"/>
          <w:szCs w:val="20"/>
          <w:color w:val="auto"/>
        </w:rPr>
      </w:pPr>
      <w:r>
        <w:rPr>
          <w:rFonts w:ascii="Times New Roman" w:cs="Times New Roman" w:eastAsia="Times New Roman" w:hAnsi="Times New Roman"/>
          <w:sz w:val="18"/>
          <w:szCs w:val="18"/>
          <w:color w:val="auto"/>
        </w:rPr>
        <w:t>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is an individual single premium deferred index-linked annuity contract (the “Contract”) issued by BLIC, that provides for the potential accumulation of retirement savings on a tax-deferred basis through investment in the Contract’s investment options, which include the Shield Options and the Fixed Account (if available). The Contract is designed generally for an investor who intends to hold the Contract for a long period of time and then use the Account Value for retirement savings or other long-term investment purposes, and also includes a death benefit which can be used to transfer assets to your beneficiaries. It may not be appropriate for you if you plan to take withdrawals from a Shield Option prior to the Term End Date, especially if you plan to take ongoing withdrawals such as RMDs and withdrawals taken under the systematic withdrawal program. Before you invest, be sure to ask your financial professional about the Contract’s features, benefits, risks and fees, and whether the Contract is appropriate for you based on your financial situation and objectives.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Phases of the Contract</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Contract, like all deferred annuity contracts, has two periods: the Accumulation Period and the Income Period.</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Accumulation Period</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During the Accumulation Period, Account Value accumulates on a tax-deferred basis and is taxed as income when you make a withdrawal. If you make a withdrawal or Surrender the Contract during the Accumulation Period, we may assess a Withdrawal Charge of up to 7%. Withdrawals (including any applicable Withdrawal Charge), depending on the amount and timing, may negatively impact the benefits and guarantees provided by your Contract. You should carefully consider whether a withdrawal under a particular circumstance will have any negative impact to your benefits or guarantees.</w:t>
      </w:r>
    </w:p>
    <w:p>
      <w:pPr>
        <w:spacing w:after="0" w:line="89" w:lineRule="exact"/>
        <w:rPr>
          <w:sz w:val="20"/>
          <w:szCs w:val="20"/>
          <w:color w:val="auto"/>
        </w:rPr>
      </w:pPr>
    </w:p>
    <w:p>
      <w:pPr>
        <w:jc w:val="both"/>
        <w:ind w:left="120" w:right="6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To help you accumulate assets during the Accumulation Period, you can invest your Purchase Payments and Account Value in the Fixed Account (if available) and the Shield Options.</w:t>
      </w:r>
    </w:p>
    <w:p>
      <w:pPr>
        <w:spacing w:after="0" w:line="60" w:lineRule="exact"/>
        <w:rPr>
          <w:sz w:val="20"/>
          <w:szCs w:val="20"/>
          <w:color w:val="auto"/>
        </w:rPr>
      </w:pPr>
    </w:p>
    <w:p>
      <w:pPr>
        <w:jc w:val="both"/>
        <w:ind w:left="12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Fixed Account. </w:t>
      </w:r>
      <w:r>
        <w:rPr>
          <w:rFonts w:ascii="Times New Roman" w:cs="Times New Roman" w:eastAsia="Times New Roman" w:hAnsi="Times New Roman"/>
          <w:sz w:val="18"/>
          <w:szCs w:val="18"/>
          <w:color w:val="auto"/>
        </w:rPr>
        <w:t>The Fixed Account (if available) guarantees principal and interest. The Minimum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Interest Rate depends on the date your Contract is issued and will not be less than 1% annually. Unless you allocate your entire Purchase Payment and earnings to the Fixed Account, you may lose money by investing in the Contract.</w:t>
      </w:r>
    </w:p>
    <w:p>
      <w:pPr>
        <w:spacing w:after="0" w:line="68" w:lineRule="exact"/>
        <w:rPr>
          <w:sz w:val="20"/>
          <w:szCs w:val="20"/>
          <w:color w:val="auto"/>
        </w:rPr>
      </w:pPr>
    </w:p>
    <w:p>
      <w:pPr>
        <w:jc w:val="both"/>
        <w:ind w:left="12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Shield Options. </w:t>
      </w:r>
      <w:r>
        <w:rPr>
          <w:rFonts w:ascii="Times New Roman" w:cs="Times New Roman" w:eastAsia="Times New Roman" w:hAnsi="Times New Roman"/>
          <w:sz w:val="18"/>
          <w:szCs w:val="18"/>
          <w:color w:val="auto"/>
        </w:rPr>
        <w:t>We currently offer Shield Options based on Indices. Each Shield Option has a Term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 2, or 3 years in length. The various Shield Options permit Owners to receive interest (positive, negative or zero) at the end of each Term based on the percentage returns of certain Securities Indices. You could lose a significant amount of money if the Index declines in value.</w:t>
      </w:r>
    </w:p>
    <w:p>
      <w:pPr>
        <w:spacing w:after="0" w:line="86"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Shield Options offer guarantees against a specified level of negative interest—guarantees we call “Shield Rates.” We use the Shield Rates to limit the negative Index Performance used in calculating the interest rate credited to a Shield Option (the “Performance Rate”).</w:t>
      </w:r>
    </w:p>
    <w:p>
      <w:pPr>
        <w:spacing w:after="0" w:line="8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protections specified by the Shield Rate and the level of positive investment experience that can be credited to Account Value allowed by the Cap Rate or specified by the Step Rate or Edge Rate are only fully available for the amounts held until the end of the Term.</w:t>
      </w:r>
    </w:p>
    <w:p>
      <w:pPr>
        <w:spacing w:after="0" w:line="68"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We currently offer Shield Rates of 10% (“Shield 10”), 15% (“Shield 15”), or 25% (“Shield 25”). The Shield Rate is a limited buffer where we absorb any negative Index Performance on the Term End Date up to the Shield Rate. Any negative Index Performance beyond the Shield Rate will reduce the Investment Amount associated with the Shield Option. For example, -15% Index Performance with a 10% Shield Rate will result in a -5% Performance Rate (the amount of negative Index Performance that exceeds the Shield Rate), meaning that we will reduce the Investment Amount associated with the Shield Option by -5%.</w:t>
      </w:r>
    </w:p>
    <w:p>
      <w:pPr>
        <w:spacing w:after="0" w:line="8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We do not guarantee that there will always be a Shield Option under the Contract that provides this minimum amount of downside protection; however, there will always be at least one Shield Option available, at the Term End Date, that offers downside protection, although it may not be substantially similar to one of the currently available Shield Options. Consequently, if we were to offer only one Shield Option, you would be limited to investing in that one Shield Option. If that Shield Option does not meet your investment objectives or financial goals, you could transfer to the Fixed Account (if available at that time and subject to applicable conditions described in the “TRANSFERS” section, including the requirement to remain invested in the Fixed Account until the Interest Rate Term End Date), Surrender your Contract and/or invest in another investment vehicle. If you Surrender your Contract, you might incur</w:t>
      </w:r>
    </w:p>
    <w:p>
      <w:pPr>
        <w:sectPr>
          <w:pgSz w:w="11900" w:h="16838" w:orient="portrait"/>
          <w:cols w:equalWidth="0" w:num="1">
            <w:col w:w="9019"/>
          </w:cols>
          <w:pgMar w:left="1440" w:top="1373" w:right="1440" w:bottom="771"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019"/>
          </w:cols>
          <w:pgMar w:left="1440" w:top="1373" w:right="1440" w:bottom="771" w:gutter="0" w:footer="0" w:header="0"/>
          <w:type w:val="continuous"/>
        </w:sectPr>
      </w:pPr>
    </w:p>
    <w:bookmarkStart w:id="13" w:name="page14"/>
    <w:bookmarkEnd w:id="13"/>
    <w:p>
      <w:pPr>
        <w:jc w:val="both"/>
        <w:ind w:left="120" w:right="639"/>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taxes, tax penalties, Withdrawal Charges, or an Interim Value calculation. If you invest in another investment vehicle, that investment may have different features, fees and risks than your Contract.</w:t>
      </w:r>
    </w:p>
    <w:p>
      <w:pPr>
        <w:spacing w:after="0" w:line="6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Each Shield Option also has a Rate Crediting Type. The Cap Rate, Step Rate, and Step Rate Edge (each, a “Rate Crediting Type”) are the three ways we offer that you can potentially receive positive interest based on the performance of an Index. We limit the positive Index Performance used in calculating the interest credited to a Shield Option at the Term End Date through the Cap Rate, Step Rate, or Step Rate Edge. Positive interest may be credited up to the specified Cap Rate or equal to the specified Step Rate or Edge Rate.</w:t>
      </w:r>
    </w:p>
    <w:p>
      <w:pPr>
        <w:spacing w:after="0" w:line="75" w:lineRule="exact"/>
        <w:rPr>
          <w:sz w:val="20"/>
          <w:szCs w:val="20"/>
          <w:color w:val="auto"/>
        </w:rPr>
      </w:pPr>
    </w:p>
    <w:p>
      <w:pPr>
        <w:jc w:val="both"/>
        <w:ind w:left="680" w:right="739" w:hanging="208"/>
        <w:spacing w:after="0" w:line="258"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 Rate is the maximum rate that may be credited at the Term End Date based on Index Performance. For example, if you invest in a Shield Option with a 10% Cap Rate, and the Index Performance is 15% at the end of the Term, the Performance Rate will be 10% (the Index Performance up to the Cap Rate), meaning that we will increase the Investment Amount associated with the Shield Option by 10%.</w:t>
      </w:r>
    </w:p>
    <w:p>
      <w:pPr>
        <w:spacing w:after="0" w:line="75"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 Rate is the rate credited at the Term End Date if the Index Performance is equal to or greater than zero. For example, if you invest in a Shield Option with an 8% Step Rate, and the Index Performance is 15% at the end of the Term, the Performance Rate will be 8% (the Step Rate), meaning that we will increase the Investment Amount associated with the Shield Option by 8%.</w:t>
      </w:r>
    </w:p>
    <w:p>
      <w:pPr>
        <w:spacing w:after="0" w:line="71" w:lineRule="exact"/>
        <w:rPr>
          <w:rFonts w:ascii="Times New Roman" w:cs="Times New Roman" w:eastAsia="Times New Roman" w:hAnsi="Times New Roman"/>
          <w:sz w:val="18"/>
          <w:szCs w:val="18"/>
          <w:color w:val="auto"/>
        </w:rPr>
      </w:pPr>
    </w:p>
    <w:p>
      <w:pPr>
        <w:jc w:val="both"/>
        <w:ind w:left="680" w:right="739" w:hanging="208"/>
        <w:spacing w:after="0" w:line="253"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Shield Options with Step Rate Edge, the Edge Rate is the rate credited at the Term End Date if the Index Performance is equal to or greater than the Shield Rate. For example, if you invest in a Shield Option with a 10% Shield Rate and a 7% Edge Rate, and the Index Performance at the end of the Term is 3% (Index Performance greater than the Shield Rate), the Performance Rate will equal the Edge Rate, or 7%. This means that we will increase the Investment Amount associated with the Shield Option by 7%. Similarly, if the Index Performance is -10% (Index Performance equal to the Shield Rate), the Performance Rate will also equal the Edge Rate, or 7%. On the other hand, if the Index Performance is -15% (Index Performance less than the Shield Rate), the Performance Rate will equal -5% (the negative Index Performance in excess of the Shield Rate). This means that we will decrease the Investment Amount associated with the Shield Option by -5%.</w:t>
      </w:r>
    </w:p>
    <w:p>
      <w:pPr>
        <w:spacing w:after="0" w:line="86"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Shield Options with a Cap Rate are described in the Cap Rate Shield Option Rider attached to your Contract. Shield Options with a Step Rate are described in the Step Rate Shield Option Rider attached to your Contract. Shield Options with Step Rate Edge are described in the Step Rate Edge Shield Option Rider attached to your Contract.</w:t>
      </w:r>
    </w:p>
    <w:p>
      <w:pPr>
        <w:spacing w:after="0" w:line="72"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New Cap Rates, Step Rates, and Edge Rates are declared for each subsequent Term, subject to the minimum guaranteed rates for each Rate Crediting Type. The Minimum Guaranteed Cap Rate for your Contract is the amount shown on your Contract Schedule, but will not be less than 2% for Shield Options with a 1-Year Term, 6% for Shield Options with a 3-Year Term and 8% for Shield Options with a 6-Year Term. The Minimum Guaranteed Step Rate for your Contract is the amount shown on your Contract Schedule, but will not be less than 1.5%. The Minimum Guaranteed Edge Rate for your Contract is the amount shown on your Contract Schedule, but will not be less than 1.5%.</w:t>
      </w:r>
    </w:p>
    <w:p>
      <w:pPr>
        <w:spacing w:after="0" w:line="8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There are two ways you may find out what the renewal Cap Rates, Step Rates, and Edge Rates will be for a subsequent Term. Thirty (30) days before the current Term expires, we will send you a notification, written or electronic depending on your selected preferences, indicating your maturing Shield Options and how you can obtain the different Shield Options available at the Term End Date, including the new Cap Rates, Step Rates, Edge Rates, and the interest rate for the Fixed Account. You may also access our website at [TO BE UPDATED BY AMENDMENT] where at least two months of renewal rates for the Rate Crediting Types and the interest rate for the Fixed Account are posted – i.e., for the current month and the following month. See “RATE CREDITING TYPES” for more information.</w:t>
      </w:r>
    </w:p>
    <w:p>
      <w:pPr>
        <w:spacing w:after="0" w:line="8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For each Shield Option, you select the Term, the Shield Rate and which Securities Index you want the performance of your Contract to be based on. For example, if you select Shield 10 with a 1-Year Term, you may also select whether you want your Contract performance based on the Cap Rate, Step Rate, or Edge Rate, when applicable.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Period</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Income Period occurs when you or a designated payee begin receiving regular Income Payments from your Contract.</w:t>
      </w:r>
    </w:p>
    <w:p>
      <w:pPr>
        <w:spacing w:after="0" w:line="54"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You may withdraw a portion or all of your Account Value at any time until you commence the Income Period, subject to Withdrawal Charges and applicable taxes, as well as an Interim Value calculation if you have not exercised Performance Lock on a Shield Option and amounts are removed from the Shield Option during a Term. All benefits, including death benefits, terminate without value at the start of the Income Period. In addition, once the Income Period begins, you generally may no longer take withdrawals from or Surrender the Contract. Depending on the annuity option you elect, any remaining guarantee may be paid to your beneficiary (or beneficiaries).</w:t>
      </w:r>
    </w:p>
    <w:p>
      <w:pPr>
        <w:sectPr>
          <w:pgSz w:w="11900" w:h="16838" w:orient="portrait"/>
          <w:cols w:equalWidth="0" w:num="1">
            <w:col w:w="9019"/>
          </w:cols>
          <w:pgMar w:left="1440" w:top="1373" w:right="1440" w:bottom="362"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019"/>
          </w:cols>
          <w:pgMar w:left="1440" w:top="1373" w:right="1440" w:bottom="362" w:gutter="0" w:footer="0" w:header="0"/>
          <w:type w:val="continuous"/>
        </w:sectPr>
      </w:pPr>
    </w:p>
    <w:bookmarkStart w:id="14" w:name="page15"/>
    <w:bookmarkEnd w:id="14"/>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Contract Features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brief description of the Contract’s primary features.</w:t>
      </w:r>
    </w:p>
    <w:p>
      <w:pPr>
        <w:spacing w:after="0" w:line="113" w:lineRule="exact"/>
        <w:rPr>
          <w:sz w:val="20"/>
          <w:szCs w:val="20"/>
          <w:color w:val="auto"/>
        </w:rPr>
      </w:pPr>
    </w:p>
    <w:p>
      <w:pPr>
        <w:jc w:val="both"/>
        <w:ind w:left="12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Accessing Your Money. </w:t>
      </w:r>
      <w:r>
        <w:rPr>
          <w:rFonts w:ascii="Times New Roman" w:cs="Times New Roman" w:eastAsia="Times New Roman" w:hAnsi="Times New Roman"/>
          <w:sz w:val="18"/>
          <w:szCs w:val="18"/>
          <w:color w:val="auto"/>
        </w:rPr>
        <w:t>Before you annuitize, you can withdraw money from your Contract at any time.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take a withdrawal (including systematic withdrawals), you may have to pay a Withdrawal Charge and/or income taxes, including a tax penalty if you are younger than age 59½. Withdrawals from the Shield Options prior to the Term End Date will be based on an Interim Value calculation.</w:t>
      </w:r>
    </w:p>
    <w:p>
      <w:pPr>
        <w:spacing w:after="0" w:line="68" w:lineRule="exact"/>
        <w:rPr>
          <w:sz w:val="20"/>
          <w:szCs w:val="20"/>
          <w:color w:val="auto"/>
        </w:rPr>
      </w:pPr>
    </w:p>
    <w:p>
      <w:pPr>
        <w:jc w:val="both"/>
        <w:ind w:left="120" w:right="6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Tax Treatment. </w:t>
      </w:r>
      <w:r>
        <w:rPr>
          <w:rFonts w:ascii="Times New Roman" w:cs="Times New Roman" w:eastAsia="Times New Roman" w:hAnsi="Times New Roman"/>
          <w:sz w:val="18"/>
          <w:szCs w:val="18"/>
          <w:color w:val="auto"/>
        </w:rPr>
        <w:t>You can transfer money among the investment options without tax implications,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(if any) on your investments are generally tax-deferred. You are only subject to taxes upon: (1) making a withdrawal; (2) receiving a payment from us; or (3) payment of a death benefit.</w:t>
      </w:r>
    </w:p>
    <w:p>
      <w:pPr>
        <w:spacing w:after="0" w:line="63" w:lineRule="exact"/>
        <w:rPr>
          <w:sz w:val="20"/>
          <w:szCs w:val="20"/>
          <w:color w:val="auto"/>
        </w:rPr>
      </w:pPr>
    </w:p>
    <w:p>
      <w:pPr>
        <w:jc w:val="both"/>
        <w:ind w:left="120" w:right="6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Death Benefit. </w:t>
      </w:r>
      <w:r>
        <w:rPr>
          <w:rFonts w:ascii="Times New Roman" w:cs="Times New Roman" w:eastAsia="Times New Roman" w:hAnsi="Times New Roman"/>
          <w:sz w:val="18"/>
          <w:szCs w:val="18"/>
          <w:color w:val="auto"/>
        </w:rPr>
        <w:t>The Contract includes, at no additional cost, a standard death benefit that will pay a death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to your beneficiary(ies) if you die during the Accumulation Period.</w:t>
      </w:r>
    </w:p>
    <w:p>
      <w:pPr>
        <w:spacing w:after="0" w:line="47" w:lineRule="exact"/>
        <w:rPr>
          <w:sz w:val="20"/>
          <w:szCs w:val="20"/>
          <w:color w:val="auto"/>
        </w:rPr>
      </w:pPr>
    </w:p>
    <w:p>
      <w:pPr>
        <w:jc w:val="both"/>
        <w:ind w:left="120" w:right="6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Annuity Options. </w:t>
      </w:r>
      <w:r>
        <w:rPr>
          <w:rFonts w:ascii="Times New Roman" w:cs="Times New Roman" w:eastAsia="Times New Roman" w:hAnsi="Times New Roman"/>
          <w:sz w:val="18"/>
          <w:szCs w:val="18"/>
          <w:color w:val="auto"/>
        </w:rPr>
        <w:t>Like all annuity contracts the Contract offers a range of annuity options, which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Payments for your lifetime.</w:t>
      </w:r>
    </w:p>
    <w:p>
      <w:pPr>
        <w:spacing w:after="0" w:line="47"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Performance Lock. </w:t>
      </w:r>
      <w:r>
        <w:rPr>
          <w:rFonts w:ascii="Times New Roman" w:cs="Times New Roman" w:eastAsia="Times New Roman" w:hAnsi="Times New Roman"/>
          <w:sz w:val="18"/>
          <w:szCs w:val="18"/>
          <w:color w:val="auto"/>
        </w:rPr>
        <w:t>We currently offer Performance Lock, which allows you the option to lock positive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Index Performance on certain Shield Options once during each Term prior to the Term End Date, with (i) Shield Option Terms of 1 year or 3 years, (ii) Shield Rates of 10% and 15%, (iii) the S&amp;P 500® Index, the Russell 2000® Index and the MSCI EAFE Index, and (iv) a Cap Rate as the Rate Crediting Type. For any Shield Option with Performance Lock, once during each Term you may elect to lock the Index Value. A Locked Index Value will take effect only if the closing Index Value – that is, the published closing value of the Index on the Business Day – is greater than the Index Value at the Term Start Date. Once an Index Value is locked it is irrevocable for the remainder of that Term. The Locked Index Value will be used as the Index Value for the remainder of the Term to determine the Index Performance. There are significant risks associated with exercising the Performance Lock. For any Shield Option with a Locked Index Value, we apply a Performance Lock Factor which reduces Interim Value or Investment Amount, as the case may be.</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Performance Lock rider is available only in those states where it has been approved for sale.</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Additional Services and Features.</w:t>
      </w:r>
    </w:p>
    <w:p>
      <w:pPr>
        <w:spacing w:after="0" w:line="117" w:lineRule="exact"/>
        <w:rPr>
          <w:sz w:val="20"/>
          <w:szCs w:val="20"/>
          <w:color w:val="auto"/>
        </w:rPr>
      </w:pPr>
    </w:p>
    <w:p>
      <w:pPr>
        <w:ind w:left="680" w:right="739" w:hanging="208"/>
        <w:spacing w:after="0" w:line="28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Free Withdrawal Amount. </w:t>
      </w:r>
      <w:r>
        <w:rPr>
          <w:rFonts w:ascii="Times New Roman" w:cs="Times New Roman" w:eastAsia="Times New Roman" w:hAnsi="Times New Roman"/>
          <w:sz w:val="18"/>
          <w:szCs w:val="18"/>
          <w:color w:val="auto"/>
        </w:rPr>
        <w:t>The Free Withdrawal Amount is the portion of your Account Value that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withdraw each Contract Year without incurring Withdrawal Charges.</w:t>
      </w:r>
    </w:p>
    <w:p>
      <w:pPr>
        <w:spacing w:after="0" w:line="46" w:lineRule="exact"/>
        <w:rPr>
          <w:rFonts w:ascii="Times New Roman" w:cs="Times New Roman" w:eastAsia="Times New Roman" w:hAnsi="Times New Roman"/>
          <w:sz w:val="18"/>
          <w:szCs w:val="18"/>
          <w:color w:val="auto"/>
        </w:rPr>
      </w:pPr>
    </w:p>
    <w:p>
      <w:pPr>
        <w:jc w:val="both"/>
        <w:ind w:left="680" w:right="739" w:hanging="208"/>
        <w:spacing w:after="0" w:line="25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Systematic Withdrawal Program. </w:t>
      </w:r>
      <w:r>
        <w:rPr>
          <w:rFonts w:ascii="Times New Roman" w:cs="Times New Roman" w:eastAsia="Times New Roman" w:hAnsi="Times New Roman"/>
          <w:sz w:val="18"/>
          <w:szCs w:val="18"/>
          <w:color w:val="auto"/>
        </w:rPr>
        <w:t>You may elect the Systematic Withdrawal Program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automated processing of amounts withdrawn from your Contract, subject to program terms. For automated processing of Required Minimum Distribution (RMD) amounts withdrawn from an IRA Contract or qualified annuity Contract, you may elect this program in any Contract Year. However, for automated processing of amounts withdrawn for purposes other than RMDs, you may elect this program after the first Contract Year for up to 10% of your Account Value as of the prior Contract Anniversary. We do not assess a charge for this program.</w:t>
      </w:r>
    </w:p>
    <w:p>
      <w:pPr>
        <w:spacing w:after="0" w:line="74" w:lineRule="exact"/>
        <w:rPr>
          <w:rFonts w:ascii="Times New Roman" w:cs="Times New Roman" w:eastAsia="Times New Roman" w:hAnsi="Times New Roman"/>
          <w:sz w:val="18"/>
          <w:szCs w:val="18"/>
          <w:color w:val="auto"/>
        </w:rPr>
      </w:pPr>
    </w:p>
    <w:p>
      <w:pPr>
        <w:ind w:left="680" w:right="739" w:hanging="208"/>
        <w:spacing w:after="0" w:line="28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Electronic Delivery. </w:t>
      </w:r>
      <w:r>
        <w:rPr>
          <w:rFonts w:ascii="Times New Roman" w:cs="Times New Roman" w:eastAsia="Times New Roman" w:hAnsi="Times New Roman"/>
          <w:sz w:val="18"/>
          <w:szCs w:val="18"/>
          <w:color w:val="auto"/>
        </w:rPr>
        <w:t>As a Contract Owner, you may elect to receive electronic delivery of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prospectuses related to this Contract, as well as other Contract related documents.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Adjustment</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You could lose a significant amount of money due to the Interim Value calculation if amounts are removed from a Shield Option or from the Contract prior to the end of a Term. If you have not exercised the Performance Lock on a Shield Option, the Interim Value is the amount that is available for annuitization, death benefit payments, withdrawals (including RMDs and systematic withdrawals), and Surrenders.</w:t>
      </w:r>
    </w:p>
    <w:p>
      <w:pPr>
        <w:spacing w:after="0" w:line="7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have the right to substitute a comparable index prior to the Term End Date if any Index is discontinued or, at our sole discretion, we determine that our use of such Index should be discontinued, or if the calculation of an Index is substantially changed. See “An Index may be Substituted.”</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See “SPECIAL TERMS” in this prospectus for more detailed explanations of the terms associated with the Shield Options.</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following chart describes the key features of the Contract. Please read this prospectus for more detailed information about the Contract.</w:t>
      </w:r>
    </w:p>
    <w:p>
      <w:pPr>
        <w:sectPr>
          <w:pgSz w:w="11900" w:h="16838" w:orient="portrait"/>
          <w:cols w:equalWidth="0" w:num="1">
            <w:col w:w="9019"/>
          </w:cols>
          <w:pgMar w:left="1440" w:top="1373" w:right="1440" w:bottom="1440" w:gutter="0" w:footer="0" w:header="0"/>
        </w:sectPr>
      </w:pPr>
    </w:p>
    <w:p>
      <w:pPr>
        <w:spacing w:after="0" w:line="3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019"/>
          </w:cols>
          <w:pgMar w:left="1440" w:top="1373" w:right="1440" w:bottom="1440" w:gutter="0" w:footer="0" w:header="0"/>
          <w:type w:val="continuous"/>
        </w:sectPr>
      </w:pPr>
    </w:p>
    <w:bookmarkStart w:id="15" w:name="page16"/>
    <w:bookmarkEnd w:id="15"/>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Key Features of the Contract</w:t>
      </w:r>
    </w:p>
    <w:p>
      <w:pPr>
        <w:spacing w:after="0" w:line="62" w:lineRule="exact"/>
        <w:rPr>
          <w:sz w:val="20"/>
          <w:szCs w:val="20"/>
          <w:color w:val="auto"/>
        </w:rPr>
      </w:pPr>
    </w:p>
    <w:tbl>
      <w:tblPr>
        <w:tblLayout w:type="fixed"/>
        <w:tblInd w:w="130" w:type="dxa"/>
        <w:tblCellMar>
          <w:top w:w="0" w:type="dxa"/>
          <w:left w:w="0" w:type="dxa"/>
          <w:bottom w:w="0" w:type="dxa"/>
          <w:right w:w="0" w:type="dxa"/>
        </w:tblCellMar>
      </w:tblPr>
      <w:tr>
        <w:trPr>
          <w:trHeight w:val="241"/>
        </w:trPr>
        <w:tc>
          <w:tcPr>
            <w:tcW w:w="26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Contract</w:t>
            </w:r>
          </w:p>
        </w:tc>
        <w:tc>
          <w:tcPr>
            <w:tcW w:w="60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Individual single premium deferred index-linked separate account annuity</w:t>
            </w: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6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contract.</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tcPr>
          <w:p>
            <w:pPr>
              <w:spacing w:after="0"/>
              <w:rPr>
                <w:sz w:val="2"/>
                <w:szCs w:val="2"/>
                <w:color w:val="auto"/>
              </w:rPr>
            </w:pPr>
          </w:p>
        </w:tc>
      </w:tr>
      <w:tr>
        <w:trPr>
          <w:trHeight w:val="218"/>
        </w:trPr>
        <w:tc>
          <w:tcPr>
            <w:tcW w:w="262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Purchase Payment</w:t>
            </w:r>
          </w:p>
        </w:tc>
        <w:tc>
          <w:tcPr>
            <w:tcW w:w="604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The minimum Purchase Payment: $25,000. Prior approval required for a</w:t>
            </w:r>
          </w:p>
        </w:tc>
      </w:tr>
      <w:tr>
        <w:trPr>
          <w:trHeight w:val="266"/>
        </w:trPr>
        <w:tc>
          <w:tcPr>
            <w:tcW w:w="2620" w:type="dxa"/>
            <w:vAlign w:val="bottom"/>
            <w:tcBorders>
              <w:left w:val="single" w:sz="8" w:color="auto"/>
              <w:bottom w:val="single" w:sz="8" w:color="F0FFFF"/>
              <w:right w:val="single" w:sz="8" w:color="auto"/>
            </w:tcBorders>
            <w:shd w:val="clear" w:color="auto" w:fill="F0FFFF"/>
          </w:tcPr>
          <w:p>
            <w:pPr>
              <w:spacing w:after="0"/>
              <w:rPr>
                <w:sz w:val="22"/>
                <w:szCs w:val="22"/>
                <w:color w:val="auto"/>
              </w:rPr>
            </w:pPr>
          </w:p>
        </w:tc>
        <w:tc>
          <w:tcPr>
            <w:tcW w:w="604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Purchase Payment of less than $25,000 or $1,000,000 or more.</w:t>
            </w:r>
          </w:p>
        </w:tc>
      </w:tr>
      <w:tr>
        <w:trPr>
          <w:trHeight w:val="237"/>
        </w:trPr>
        <w:tc>
          <w:tcPr>
            <w:tcW w:w="26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Owner and Annuitant Issue Ages</w:t>
            </w:r>
          </w:p>
        </w:tc>
        <w:tc>
          <w:tcPr>
            <w:tcW w:w="60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0-85</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tcPr>
          <w:p>
            <w:pPr>
              <w:spacing w:after="0"/>
              <w:rPr>
                <w:sz w:val="2"/>
                <w:szCs w:val="2"/>
                <w:color w:val="auto"/>
              </w:rPr>
            </w:pPr>
          </w:p>
        </w:tc>
      </w:tr>
      <w:tr>
        <w:trPr>
          <w:trHeight w:val="218"/>
        </w:trPr>
        <w:tc>
          <w:tcPr>
            <w:tcW w:w="262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Contract Periods</w:t>
            </w:r>
          </w:p>
        </w:tc>
        <w:tc>
          <w:tcPr>
            <w:tcW w:w="604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The Contract has two periods:</w:t>
            </w:r>
          </w:p>
        </w:tc>
      </w:tr>
      <w:tr>
        <w:trPr>
          <w:trHeight w:val="216"/>
        </w:trPr>
        <w:tc>
          <w:tcPr>
            <w:tcW w:w="2620" w:type="dxa"/>
            <w:vAlign w:val="bottom"/>
            <w:tcBorders>
              <w:left w:val="single" w:sz="8" w:color="auto"/>
              <w:right w:val="single" w:sz="8" w:color="auto"/>
            </w:tcBorders>
            <w:shd w:val="clear" w:color="auto" w:fill="F0FFFF"/>
          </w:tcPr>
          <w:p>
            <w:pPr>
              <w:spacing w:after="0"/>
              <w:rPr>
                <w:sz w:val="18"/>
                <w:szCs w:val="18"/>
                <w:color w:val="auto"/>
              </w:rPr>
            </w:pPr>
          </w:p>
        </w:tc>
        <w:tc>
          <w:tcPr>
            <w:tcW w:w="6040" w:type="dxa"/>
            <w:vAlign w:val="bottom"/>
            <w:tcBorders>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   The Accumulation Period, the period prior to the Annuity Date; and</w:t>
            </w:r>
          </w:p>
        </w:tc>
      </w:tr>
      <w:tr>
        <w:trPr>
          <w:trHeight w:val="216"/>
        </w:trPr>
        <w:tc>
          <w:tcPr>
            <w:tcW w:w="2620" w:type="dxa"/>
            <w:vAlign w:val="bottom"/>
            <w:tcBorders>
              <w:left w:val="single" w:sz="8" w:color="auto"/>
              <w:right w:val="single" w:sz="8" w:color="auto"/>
            </w:tcBorders>
            <w:shd w:val="clear" w:color="auto" w:fill="F0FFFF"/>
          </w:tcPr>
          <w:p>
            <w:pPr>
              <w:spacing w:after="0"/>
              <w:rPr>
                <w:sz w:val="18"/>
                <w:szCs w:val="18"/>
                <w:color w:val="auto"/>
              </w:rPr>
            </w:pPr>
          </w:p>
        </w:tc>
        <w:tc>
          <w:tcPr>
            <w:tcW w:w="6040" w:type="dxa"/>
            <w:vAlign w:val="bottom"/>
            <w:tcBorders>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   The Income Period, which begins on the Annuity Date and during which</w:t>
            </w:r>
          </w:p>
        </w:tc>
      </w:tr>
      <w:tr>
        <w:trPr>
          <w:trHeight w:val="266"/>
        </w:trPr>
        <w:tc>
          <w:tcPr>
            <w:tcW w:w="2620" w:type="dxa"/>
            <w:vAlign w:val="bottom"/>
            <w:tcBorders>
              <w:left w:val="single" w:sz="8" w:color="auto"/>
              <w:bottom w:val="single" w:sz="8" w:color="F0FFFF"/>
              <w:right w:val="single" w:sz="8" w:color="auto"/>
            </w:tcBorders>
            <w:shd w:val="clear" w:color="auto" w:fill="F0FFFF"/>
          </w:tcPr>
          <w:p>
            <w:pPr>
              <w:spacing w:after="0"/>
              <w:rPr>
                <w:sz w:val="22"/>
                <w:szCs w:val="22"/>
                <w:color w:val="auto"/>
              </w:rPr>
            </w:pPr>
          </w:p>
        </w:tc>
        <w:tc>
          <w:tcPr>
            <w:tcW w:w="6040" w:type="dxa"/>
            <w:vAlign w:val="bottom"/>
            <w:tcBorders>
              <w:bottom w:val="single" w:sz="8" w:color="F0FFFF"/>
              <w:right w:val="single" w:sz="8" w:color="auto"/>
            </w:tcBorders>
            <w:shd w:val="clear" w:color="auto" w:fill="F0FFFF"/>
          </w:tcPr>
          <w:p>
            <w:pPr>
              <w:ind w:left="460"/>
              <w:spacing w:after="0"/>
              <w:rPr>
                <w:sz w:val="20"/>
                <w:szCs w:val="20"/>
                <w:color w:val="auto"/>
              </w:rPr>
            </w:pPr>
            <w:r>
              <w:rPr>
                <w:rFonts w:ascii="Times New Roman" w:cs="Times New Roman" w:eastAsia="Times New Roman" w:hAnsi="Times New Roman"/>
                <w:sz w:val="18"/>
                <w:szCs w:val="18"/>
                <w:color w:val="auto"/>
              </w:rPr>
              <w:t>Income Payments are provided.</w:t>
            </w:r>
          </w:p>
        </w:tc>
      </w:tr>
      <w:tr>
        <w:trPr>
          <w:trHeight w:val="218"/>
        </w:trPr>
        <w:tc>
          <w:tcPr>
            <w:tcW w:w="26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 Value</w:t>
            </w:r>
          </w:p>
        </w:tc>
        <w:tc>
          <w:tcPr>
            <w:tcW w:w="60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total of the Fixed Account Value and the value of the Shield Option(s) under</w:t>
            </w: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6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Contract during the Accumulation Period.</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tcPr>
          <w:p>
            <w:pPr>
              <w:spacing w:after="0"/>
              <w:rPr>
                <w:sz w:val="2"/>
                <w:szCs w:val="2"/>
                <w:color w:val="auto"/>
              </w:rPr>
            </w:pPr>
          </w:p>
        </w:tc>
      </w:tr>
      <w:tr>
        <w:trPr>
          <w:trHeight w:val="218"/>
        </w:trPr>
        <w:tc>
          <w:tcPr>
            <w:tcW w:w="262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Shield Option</w:t>
            </w:r>
          </w:p>
        </w:tc>
        <w:tc>
          <w:tcPr>
            <w:tcW w:w="604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Each Shield Option has an associated Term, Index, Shield Rate and Rate</w:t>
            </w:r>
          </w:p>
        </w:tc>
      </w:tr>
      <w:tr>
        <w:trPr>
          <w:trHeight w:val="266"/>
        </w:trPr>
        <w:tc>
          <w:tcPr>
            <w:tcW w:w="2620" w:type="dxa"/>
            <w:vAlign w:val="bottom"/>
            <w:tcBorders>
              <w:left w:val="single" w:sz="8" w:color="auto"/>
              <w:bottom w:val="single" w:sz="8" w:color="F0FFFF"/>
              <w:right w:val="single" w:sz="8" w:color="auto"/>
            </w:tcBorders>
            <w:shd w:val="clear" w:color="auto" w:fill="F0FFFF"/>
          </w:tcPr>
          <w:p>
            <w:pPr>
              <w:spacing w:after="0"/>
              <w:rPr>
                <w:sz w:val="22"/>
                <w:szCs w:val="22"/>
                <w:color w:val="auto"/>
              </w:rPr>
            </w:pPr>
          </w:p>
        </w:tc>
        <w:tc>
          <w:tcPr>
            <w:tcW w:w="604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Crediting Type.</w:t>
            </w:r>
          </w:p>
        </w:tc>
      </w:tr>
      <w:tr>
        <w:trPr>
          <w:trHeight w:val="237"/>
        </w:trPr>
        <w:tc>
          <w:tcPr>
            <w:tcW w:w="262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Term</w:t>
            </w:r>
          </w:p>
        </w:tc>
        <w:tc>
          <w:tcPr>
            <w:tcW w:w="60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Term may be 1, 2, 3, or 6 years in length.</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tcPr>
          <w:p>
            <w:pPr>
              <w:spacing w:after="0"/>
              <w:rPr>
                <w:sz w:val="2"/>
                <w:szCs w:val="2"/>
                <w:color w:val="auto"/>
              </w:rPr>
            </w:pPr>
          </w:p>
        </w:tc>
      </w:tr>
      <w:tr>
        <w:trPr>
          <w:trHeight w:val="201"/>
        </w:trPr>
        <w:tc>
          <w:tcPr>
            <w:tcW w:w="2620" w:type="dxa"/>
            <w:vAlign w:val="bottom"/>
            <w:tcBorders>
              <w:left w:val="single" w:sz="8" w:color="auto"/>
              <w:right w:val="single" w:sz="8" w:color="auto"/>
            </w:tcBorders>
            <w:shd w:val="clear" w:color="auto" w:fill="F0FFFF"/>
          </w:tcPr>
          <w:p>
            <w:pPr>
              <w:ind w:left="280"/>
              <w:spacing w:after="0" w:line="201" w:lineRule="exact"/>
              <w:rPr>
                <w:sz w:val="20"/>
                <w:szCs w:val="20"/>
                <w:color w:val="auto"/>
              </w:rPr>
            </w:pPr>
            <w:r>
              <w:rPr>
                <w:rFonts w:ascii="Times New Roman" w:cs="Times New Roman" w:eastAsia="Times New Roman" w:hAnsi="Times New Roman"/>
                <w:sz w:val="18"/>
                <w:szCs w:val="18"/>
                <w:color w:val="auto"/>
              </w:rPr>
              <w:t>Index</w:t>
            </w:r>
          </w:p>
        </w:tc>
        <w:tc>
          <w:tcPr>
            <w:tcW w:w="6040" w:type="dxa"/>
            <w:vAlign w:val="bottom"/>
            <w:tcBorders>
              <w:right w:val="single" w:sz="8" w:color="auto"/>
            </w:tcBorders>
            <w:shd w:val="clear" w:color="auto" w:fill="F0FFFF"/>
          </w:tcPr>
          <w:p>
            <w:pPr>
              <w:ind w:left="100"/>
              <w:spacing w:after="0" w:line="201" w:lineRule="exact"/>
              <w:rPr>
                <w:sz w:val="20"/>
                <w:szCs w:val="20"/>
                <w:color w:val="auto"/>
              </w:rPr>
            </w:pPr>
            <w:r>
              <w:rPr>
                <w:rFonts w:ascii="Times New Roman" w:cs="Times New Roman" w:eastAsia="Times New Roman" w:hAnsi="Times New Roman"/>
                <w:sz w:val="18"/>
                <w:szCs w:val="18"/>
                <w:color w:val="auto"/>
              </w:rPr>
              <w:t>The current Indices are as follows:</w:t>
            </w:r>
          </w:p>
        </w:tc>
      </w:tr>
      <w:tr>
        <w:trPr>
          <w:trHeight w:val="229"/>
        </w:trPr>
        <w:tc>
          <w:tcPr>
            <w:tcW w:w="2620" w:type="dxa"/>
            <w:vAlign w:val="bottom"/>
            <w:tcBorders>
              <w:left w:val="single" w:sz="8" w:color="auto"/>
              <w:right w:val="single" w:sz="8" w:color="auto"/>
            </w:tcBorders>
            <w:shd w:val="clear" w:color="auto" w:fill="F0FFFF"/>
          </w:tcPr>
          <w:p>
            <w:pPr>
              <w:spacing w:after="0"/>
              <w:rPr>
                <w:sz w:val="19"/>
                <w:szCs w:val="19"/>
                <w:color w:val="auto"/>
              </w:rPr>
            </w:pPr>
          </w:p>
        </w:tc>
        <w:tc>
          <w:tcPr>
            <w:tcW w:w="6040" w:type="dxa"/>
            <w:vAlign w:val="bottom"/>
            <w:tcBorders>
              <w:right w:val="single" w:sz="8" w:color="auto"/>
            </w:tcBorders>
            <w:shd w:val="clear" w:color="auto" w:fill="F0FFFF"/>
          </w:tcPr>
          <w:p>
            <w:pPr>
              <w:ind w:left="280"/>
              <w:spacing w:after="0" w:line="230" w:lineRule="exact"/>
              <w:rPr>
                <w:sz w:val="20"/>
                <w:szCs w:val="20"/>
                <w:color w:val="auto"/>
              </w:rPr>
            </w:pPr>
            <w:r>
              <w:rPr>
                <w:rFonts w:ascii="Times New Roman" w:cs="Times New Roman" w:eastAsia="Times New Roman" w:hAnsi="Times New Roman"/>
                <w:sz w:val="18"/>
                <w:szCs w:val="18"/>
                <w:color w:val="auto"/>
              </w:rPr>
              <w:t>•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(Price Return Index);</w:t>
            </w:r>
          </w:p>
        </w:tc>
      </w:tr>
      <w:tr>
        <w:trPr>
          <w:trHeight w:val="246"/>
        </w:trPr>
        <w:tc>
          <w:tcPr>
            <w:tcW w:w="2620" w:type="dxa"/>
            <w:vAlign w:val="bottom"/>
            <w:tcBorders>
              <w:left w:val="single" w:sz="8" w:color="auto"/>
              <w:right w:val="single" w:sz="8" w:color="auto"/>
            </w:tcBorders>
            <w:shd w:val="clear" w:color="auto" w:fill="F0FFFF"/>
          </w:tcPr>
          <w:p>
            <w:pPr>
              <w:spacing w:after="0"/>
              <w:rPr>
                <w:sz w:val="21"/>
                <w:szCs w:val="21"/>
                <w:color w:val="auto"/>
              </w:rPr>
            </w:pPr>
          </w:p>
        </w:tc>
        <w:tc>
          <w:tcPr>
            <w:tcW w:w="6040" w:type="dxa"/>
            <w:vAlign w:val="bottom"/>
            <w:tcBorders>
              <w:right w:val="single" w:sz="8" w:color="auto"/>
            </w:tcBorders>
            <w:shd w:val="clear" w:color="auto" w:fill="F0FFFF"/>
          </w:tcPr>
          <w:p>
            <w:pPr>
              <w:ind w:left="280"/>
              <w:spacing w:after="0" w:line="246" w:lineRule="exact"/>
              <w:rPr>
                <w:sz w:val="20"/>
                <w:szCs w:val="20"/>
                <w:color w:val="auto"/>
              </w:rPr>
            </w:pPr>
            <w:r>
              <w:rPr>
                <w:rFonts w:ascii="Times New Roman" w:cs="Times New Roman" w:eastAsia="Times New Roman" w:hAnsi="Times New Roman"/>
                <w:sz w:val="18"/>
                <w:szCs w:val="18"/>
                <w:color w:val="auto"/>
              </w:rPr>
              <w:t>•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(Price Return Index);</w:t>
            </w:r>
          </w:p>
        </w:tc>
      </w:tr>
      <w:tr>
        <w:trPr>
          <w:trHeight w:val="199"/>
        </w:trPr>
        <w:tc>
          <w:tcPr>
            <w:tcW w:w="2620" w:type="dxa"/>
            <w:vAlign w:val="bottom"/>
            <w:tcBorders>
              <w:left w:val="single" w:sz="8" w:color="auto"/>
              <w:right w:val="single" w:sz="8" w:color="auto"/>
            </w:tcBorders>
            <w:shd w:val="clear" w:color="auto" w:fill="F0FFFF"/>
          </w:tcPr>
          <w:p>
            <w:pPr>
              <w:spacing w:after="0"/>
              <w:rPr>
                <w:sz w:val="17"/>
                <w:szCs w:val="17"/>
                <w:color w:val="auto"/>
              </w:rPr>
            </w:pPr>
          </w:p>
        </w:tc>
        <w:tc>
          <w:tcPr>
            <w:tcW w:w="6040" w:type="dxa"/>
            <w:vAlign w:val="bottom"/>
            <w:tcBorders>
              <w:right w:val="single" w:sz="8" w:color="auto"/>
            </w:tcBorders>
            <w:shd w:val="clear" w:color="auto" w:fill="F0FFFF"/>
          </w:tcPr>
          <w:p>
            <w:pPr>
              <w:ind w:left="280"/>
              <w:spacing w:after="0" w:line="199" w:lineRule="exact"/>
              <w:rPr>
                <w:sz w:val="20"/>
                <w:szCs w:val="20"/>
                <w:color w:val="auto"/>
              </w:rPr>
            </w:pPr>
            <w:r>
              <w:rPr>
                <w:rFonts w:ascii="Times New Roman" w:cs="Times New Roman" w:eastAsia="Times New Roman" w:hAnsi="Times New Roman"/>
                <w:sz w:val="18"/>
                <w:szCs w:val="18"/>
                <w:color w:val="auto"/>
              </w:rPr>
              <w:t>•   MSCI EAFE Index (Price Return Index); and</w:t>
            </w:r>
          </w:p>
        </w:tc>
      </w:tr>
      <w:tr>
        <w:trPr>
          <w:trHeight w:val="292"/>
        </w:trPr>
        <w:tc>
          <w:tcPr>
            <w:tcW w:w="2620" w:type="dxa"/>
            <w:vAlign w:val="bottom"/>
            <w:tcBorders>
              <w:left w:val="single" w:sz="8" w:color="auto"/>
              <w:bottom w:val="single" w:sz="8" w:color="auto"/>
              <w:right w:val="single" w:sz="8" w:color="auto"/>
            </w:tcBorders>
            <w:shd w:val="clear" w:color="auto" w:fill="F0FFFF"/>
          </w:tcPr>
          <w:p>
            <w:pPr>
              <w:spacing w:after="0"/>
              <w:rPr>
                <w:sz w:val="24"/>
                <w:szCs w:val="24"/>
                <w:color w:val="auto"/>
              </w:rPr>
            </w:pPr>
          </w:p>
        </w:tc>
        <w:tc>
          <w:tcPr>
            <w:tcW w:w="6040" w:type="dxa"/>
            <w:vAlign w:val="bottom"/>
            <w:tcBorders>
              <w:bottom w:val="single" w:sz="8" w:color="auto"/>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(Price Return Index).</w:t>
            </w:r>
          </w:p>
        </w:tc>
      </w:tr>
      <w:tr>
        <w:trPr>
          <w:trHeight w:val="214"/>
        </w:trPr>
        <w:tc>
          <w:tcPr>
            <w:tcW w:w="26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6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currently offer different levels of protection:</w:t>
            </w:r>
          </w:p>
        </w:tc>
      </w:tr>
      <w:tr>
        <w:trPr>
          <w:trHeight w:val="220"/>
        </w:trPr>
        <w:tc>
          <w:tcPr>
            <w:tcW w:w="2620" w:type="dxa"/>
            <w:vAlign w:val="bottom"/>
            <w:tcBorders>
              <w:left w:val="single" w:sz="8" w:color="auto"/>
              <w:right w:val="single" w:sz="8" w:color="auto"/>
            </w:tcBorders>
          </w:tcPr>
          <w:p>
            <w:pPr>
              <w:spacing w:after="0"/>
              <w:rPr>
                <w:sz w:val="19"/>
                <w:szCs w:val="19"/>
                <w:color w:val="auto"/>
              </w:rPr>
            </w:pPr>
          </w:p>
        </w:tc>
        <w:tc>
          <w:tcPr>
            <w:tcW w:w="6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Shield 10 </w:t>
            </w:r>
            <w:r>
              <w:rPr>
                <w:rFonts w:ascii="Times New Roman" w:cs="Times New Roman" w:eastAsia="Times New Roman" w:hAnsi="Times New Roman"/>
                <w:sz w:val="18"/>
                <w:szCs w:val="18"/>
                <w:color w:val="auto"/>
              </w:rPr>
              <w:t>— A Shield Rate where negative Index Performance of up to 10% of</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 is absorbed by us at the Term End Date, which would</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leave you to absorb any remaining negative Index Performance of up to 90% of</w:t>
            </w:r>
          </w:p>
        </w:tc>
      </w:tr>
      <w:tr>
        <w:trPr>
          <w:trHeight w:val="212"/>
        </w:trPr>
        <w:tc>
          <w:tcPr>
            <w:tcW w:w="262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w:t>
            </w:r>
          </w:p>
        </w:tc>
      </w:tr>
      <w:tr>
        <w:trPr>
          <w:trHeight w:val="220"/>
        </w:trPr>
        <w:tc>
          <w:tcPr>
            <w:tcW w:w="2620" w:type="dxa"/>
            <w:vAlign w:val="bottom"/>
            <w:tcBorders>
              <w:left w:val="single" w:sz="8" w:color="auto"/>
              <w:right w:val="single" w:sz="8" w:color="auto"/>
            </w:tcBorders>
          </w:tcPr>
          <w:p>
            <w:pPr>
              <w:spacing w:after="0"/>
              <w:rPr>
                <w:sz w:val="19"/>
                <w:szCs w:val="19"/>
                <w:color w:val="auto"/>
              </w:rPr>
            </w:pPr>
          </w:p>
        </w:tc>
        <w:tc>
          <w:tcPr>
            <w:tcW w:w="6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Shield 15 </w:t>
            </w:r>
            <w:r>
              <w:rPr>
                <w:rFonts w:ascii="Times New Roman" w:cs="Times New Roman" w:eastAsia="Times New Roman" w:hAnsi="Times New Roman"/>
                <w:sz w:val="18"/>
                <w:szCs w:val="18"/>
                <w:color w:val="auto"/>
              </w:rPr>
              <w:t>— A Shield Rate where negative Index Performance of up to 15% of</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 is absorbed by us at the Term End Date, which would</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leave you to absorb any remaining negative Index Performance of up to 85% of</w:t>
            </w: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6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tcPr>
          <w:p>
            <w:pPr>
              <w:spacing w:after="0"/>
              <w:rPr>
                <w:sz w:val="2"/>
                <w:szCs w:val="2"/>
                <w:color w:val="auto"/>
              </w:rPr>
            </w:pPr>
          </w:p>
        </w:tc>
      </w:tr>
      <w:tr>
        <w:trPr>
          <w:trHeight w:val="191"/>
        </w:trPr>
        <w:tc>
          <w:tcPr>
            <w:tcW w:w="2620" w:type="dxa"/>
            <w:vAlign w:val="bottom"/>
            <w:tcBorders>
              <w:left w:val="single" w:sz="8" w:color="auto"/>
              <w:right w:val="single" w:sz="8" w:color="auto"/>
            </w:tcBorders>
            <w:shd w:val="clear" w:color="auto" w:fill="F0FFFF"/>
          </w:tcPr>
          <w:p>
            <w:pPr>
              <w:ind w:left="280"/>
              <w:spacing w:after="0" w:line="191" w:lineRule="exact"/>
              <w:rPr>
                <w:sz w:val="20"/>
                <w:szCs w:val="20"/>
                <w:color w:val="auto"/>
              </w:rPr>
            </w:pPr>
            <w:r>
              <w:rPr>
                <w:rFonts w:ascii="Times New Roman" w:cs="Times New Roman" w:eastAsia="Times New Roman" w:hAnsi="Times New Roman"/>
                <w:sz w:val="18"/>
                <w:szCs w:val="18"/>
                <w:color w:val="auto"/>
              </w:rPr>
              <w:t>Rate Crediting Type</w:t>
            </w:r>
          </w:p>
        </w:tc>
        <w:tc>
          <w:tcPr>
            <w:tcW w:w="6040" w:type="dxa"/>
            <w:vAlign w:val="bottom"/>
            <w:tcBorders>
              <w:right w:val="single" w:sz="8" w:color="auto"/>
            </w:tcBorders>
            <w:shd w:val="clear" w:color="auto" w:fill="F0FFFF"/>
          </w:tcPr>
          <w:p>
            <w:pPr>
              <w:ind w:left="100"/>
              <w:spacing w:after="0" w:line="191" w:lineRule="exact"/>
              <w:rPr>
                <w:sz w:val="20"/>
                <w:szCs w:val="20"/>
                <w:color w:val="auto"/>
              </w:rPr>
            </w:pPr>
            <w:r>
              <w:rPr>
                <w:rFonts w:ascii="Times New Roman" w:cs="Times New Roman" w:eastAsia="Times New Roman" w:hAnsi="Times New Roman"/>
                <w:sz w:val="18"/>
                <w:szCs w:val="18"/>
                <w:color w:val="auto"/>
              </w:rPr>
              <w:t>A Shield Option can only have one associated Rate Crediting Type: Cap Rate,</w:t>
            </w:r>
          </w:p>
        </w:tc>
      </w:tr>
      <w:tr>
        <w:trPr>
          <w:trHeight w:val="245"/>
        </w:trPr>
        <w:tc>
          <w:tcPr>
            <w:tcW w:w="2620" w:type="dxa"/>
            <w:vAlign w:val="bottom"/>
            <w:tcBorders>
              <w:left w:val="single" w:sz="8" w:color="auto"/>
              <w:bottom w:val="single" w:sz="8" w:color="auto"/>
              <w:right w:val="single" w:sz="8" w:color="auto"/>
            </w:tcBorders>
            <w:shd w:val="clear" w:color="auto" w:fill="F0FFFF"/>
          </w:tcPr>
          <w:p>
            <w:pPr>
              <w:spacing w:after="0"/>
              <w:rPr>
                <w:sz w:val="21"/>
                <w:szCs w:val="21"/>
                <w:color w:val="auto"/>
              </w:rPr>
            </w:pPr>
          </w:p>
        </w:tc>
        <w:tc>
          <w:tcPr>
            <w:tcW w:w="6040" w:type="dxa"/>
            <w:vAlign w:val="bottom"/>
            <w:tcBorders>
              <w:bottom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Step Rate, or Step Rate Edge.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-4544695</wp:posOffset>
            </wp:positionV>
            <wp:extent cx="5477510"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77510" cy="31750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-3910330</wp:posOffset>
            </wp:positionV>
            <wp:extent cx="547751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7751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-3138805</wp:posOffset>
            </wp:positionV>
            <wp:extent cx="5477510" cy="316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77510" cy="3168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-2504440</wp:posOffset>
            </wp:positionV>
            <wp:extent cx="547751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7751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-1570355</wp:posOffset>
            </wp:positionV>
            <wp:extent cx="5477510" cy="127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77510" cy="1277620"/>
                    </a:xfrm>
                    <a:prstGeom prst="rect">
                      <a:avLst/>
                    </a:prstGeom>
                    <a:noFill/>
                  </pic:spPr>
                </pic:pic>
              </a:graphicData>
            </a:graphic>
          </wp:anchor>
        </w:drawing>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019"/>
          </w:cols>
          <w:pgMar w:left="1440" w:top="1373" w:right="1440" w:bottom="1440" w:gutter="0" w:footer="0" w:header="0"/>
          <w:type w:val="continuous"/>
        </w:sectPr>
      </w:pPr>
    </w:p>
    <w:bookmarkStart w:id="16" w:name="page17"/>
    <w:bookmarkEnd w:id="16"/>
    <w:tbl>
      <w:tblPr>
        <w:tblLayout w:type="fixed"/>
        <w:tblInd w:w="130" w:type="dxa"/>
        <w:tblCellMar>
          <w:top w:w="0" w:type="dxa"/>
          <w:left w:w="0" w:type="dxa"/>
          <w:bottom w:w="0" w:type="dxa"/>
          <w:right w:w="0" w:type="dxa"/>
        </w:tblCellMar>
      </w:tblPr>
      <w:tr>
        <w:trPr>
          <w:trHeight w:val="241"/>
        </w:trPr>
        <w:tc>
          <w:tcPr>
            <w:tcW w:w="30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 Lock Benefit –</w:t>
            </w:r>
          </w:p>
        </w:tc>
        <w:tc>
          <w:tcPr>
            <w:tcW w:w="61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 any Shield Option with Performance Lock, once during each Term you may</w:t>
            </w:r>
          </w:p>
        </w:tc>
      </w:tr>
      <w:tr>
        <w:trPr>
          <w:trHeight w:val="216"/>
        </w:trPr>
        <w:tc>
          <w:tcPr>
            <w:tcW w:w="30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 Lock</w:t>
            </w: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elect to lock the Index Value. A Locked Index Value will take effect only if the</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closing Index Value – that is, the published closing value of the Index on the</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Business Day – is greater than the Index Value at the Term Start Date. Once an</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Index Value is locked it is irrevocable for the remainder of that Term. The</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Locked Index Value will be used as the Index Value for the remainder of the</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Term to determine the Index Performance.</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There are two ways you can lock an Index Value:</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Provide Notice of election on a particular Business Day to lock the closing</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Index Value on that day. The Performance Lock will only take effect if the</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closing Index Value on that particular day is greater than the Index Value</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at the Term Start Date. If you submit a Notice of election and the</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Performance Lock does not take effect, we will notify you in writing. If the</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Index Value is not locked, you will be treated as having not yet exercised</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your Performance Lock and can submit a new Notice of election on</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another Business Day.</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Set a Target Index Value. Currently, in lieu of providing Notice of election</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on a particular Business Day, you may, at any time prior to the Term End</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Date, set a target Index Value at which you would like the Performance</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Lock to take effect “automatically” – i.e., without further action on your</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part provided the Index Value meets or exceeds your target Index Value</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prior to the Term End Date. The target Index Value you specify must be</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higher than the Index Value at the Term Start Date, cannot be applied</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retroactively and is available only if a Locked Index Value has not already</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taken effect for that Shield Option during the Term.</w:t>
            </w:r>
          </w:p>
        </w:tc>
      </w:tr>
      <w:tr>
        <w:trPr>
          <w:trHeight w:val="180"/>
        </w:trPr>
        <w:tc>
          <w:tcPr>
            <w:tcW w:w="30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ind w:left="100"/>
              <w:spacing w:after="0" w:line="181" w:lineRule="exact"/>
              <w:rPr>
                <w:sz w:val="20"/>
                <w:szCs w:val="20"/>
                <w:color w:val="auto"/>
              </w:rPr>
            </w:pPr>
            <w:r>
              <w:rPr>
                <w:rFonts w:ascii="Times New Roman" w:cs="Times New Roman" w:eastAsia="Times New Roman" w:hAnsi="Times New Roman"/>
                <w:sz w:val="18"/>
                <w:szCs w:val="18"/>
                <w:color w:val="auto"/>
              </w:rPr>
              <w:t>Shield Options where Performance Lock is available are identified with a check</w:t>
            </w:r>
          </w:p>
        </w:tc>
      </w:tr>
      <w:tr>
        <w:trPr>
          <w:trHeight w:val="252"/>
        </w:trPr>
        <w:tc>
          <w:tcPr>
            <w:tcW w:w="3040" w:type="dxa"/>
            <w:vAlign w:val="bottom"/>
            <w:tcBorders>
              <w:left w:val="single" w:sz="8" w:color="auto"/>
              <w:right w:val="single" w:sz="8" w:color="auto"/>
            </w:tcBorders>
          </w:tcPr>
          <w:p>
            <w:pPr>
              <w:spacing w:after="0"/>
              <w:rPr>
                <w:sz w:val="21"/>
                <w:szCs w:val="21"/>
                <w:color w:val="auto"/>
              </w:rPr>
            </w:pPr>
          </w:p>
        </w:tc>
        <w:tc>
          <w:tcPr>
            <w:tcW w:w="6120" w:type="dxa"/>
            <w:vAlign w:val="bottom"/>
            <w:tcBorders>
              <w:right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mark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in the “Performance Lock Available” column of Shield Options chart.</w:t>
            </w:r>
          </w:p>
        </w:tc>
      </w:tr>
      <w:tr>
        <w:trPr>
          <w:trHeight w:val="234"/>
        </w:trPr>
        <w:tc>
          <w:tcPr>
            <w:tcW w:w="3040" w:type="dxa"/>
            <w:vAlign w:val="bottom"/>
            <w:tcBorders>
              <w:left w:val="single" w:sz="8" w:color="auto"/>
              <w:right w:val="single" w:sz="8" w:color="auto"/>
            </w:tcBorders>
          </w:tcPr>
          <w:p>
            <w:pPr>
              <w:spacing w:after="0"/>
              <w:rPr>
                <w:sz w:val="20"/>
                <w:szCs w:val="20"/>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(See “SHIELD OPTIONS.”)</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6120" w:type="dxa"/>
            <w:vAlign w:val="bottom"/>
            <w:tcBorders>
              <w:bottom w:val="single" w:sz="8" w:color="auto"/>
              <w:right w:val="single" w:sz="8" w:color="auto"/>
            </w:tcBorders>
          </w:tcPr>
          <w:p>
            <w:pPr>
              <w:spacing w:after="0"/>
              <w:rPr>
                <w:sz w:val="2"/>
                <w:szCs w:val="2"/>
                <w:color w:val="auto"/>
              </w:rPr>
            </w:pPr>
          </w:p>
        </w:tc>
      </w:tr>
      <w:tr>
        <w:trPr>
          <w:trHeight w:val="218"/>
        </w:trPr>
        <w:tc>
          <w:tcPr>
            <w:tcW w:w="3040" w:type="dxa"/>
            <w:vAlign w:val="bottom"/>
            <w:tcBorders>
              <w:left w:val="single" w:sz="8" w:color="auto"/>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Adjustments due to the Performance</w:t>
            </w: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For any Shield Option with a Locked Index Value, we apply a Performance Lock</w:t>
            </w:r>
          </w:p>
        </w:tc>
      </w:tr>
      <w:tr>
        <w:trPr>
          <w:trHeight w:val="216"/>
        </w:trPr>
        <w:tc>
          <w:tcPr>
            <w:tcW w:w="3040" w:type="dxa"/>
            <w:vAlign w:val="bottom"/>
            <w:tcBorders>
              <w:left w:val="single" w:sz="8" w:color="auto"/>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Lock Factor</w:t>
            </w: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Factor which reduces Interim Value or Investment Amount, as the case may be.</w:t>
            </w:r>
          </w:p>
        </w:tc>
      </w:tr>
      <w:tr>
        <w:trPr>
          <w:trHeight w:val="216"/>
        </w:trPr>
        <w:tc>
          <w:tcPr>
            <w:tcW w:w="30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The percentage that we apply is less than 100% (for example, 97%); the</w:t>
            </w:r>
          </w:p>
        </w:tc>
      </w:tr>
      <w:tr>
        <w:trPr>
          <w:trHeight w:val="216"/>
        </w:trPr>
        <w:tc>
          <w:tcPr>
            <w:tcW w:w="30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remaining percentage amount not included in the calculation (in this case, 3%)</w:t>
            </w:r>
          </w:p>
        </w:tc>
      </w:tr>
      <w:tr>
        <w:trPr>
          <w:trHeight w:val="216"/>
        </w:trPr>
        <w:tc>
          <w:tcPr>
            <w:tcW w:w="30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compensates us for the costs and risks that we assume in providing the</w:t>
            </w:r>
          </w:p>
        </w:tc>
      </w:tr>
      <w:tr>
        <w:trPr>
          <w:trHeight w:val="216"/>
        </w:trPr>
        <w:tc>
          <w:tcPr>
            <w:tcW w:w="30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Performance Lock with your Shield Option. The Performance Lock Factor is built</w:t>
            </w:r>
          </w:p>
        </w:tc>
      </w:tr>
      <w:tr>
        <w:trPr>
          <w:trHeight w:val="216"/>
        </w:trPr>
        <w:tc>
          <w:tcPr>
            <w:tcW w:w="30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into the formula for determining the value of a Shield Option with a Locked</w:t>
            </w:r>
          </w:p>
        </w:tc>
      </w:tr>
      <w:tr>
        <w:trPr>
          <w:trHeight w:val="216"/>
        </w:trPr>
        <w:tc>
          <w:tcPr>
            <w:tcW w:w="30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Index Value, and as a result, you will receive a reduced Interim Value prior to the</w:t>
            </w:r>
          </w:p>
        </w:tc>
      </w:tr>
      <w:tr>
        <w:trPr>
          <w:trHeight w:val="266"/>
        </w:trPr>
        <w:tc>
          <w:tcPr>
            <w:tcW w:w="3040" w:type="dxa"/>
            <w:vAlign w:val="bottom"/>
            <w:tcBorders>
              <w:left w:val="single" w:sz="8" w:color="auto"/>
              <w:bottom w:val="single" w:sz="8" w:color="F0FFFF"/>
              <w:right w:val="single" w:sz="8" w:color="auto"/>
            </w:tcBorders>
            <w:shd w:val="clear" w:color="auto" w:fill="F0FFFF"/>
          </w:tcPr>
          <w:p>
            <w:pPr>
              <w:spacing w:after="0"/>
              <w:rPr>
                <w:sz w:val="22"/>
                <w:szCs w:val="22"/>
                <w:color w:val="auto"/>
              </w:rPr>
            </w:pPr>
          </w:p>
        </w:tc>
        <w:tc>
          <w:tcPr>
            <w:tcW w:w="612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end of the Term or Investment Amount at the end of the Term.</w:t>
            </w:r>
          </w:p>
        </w:tc>
      </w:tr>
      <w:tr>
        <w:trPr>
          <w:trHeight w:val="191"/>
        </w:trPr>
        <w:tc>
          <w:tcPr>
            <w:tcW w:w="3040" w:type="dxa"/>
            <w:vAlign w:val="bottom"/>
            <w:tcBorders>
              <w:top w:val="single" w:sz="8" w:color="auto"/>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Interim Value</w:t>
            </w:r>
          </w:p>
        </w:tc>
        <w:tc>
          <w:tcPr>
            <w:tcW w:w="6120" w:type="dxa"/>
            <w:vAlign w:val="bottom"/>
            <w:tcBorders>
              <w:top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Interim Value is the amount that is available for annuitization, death</w:t>
            </w:r>
          </w:p>
        </w:tc>
      </w:tr>
      <w:tr>
        <w:trPr>
          <w:trHeight w:val="189"/>
        </w:trPr>
        <w:tc>
          <w:tcPr>
            <w:tcW w:w="30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benefits, withdrawals and Surrenders. For each Shield Option, we assign the</w:t>
            </w:r>
          </w:p>
        </w:tc>
      </w:tr>
      <w:tr>
        <w:trPr>
          <w:trHeight w:val="203"/>
        </w:trPr>
        <w:tc>
          <w:tcPr>
            <w:tcW w:w="304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value of Interim Value on any Business Day prior to the Term End Date. There</w:t>
            </w:r>
          </w:p>
        </w:tc>
      </w:tr>
      <w:tr>
        <w:trPr>
          <w:trHeight w:val="203"/>
        </w:trPr>
        <w:tc>
          <w:tcPr>
            <w:tcW w:w="304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are two types of Interim Value – Interim Value without Performance Lock and</w:t>
            </w:r>
          </w:p>
        </w:tc>
      </w:tr>
      <w:tr>
        <w:trPr>
          <w:trHeight w:val="189"/>
        </w:trPr>
        <w:tc>
          <w:tcPr>
            <w:tcW w:w="30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Interim Value with Performance Lock.</w:t>
            </w:r>
          </w:p>
        </w:tc>
      </w:tr>
      <w:tr>
        <w:trPr>
          <w:trHeight w:val="203"/>
        </w:trPr>
        <w:tc>
          <w:tcPr>
            <w:tcW w:w="304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Interim Value without Performance Lock applies to a Shield Option without a</w:t>
            </w:r>
          </w:p>
        </w:tc>
      </w:tr>
      <w:tr>
        <w:trPr>
          <w:trHeight w:val="203"/>
        </w:trPr>
        <w:tc>
          <w:tcPr>
            <w:tcW w:w="304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Locked Index Value and is equal to the Investment Amount in the Shield Option,</w:t>
            </w:r>
          </w:p>
        </w:tc>
      </w:tr>
      <w:tr>
        <w:trPr>
          <w:trHeight w:val="189"/>
        </w:trPr>
        <w:tc>
          <w:tcPr>
            <w:tcW w:w="30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adjusted for the Index Performance of the associated Index and subject to the</w:t>
            </w:r>
          </w:p>
        </w:tc>
      </w:tr>
      <w:tr>
        <w:trPr>
          <w:trHeight w:val="203"/>
        </w:trPr>
        <w:tc>
          <w:tcPr>
            <w:tcW w:w="304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applicable Accrued Shield Rate, Accrued Cap Rate, Accrued Step Rate, or</w:t>
            </w:r>
          </w:p>
        </w:tc>
      </w:tr>
      <w:tr>
        <w:trPr>
          <w:trHeight w:val="202"/>
        </w:trPr>
        <w:tc>
          <w:tcPr>
            <w:tcW w:w="304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Accrued Edge Rate.</w:t>
            </w:r>
          </w:p>
        </w:tc>
      </w:tr>
      <w:tr>
        <w:trPr>
          <w:trHeight w:val="189"/>
        </w:trPr>
        <w:tc>
          <w:tcPr>
            <w:tcW w:w="30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Interim Value with Performance Lock applies to a Shield Option with a Locked</w:t>
            </w:r>
          </w:p>
        </w:tc>
      </w:tr>
      <w:tr>
        <w:trPr>
          <w:trHeight w:val="203"/>
        </w:trPr>
        <w:tc>
          <w:tcPr>
            <w:tcW w:w="304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Index Value and is equal to the Investment Amount in the Shield Option,</w:t>
            </w:r>
          </w:p>
        </w:tc>
      </w:tr>
      <w:tr>
        <w:trPr>
          <w:trHeight w:val="202"/>
        </w:trPr>
        <w:tc>
          <w:tcPr>
            <w:tcW w:w="304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adjusted for the Index Performance (using the Locked Index Value) of the</w:t>
            </w:r>
          </w:p>
        </w:tc>
      </w:tr>
      <w:tr>
        <w:trPr>
          <w:trHeight w:val="189"/>
        </w:trPr>
        <w:tc>
          <w:tcPr>
            <w:tcW w:w="30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associated Index and subject to the applicable Accrued Cap Rate (where the</w:t>
            </w:r>
          </w:p>
        </w:tc>
      </w:tr>
      <w:tr>
        <w:trPr>
          <w:trHeight w:val="203"/>
        </w:trPr>
        <w:tc>
          <w:tcPr>
            <w:tcW w:w="3040" w:type="dxa"/>
            <w:vAlign w:val="bottom"/>
            <w:tcBorders>
              <w:left w:val="single" w:sz="8" w:color="auto"/>
              <w:right w:val="single" w:sz="8" w:color="auto"/>
            </w:tcBorders>
          </w:tcPr>
          <w:p>
            <w:pPr>
              <w:spacing w:after="0"/>
              <w:rPr>
                <w:sz w:val="17"/>
                <w:szCs w:val="17"/>
                <w:color w:val="auto"/>
              </w:rPr>
            </w:pPr>
          </w:p>
        </w:tc>
        <w:tc>
          <w:tcPr>
            <w:tcW w:w="612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Performance Rate is the Index Performance, adjusted for the applicable</w:t>
            </w:r>
          </w:p>
        </w:tc>
      </w:tr>
      <w:tr>
        <w:trPr>
          <w:trHeight w:val="234"/>
        </w:trPr>
        <w:tc>
          <w:tcPr>
            <w:tcW w:w="3040" w:type="dxa"/>
            <w:vAlign w:val="bottom"/>
            <w:tcBorders>
              <w:left w:val="single" w:sz="8" w:color="auto"/>
              <w:right w:val="single" w:sz="8" w:color="auto"/>
            </w:tcBorders>
          </w:tcPr>
          <w:p>
            <w:pPr>
              <w:spacing w:after="0"/>
              <w:rPr>
                <w:sz w:val="20"/>
                <w:szCs w:val="20"/>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Accrued Cap Rate), multiplied by the Performance Lock Factor.</w:t>
            </w:r>
          </w:p>
        </w:tc>
      </w:tr>
      <w:tr>
        <w:trPr>
          <w:trHeight w:val="105"/>
        </w:trPr>
        <w:tc>
          <w:tcPr>
            <w:tcW w:w="3040" w:type="dxa"/>
            <w:vAlign w:val="bottom"/>
            <w:tcBorders>
              <w:left w:val="single" w:sz="8" w:color="auto"/>
              <w:bottom w:val="single" w:sz="8" w:color="auto"/>
              <w:right w:val="single" w:sz="8" w:color="auto"/>
            </w:tcBorders>
          </w:tcPr>
          <w:p>
            <w:pPr>
              <w:spacing w:after="0"/>
              <w:rPr>
                <w:sz w:val="9"/>
                <w:szCs w:val="9"/>
                <w:color w:val="auto"/>
              </w:rPr>
            </w:pPr>
          </w:p>
        </w:tc>
        <w:tc>
          <w:tcPr>
            <w:tcW w:w="612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-7545070</wp:posOffset>
            </wp:positionV>
            <wp:extent cx="5803265" cy="41573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03265" cy="41573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-2110105</wp:posOffset>
            </wp:positionV>
            <wp:extent cx="5803265" cy="2099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03265" cy="2099945"/>
                    </a:xfrm>
                    <a:prstGeom prst="rect">
                      <a:avLst/>
                    </a:prstGeom>
                    <a:noFill/>
                  </pic:spPr>
                </pic:pic>
              </a:graphicData>
            </a:graphic>
          </wp:anchor>
        </w:drawing>
      </w:r>
    </w:p>
    <w:p>
      <w:pPr>
        <w:sectPr>
          <w:pgSz w:w="11900" w:h="16838" w:orient="portrait"/>
          <w:cols w:equalWidth="0" w:num="1">
            <w:col w:w="9280"/>
          </w:cols>
          <w:pgMar w:left="1440" w:top="1372"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280"/>
          </w:cols>
          <w:pgMar w:left="1440" w:top="1372" w:right="1179" w:bottom="1440" w:gutter="0" w:footer="0" w:header="0"/>
          <w:type w:val="continuous"/>
        </w:sectPr>
      </w:pPr>
    </w:p>
    <w:bookmarkStart w:id="17" w:name="page18"/>
    <w:bookmarkEnd w:id="17"/>
    <w:tbl>
      <w:tblPr>
        <w:tblLayout w:type="fixed"/>
        <w:tblInd w:w="130" w:type="dxa"/>
        <w:tblCellMar>
          <w:top w:w="0" w:type="dxa"/>
          <w:left w:w="0" w:type="dxa"/>
          <w:bottom w:w="0" w:type="dxa"/>
          <w:right w:w="0" w:type="dxa"/>
        </w:tblCellMar>
      </w:tblPr>
      <w:tr>
        <w:trPr>
          <w:trHeight w:val="238"/>
        </w:trPr>
        <w:tc>
          <w:tcPr>
            <w:tcW w:w="186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Transfers</w:t>
            </w:r>
          </w:p>
        </w:tc>
        <w:tc>
          <w:tcPr>
            <w:tcW w:w="380" w:type="dxa"/>
            <w:vAlign w:val="bottom"/>
            <w:tcBorders>
              <w:top w:val="single" w:sz="8" w:color="auto"/>
              <w:right w:val="single" w:sz="8" w:color="auto"/>
            </w:tcBorders>
          </w:tcPr>
          <w:p>
            <w:pPr>
              <w:spacing w:after="0"/>
              <w:rPr>
                <w:sz w:val="20"/>
                <w:szCs w:val="20"/>
                <w:color w:val="auto"/>
              </w:rPr>
            </w:pPr>
          </w:p>
        </w:tc>
        <w:tc>
          <w:tcPr>
            <w:tcW w:w="602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During the Accumulation Period you may make transfers to the Fixed Account</w:t>
            </w:r>
          </w:p>
        </w:tc>
        <w:tc>
          <w:tcPr>
            <w:tcW w:w="640" w:type="dxa"/>
            <w:vAlign w:val="bottom"/>
          </w:tcPr>
          <w:p>
            <w:pPr>
              <w:spacing w:after="0"/>
              <w:rPr>
                <w:sz w:val="20"/>
                <w:szCs w:val="20"/>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and/or to new Shield Option(s). For a Shield Option without a Locked Index</w:t>
            </w:r>
          </w:p>
        </w:tc>
        <w:tc>
          <w:tcPr>
            <w:tcW w:w="640" w:type="dxa"/>
            <w:vAlign w:val="bottom"/>
          </w:tcPr>
          <w:p>
            <w:pPr>
              <w:spacing w:after="0"/>
              <w:rPr>
                <w:sz w:val="18"/>
                <w:szCs w:val="18"/>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Value, you may only transfer during the Transfer Period. The effective date of</w:t>
            </w:r>
          </w:p>
        </w:tc>
        <w:tc>
          <w:tcPr>
            <w:tcW w:w="640" w:type="dxa"/>
            <w:vAlign w:val="bottom"/>
          </w:tcPr>
          <w:p>
            <w:pPr>
              <w:spacing w:after="0"/>
              <w:rPr>
                <w:sz w:val="18"/>
                <w:szCs w:val="18"/>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such transfer is the first day of the Interest Rate Term and/or the Term(s) in</w:t>
            </w:r>
          </w:p>
        </w:tc>
        <w:tc>
          <w:tcPr>
            <w:tcW w:w="640" w:type="dxa"/>
            <w:vAlign w:val="bottom"/>
          </w:tcPr>
          <w:p>
            <w:pPr>
              <w:spacing w:after="0"/>
              <w:rPr>
                <w:sz w:val="18"/>
                <w:szCs w:val="18"/>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which the transfer is made.</w:t>
            </w:r>
          </w:p>
        </w:tc>
        <w:tc>
          <w:tcPr>
            <w:tcW w:w="16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For a Shield Option with a Locked Index Value, transfers are not restricted to the</w:t>
            </w:r>
          </w:p>
        </w:tc>
        <w:tc>
          <w:tcPr>
            <w:tcW w:w="640" w:type="dxa"/>
            <w:vAlign w:val="bottom"/>
          </w:tcPr>
          <w:p>
            <w:pPr>
              <w:spacing w:after="0"/>
              <w:rPr>
                <w:sz w:val="18"/>
                <w:szCs w:val="18"/>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Transfer Period, and you may transfer on any Contract Anniversary.</w:t>
            </w:r>
          </w:p>
        </w:tc>
        <w:tc>
          <w:tcPr>
            <w:tcW w:w="640" w:type="dxa"/>
            <w:vAlign w:val="bottom"/>
          </w:tcPr>
          <w:p>
            <w:pPr>
              <w:spacing w:after="0"/>
              <w:rPr>
                <w:sz w:val="18"/>
                <w:szCs w:val="18"/>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Once a Locked Index Value takes effect, you may elect to transfer the entire</w:t>
            </w:r>
          </w:p>
        </w:tc>
        <w:tc>
          <w:tcPr>
            <w:tcW w:w="640" w:type="dxa"/>
            <w:vAlign w:val="bottom"/>
          </w:tcPr>
          <w:p>
            <w:pPr>
              <w:spacing w:after="0"/>
              <w:rPr>
                <w:sz w:val="18"/>
                <w:szCs w:val="18"/>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amount of the Shield Option to a new Shield Option or to the Fixed Account (if</w:t>
            </w:r>
          </w:p>
        </w:tc>
        <w:tc>
          <w:tcPr>
            <w:tcW w:w="640" w:type="dxa"/>
            <w:vAlign w:val="bottom"/>
          </w:tcPr>
          <w:p>
            <w:pPr>
              <w:spacing w:after="0"/>
              <w:rPr>
                <w:sz w:val="18"/>
                <w:szCs w:val="18"/>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available) on any Contract Anniversary prior to the Term End Date (i.e., during</w:t>
            </w:r>
          </w:p>
        </w:tc>
        <w:tc>
          <w:tcPr>
            <w:tcW w:w="640" w:type="dxa"/>
            <w:vAlign w:val="bottom"/>
          </w:tcPr>
          <w:p>
            <w:pPr>
              <w:spacing w:after="0"/>
              <w:rPr>
                <w:sz w:val="18"/>
                <w:szCs w:val="18"/>
                <w:color w:val="auto"/>
              </w:rPr>
            </w:pPr>
          </w:p>
        </w:tc>
      </w:tr>
      <w:tr>
        <w:trPr>
          <w:trHeight w:val="212"/>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Term).</w:t>
            </w:r>
          </w:p>
        </w:tc>
        <w:tc>
          <w:tcPr>
            <w:tcW w:w="16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Partial transfers of a Shield Option are not permitted, except on a Term</w:t>
            </w:r>
          </w:p>
        </w:tc>
        <w:tc>
          <w:tcPr>
            <w:tcW w:w="640" w:type="dxa"/>
            <w:vAlign w:val="bottom"/>
          </w:tcPr>
          <w:p>
            <w:pPr>
              <w:spacing w:after="0"/>
              <w:rPr>
                <w:sz w:val="18"/>
                <w:szCs w:val="18"/>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End Date (for a Shield Option with a Locked Index Value) or during the</w:t>
            </w:r>
          </w:p>
        </w:tc>
        <w:tc>
          <w:tcPr>
            <w:tcW w:w="640" w:type="dxa"/>
            <w:vAlign w:val="bottom"/>
          </w:tcPr>
          <w:p>
            <w:pPr>
              <w:spacing w:after="0"/>
              <w:rPr>
                <w:sz w:val="18"/>
                <w:szCs w:val="18"/>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Transfer Period (for a Shield Option without a Locked Index Value.) See</w:t>
            </w:r>
          </w:p>
        </w:tc>
        <w:tc>
          <w:tcPr>
            <w:tcW w:w="640" w:type="dxa"/>
            <w:vAlign w:val="bottom"/>
          </w:tcPr>
          <w:p>
            <w:pPr>
              <w:spacing w:after="0"/>
              <w:rPr>
                <w:sz w:val="18"/>
                <w:szCs w:val="18"/>
                <w:color w:val="auto"/>
              </w:rPr>
            </w:pPr>
          </w:p>
        </w:tc>
      </w:tr>
      <w:tr>
        <w:trPr>
          <w:trHeight w:val="238"/>
        </w:trPr>
        <w:tc>
          <w:tcPr>
            <w:tcW w:w="186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“TRANSFERS.”</w:t>
            </w:r>
          </w:p>
        </w:tc>
        <w:tc>
          <w:tcPr>
            <w:tcW w:w="16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186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68"/>
        </w:trPr>
        <w:tc>
          <w:tcPr>
            <w:tcW w:w="1860" w:type="dxa"/>
            <w:vAlign w:val="bottom"/>
            <w:tcBorders>
              <w:left w:val="single" w:sz="8" w:color="auto"/>
              <w:bottom w:val="single" w:sz="8" w:color="F0FFFF"/>
              <w:right w:val="single" w:sz="8" w:color="F0FFFF"/>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Fixed Account</w:t>
            </w:r>
          </w:p>
        </w:tc>
        <w:tc>
          <w:tcPr>
            <w:tcW w:w="380" w:type="dxa"/>
            <w:vAlign w:val="bottom"/>
            <w:tcBorders>
              <w:bottom w:val="single" w:sz="8" w:color="F0FFFF"/>
              <w:right w:val="single" w:sz="8" w:color="auto"/>
            </w:tcBorders>
            <w:shd w:val="clear" w:color="auto" w:fill="F0FFFF"/>
          </w:tcPr>
          <w:p>
            <w:pPr>
              <w:spacing w:after="0"/>
              <w:rPr>
                <w:sz w:val="22"/>
                <w:szCs w:val="22"/>
                <w:color w:val="auto"/>
              </w:rPr>
            </w:pPr>
          </w:p>
        </w:tc>
        <w:tc>
          <w:tcPr>
            <w:tcW w:w="2820" w:type="dxa"/>
            <w:vAlign w:val="bottom"/>
            <w:tcBorders>
              <w:bottom w:val="single" w:sz="8" w:color="F0FFFF"/>
              <w:right w:val="single" w:sz="8" w:color="F0FFFF"/>
            </w:tcBorders>
            <w:gridSpan w:val="3"/>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See Appendix D.</w:t>
            </w:r>
          </w:p>
        </w:tc>
        <w:tc>
          <w:tcPr>
            <w:tcW w:w="1620" w:type="dxa"/>
            <w:vAlign w:val="bottom"/>
            <w:tcBorders>
              <w:bottom w:val="single" w:sz="8" w:color="F0FFFF"/>
              <w:right w:val="single" w:sz="8" w:color="F0FFFF"/>
            </w:tcBorders>
            <w:shd w:val="clear" w:color="auto" w:fill="F0FFFF"/>
          </w:tcPr>
          <w:p>
            <w:pPr>
              <w:spacing w:after="0"/>
              <w:rPr>
                <w:sz w:val="22"/>
                <w:szCs w:val="22"/>
                <w:color w:val="auto"/>
              </w:rPr>
            </w:pPr>
          </w:p>
        </w:tc>
        <w:tc>
          <w:tcPr>
            <w:tcW w:w="1580" w:type="dxa"/>
            <w:vAlign w:val="bottom"/>
            <w:tcBorders>
              <w:bottom w:val="single" w:sz="8" w:color="F0FFFF"/>
              <w:right w:val="single" w:sz="8" w:color="auto"/>
            </w:tcBorders>
            <w:shd w:val="clear" w:color="auto" w:fill="F0FFFF"/>
          </w:tcPr>
          <w:p>
            <w:pPr>
              <w:spacing w:after="0"/>
              <w:rPr>
                <w:sz w:val="22"/>
                <w:szCs w:val="22"/>
                <w:color w:val="auto"/>
              </w:rPr>
            </w:pPr>
          </w:p>
        </w:tc>
        <w:tc>
          <w:tcPr>
            <w:tcW w:w="640" w:type="dxa"/>
            <w:vAlign w:val="bottom"/>
          </w:tcPr>
          <w:p>
            <w:pPr>
              <w:spacing w:after="0"/>
              <w:rPr>
                <w:sz w:val="22"/>
                <w:szCs w:val="22"/>
                <w:color w:val="auto"/>
              </w:rPr>
            </w:pPr>
          </w:p>
        </w:tc>
      </w:tr>
      <w:tr>
        <w:trPr>
          <w:trHeight w:val="218"/>
        </w:trPr>
        <w:tc>
          <w:tcPr>
            <w:tcW w:w="186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Access to Your Money</w:t>
            </w:r>
          </w:p>
        </w:tc>
        <w:tc>
          <w:tcPr>
            <w:tcW w:w="380" w:type="dxa"/>
            <w:vAlign w:val="bottom"/>
            <w:tcBorders>
              <w:top w:val="single" w:sz="8" w:color="auto"/>
              <w:right w:val="single" w:sz="8" w:color="auto"/>
            </w:tcBorders>
          </w:tcPr>
          <w:p>
            <w:pPr>
              <w:spacing w:after="0"/>
              <w:rPr>
                <w:sz w:val="18"/>
                <w:szCs w:val="18"/>
                <w:color w:val="auto"/>
              </w:rPr>
            </w:pPr>
          </w:p>
        </w:tc>
        <w:tc>
          <w:tcPr>
            <w:tcW w:w="602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You may withdraw some or all of your money at any time prior to the Annuity</w:t>
            </w:r>
          </w:p>
        </w:tc>
        <w:tc>
          <w:tcPr>
            <w:tcW w:w="640" w:type="dxa"/>
            <w:vAlign w:val="bottom"/>
          </w:tcPr>
          <w:p>
            <w:pPr>
              <w:spacing w:after="0"/>
              <w:rPr>
                <w:sz w:val="18"/>
                <w:szCs w:val="18"/>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Date. For any withdrawal, a Performance Rate Adjustment, as of the date of the</w:t>
            </w:r>
          </w:p>
        </w:tc>
        <w:tc>
          <w:tcPr>
            <w:tcW w:w="640" w:type="dxa"/>
            <w:vAlign w:val="bottom"/>
          </w:tcPr>
          <w:p>
            <w:pPr>
              <w:spacing w:after="0"/>
              <w:rPr>
                <w:sz w:val="18"/>
                <w:szCs w:val="18"/>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withdrawal, will apply and may be substantial. In addition, a withdrawal taken</w:t>
            </w:r>
          </w:p>
        </w:tc>
        <w:tc>
          <w:tcPr>
            <w:tcW w:w="640" w:type="dxa"/>
            <w:vAlign w:val="bottom"/>
          </w:tcPr>
          <w:p>
            <w:pPr>
              <w:spacing w:after="0"/>
              <w:rPr>
                <w:sz w:val="18"/>
                <w:szCs w:val="18"/>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in excess of the Free Withdrawal Amount may be subject to a Withdrawal</w:t>
            </w:r>
          </w:p>
        </w:tc>
        <w:tc>
          <w:tcPr>
            <w:tcW w:w="640" w:type="dxa"/>
            <w:vAlign w:val="bottom"/>
          </w:tcPr>
          <w:p>
            <w:pPr>
              <w:spacing w:after="0"/>
              <w:rPr>
                <w:sz w:val="18"/>
                <w:szCs w:val="18"/>
                <w:color w:val="auto"/>
              </w:rPr>
            </w:pPr>
          </w:p>
        </w:tc>
      </w:tr>
      <w:tr>
        <w:trPr>
          <w:trHeight w:val="234"/>
        </w:trPr>
        <w:tc>
          <w:tcPr>
            <w:tcW w:w="186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Charge.</w:t>
            </w:r>
          </w:p>
        </w:tc>
        <w:tc>
          <w:tcPr>
            <w:tcW w:w="16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186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191"/>
        </w:trPr>
        <w:tc>
          <w:tcPr>
            <w:tcW w:w="1860" w:type="dxa"/>
            <w:vAlign w:val="bottom"/>
            <w:tcBorders>
              <w:left w:val="single" w:sz="8" w:color="auto"/>
              <w:right w:val="single" w:sz="8" w:color="F0FFFF"/>
            </w:tcBorders>
            <w:shd w:val="clear" w:color="auto" w:fill="F0FFFF"/>
          </w:tcPr>
          <w:p>
            <w:pPr>
              <w:ind w:left="100"/>
              <w:spacing w:after="0" w:line="191" w:lineRule="exact"/>
              <w:rPr>
                <w:sz w:val="20"/>
                <w:szCs w:val="20"/>
                <w:color w:val="auto"/>
              </w:rPr>
            </w:pPr>
            <w:r>
              <w:rPr>
                <w:rFonts w:ascii="Times New Roman" w:cs="Times New Roman" w:eastAsia="Times New Roman" w:hAnsi="Times New Roman"/>
                <w:sz w:val="18"/>
                <w:szCs w:val="18"/>
                <w:color w:val="auto"/>
              </w:rPr>
              <w:t>Withdrawal Charge</w:t>
            </w:r>
          </w:p>
        </w:tc>
        <w:tc>
          <w:tcPr>
            <w:tcW w:w="380" w:type="dxa"/>
            <w:vAlign w:val="bottom"/>
            <w:tcBorders>
              <w:right w:val="single" w:sz="8" w:color="auto"/>
            </w:tcBorders>
            <w:shd w:val="clear" w:color="auto" w:fill="F0FFFF"/>
          </w:tcPr>
          <w:p>
            <w:pPr>
              <w:spacing w:after="0"/>
              <w:rPr>
                <w:sz w:val="16"/>
                <w:szCs w:val="16"/>
                <w:color w:val="auto"/>
              </w:rPr>
            </w:pPr>
          </w:p>
        </w:tc>
        <w:tc>
          <w:tcPr>
            <w:tcW w:w="6020" w:type="dxa"/>
            <w:vAlign w:val="bottom"/>
            <w:tcBorders>
              <w:right w:val="single" w:sz="8" w:color="auto"/>
            </w:tcBorders>
            <w:gridSpan w:val="5"/>
            <w:shd w:val="clear" w:color="auto" w:fill="F0FFFF"/>
          </w:tcPr>
          <w:p>
            <w:pPr>
              <w:ind w:left="80"/>
              <w:spacing w:after="0" w:line="191" w:lineRule="exact"/>
              <w:rPr>
                <w:sz w:val="20"/>
                <w:szCs w:val="20"/>
                <w:color w:val="auto"/>
              </w:rPr>
            </w:pPr>
            <w:r>
              <w:rPr>
                <w:rFonts w:ascii="Times New Roman" w:cs="Times New Roman" w:eastAsia="Times New Roman" w:hAnsi="Times New Roman"/>
                <w:sz w:val="18"/>
                <w:szCs w:val="18"/>
                <w:color w:val="auto"/>
              </w:rPr>
              <w:t>A percentage charge applied to withdrawals in excess of the Free Withdrawal</w:t>
            </w:r>
          </w:p>
        </w:tc>
        <w:tc>
          <w:tcPr>
            <w:tcW w:w="640" w:type="dxa"/>
            <w:vAlign w:val="bottom"/>
          </w:tcPr>
          <w:p>
            <w:pPr>
              <w:spacing w:after="0"/>
              <w:rPr>
                <w:sz w:val="16"/>
                <w:szCs w:val="16"/>
                <w:color w:val="auto"/>
              </w:rPr>
            </w:pPr>
          </w:p>
        </w:tc>
      </w:tr>
      <w:tr>
        <w:trPr>
          <w:trHeight w:val="189"/>
        </w:trPr>
        <w:tc>
          <w:tcPr>
            <w:tcW w:w="1860" w:type="dxa"/>
            <w:vAlign w:val="bottom"/>
            <w:tcBorders>
              <w:left w:val="single" w:sz="8" w:color="auto"/>
              <w:right w:val="single" w:sz="8" w:color="F0FFFF"/>
            </w:tcBorders>
            <w:shd w:val="clear" w:color="auto" w:fill="F0FFFF"/>
          </w:tcPr>
          <w:p>
            <w:pPr>
              <w:spacing w:after="0"/>
              <w:rPr>
                <w:sz w:val="16"/>
                <w:szCs w:val="16"/>
                <w:color w:val="auto"/>
              </w:rPr>
            </w:pPr>
          </w:p>
        </w:tc>
        <w:tc>
          <w:tcPr>
            <w:tcW w:w="380" w:type="dxa"/>
            <w:vAlign w:val="bottom"/>
            <w:tcBorders>
              <w:right w:val="single" w:sz="8" w:color="auto"/>
            </w:tcBorders>
            <w:shd w:val="clear" w:color="auto" w:fill="F0FFFF"/>
          </w:tcPr>
          <w:p>
            <w:pPr>
              <w:spacing w:after="0"/>
              <w:rPr>
                <w:sz w:val="16"/>
                <w:szCs w:val="16"/>
                <w:color w:val="auto"/>
              </w:rPr>
            </w:pPr>
          </w:p>
        </w:tc>
        <w:tc>
          <w:tcPr>
            <w:tcW w:w="2820" w:type="dxa"/>
            <w:vAlign w:val="bottom"/>
            <w:tcBorders>
              <w:right w:val="single" w:sz="8" w:color="F0FFFF"/>
            </w:tcBorders>
            <w:gridSpan w:val="3"/>
            <w:shd w:val="clear" w:color="auto" w:fill="F0FFFF"/>
          </w:tcPr>
          <w:p>
            <w:pPr>
              <w:ind w:left="80"/>
              <w:spacing w:after="0" w:line="189" w:lineRule="exact"/>
              <w:rPr>
                <w:sz w:val="20"/>
                <w:szCs w:val="20"/>
                <w:color w:val="auto"/>
              </w:rPr>
            </w:pPr>
            <w:r>
              <w:rPr>
                <w:rFonts w:ascii="Times New Roman" w:cs="Times New Roman" w:eastAsia="Times New Roman" w:hAnsi="Times New Roman"/>
                <w:sz w:val="18"/>
                <w:szCs w:val="18"/>
                <w:color w:val="auto"/>
              </w:rPr>
              <w:t>Amount.</w:t>
            </w:r>
          </w:p>
        </w:tc>
        <w:tc>
          <w:tcPr>
            <w:tcW w:w="1620" w:type="dxa"/>
            <w:vAlign w:val="bottom"/>
            <w:tcBorders>
              <w:right w:val="single" w:sz="8" w:color="F0FFFF"/>
            </w:tcBorders>
            <w:shd w:val="clear" w:color="auto" w:fill="F0FFFF"/>
          </w:tcPr>
          <w:p>
            <w:pPr>
              <w:spacing w:after="0"/>
              <w:rPr>
                <w:sz w:val="16"/>
                <w:szCs w:val="16"/>
                <w:color w:val="auto"/>
              </w:rPr>
            </w:pPr>
          </w:p>
        </w:tc>
        <w:tc>
          <w:tcPr>
            <w:tcW w:w="1580" w:type="dxa"/>
            <w:vAlign w:val="bottom"/>
            <w:tcBorders>
              <w:right w:val="single" w:sz="8" w:color="auto"/>
            </w:tcBorders>
            <w:shd w:val="clear" w:color="auto" w:fill="F0FFFF"/>
          </w:tcPr>
          <w:p>
            <w:pPr>
              <w:spacing w:after="0"/>
              <w:rPr>
                <w:sz w:val="16"/>
                <w:szCs w:val="16"/>
                <w:color w:val="auto"/>
              </w:rPr>
            </w:pPr>
          </w:p>
        </w:tc>
        <w:tc>
          <w:tcPr>
            <w:tcW w:w="640" w:type="dxa"/>
            <w:vAlign w:val="bottom"/>
          </w:tcPr>
          <w:p>
            <w:pPr>
              <w:spacing w:after="0"/>
              <w:rPr>
                <w:sz w:val="16"/>
                <w:szCs w:val="16"/>
                <w:color w:val="auto"/>
              </w:rPr>
            </w:pPr>
          </w:p>
        </w:tc>
      </w:tr>
      <w:tr>
        <w:trPr>
          <w:trHeight w:val="203"/>
        </w:trPr>
        <w:tc>
          <w:tcPr>
            <w:tcW w:w="1860" w:type="dxa"/>
            <w:vAlign w:val="bottom"/>
            <w:tcBorders>
              <w:left w:val="single" w:sz="8" w:color="auto"/>
              <w:right w:val="single" w:sz="8" w:color="F0FFFF"/>
            </w:tcBorders>
            <w:shd w:val="clear" w:color="auto" w:fill="F0FFFF"/>
          </w:tcPr>
          <w:p>
            <w:pPr>
              <w:spacing w:after="0"/>
              <w:rPr>
                <w:sz w:val="17"/>
                <w:szCs w:val="17"/>
                <w:color w:val="auto"/>
              </w:rPr>
            </w:pPr>
          </w:p>
        </w:tc>
        <w:tc>
          <w:tcPr>
            <w:tcW w:w="380" w:type="dxa"/>
            <w:vAlign w:val="bottom"/>
            <w:tcBorders>
              <w:right w:val="single" w:sz="8" w:color="auto"/>
            </w:tcBorders>
            <w:shd w:val="clear" w:color="auto" w:fill="F0FFFF"/>
          </w:tcPr>
          <w:p>
            <w:pPr>
              <w:spacing w:after="0"/>
              <w:rPr>
                <w:sz w:val="17"/>
                <w:szCs w:val="17"/>
                <w:color w:val="auto"/>
              </w:rPr>
            </w:pPr>
          </w:p>
        </w:tc>
        <w:tc>
          <w:tcPr>
            <w:tcW w:w="6020" w:type="dxa"/>
            <w:vAlign w:val="bottom"/>
            <w:tcBorders>
              <w:right w:val="single" w:sz="8" w:color="auto"/>
            </w:tcBorders>
            <w:gridSpan w:val="5"/>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The Free Withdrawal Amount is 0% in the first Contract Year, and 10% of</w:t>
            </w:r>
          </w:p>
        </w:tc>
        <w:tc>
          <w:tcPr>
            <w:tcW w:w="640" w:type="dxa"/>
            <w:vAlign w:val="bottom"/>
          </w:tcPr>
          <w:p>
            <w:pPr>
              <w:spacing w:after="0"/>
              <w:rPr>
                <w:sz w:val="17"/>
                <w:szCs w:val="17"/>
                <w:color w:val="auto"/>
              </w:rPr>
            </w:pPr>
          </w:p>
        </w:tc>
      </w:tr>
      <w:tr>
        <w:trPr>
          <w:trHeight w:val="203"/>
        </w:trPr>
        <w:tc>
          <w:tcPr>
            <w:tcW w:w="1860" w:type="dxa"/>
            <w:vAlign w:val="bottom"/>
            <w:tcBorders>
              <w:left w:val="single" w:sz="8" w:color="auto"/>
              <w:right w:val="single" w:sz="8" w:color="F0FFFF"/>
            </w:tcBorders>
            <w:shd w:val="clear" w:color="auto" w:fill="F0FFFF"/>
          </w:tcPr>
          <w:p>
            <w:pPr>
              <w:spacing w:after="0"/>
              <w:rPr>
                <w:sz w:val="17"/>
                <w:szCs w:val="17"/>
                <w:color w:val="auto"/>
              </w:rPr>
            </w:pPr>
          </w:p>
        </w:tc>
        <w:tc>
          <w:tcPr>
            <w:tcW w:w="380" w:type="dxa"/>
            <w:vAlign w:val="bottom"/>
            <w:tcBorders>
              <w:right w:val="single" w:sz="8" w:color="auto"/>
            </w:tcBorders>
            <w:shd w:val="clear" w:color="auto" w:fill="F0FFFF"/>
          </w:tcPr>
          <w:p>
            <w:pPr>
              <w:spacing w:after="0"/>
              <w:rPr>
                <w:sz w:val="17"/>
                <w:szCs w:val="17"/>
                <w:color w:val="auto"/>
              </w:rPr>
            </w:pPr>
          </w:p>
        </w:tc>
        <w:tc>
          <w:tcPr>
            <w:tcW w:w="6020" w:type="dxa"/>
            <w:vAlign w:val="bottom"/>
            <w:tcBorders>
              <w:right w:val="single" w:sz="8" w:color="auto"/>
            </w:tcBorders>
            <w:gridSpan w:val="5"/>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Account Value in each subsequent Contract Year to the extent that amount has</w:t>
            </w:r>
          </w:p>
        </w:tc>
        <w:tc>
          <w:tcPr>
            <w:tcW w:w="640" w:type="dxa"/>
            <w:vAlign w:val="bottom"/>
          </w:tcPr>
          <w:p>
            <w:pPr>
              <w:spacing w:after="0"/>
              <w:rPr>
                <w:sz w:val="17"/>
                <w:szCs w:val="17"/>
                <w:color w:val="auto"/>
              </w:rPr>
            </w:pPr>
          </w:p>
        </w:tc>
      </w:tr>
      <w:tr>
        <w:trPr>
          <w:trHeight w:val="189"/>
        </w:trPr>
        <w:tc>
          <w:tcPr>
            <w:tcW w:w="1860" w:type="dxa"/>
            <w:vAlign w:val="bottom"/>
            <w:tcBorders>
              <w:left w:val="single" w:sz="8" w:color="auto"/>
              <w:right w:val="single" w:sz="8" w:color="F0FFFF"/>
            </w:tcBorders>
            <w:shd w:val="clear" w:color="auto" w:fill="F0FFFF"/>
          </w:tcPr>
          <w:p>
            <w:pPr>
              <w:spacing w:after="0"/>
              <w:rPr>
                <w:sz w:val="16"/>
                <w:szCs w:val="16"/>
                <w:color w:val="auto"/>
              </w:rPr>
            </w:pPr>
          </w:p>
        </w:tc>
        <w:tc>
          <w:tcPr>
            <w:tcW w:w="380" w:type="dxa"/>
            <w:vAlign w:val="bottom"/>
            <w:tcBorders>
              <w:right w:val="single" w:sz="8" w:color="auto"/>
            </w:tcBorders>
            <w:shd w:val="clear" w:color="auto" w:fill="F0FFFF"/>
          </w:tcPr>
          <w:p>
            <w:pPr>
              <w:spacing w:after="0"/>
              <w:rPr>
                <w:sz w:val="16"/>
                <w:szCs w:val="16"/>
                <w:color w:val="auto"/>
              </w:rPr>
            </w:pPr>
          </w:p>
        </w:tc>
        <w:tc>
          <w:tcPr>
            <w:tcW w:w="6020" w:type="dxa"/>
            <w:vAlign w:val="bottom"/>
            <w:tcBorders>
              <w:right w:val="single" w:sz="8" w:color="auto"/>
            </w:tcBorders>
            <w:gridSpan w:val="5"/>
            <w:shd w:val="clear" w:color="auto" w:fill="F0FFFF"/>
          </w:tcPr>
          <w:p>
            <w:pPr>
              <w:ind w:left="80"/>
              <w:spacing w:after="0" w:line="189" w:lineRule="exact"/>
              <w:rPr>
                <w:sz w:val="20"/>
                <w:szCs w:val="20"/>
                <w:color w:val="auto"/>
              </w:rPr>
            </w:pPr>
            <w:r>
              <w:rPr>
                <w:rFonts w:ascii="Times New Roman" w:cs="Times New Roman" w:eastAsia="Times New Roman" w:hAnsi="Times New Roman"/>
                <w:sz w:val="18"/>
                <w:szCs w:val="18"/>
                <w:color w:val="auto"/>
              </w:rPr>
              <w:t>not already been withdrawn that Contract Year.</w:t>
            </w:r>
          </w:p>
        </w:tc>
        <w:tc>
          <w:tcPr>
            <w:tcW w:w="640" w:type="dxa"/>
            <w:vAlign w:val="bottom"/>
          </w:tcPr>
          <w:p>
            <w:pPr>
              <w:spacing w:after="0"/>
              <w:rPr>
                <w:sz w:val="16"/>
                <w:szCs w:val="16"/>
                <w:color w:val="auto"/>
              </w:rPr>
            </w:pPr>
          </w:p>
        </w:tc>
      </w:tr>
      <w:tr>
        <w:trPr>
          <w:trHeight w:val="203"/>
        </w:trPr>
        <w:tc>
          <w:tcPr>
            <w:tcW w:w="1860" w:type="dxa"/>
            <w:vAlign w:val="bottom"/>
            <w:tcBorders>
              <w:left w:val="single" w:sz="8" w:color="auto"/>
              <w:right w:val="single" w:sz="8" w:color="F0FFFF"/>
            </w:tcBorders>
            <w:shd w:val="clear" w:color="auto" w:fill="F0FFFF"/>
          </w:tcPr>
          <w:p>
            <w:pPr>
              <w:spacing w:after="0"/>
              <w:rPr>
                <w:sz w:val="17"/>
                <w:szCs w:val="17"/>
                <w:color w:val="auto"/>
              </w:rPr>
            </w:pPr>
          </w:p>
        </w:tc>
        <w:tc>
          <w:tcPr>
            <w:tcW w:w="380" w:type="dxa"/>
            <w:vAlign w:val="bottom"/>
            <w:tcBorders>
              <w:right w:val="single" w:sz="8" w:color="auto"/>
            </w:tcBorders>
            <w:shd w:val="clear" w:color="auto" w:fill="F0FFFF"/>
          </w:tcPr>
          <w:p>
            <w:pPr>
              <w:spacing w:after="0"/>
              <w:rPr>
                <w:sz w:val="17"/>
                <w:szCs w:val="17"/>
                <w:color w:val="auto"/>
              </w:rPr>
            </w:pPr>
          </w:p>
        </w:tc>
        <w:tc>
          <w:tcPr>
            <w:tcW w:w="6020" w:type="dxa"/>
            <w:vAlign w:val="bottom"/>
            <w:tcBorders>
              <w:right w:val="single" w:sz="8" w:color="auto"/>
            </w:tcBorders>
            <w:gridSpan w:val="5"/>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The Withdrawal Charge is calculated at the time of each withdrawal in</w:t>
            </w:r>
          </w:p>
        </w:tc>
        <w:tc>
          <w:tcPr>
            <w:tcW w:w="640" w:type="dxa"/>
            <w:vAlign w:val="bottom"/>
          </w:tcPr>
          <w:p>
            <w:pPr>
              <w:spacing w:after="0"/>
              <w:rPr>
                <w:sz w:val="17"/>
                <w:szCs w:val="17"/>
                <w:color w:val="auto"/>
              </w:rPr>
            </w:pPr>
          </w:p>
        </w:tc>
      </w:tr>
      <w:tr>
        <w:trPr>
          <w:trHeight w:val="234"/>
        </w:trPr>
        <w:tc>
          <w:tcPr>
            <w:tcW w:w="1860" w:type="dxa"/>
            <w:vAlign w:val="bottom"/>
            <w:tcBorders>
              <w:left w:val="single" w:sz="8" w:color="auto"/>
              <w:right w:val="single" w:sz="8" w:color="F0FFFF"/>
            </w:tcBorders>
            <w:shd w:val="clear" w:color="auto" w:fill="F0FFFF"/>
          </w:tcPr>
          <w:p>
            <w:pPr>
              <w:spacing w:after="0"/>
              <w:rPr>
                <w:sz w:val="20"/>
                <w:szCs w:val="20"/>
                <w:color w:val="auto"/>
              </w:rPr>
            </w:pPr>
          </w:p>
        </w:tc>
        <w:tc>
          <w:tcPr>
            <w:tcW w:w="380" w:type="dxa"/>
            <w:vAlign w:val="bottom"/>
            <w:tcBorders>
              <w:right w:val="single" w:sz="8" w:color="auto"/>
            </w:tcBorders>
            <w:shd w:val="clear" w:color="auto" w:fill="F0FFFF"/>
          </w:tcPr>
          <w:p>
            <w:pPr>
              <w:spacing w:after="0"/>
              <w:rPr>
                <w:sz w:val="20"/>
                <w:szCs w:val="20"/>
                <w:color w:val="auto"/>
              </w:rPr>
            </w:pPr>
          </w:p>
        </w:tc>
        <w:tc>
          <w:tcPr>
            <w:tcW w:w="2820" w:type="dxa"/>
            <w:vAlign w:val="bottom"/>
            <w:tcBorders>
              <w:right w:val="single" w:sz="8" w:color="F0FFFF"/>
            </w:tcBorders>
            <w:gridSpan w:val="3"/>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accordance with the following:</w:t>
            </w:r>
          </w:p>
        </w:tc>
        <w:tc>
          <w:tcPr>
            <w:tcW w:w="1620" w:type="dxa"/>
            <w:vAlign w:val="bottom"/>
            <w:tcBorders>
              <w:right w:val="single" w:sz="8" w:color="F0FFFF"/>
            </w:tcBorders>
            <w:shd w:val="clear" w:color="auto" w:fill="F0FFFF"/>
          </w:tcPr>
          <w:p>
            <w:pPr>
              <w:spacing w:after="0"/>
              <w:rPr>
                <w:sz w:val="20"/>
                <w:szCs w:val="20"/>
                <w:color w:val="auto"/>
              </w:rPr>
            </w:pPr>
          </w:p>
        </w:tc>
        <w:tc>
          <w:tcPr>
            <w:tcW w:w="1580" w:type="dxa"/>
            <w:vAlign w:val="bottom"/>
            <w:tcBorders>
              <w:right w:val="single" w:sz="8" w:color="auto"/>
            </w:tcBorders>
            <w:shd w:val="clear" w:color="auto" w:fill="F0FFFF"/>
          </w:tcPr>
          <w:p>
            <w:pPr>
              <w:spacing w:after="0"/>
              <w:rPr>
                <w:sz w:val="20"/>
                <w:szCs w:val="20"/>
                <w:color w:val="auto"/>
              </w:rPr>
            </w:pPr>
          </w:p>
        </w:tc>
        <w:tc>
          <w:tcPr>
            <w:tcW w:w="640" w:type="dxa"/>
            <w:vAlign w:val="bottom"/>
          </w:tcPr>
          <w:p>
            <w:pPr>
              <w:spacing w:after="0"/>
              <w:rPr>
                <w:sz w:val="20"/>
                <w:szCs w:val="20"/>
                <w:color w:val="auto"/>
              </w:rPr>
            </w:pPr>
          </w:p>
        </w:tc>
      </w:tr>
      <w:tr>
        <w:trPr>
          <w:trHeight w:val="108"/>
        </w:trPr>
        <w:tc>
          <w:tcPr>
            <w:tcW w:w="1860" w:type="dxa"/>
            <w:vAlign w:val="bottom"/>
            <w:tcBorders>
              <w:left w:val="single" w:sz="8" w:color="auto"/>
              <w:right w:val="single" w:sz="8" w:color="F0FFFF"/>
            </w:tcBorders>
            <w:shd w:val="clear" w:color="auto" w:fill="F0FFFF"/>
          </w:tcPr>
          <w:p>
            <w:pPr>
              <w:spacing w:after="0"/>
              <w:rPr>
                <w:sz w:val="9"/>
                <w:szCs w:val="9"/>
                <w:color w:val="auto"/>
              </w:rPr>
            </w:pPr>
          </w:p>
        </w:tc>
        <w:tc>
          <w:tcPr>
            <w:tcW w:w="380" w:type="dxa"/>
            <w:vAlign w:val="bottom"/>
            <w:tcBorders>
              <w:right w:val="single" w:sz="8" w:color="auto"/>
            </w:tcBorders>
            <w:shd w:val="clear" w:color="auto" w:fill="F0FFFF"/>
          </w:tcPr>
          <w:p>
            <w:pPr>
              <w:spacing w:after="0"/>
              <w:rPr>
                <w:sz w:val="9"/>
                <w:szCs w:val="9"/>
                <w:color w:val="auto"/>
              </w:rPr>
            </w:pPr>
          </w:p>
        </w:tc>
        <w:tc>
          <w:tcPr>
            <w:tcW w:w="320" w:type="dxa"/>
            <w:vAlign w:val="bottom"/>
            <w:tcBorders>
              <w:right w:val="single" w:sz="8" w:color="F0FFFF"/>
            </w:tcBorders>
            <w:shd w:val="clear" w:color="auto" w:fill="F0FFFF"/>
          </w:tcPr>
          <w:p>
            <w:pPr>
              <w:spacing w:after="0"/>
              <w:rPr>
                <w:sz w:val="9"/>
                <w:szCs w:val="9"/>
                <w:color w:val="auto"/>
              </w:rPr>
            </w:pPr>
          </w:p>
        </w:tc>
        <w:tc>
          <w:tcPr>
            <w:tcW w:w="900" w:type="dxa"/>
            <w:vAlign w:val="bottom"/>
            <w:tcBorders>
              <w:right w:val="single" w:sz="8" w:color="F0FFFF"/>
            </w:tcBorders>
            <w:shd w:val="clear" w:color="auto" w:fill="F0FFFF"/>
          </w:tcPr>
          <w:p>
            <w:pPr>
              <w:spacing w:after="0"/>
              <w:rPr>
                <w:sz w:val="9"/>
                <w:szCs w:val="9"/>
                <w:color w:val="auto"/>
              </w:rPr>
            </w:pPr>
          </w:p>
        </w:tc>
        <w:tc>
          <w:tcPr>
            <w:tcW w:w="1600" w:type="dxa"/>
            <w:vAlign w:val="bottom"/>
            <w:tcBorders>
              <w:right w:val="single" w:sz="8" w:color="F0FFFF"/>
            </w:tcBorders>
            <w:shd w:val="clear" w:color="auto" w:fill="F0FFFF"/>
          </w:tcPr>
          <w:p>
            <w:pPr>
              <w:spacing w:after="0"/>
              <w:rPr>
                <w:sz w:val="9"/>
                <w:szCs w:val="9"/>
                <w:color w:val="auto"/>
              </w:rPr>
            </w:pPr>
          </w:p>
        </w:tc>
        <w:tc>
          <w:tcPr>
            <w:tcW w:w="1620" w:type="dxa"/>
            <w:vAlign w:val="bottom"/>
            <w:tcBorders>
              <w:right w:val="single" w:sz="8" w:color="F0FFFF"/>
            </w:tcBorders>
            <w:shd w:val="clear" w:color="auto" w:fill="F0FFFF"/>
          </w:tcPr>
          <w:p>
            <w:pPr>
              <w:spacing w:after="0"/>
              <w:rPr>
                <w:sz w:val="9"/>
                <w:szCs w:val="9"/>
                <w:color w:val="auto"/>
              </w:rPr>
            </w:pPr>
          </w:p>
        </w:tc>
        <w:tc>
          <w:tcPr>
            <w:tcW w:w="1580" w:type="dxa"/>
            <w:vAlign w:val="bottom"/>
            <w:tcBorders>
              <w:right w:val="single" w:sz="8" w:color="auto"/>
            </w:tcBorders>
            <w:shd w:val="clear" w:color="auto" w:fill="F0FFFF"/>
          </w:tcPr>
          <w:p>
            <w:pPr>
              <w:spacing w:after="0"/>
              <w:rPr>
                <w:sz w:val="9"/>
                <w:szCs w:val="9"/>
                <w:color w:val="auto"/>
              </w:rPr>
            </w:pPr>
          </w:p>
        </w:tc>
        <w:tc>
          <w:tcPr>
            <w:tcW w:w="640" w:type="dxa"/>
            <w:vAlign w:val="bottom"/>
          </w:tcPr>
          <w:p>
            <w:pPr>
              <w:spacing w:after="0"/>
              <w:rPr>
                <w:sz w:val="9"/>
                <w:szCs w:val="9"/>
                <w:color w:val="auto"/>
              </w:rPr>
            </w:pPr>
          </w:p>
        </w:tc>
      </w:tr>
      <w:tr>
        <w:trPr>
          <w:trHeight w:val="81"/>
        </w:trPr>
        <w:tc>
          <w:tcPr>
            <w:tcW w:w="1860" w:type="dxa"/>
            <w:vAlign w:val="bottom"/>
            <w:tcBorders>
              <w:left w:val="single" w:sz="8" w:color="auto"/>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640" w:type="dxa"/>
            <w:vAlign w:val="bottom"/>
          </w:tcPr>
          <w:p>
            <w:pPr>
              <w:spacing w:after="0"/>
              <w:rPr>
                <w:sz w:val="7"/>
                <w:szCs w:val="7"/>
                <w:color w:val="auto"/>
              </w:rPr>
            </w:pPr>
          </w:p>
        </w:tc>
      </w:tr>
      <w:tr>
        <w:trPr>
          <w:trHeight w:val="245"/>
        </w:trPr>
        <w:tc>
          <w:tcPr>
            <w:tcW w:w="1860" w:type="dxa"/>
            <w:vAlign w:val="bottom"/>
            <w:tcBorders>
              <w:left w:val="single" w:sz="8" w:color="auto"/>
              <w:right w:val="single" w:sz="8" w:color="auto"/>
            </w:tcBorders>
            <w:shd w:val="clear" w:color="auto" w:fill="F0FFFF"/>
          </w:tcPr>
          <w:p>
            <w:pPr>
              <w:spacing w:after="0"/>
              <w:rPr>
                <w:sz w:val="21"/>
                <w:szCs w:val="21"/>
                <w:color w:val="auto"/>
              </w:rPr>
            </w:pPr>
          </w:p>
        </w:tc>
        <w:tc>
          <w:tcPr>
            <w:tcW w:w="380" w:type="dxa"/>
            <w:vAlign w:val="bottom"/>
            <w:tcBorders>
              <w:right w:val="single" w:sz="8" w:color="F0FFFF"/>
            </w:tcBorders>
            <w:shd w:val="clear" w:color="auto" w:fill="F0FFFF"/>
          </w:tcPr>
          <w:p>
            <w:pPr>
              <w:spacing w:after="0"/>
              <w:rPr>
                <w:sz w:val="21"/>
                <w:szCs w:val="21"/>
                <w:color w:val="auto"/>
              </w:rPr>
            </w:pPr>
          </w:p>
        </w:tc>
        <w:tc>
          <w:tcPr>
            <w:tcW w:w="320" w:type="dxa"/>
            <w:vAlign w:val="bottom"/>
            <w:tcBorders>
              <w:right w:val="single" w:sz="8" w:color="F0FFFF"/>
            </w:tcBorders>
            <w:shd w:val="clear" w:color="auto" w:fill="F0FFFF"/>
          </w:tcPr>
          <w:p>
            <w:pPr>
              <w:spacing w:after="0"/>
              <w:rPr>
                <w:sz w:val="21"/>
                <w:szCs w:val="21"/>
                <w:color w:val="auto"/>
              </w:rPr>
            </w:pPr>
          </w:p>
        </w:tc>
        <w:tc>
          <w:tcPr>
            <w:tcW w:w="900" w:type="dxa"/>
            <w:vAlign w:val="bottom"/>
            <w:tcBorders>
              <w:right w:val="single" w:sz="8" w:color="auto"/>
            </w:tcBorders>
            <w:shd w:val="clear" w:color="auto" w:fill="F0FFFF"/>
          </w:tcPr>
          <w:p>
            <w:pPr>
              <w:spacing w:after="0"/>
              <w:rPr>
                <w:sz w:val="21"/>
                <w:szCs w:val="21"/>
                <w:color w:val="auto"/>
              </w:rPr>
            </w:pPr>
          </w:p>
        </w:tc>
        <w:tc>
          <w:tcPr>
            <w:tcW w:w="160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20" w:type="dxa"/>
            <w:vAlign w:val="bottom"/>
            <w:tcBorders>
              <w:right w:val="single" w:sz="8" w:color="auto"/>
            </w:tcBorders>
            <w:shd w:val="clear" w:color="auto" w:fill="F0FFFF"/>
          </w:tcPr>
          <w:p>
            <w:pPr>
              <w:spacing w:after="0"/>
              <w:rPr>
                <w:sz w:val="21"/>
                <w:szCs w:val="21"/>
                <w:color w:val="auto"/>
              </w:rPr>
            </w:pPr>
          </w:p>
        </w:tc>
        <w:tc>
          <w:tcPr>
            <w:tcW w:w="1580" w:type="dxa"/>
            <w:vAlign w:val="bottom"/>
            <w:tcBorders>
              <w:right w:val="single" w:sz="8" w:color="auto"/>
            </w:tcBorders>
            <w:shd w:val="clear" w:color="auto" w:fill="F0FFFF"/>
          </w:tcPr>
          <w:p>
            <w:pPr>
              <w:spacing w:after="0"/>
              <w:rPr>
                <w:sz w:val="21"/>
                <w:szCs w:val="21"/>
                <w:color w:val="auto"/>
              </w:rPr>
            </w:pPr>
          </w:p>
        </w:tc>
        <w:tc>
          <w:tcPr>
            <w:tcW w:w="640" w:type="dxa"/>
            <w:vAlign w:val="bottom"/>
          </w:tcPr>
          <w:p>
            <w:pPr>
              <w:spacing w:after="0"/>
              <w:rPr>
                <w:sz w:val="21"/>
                <w:szCs w:val="21"/>
                <w:color w:val="auto"/>
              </w:rPr>
            </w:pPr>
          </w:p>
        </w:tc>
      </w:tr>
      <w:tr>
        <w:trPr>
          <w:trHeight w:val="189"/>
        </w:trPr>
        <w:tc>
          <w:tcPr>
            <w:tcW w:w="1860" w:type="dxa"/>
            <w:vAlign w:val="bottom"/>
            <w:tcBorders>
              <w:left w:val="single" w:sz="8" w:color="auto"/>
              <w:right w:val="single" w:sz="8" w:color="auto"/>
            </w:tcBorders>
            <w:shd w:val="clear" w:color="auto" w:fill="F0FFFF"/>
          </w:tcPr>
          <w:p>
            <w:pPr>
              <w:spacing w:after="0"/>
              <w:rPr>
                <w:sz w:val="16"/>
                <w:szCs w:val="16"/>
                <w:color w:val="auto"/>
              </w:rPr>
            </w:pPr>
          </w:p>
        </w:tc>
        <w:tc>
          <w:tcPr>
            <w:tcW w:w="380" w:type="dxa"/>
            <w:vAlign w:val="bottom"/>
            <w:tcBorders>
              <w:right w:val="single" w:sz="8" w:color="F0FFFF"/>
            </w:tcBorders>
            <w:shd w:val="clear" w:color="auto" w:fill="F0FFFF"/>
          </w:tcPr>
          <w:p>
            <w:pPr>
              <w:spacing w:after="0"/>
              <w:rPr>
                <w:sz w:val="16"/>
                <w:szCs w:val="16"/>
                <w:color w:val="auto"/>
              </w:rPr>
            </w:pPr>
          </w:p>
        </w:tc>
        <w:tc>
          <w:tcPr>
            <w:tcW w:w="320" w:type="dxa"/>
            <w:vAlign w:val="bottom"/>
            <w:tcBorders>
              <w:right w:val="single" w:sz="8" w:color="F0FFFF"/>
            </w:tcBorders>
            <w:shd w:val="clear" w:color="auto" w:fill="F0FFFF"/>
          </w:tcPr>
          <w:p>
            <w:pPr>
              <w:spacing w:after="0"/>
              <w:rPr>
                <w:sz w:val="16"/>
                <w:szCs w:val="16"/>
                <w:color w:val="auto"/>
              </w:rPr>
            </w:pPr>
          </w:p>
        </w:tc>
        <w:tc>
          <w:tcPr>
            <w:tcW w:w="900" w:type="dxa"/>
            <w:vAlign w:val="bottom"/>
            <w:tcBorders>
              <w:right w:val="single" w:sz="8" w:color="auto"/>
            </w:tcBorders>
            <w:shd w:val="clear" w:color="auto" w:fill="F0FFFF"/>
          </w:tcPr>
          <w:p>
            <w:pPr>
              <w:spacing w:after="0"/>
              <w:rPr>
                <w:sz w:val="16"/>
                <w:szCs w:val="16"/>
                <w:color w:val="auto"/>
              </w:rPr>
            </w:pPr>
          </w:p>
        </w:tc>
        <w:tc>
          <w:tcPr>
            <w:tcW w:w="1600" w:type="dxa"/>
            <w:vAlign w:val="bottom"/>
            <w:tcBorders>
              <w:right w:val="single" w:sz="8" w:color="auto"/>
            </w:tcBorders>
            <w:shd w:val="clear" w:color="auto" w:fill="F0FF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Complete</w:t>
            </w:r>
          </w:p>
        </w:tc>
        <w:tc>
          <w:tcPr>
            <w:tcW w:w="1620" w:type="dxa"/>
            <w:vAlign w:val="bottom"/>
            <w:tcBorders>
              <w:right w:val="single" w:sz="8" w:color="auto"/>
            </w:tcBorders>
            <w:shd w:val="clear" w:color="auto" w:fill="F0FFFF"/>
          </w:tcPr>
          <w:p>
            <w:pPr>
              <w:jc w:val="center"/>
              <w:spacing w:after="0" w:line="189" w:lineRule="exact"/>
              <w:rPr>
                <w:sz w:val="20"/>
                <w:szCs w:val="20"/>
                <w:color w:val="auto"/>
              </w:rPr>
            </w:pPr>
            <w:r>
              <w:rPr>
                <w:rFonts w:ascii="Times New Roman" w:cs="Times New Roman" w:eastAsia="Times New Roman" w:hAnsi="Times New Roman"/>
                <w:sz w:val="18"/>
                <w:szCs w:val="18"/>
                <w:color w:val="auto"/>
              </w:rPr>
              <w:t>Withdrawal</w:t>
            </w:r>
          </w:p>
        </w:tc>
        <w:tc>
          <w:tcPr>
            <w:tcW w:w="1580" w:type="dxa"/>
            <w:vAlign w:val="bottom"/>
            <w:tcBorders>
              <w:right w:val="single" w:sz="8" w:color="auto"/>
            </w:tcBorders>
            <w:shd w:val="clear" w:color="auto" w:fill="F0FFFF"/>
          </w:tcPr>
          <w:p>
            <w:pPr>
              <w:spacing w:after="0"/>
              <w:rPr>
                <w:sz w:val="16"/>
                <w:szCs w:val="16"/>
                <w:color w:val="auto"/>
              </w:rPr>
            </w:pPr>
          </w:p>
        </w:tc>
        <w:tc>
          <w:tcPr>
            <w:tcW w:w="640" w:type="dxa"/>
            <w:vAlign w:val="bottom"/>
          </w:tcPr>
          <w:p>
            <w:pPr>
              <w:spacing w:after="0"/>
              <w:rPr>
                <w:sz w:val="16"/>
                <w:szCs w:val="16"/>
                <w:color w:val="auto"/>
              </w:rPr>
            </w:pPr>
          </w:p>
        </w:tc>
      </w:tr>
      <w:tr>
        <w:trPr>
          <w:trHeight w:val="203"/>
        </w:trPr>
        <w:tc>
          <w:tcPr>
            <w:tcW w:w="1860" w:type="dxa"/>
            <w:vAlign w:val="bottom"/>
            <w:tcBorders>
              <w:left w:val="single" w:sz="8" w:color="auto"/>
              <w:right w:val="single" w:sz="8" w:color="auto"/>
            </w:tcBorders>
            <w:shd w:val="clear" w:color="auto" w:fill="F0FFFF"/>
          </w:tcPr>
          <w:p>
            <w:pPr>
              <w:spacing w:after="0"/>
              <w:rPr>
                <w:sz w:val="17"/>
                <w:szCs w:val="17"/>
                <w:color w:val="auto"/>
              </w:rPr>
            </w:pPr>
          </w:p>
        </w:tc>
        <w:tc>
          <w:tcPr>
            <w:tcW w:w="380" w:type="dxa"/>
            <w:vAlign w:val="bottom"/>
            <w:tcBorders>
              <w:right w:val="single" w:sz="8" w:color="F0FFFF"/>
            </w:tcBorders>
            <w:shd w:val="clear" w:color="auto" w:fill="F0FFFF"/>
          </w:tcPr>
          <w:p>
            <w:pPr>
              <w:spacing w:after="0"/>
              <w:rPr>
                <w:sz w:val="17"/>
                <w:szCs w:val="17"/>
                <w:color w:val="auto"/>
              </w:rPr>
            </w:pPr>
          </w:p>
        </w:tc>
        <w:tc>
          <w:tcPr>
            <w:tcW w:w="320" w:type="dxa"/>
            <w:vAlign w:val="bottom"/>
            <w:tcBorders>
              <w:right w:val="single" w:sz="8" w:color="F0FFFF"/>
            </w:tcBorders>
            <w:shd w:val="clear" w:color="auto" w:fill="F0FFFF"/>
          </w:tcPr>
          <w:p>
            <w:pPr>
              <w:spacing w:after="0"/>
              <w:rPr>
                <w:sz w:val="17"/>
                <w:szCs w:val="17"/>
                <w:color w:val="auto"/>
              </w:rPr>
            </w:pPr>
          </w:p>
        </w:tc>
        <w:tc>
          <w:tcPr>
            <w:tcW w:w="900" w:type="dxa"/>
            <w:vAlign w:val="bottom"/>
            <w:tcBorders>
              <w:right w:val="single" w:sz="8" w:color="auto"/>
            </w:tcBorders>
            <w:shd w:val="clear" w:color="auto" w:fill="F0FFFF"/>
          </w:tcPr>
          <w:p>
            <w:pPr>
              <w:spacing w:after="0"/>
              <w:rPr>
                <w:sz w:val="17"/>
                <w:szCs w:val="17"/>
                <w:color w:val="auto"/>
              </w:rPr>
            </w:pPr>
          </w:p>
        </w:tc>
        <w:tc>
          <w:tcPr>
            <w:tcW w:w="1600" w:type="dxa"/>
            <w:vAlign w:val="bottom"/>
            <w:tcBorders>
              <w:right w:val="single" w:sz="8" w:color="auto"/>
            </w:tcBorders>
            <w:shd w:val="clear" w:color="auto" w:fill="F0FF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Contract Years</w:t>
            </w:r>
          </w:p>
        </w:tc>
        <w:tc>
          <w:tcPr>
            <w:tcW w:w="1620" w:type="dxa"/>
            <w:vAlign w:val="bottom"/>
            <w:tcBorders>
              <w:right w:val="single" w:sz="8" w:color="auto"/>
            </w:tcBorders>
            <w:shd w:val="clear" w:color="auto" w:fill="F0FF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Charge</w:t>
            </w:r>
          </w:p>
        </w:tc>
        <w:tc>
          <w:tcPr>
            <w:tcW w:w="1580" w:type="dxa"/>
            <w:vAlign w:val="bottom"/>
            <w:tcBorders>
              <w:right w:val="single" w:sz="8" w:color="auto"/>
            </w:tcBorders>
            <w:shd w:val="clear" w:color="auto" w:fill="F0FFFF"/>
          </w:tcPr>
          <w:p>
            <w:pPr>
              <w:spacing w:after="0"/>
              <w:rPr>
                <w:sz w:val="17"/>
                <w:szCs w:val="17"/>
                <w:color w:val="auto"/>
              </w:rPr>
            </w:pPr>
          </w:p>
        </w:tc>
        <w:tc>
          <w:tcPr>
            <w:tcW w:w="640" w:type="dxa"/>
            <w:vAlign w:val="bottom"/>
          </w:tcPr>
          <w:p>
            <w:pPr>
              <w:spacing w:after="0"/>
              <w:rPr>
                <w:sz w:val="17"/>
                <w:szCs w:val="17"/>
                <w:color w:val="auto"/>
              </w:rPr>
            </w:pPr>
          </w:p>
        </w:tc>
      </w:tr>
      <w:tr>
        <w:trPr>
          <w:trHeight w:val="266"/>
        </w:trPr>
        <w:tc>
          <w:tcPr>
            <w:tcW w:w="1860" w:type="dxa"/>
            <w:vAlign w:val="bottom"/>
            <w:tcBorders>
              <w:left w:val="single" w:sz="8" w:color="auto"/>
              <w:bottom w:val="single" w:sz="8" w:color="F0FFFF"/>
              <w:right w:val="single" w:sz="8" w:color="auto"/>
            </w:tcBorders>
            <w:shd w:val="clear" w:color="auto" w:fill="F0FFFF"/>
          </w:tcPr>
          <w:p>
            <w:pPr>
              <w:spacing w:after="0"/>
              <w:rPr>
                <w:sz w:val="22"/>
                <w:szCs w:val="22"/>
                <w:color w:val="auto"/>
              </w:rPr>
            </w:pPr>
          </w:p>
        </w:tc>
        <w:tc>
          <w:tcPr>
            <w:tcW w:w="380" w:type="dxa"/>
            <w:vAlign w:val="bottom"/>
            <w:tcBorders>
              <w:bottom w:val="single" w:sz="8" w:color="F0FFFF"/>
              <w:right w:val="single" w:sz="8" w:color="F0FFFF"/>
            </w:tcBorders>
            <w:shd w:val="clear" w:color="auto" w:fill="F0FFFF"/>
          </w:tcPr>
          <w:p>
            <w:pPr>
              <w:spacing w:after="0"/>
              <w:rPr>
                <w:sz w:val="22"/>
                <w:szCs w:val="22"/>
                <w:color w:val="auto"/>
              </w:rPr>
            </w:pPr>
          </w:p>
        </w:tc>
        <w:tc>
          <w:tcPr>
            <w:tcW w:w="320" w:type="dxa"/>
            <w:vAlign w:val="bottom"/>
            <w:tcBorders>
              <w:bottom w:val="single" w:sz="8" w:color="F0FFFF"/>
              <w:right w:val="single" w:sz="8" w:color="F0FFFF"/>
            </w:tcBorders>
            <w:shd w:val="clear" w:color="auto" w:fill="F0FFFF"/>
          </w:tcPr>
          <w:p>
            <w:pPr>
              <w:spacing w:after="0"/>
              <w:rPr>
                <w:sz w:val="22"/>
                <w:szCs w:val="22"/>
                <w:color w:val="auto"/>
              </w:rPr>
            </w:pPr>
          </w:p>
        </w:tc>
        <w:tc>
          <w:tcPr>
            <w:tcW w:w="900" w:type="dxa"/>
            <w:vAlign w:val="bottom"/>
            <w:tcBorders>
              <w:bottom w:val="single" w:sz="8" w:color="F0FFFF"/>
              <w:right w:val="single" w:sz="8" w:color="auto"/>
            </w:tcBorders>
            <w:shd w:val="clear" w:color="auto" w:fill="F0FFFF"/>
          </w:tcPr>
          <w:p>
            <w:pPr>
              <w:spacing w:after="0"/>
              <w:rPr>
                <w:sz w:val="22"/>
                <w:szCs w:val="22"/>
                <w:color w:val="auto"/>
              </w:rPr>
            </w:pPr>
          </w:p>
        </w:tc>
        <w:tc>
          <w:tcPr>
            <w:tcW w:w="16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since Issue Date</w:t>
            </w:r>
          </w:p>
        </w:tc>
        <w:tc>
          <w:tcPr>
            <w:tcW w:w="16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percentage</w:t>
            </w:r>
          </w:p>
        </w:tc>
        <w:tc>
          <w:tcPr>
            <w:tcW w:w="1580" w:type="dxa"/>
            <w:vAlign w:val="bottom"/>
            <w:tcBorders>
              <w:bottom w:val="single" w:sz="8" w:color="F0FFFF"/>
              <w:right w:val="single" w:sz="8" w:color="auto"/>
            </w:tcBorders>
            <w:shd w:val="clear" w:color="auto" w:fill="F0FFFF"/>
          </w:tcPr>
          <w:p>
            <w:pPr>
              <w:spacing w:after="0"/>
              <w:rPr>
                <w:sz w:val="22"/>
                <w:szCs w:val="22"/>
                <w:color w:val="auto"/>
              </w:rPr>
            </w:pPr>
          </w:p>
        </w:tc>
        <w:tc>
          <w:tcPr>
            <w:tcW w:w="640" w:type="dxa"/>
            <w:vAlign w:val="bottom"/>
          </w:tcPr>
          <w:p>
            <w:pPr>
              <w:spacing w:after="0"/>
              <w:rPr>
                <w:sz w:val="22"/>
                <w:szCs w:val="22"/>
                <w:color w:val="auto"/>
              </w:rPr>
            </w:pPr>
          </w:p>
        </w:tc>
      </w:tr>
      <w:tr>
        <w:trPr>
          <w:trHeight w:val="291"/>
        </w:trPr>
        <w:tc>
          <w:tcPr>
            <w:tcW w:w="1860" w:type="dxa"/>
            <w:vAlign w:val="bottom"/>
            <w:tcBorders>
              <w:top w:val="single" w:sz="8" w:color="F0FFFF"/>
              <w:left w:val="single" w:sz="8" w:color="auto"/>
              <w:right w:val="single" w:sz="8" w:color="auto"/>
            </w:tcBorders>
          </w:tcPr>
          <w:p>
            <w:pPr>
              <w:spacing w:after="0"/>
              <w:rPr>
                <w:sz w:val="24"/>
                <w:szCs w:val="24"/>
                <w:color w:val="auto"/>
              </w:rPr>
            </w:pPr>
          </w:p>
        </w:tc>
        <w:tc>
          <w:tcPr>
            <w:tcW w:w="700" w:type="dxa"/>
            <w:vAlign w:val="bottom"/>
            <w:tcBorders>
              <w:top w:val="single" w:sz="8" w:color="F0FFFF"/>
            </w:tcBorders>
            <w:gridSpan w:val="2"/>
          </w:tcPr>
          <w:p>
            <w:pPr>
              <w:spacing w:after="0"/>
              <w:rPr>
                <w:sz w:val="24"/>
                <w:szCs w:val="24"/>
                <w:color w:val="auto"/>
              </w:rPr>
            </w:pPr>
          </w:p>
        </w:tc>
        <w:tc>
          <w:tcPr>
            <w:tcW w:w="900" w:type="dxa"/>
            <w:vAlign w:val="bottom"/>
            <w:tcBorders>
              <w:top w:val="single" w:sz="8" w:color="F0FFFF"/>
              <w:right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620" w:type="dxa"/>
            <w:vAlign w:val="bottom"/>
            <w:tcBorders>
              <w:top w:val="single" w:sz="8" w:color="auto"/>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tcBorders>
              <w:top w:val="single" w:sz="8" w:color="F0FFFF"/>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27"/>
        </w:trPr>
        <w:tc>
          <w:tcPr>
            <w:tcW w:w="1860" w:type="dxa"/>
            <w:vAlign w:val="bottom"/>
            <w:tcBorders>
              <w:left w:val="single" w:sz="8" w:color="auto"/>
              <w:right w:val="single" w:sz="8" w:color="auto"/>
            </w:tcBorders>
          </w:tcPr>
          <w:p>
            <w:pPr>
              <w:spacing w:after="0"/>
              <w:rPr>
                <w:sz w:val="2"/>
                <w:szCs w:val="2"/>
                <w:color w:val="auto"/>
              </w:rPr>
            </w:pPr>
          </w:p>
        </w:tc>
        <w:tc>
          <w:tcPr>
            <w:tcW w:w="700" w:type="dxa"/>
            <w:vAlign w:val="bottom"/>
            <w:gridSpan w:val="2"/>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323"/>
        </w:trPr>
        <w:tc>
          <w:tcPr>
            <w:tcW w:w="1860" w:type="dxa"/>
            <w:vAlign w:val="bottom"/>
            <w:tcBorders>
              <w:left w:val="single" w:sz="8" w:color="auto"/>
              <w:bottom w:val="single" w:sz="8" w:color="F0FFFF"/>
              <w:right w:val="single" w:sz="8" w:color="auto"/>
            </w:tcBorders>
            <w:shd w:val="clear" w:color="auto" w:fill="F0FFFF"/>
          </w:tcPr>
          <w:p>
            <w:pPr>
              <w:spacing w:after="0"/>
              <w:rPr>
                <w:sz w:val="24"/>
                <w:szCs w:val="24"/>
                <w:color w:val="auto"/>
              </w:rPr>
            </w:pPr>
          </w:p>
        </w:tc>
        <w:tc>
          <w:tcPr>
            <w:tcW w:w="700" w:type="dxa"/>
            <w:vAlign w:val="bottom"/>
            <w:tcBorders>
              <w:bottom w:val="single" w:sz="8" w:color="F0FFFF"/>
              <w:right w:val="single" w:sz="8" w:color="F0FFFF"/>
            </w:tcBorders>
            <w:gridSpan w:val="2"/>
            <w:shd w:val="clear" w:color="auto" w:fill="F0FFFF"/>
          </w:tcPr>
          <w:p>
            <w:pPr>
              <w:spacing w:after="0"/>
              <w:rPr>
                <w:sz w:val="24"/>
                <w:szCs w:val="24"/>
                <w:color w:val="auto"/>
              </w:rPr>
            </w:pPr>
          </w:p>
        </w:tc>
        <w:tc>
          <w:tcPr>
            <w:tcW w:w="900" w:type="dxa"/>
            <w:vAlign w:val="bottom"/>
            <w:tcBorders>
              <w:bottom w:val="single" w:sz="8" w:color="F0FFFF"/>
              <w:right w:val="single" w:sz="8" w:color="auto"/>
            </w:tcBorders>
            <w:shd w:val="clear" w:color="auto" w:fill="F0FFFF"/>
          </w:tcPr>
          <w:p>
            <w:pPr>
              <w:spacing w:after="0"/>
              <w:rPr>
                <w:sz w:val="24"/>
                <w:szCs w:val="24"/>
                <w:color w:val="auto"/>
              </w:rPr>
            </w:pPr>
          </w:p>
        </w:tc>
        <w:tc>
          <w:tcPr>
            <w:tcW w:w="16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tcBorders>
              <w:bottom w:val="single" w:sz="8" w:color="F0FFFF"/>
              <w:right w:val="single" w:sz="8" w:color="auto"/>
            </w:tcBorders>
            <w:shd w:val="clear" w:color="auto" w:fill="F0FFFF"/>
          </w:tcPr>
          <w:p>
            <w:pPr>
              <w:jc w:val="right"/>
              <w:ind w:right="119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tcBorders>
              <w:bottom w:val="single" w:sz="8" w:color="F0FFFF"/>
              <w:right w:val="single" w:sz="8" w:color="auto"/>
            </w:tcBorders>
            <w:shd w:val="clear" w:color="auto" w:fill="F0FFFF"/>
          </w:tcPr>
          <w:p>
            <w:pPr>
              <w:spacing w:after="0"/>
              <w:rPr>
                <w:sz w:val="24"/>
                <w:szCs w:val="24"/>
                <w:color w:val="auto"/>
              </w:rPr>
            </w:pPr>
          </w:p>
        </w:tc>
        <w:tc>
          <w:tcPr>
            <w:tcW w:w="640" w:type="dxa"/>
            <w:vAlign w:val="bottom"/>
          </w:tcPr>
          <w:p>
            <w:pPr>
              <w:spacing w:after="0"/>
              <w:rPr>
                <w:sz w:val="24"/>
                <w:szCs w:val="24"/>
                <w:color w:val="auto"/>
              </w:rPr>
            </w:pPr>
          </w:p>
        </w:tc>
      </w:tr>
      <w:tr>
        <w:trPr>
          <w:trHeight w:val="291"/>
        </w:trPr>
        <w:tc>
          <w:tcPr>
            <w:tcW w:w="1860" w:type="dxa"/>
            <w:vAlign w:val="bottom"/>
            <w:tcBorders>
              <w:top w:val="single" w:sz="8" w:color="F0FFFF"/>
              <w:left w:val="single" w:sz="8" w:color="auto"/>
              <w:right w:val="single" w:sz="8" w:color="auto"/>
            </w:tcBorders>
          </w:tcPr>
          <w:p>
            <w:pPr>
              <w:spacing w:after="0"/>
              <w:rPr>
                <w:sz w:val="24"/>
                <w:szCs w:val="24"/>
                <w:color w:val="auto"/>
              </w:rPr>
            </w:pPr>
          </w:p>
        </w:tc>
        <w:tc>
          <w:tcPr>
            <w:tcW w:w="700" w:type="dxa"/>
            <w:vAlign w:val="bottom"/>
            <w:tcBorders>
              <w:top w:val="single" w:sz="8" w:color="F0FFFF"/>
            </w:tcBorders>
            <w:gridSpan w:val="2"/>
          </w:tcPr>
          <w:p>
            <w:pPr>
              <w:spacing w:after="0"/>
              <w:rPr>
                <w:sz w:val="24"/>
                <w:szCs w:val="24"/>
                <w:color w:val="auto"/>
              </w:rPr>
            </w:pPr>
          </w:p>
        </w:tc>
        <w:tc>
          <w:tcPr>
            <w:tcW w:w="900" w:type="dxa"/>
            <w:vAlign w:val="bottom"/>
            <w:tcBorders>
              <w:top w:val="single" w:sz="8" w:color="F0FFFF"/>
              <w:right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tcBorders>
              <w:top w:val="single" w:sz="8" w:color="auto"/>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tcBorders>
              <w:top w:val="single" w:sz="8" w:color="F0FFFF"/>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27"/>
        </w:trPr>
        <w:tc>
          <w:tcPr>
            <w:tcW w:w="1860" w:type="dxa"/>
            <w:vAlign w:val="bottom"/>
            <w:tcBorders>
              <w:left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98"/>
        </w:trPr>
        <w:tc>
          <w:tcPr>
            <w:tcW w:w="1860" w:type="dxa"/>
            <w:vAlign w:val="bottom"/>
            <w:tcBorders>
              <w:left w:val="single" w:sz="8" w:color="auto"/>
              <w:bottom w:val="single" w:sz="8" w:color="F0FFFF"/>
              <w:right w:val="single" w:sz="8" w:color="auto"/>
            </w:tcBorders>
            <w:shd w:val="clear" w:color="auto" w:fill="F0FFFF"/>
          </w:tcPr>
          <w:p>
            <w:pPr>
              <w:spacing w:after="0"/>
              <w:rPr>
                <w:sz w:val="24"/>
                <w:szCs w:val="24"/>
                <w:color w:val="auto"/>
              </w:rPr>
            </w:pPr>
          </w:p>
        </w:tc>
        <w:tc>
          <w:tcPr>
            <w:tcW w:w="380" w:type="dxa"/>
            <w:vAlign w:val="bottom"/>
            <w:tcBorders>
              <w:bottom w:val="single" w:sz="8" w:color="F0FFFF"/>
              <w:right w:val="single" w:sz="8" w:color="F0FFFF"/>
            </w:tcBorders>
            <w:shd w:val="clear" w:color="auto" w:fill="F0FFFF"/>
          </w:tcPr>
          <w:p>
            <w:pPr>
              <w:spacing w:after="0"/>
              <w:rPr>
                <w:sz w:val="24"/>
                <w:szCs w:val="24"/>
                <w:color w:val="auto"/>
              </w:rPr>
            </w:pPr>
          </w:p>
        </w:tc>
        <w:tc>
          <w:tcPr>
            <w:tcW w:w="320" w:type="dxa"/>
            <w:vAlign w:val="bottom"/>
            <w:tcBorders>
              <w:bottom w:val="single" w:sz="8" w:color="F0FFFF"/>
              <w:right w:val="single" w:sz="8" w:color="F0FFFF"/>
            </w:tcBorders>
            <w:shd w:val="clear" w:color="auto" w:fill="F0FFFF"/>
          </w:tcPr>
          <w:p>
            <w:pPr>
              <w:spacing w:after="0"/>
              <w:rPr>
                <w:sz w:val="24"/>
                <w:szCs w:val="24"/>
                <w:color w:val="auto"/>
              </w:rPr>
            </w:pPr>
          </w:p>
        </w:tc>
        <w:tc>
          <w:tcPr>
            <w:tcW w:w="900" w:type="dxa"/>
            <w:vAlign w:val="bottom"/>
            <w:tcBorders>
              <w:bottom w:val="single" w:sz="8" w:color="F0FFFF"/>
              <w:right w:val="single" w:sz="8" w:color="auto"/>
            </w:tcBorders>
            <w:shd w:val="clear" w:color="auto" w:fill="F0FFFF"/>
          </w:tcPr>
          <w:p>
            <w:pPr>
              <w:spacing w:after="0"/>
              <w:rPr>
                <w:sz w:val="24"/>
                <w:szCs w:val="24"/>
                <w:color w:val="auto"/>
              </w:rPr>
            </w:pPr>
          </w:p>
        </w:tc>
        <w:tc>
          <w:tcPr>
            <w:tcW w:w="16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3 or more</w:t>
            </w:r>
          </w:p>
        </w:tc>
        <w:tc>
          <w:tcPr>
            <w:tcW w:w="1620" w:type="dxa"/>
            <w:vAlign w:val="bottom"/>
            <w:tcBorders>
              <w:bottom w:val="single" w:sz="8" w:color="F0FFFF"/>
              <w:right w:val="single" w:sz="8" w:color="auto"/>
            </w:tcBorders>
            <w:shd w:val="clear" w:color="auto" w:fill="F0FFFF"/>
          </w:tcPr>
          <w:p>
            <w:pPr>
              <w:jc w:val="right"/>
              <w:ind w:right="119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F0FFFF"/>
              <w:right w:val="single" w:sz="8" w:color="auto"/>
            </w:tcBorders>
            <w:shd w:val="clear" w:color="auto" w:fill="F0FFFF"/>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860" w:type="dxa"/>
            <w:vAlign w:val="bottom"/>
            <w:tcBorders>
              <w:left w:val="single" w:sz="8" w:color="auto"/>
              <w:right w:val="single" w:sz="8" w:color="auto"/>
            </w:tcBorders>
            <w:shd w:val="clear" w:color="auto" w:fill="F0FFFF"/>
          </w:tcPr>
          <w:p>
            <w:pPr>
              <w:spacing w:after="0" w:line="20" w:lineRule="exact"/>
              <w:rPr>
                <w:sz w:val="1"/>
                <w:szCs w:val="1"/>
                <w:color w:val="auto"/>
              </w:rPr>
            </w:pPr>
          </w:p>
        </w:tc>
        <w:tc>
          <w:tcPr>
            <w:tcW w:w="380" w:type="dxa"/>
            <w:vAlign w:val="bottom"/>
            <w:tcBorders>
              <w:right w:val="single" w:sz="8" w:color="F0FFFF"/>
            </w:tcBorders>
            <w:shd w:val="clear" w:color="auto" w:fill="F0FFFF"/>
          </w:tcPr>
          <w:p>
            <w:pPr>
              <w:spacing w:after="0" w:line="20" w:lineRule="exact"/>
              <w:rPr>
                <w:sz w:val="1"/>
                <w:szCs w:val="1"/>
                <w:color w:val="auto"/>
              </w:rPr>
            </w:pPr>
          </w:p>
        </w:tc>
        <w:tc>
          <w:tcPr>
            <w:tcW w:w="320" w:type="dxa"/>
            <w:vAlign w:val="bottom"/>
            <w:tcBorders>
              <w:right w:val="single" w:sz="8" w:color="F0FFFF"/>
            </w:tcBorders>
            <w:shd w:val="clear" w:color="auto" w:fill="F0FFFF"/>
          </w:tcPr>
          <w:p>
            <w:pPr>
              <w:spacing w:after="0" w:line="20" w:lineRule="exact"/>
              <w:rPr>
                <w:sz w:val="1"/>
                <w:szCs w:val="1"/>
                <w:color w:val="auto"/>
              </w:rPr>
            </w:pPr>
          </w:p>
        </w:tc>
        <w:tc>
          <w:tcPr>
            <w:tcW w:w="900" w:type="dxa"/>
            <w:vAlign w:val="bottom"/>
            <w:tcBorders>
              <w:right w:val="single" w:sz="8" w:color="auto"/>
            </w:tcBorders>
            <w:shd w:val="clear" w:color="auto" w:fill="F0FFFF"/>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F0FF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3"/>
        </w:trPr>
        <w:tc>
          <w:tcPr>
            <w:tcW w:w="1860" w:type="dxa"/>
            <w:vAlign w:val="bottom"/>
            <w:tcBorders>
              <w:left w:val="single" w:sz="8" w:color="auto"/>
              <w:right w:val="single" w:sz="8" w:color="auto"/>
            </w:tcBorders>
          </w:tcPr>
          <w:p>
            <w:pPr>
              <w:spacing w:after="0"/>
              <w:rPr>
                <w:sz w:val="24"/>
                <w:szCs w:val="24"/>
                <w:color w:val="auto"/>
              </w:rPr>
            </w:pPr>
          </w:p>
        </w:tc>
        <w:tc>
          <w:tcPr>
            <w:tcW w:w="640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See “WITHDRAWAL PROVISIONS — When No Withdrawal Charge Applies” for a</w:t>
            </w:r>
          </w:p>
        </w:tc>
        <w:tc>
          <w:tcPr>
            <w:tcW w:w="640" w:type="dxa"/>
            <w:vAlign w:val="bottom"/>
          </w:tcPr>
          <w:p>
            <w:pPr>
              <w:spacing w:after="0"/>
              <w:rPr>
                <w:sz w:val="24"/>
                <w:szCs w:val="24"/>
                <w:color w:val="auto"/>
              </w:rPr>
            </w:pPr>
          </w:p>
        </w:tc>
      </w:tr>
      <w:tr>
        <w:trPr>
          <w:trHeight w:val="234"/>
        </w:trPr>
        <w:tc>
          <w:tcPr>
            <w:tcW w:w="1860" w:type="dxa"/>
            <w:vAlign w:val="bottom"/>
            <w:tcBorders>
              <w:left w:val="single" w:sz="8" w:color="auto"/>
              <w:right w:val="single" w:sz="8" w:color="auto"/>
            </w:tcBorders>
          </w:tcPr>
          <w:p>
            <w:pPr>
              <w:spacing w:after="0"/>
              <w:rPr>
                <w:sz w:val="20"/>
                <w:szCs w:val="20"/>
                <w:color w:val="auto"/>
              </w:rPr>
            </w:pPr>
          </w:p>
        </w:tc>
        <w:tc>
          <w:tcPr>
            <w:tcW w:w="32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list of Withdrawal Charge waivers.</w:t>
            </w:r>
          </w:p>
        </w:tc>
        <w:tc>
          <w:tcPr>
            <w:tcW w:w="16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r>
      <w:tr>
        <w:trPr>
          <w:trHeight w:val="51"/>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194"/>
        </w:trPr>
        <w:tc>
          <w:tcPr>
            <w:tcW w:w="1860" w:type="dxa"/>
            <w:vAlign w:val="bottom"/>
            <w:tcBorders>
              <w:lef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Systematic Withdrawal</w:t>
            </w:r>
          </w:p>
        </w:tc>
        <w:tc>
          <w:tcPr>
            <w:tcW w:w="700" w:type="dxa"/>
            <w:vAlign w:val="bottom"/>
            <w:tcBorders>
              <w:right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color w:val="auto"/>
              </w:rPr>
              <w:t>Program</w:t>
            </w:r>
          </w:p>
        </w:tc>
        <w:tc>
          <w:tcPr>
            <w:tcW w:w="5700" w:type="dxa"/>
            <w:vAlign w:val="bottom"/>
            <w:gridSpan w:val="4"/>
          </w:tcPr>
          <w:p>
            <w:pPr>
              <w:ind w:left="100"/>
              <w:spacing w:after="0" w:line="195" w:lineRule="exact"/>
              <w:rPr>
                <w:sz w:val="20"/>
                <w:szCs w:val="20"/>
                <w:color w:val="auto"/>
              </w:rPr>
            </w:pPr>
            <w:r>
              <w:rPr>
                <w:rFonts w:ascii="Times New Roman" w:cs="Times New Roman" w:eastAsia="Times New Roman" w:hAnsi="Times New Roman"/>
                <w:sz w:val="18"/>
                <w:szCs w:val="18"/>
                <w:color w:val="auto"/>
              </w:rPr>
              <w:t>You may elect the Systematic Withdrawal Program to provide automated</w:t>
            </w:r>
          </w:p>
        </w:tc>
        <w:tc>
          <w:tcPr>
            <w:tcW w:w="640" w:type="dxa"/>
            <w:vAlign w:val="bottom"/>
            <w:tcBorders>
              <w:right w:val="single" w:sz="8" w:color="auto"/>
            </w:tcBorders>
          </w:tcPr>
          <w:p>
            <w:pPr>
              <w:spacing w:after="0"/>
              <w:rPr>
                <w:sz w:val="16"/>
                <w:szCs w:val="16"/>
                <w:color w:val="auto"/>
              </w:rPr>
            </w:pPr>
          </w:p>
        </w:tc>
      </w:tr>
      <w:tr>
        <w:trPr>
          <w:trHeight w:val="189"/>
        </w:trPr>
        <w:tc>
          <w:tcPr>
            <w:tcW w:w="1860" w:type="dxa"/>
            <w:vAlign w:val="bottom"/>
            <w:tcBorders>
              <w:lef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6340" w:type="dxa"/>
            <w:vAlign w:val="bottom"/>
            <w:tcBorders>
              <w:right w:val="single" w:sz="8" w:color="auto"/>
            </w:tcBorders>
            <w:gridSpan w:val="5"/>
          </w:tcPr>
          <w:p>
            <w:pPr>
              <w:ind w:left="100"/>
              <w:spacing w:after="0" w:line="189" w:lineRule="exact"/>
              <w:rPr>
                <w:sz w:val="20"/>
                <w:szCs w:val="20"/>
                <w:color w:val="auto"/>
              </w:rPr>
            </w:pPr>
            <w:r>
              <w:rPr>
                <w:rFonts w:ascii="Times New Roman" w:cs="Times New Roman" w:eastAsia="Times New Roman" w:hAnsi="Times New Roman"/>
                <w:sz w:val="18"/>
                <w:szCs w:val="18"/>
                <w:color w:val="auto"/>
              </w:rPr>
              <w:t>processing of amounts withdrawn from your Contract, subject to program</w:t>
            </w:r>
          </w:p>
        </w:tc>
      </w:tr>
      <w:tr>
        <w:trPr>
          <w:trHeight w:val="203"/>
        </w:trPr>
        <w:tc>
          <w:tcPr>
            <w:tcW w:w="186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6340" w:type="dxa"/>
            <w:vAlign w:val="bottom"/>
            <w:tcBorders>
              <w:right w:val="single" w:sz="8" w:color="auto"/>
            </w:tcBorders>
            <w:gridSpan w:val="5"/>
          </w:tcPr>
          <w:p>
            <w:pPr>
              <w:ind w:left="100"/>
              <w:spacing w:after="0" w:line="202" w:lineRule="exact"/>
              <w:rPr>
                <w:sz w:val="20"/>
                <w:szCs w:val="20"/>
                <w:color w:val="auto"/>
              </w:rPr>
            </w:pPr>
            <w:r>
              <w:rPr>
                <w:rFonts w:ascii="Times New Roman" w:cs="Times New Roman" w:eastAsia="Times New Roman" w:hAnsi="Times New Roman"/>
                <w:sz w:val="18"/>
                <w:szCs w:val="18"/>
                <w:color w:val="auto"/>
              </w:rPr>
              <w:t>terms. We do not assess a charge for the program and you may terminate your</w:t>
            </w:r>
          </w:p>
        </w:tc>
      </w:tr>
      <w:tr>
        <w:trPr>
          <w:trHeight w:val="203"/>
        </w:trPr>
        <w:tc>
          <w:tcPr>
            <w:tcW w:w="186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6340" w:type="dxa"/>
            <w:vAlign w:val="bottom"/>
            <w:tcBorders>
              <w:right w:val="single" w:sz="8" w:color="auto"/>
            </w:tcBorders>
            <w:gridSpan w:val="5"/>
          </w:tcPr>
          <w:p>
            <w:pPr>
              <w:ind w:left="100"/>
              <w:spacing w:after="0" w:line="202" w:lineRule="exact"/>
              <w:rPr>
                <w:sz w:val="20"/>
                <w:szCs w:val="20"/>
                <w:color w:val="auto"/>
              </w:rPr>
            </w:pPr>
            <w:r>
              <w:rPr>
                <w:rFonts w:ascii="Times New Roman" w:cs="Times New Roman" w:eastAsia="Times New Roman" w:hAnsi="Times New Roman"/>
                <w:sz w:val="18"/>
                <w:szCs w:val="18"/>
                <w:color w:val="auto"/>
              </w:rPr>
              <w:t>participation in the program at any time. Withdrawals under the Systematic</w:t>
            </w:r>
          </w:p>
        </w:tc>
      </w:tr>
      <w:tr>
        <w:trPr>
          <w:trHeight w:val="189"/>
        </w:trPr>
        <w:tc>
          <w:tcPr>
            <w:tcW w:w="1860" w:type="dxa"/>
            <w:vAlign w:val="bottom"/>
            <w:tcBorders>
              <w:lef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6340" w:type="dxa"/>
            <w:vAlign w:val="bottom"/>
            <w:tcBorders>
              <w:right w:val="single" w:sz="8" w:color="auto"/>
            </w:tcBorders>
            <w:gridSpan w:val="5"/>
          </w:tcPr>
          <w:p>
            <w:pPr>
              <w:ind w:left="100"/>
              <w:spacing w:after="0" w:line="189" w:lineRule="exact"/>
              <w:rPr>
                <w:sz w:val="20"/>
                <w:szCs w:val="20"/>
                <w:color w:val="auto"/>
              </w:rPr>
            </w:pPr>
            <w:r>
              <w:rPr>
                <w:rFonts w:ascii="Times New Roman" w:cs="Times New Roman" w:eastAsia="Times New Roman" w:hAnsi="Times New Roman"/>
                <w:sz w:val="18"/>
                <w:szCs w:val="18"/>
                <w:color w:val="auto"/>
              </w:rPr>
              <w:t>Withdrawal Program are subject to the same Withdrawal Charge provisions and</w:t>
            </w:r>
          </w:p>
        </w:tc>
      </w:tr>
      <w:tr>
        <w:trPr>
          <w:trHeight w:val="203"/>
        </w:trPr>
        <w:tc>
          <w:tcPr>
            <w:tcW w:w="186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6340" w:type="dxa"/>
            <w:vAlign w:val="bottom"/>
            <w:tcBorders>
              <w:right w:val="single" w:sz="8" w:color="auto"/>
            </w:tcBorders>
            <w:gridSpan w:val="5"/>
          </w:tcPr>
          <w:p>
            <w:pPr>
              <w:ind w:left="100"/>
              <w:spacing w:after="0" w:line="202" w:lineRule="exact"/>
              <w:rPr>
                <w:sz w:val="20"/>
                <w:szCs w:val="20"/>
                <w:color w:val="auto"/>
              </w:rPr>
            </w:pPr>
            <w:r>
              <w:rPr>
                <w:rFonts w:ascii="Times New Roman" w:cs="Times New Roman" w:eastAsia="Times New Roman" w:hAnsi="Times New Roman"/>
                <w:sz w:val="18"/>
                <w:szCs w:val="18"/>
                <w:color w:val="auto"/>
              </w:rPr>
              <w:t>risks as any other withdrawals under the Contract. Moreover, since Withdrawal</w:t>
            </w:r>
          </w:p>
        </w:tc>
      </w:tr>
      <w:tr>
        <w:trPr>
          <w:trHeight w:val="203"/>
        </w:trPr>
        <w:tc>
          <w:tcPr>
            <w:tcW w:w="186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6340" w:type="dxa"/>
            <w:vAlign w:val="bottom"/>
            <w:tcBorders>
              <w:right w:val="single" w:sz="8" w:color="auto"/>
            </w:tcBorders>
            <w:gridSpan w:val="5"/>
          </w:tcPr>
          <w:p>
            <w:pPr>
              <w:ind w:left="100"/>
              <w:spacing w:after="0" w:line="202" w:lineRule="exact"/>
              <w:rPr>
                <w:sz w:val="20"/>
                <w:szCs w:val="20"/>
                <w:color w:val="auto"/>
              </w:rPr>
            </w:pPr>
            <w:r>
              <w:rPr>
                <w:rFonts w:ascii="Times New Roman" w:cs="Times New Roman" w:eastAsia="Times New Roman" w:hAnsi="Times New Roman"/>
                <w:sz w:val="18"/>
                <w:szCs w:val="18"/>
                <w:color w:val="auto"/>
              </w:rPr>
              <w:t>Amounts from a Shield Option will reduce the Investment Amount for that</w:t>
            </w:r>
          </w:p>
        </w:tc>
      </w:tr>
      <w:tr>
        <w:trPr>
          <w:trHeight w:val="189"/>
        </w:trPr>
        <w:tc>
          <w:tcPr>
            <w:tcW w:w="1860" w:type="dxa"/>
            <w:vAlign w:val="bottom"/>
            <w:tcBorders>
              <w:lef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6340" w:type="dxa"/>
            <w:vAlign w:val="bottom"/>
            <w:tcBorders>
              <w:right w:val="single" w:sz="8" w:color="auto"/>
            </w:tcBorders>
            <w:gridSpan w:val="5"/>
          </w:tcPr>
          <w:p>
            <w:pPr>
              <w:ind w:left="100"/>
              <w:spacing w:after="0" w:line="189" w:lineRule="exact"/>
              <w:rPr>
                <w:sz w:val="20"/>
                <w:szCs w:val="20"/>
                <w:color w:val="auto"/>
              </w:rPr>
            </w:pPr>
            <w:r>
              <w:rPr>
                <w:rFonts w:ascii="Times New Roman" w:cs="Times New Roman" w:eastAsia="Times New Roman" w:hAnsi="Times New Roman"/>
                <w:sz w:val="18"/>
                <w:szCs w:val="18"/>
                <w:color w:val="auto"/>
              </w:rPr>
              <w:t>Shield Option by the percentage reduction in the Interim Value of that Shield</w:t>
            </w:r>
          </w:p>
        </w:tc>
      </w:tr>
      <w:tr>
        <w:trPr>
          <w:trHeight w:val="203"/>
        </w:trPr>
        <w:tc>
          <w:tcPr>
            <w:tcW w:w="186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6340" w:type="dxa"/>
            <w:vAlign w:val="bottom"/>
            <w:tcBorders>
              <w:right w:val="single" w:sz="8" w:color="auto"/>
            </w:tcBorders>
            <w:gridSpan w:val="5"/>
          </w:tcPr>
          <w:p>
            <w:pPr>
              <w:ind w:left="100"/>
              <w:spacing w:after="0" w:line="202" w:lineRule="exact"/>
              <w:rPr>
                <w:sz w:val="20"/>
                <w:szCs w:val="20"/>
                <w:color w:val="auto"/>
              </w:rPr>
            </w:pPr>
            <w:r>
              <w:rPr>
                <w:rFonts w:ascii="Times New Roman" w:cs="Times New Roman" w:eastAsia="Times New Roman" w:hAnsi="Times New Roman"/>
                <w:sz w:val="18"/>
                <w:szCs w:val="18"/>
                <w:color w:val="auto"/>
              </w:rPr>
              <w:t>Option, a withdrawal when Index Performance is negative will cause a greater</w:t>
            </w:r>
          </w:p>
        </w:tc>
      </w:tr>
      <w:tr>
        <w:trPr>
          <w:trHeight w:val="203"/>
        </w:trPr>
        <w:tc>
          <w:tcPr>
            <w:tcW w:w="186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6340" w:type="dxa"/>
            <w:vAlign w:val="bottom"/>
            <w:tcBorders>
              <w:right w:val="single" w:sz="8" w:color="auto"/>
            </w:tcBorders>
            <w:gridSpan w:val="5"/>
          </w:tcPr>
          <w:p>
            <w:pPr>
              <w:ind w:left="100"/>
              <w:spacing w:after="0" w:line="202" w:lineRule="exact"/>
              <w:rPr>
                <w:sz w:val="20"/>
                <w:szCs w:val="20"/>
                <w:color w:val="auto"/>
              </w:rPr>
            </w:pPr>
            <w:r>
              <w:rPr>
                <w:rFonts w:ascii="Times New Roman" w:cs="Times New Roman" w:eastAsia="Times New Roman" w:hAnsi="Times New Roman"/>
                <w:sz w:val="18"/>
                <w:szCs w:val="18"/>
                <w:color w:val="auto"/>
              </w:rPr>
              <w:t>percentage reduction in the Investment Amount relative to the percentage</w:t>
            </w:r>
          </w:p>
        </w:tc>
      </w:tr>
      <w:tr>
        <w:trPr>
          <w:trHeight w:val="189"/>
        </w:trPr>
        <w:tc>
          <w:tcPr>
            <w:tcW w:w="1860" w:type="dxa"/>
            <w:vAlign w:val="bottom"/>
            <w:tcBorders>
              <w:lef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6340" w:type="dxa"/>
            <w:vAlign w:val="bottom"/>
            <w:tcBorders>
              <w:right w:val="single" w:sz="8" w:color="auto"/>
            </w:tcBorders>
            <w:gridSpan w:val="5"/>
          </w:tcPr>
          <w:p>
            <w:pPr>
              <w:ind w:left="100"/>
              <w:spacing w:after="0" w:line="189" w:lineRule="exact"/>
              <w:rPr>
                <w:sz w:val="20"/>
                <w:szCs w:val="20"/>
                <w:color w:val="auto"/>
              </w:rPr>
            </w:pPr>
            <w:r>
              <w:rPr>
                <w:rFonts w:ascii="Times New Roman" w:cs="Times New Roman" w:eastAsia="Times New Roman" w:hAnsi="Times New Roman"/>
                <w:sz w:val="18"/>
                <w:szCs w:val="18"/>
                <w:color w:val="auto"/>
              </w:rPr>
              <w:t>reduction for the same Withdrawal Amount when Index Performance is positive.</w:t>
            </w:r>
          </w:p>
        </w:tc>
      </w:tr>
      <w:tr>
        <w:trPr>
          <w:trHeight w:val="203"/>
        </w:trPr>
        <w:tc>
          <w:tcPr>
            <w:tcW w:w="186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6340" w:type="dxa"/>
            <w:vAlign w:val="bottom"/>
            <w:tcBorders>
              <w:right w:val="single" w:sz="8" w:color="auto"/>
            </w:tcBorders>
            <w:gridSpan w:val="5"/>
          </w:tcPr>
          <w:p>
            <w:pPr>
              <w:ind w:left="100"/>
              <w:spacing w:after="0" w:line="202" w:lineRule="exact"/>
              <w:rPr>
                <w:sz w:val="20"/>
                <w:szCs w:val="20"/>
                <w:color w:val="auto"/>
              </w:rPr>
            </w:pPr>
            <w:r>
              <w:rPr>
                <w:rFonts w:ascii="Times New Roman" w:cs="Times New Roman" w:eastAsia="Times New Roman" w:hAnsi="Times New Roman"/>
                <w:sz w:val="18"/>
                <w:szCs w:val="18"/>
                <w:color w:val="auto"/>
              </w:rPr>
              <w:t>Since withdrawals under the Systematic Withdrawal Program are automatic,</w:t>
            </w:r>
          </w:p>
        </w:tc>
      </w:tr>
      <w:tr>
        <w:trPr>
          <w:trHeight w:val="203"/>
        </w:trPr>
        <w:tc>
          <w:tcPr>
            <w:tcW w:w="186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6340" w:type="dxa"/>
            <w:vAlign w:val="bottom"/>
            <w:tcBorders>
              <w:right w:val="single" w:sz="8" w:color="auto"/>
            </w:tcBorders>
            <w:gridSpan w:val="5"/>
          </w:tcPr>
          <w:p>
            <w:pPr>
              <w:ind w:left="100"/>
              <w:spacing w:after="0" w:line="202" w:lineRule="exact"/>
              <w:rPr>
                <w:sz w:val="20"/>
                <w:szCs w:val="20"/>
                <w:color w:val="auto"/>
              </w:rPr>
            </w:pPr>
            <w:r>
              <w:rPr>
                <w:rFonts w:ascii="Times New Roman" w:cs="Times New Roman" w:eastAsia="Times New Roman" w:hAnsi="Times New Roman"/>
                <w:sz w:val="18"/>
                <w:szCs w:val="18"/>
                <w:color w:val="auto"/>
              </w:rPr>
              <w:t>you will have no control over the timing of those withdrawals. See</w:t>
            </w:r>
          </w:p>
        </w:tc>
      </w:tr>
      <w:tr>
        <w:trPr>
          <w:trHeight w:val="189"/>
        </w:trPr>
        <w:tc>
          <w:tcPr>
            <w:tcW w:w="1860" w:type="dxa"/>
            <w:vAlign w:val="bottom"/>
            <w:tcBorders>
              <w:lef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6340" w:type="dxa"/>
            <w:vAlign w:val="bottom"/>
            <w:tcBorders>
              <w:right w:val="single" w:sz="8" w:color="auto"/>
            </w:tcBorders>
            <w:gridSpan w:val="5"/>
          </w:tcPr>
          <w:p>
            <w:pPr>
              <w:ind w:left="100"/>
              <w:spacing w:after="0" w:line="189" w:lineRule="exact"/>
              <w:rPr>
                <w:sz w:val="20"/>
                <w:szCs w:val="20"/>
                <w:color w:val="auto"/>
              </w:rPr>
            </w:pPr>
            <w:r>
              <w:rPr>
                <w:rFonts w:ascii="Times New Roman" w:cs="Times New Roman" w:eastAsia="Times New Roman" w:hAnsi="Times New Roman"/>
                <w:sz w:val="18"/>
                <w:szCs w:val="18"/>
                <w:color w:val="auto"/>
              </w:rPr>
              <w:t>“WITHDRAWAL PROVISIONS – Systematic Withdrawal Program” for availability</w:t>
            </w:r>
          </w:p>
        </w:tc>
      </w:tr>
      <w:tr>
        <w:trPr>
          <w:trHeight w:val="234"/>
        </w:trPr>
        <w:tc>
          <w:tcPr>
            <w:tcW w:w="186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other restrictions.</w:t>
            </w:r>
          </w:p>
        </w:tc>
        <w:tc>
          <w:tcPr>
            <w:tcW w:w="1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24"/>
        </w:trPr>
        <w:tc>
          <w:tcPr>
            <w:tcW w:w="186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-1930400</wp:posOffset>
            </wp:positionV>
            <wp:extent cx="5631815" cy="1920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31815" cy="1920240"/>
                    </a:xfrm>
                    <a:prstGeom prst="rect">
                      <a:avLst/>
                    </a:prstGeom>
                    <a:noFill/>
                  </pic:spPr>
                </pic:pic>
              </a:graphicData>
            </a:graphic>
          </wp:anchor>
        </w:drawing>
      </w:r>
    </w:p>
    <w:p>
      <w:pPr>
        <w:sectPr>
          <w:pgSz w:w="11900" w:h="16838" w:orient="portrait"/>
          <w:cols w:equalWidth="0" w:num="1">
            <w:col w:w="9020"/>
          </w:cols>
          <w:pgMar w:left="1440" w:top="1375" w:right="14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020"/>
          </w:cols>
          <w:pgMar w:left="1440" w:top="1375" w:right="1439" w:bottom="1440" w:gutter="0" w:footer="0" w:header="0"/>
          <w:type w:val="continuous"/>
        </w:sectPr>
      </w:pPr>
    </w:p>
    <w:bookmarkStart w:id="18" w:name="page19"/>
    <w:bookmarkEnd w:id="18"/>
    <w:tbl>
      <w:tblPr>
        <w:tblLayout w:type="fixed"/>
        <w:tblInd w:w="130" w:type="dxa"/>
        <w:tblCellMar>
          <w:top w:w="0" w:type="dxa"/>
          <w:left w:w="0" w:type="dxa"/>
          <w:bottom w:w="0" w:type="dxa"/>
          <w:right w:w="0" w:type="dxa"/>
        </w:tblCellMar>
      </w:tblPr>
      <w:tr>
        <w:trPr>
          <w:trHeight w:val="241"/>
        </w:trPr>
        <w:tc>
          <w:tcPr>
            <w:tcW w:w="21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Death Benefit</w:t>
            </w:r>
          </w:p>
        </w:tc>
        <w:tc>
          <w:tcPr>
            <w:tcW w:w="614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 Owners age 81 or older at the Issue Date of the Contract, the standard</w:t>
            </w: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61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death benefit is the Account Value. For Owners age 80 or younger at the Issue</w:t>
            </w: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61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Date of the Contract, the standard death benefit (known as the Return of</w:t>
            </w: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61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Premium death benefit) is the greater of the Account Value or your Purchase</w:t>
            </w: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61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Payment (reduced proportionally by the percentage reduction in Account Value</w:t>
            </w: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61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 the Shield Option(s) and the Fixed Account for each partial withdrawal</w:t>
            </w: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61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(including any applicable Withdrawal Charge)). The Death Benefit Amount is</w:t>
            </w: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61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determined as of the end of the Business Day on which we receive Notice of</w:t>
            </w:r>
          </w:p>
        </w:tc>
      </w:tr>
      <w:tr>
        <w:trPr>
          <w:trHeight w:val="234"/>
        </w:trPr>
        <w:tc>
          <w:tcPr>
            <w:tcW w:w="2120" w:type="dxa"/>
            <w:vAlign w:val="bottom"/>
            <w:tcBorders>
              <w:left w:val="single" w:sz="8" w:color="auto"/>
              <w:right w:val="single" w:sz="8" w:color="auto"/>
            </w:tcBorders>
          </w:tcPr>
          <w:p>
            <w:pPr>
              <w:spacing w:after="0"/>
              <w:rPr>
                <w:sz w:val="20"/>
                <w:szCs w:val="20"/>
                <w:color w:val="auto"/>
              </w:rPr>
            </w:pPr>
          </w:p>
        </w:tc>
        <w:tc>
          <w:tcPr>
            <w:tcW w:w="61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due proof of death and an acceptable election for the payment method.</w:t>
            </w:r>
          </w:p>
        </w:tc>
      </w:tr>
      <w:tr>
        <w:trPr>
          <w:trHeight w:val="27"/>
        </w:trPr>
        <w:tc>
          <w:tcPr>
            <w:tcW w:w="2120" w:type="dxa"/>
            <w:vAlign w:val="bottom"/>
            <w:tcBorders>
              <w:left w:val="single" w:sz="8" w:color="auto"/>
              <w:bottom w:val="single" w:sz="8" w:color="auto"/>
              <w:right w:val="single" w:sz="8" w:color="auto"/>
            </w:tcBorders>
          </w:tcPr>
          <w:p>
            <w:pPr>
              <w:spacing w:after="0"/>
              <w:rPr>
                <w:sz w:val="2"/>
                <w:szCs w:val="2"/>
                <w:color w:val="auto"/>
              </w:rPr>
            </w:pPr>
          </w:p>
        </w:tc>
        <w:tc>
          <w:tcPr>
            <w:tcW w:w="6140" w:type="dxa"/>
            <w:vAlign w:val="bottom"/>
            <w:tcBorders>
              <w:bottom w:val="single" w:sz="8" w:color="auto"/>
              <w:right w:val="single" w:sz="8" w:color="auto"/>
            </w:tcBorders>
            <w:gridSpan w:val="2"/>
          </w:tcPr>
          <w:p>
            <w:pPr>
              <w:spacing w:after="0"/>
              <w:rPr>
                <w:sz w:val="2"/>
                <w:szCs w:val="2"/>
                <w:color w:val="auto"/>
              </w:rPr>
            </w:pPr>
          </w:p>
        </w:tc>
      </w:tr>
      <w:tr>
        <w:trPr>
          <w:trHeight w:val="218"/>
        </w:trPr>
        <w:tc>
          <w:tcPr>
            <w:tcW w:w="212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Annuity Options</w:t>
            </w:r>
          </w:p>
        </w:tc>
        <w:tc>
          <w:tcPr>
            <w:tcW w:w="6140" w:type="dxa"/>
            <w:vAlign w:val="bottom"/>
            <w:tcBorders>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You can choose an Annuity Option. After Income Payments begin, you cannot</w:t>
            </w:r>
          </w:p>
        </w:tc>
      </w:tr>
      <w:tr>
        <w:trPr>
          <w:trHeight w:val="216"/>
        </w:trPr>
        <w:tc>
          <w:tcPr>
            <w:tcW w:w="2120" w:type="dxa"/>
            <w:vAlign w:val="bottom"/>
            <w:tcBorders>
              <w:left w:val="single" w:sz="8" w:color="auto"/>
              <w:right w:val="single" w:sz="8" w:color="auto"/>
            </w:tcBorders>
            <w:shd w:val="clear" w:color="auto" w:fill="F0FFFF"/>
          </w:tcPr>
          <w:p>
            <w:pPr>
              <w:spacing w:after="0"/>
              <w:rPr>
                <w:sz w:val="18"/>
                <w:szCs w:val="18"/>
                <w:color w:val="auto"/>
              </w:rPr>
            </w:pPr>
          </w:p>
        </w:tc>
        <w:tc>
          <w:tcPr>
            <w:tcW w:w="6140" w:type="dxa"/>
            <w:vAlign w:val="bottom"/>
            <w:tcBorders>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change the Annuity Option. You can choose one of the following Annuity Options</w:t>
            </w:r>
          </w:p>
        </w:tc>
      </w:tr>
      <w:tr>
        <w:trPr>
          <w:trHeight w:val="216"/>
        </w:trPr>
        <w:tc>
          <w:tcPr>
            <w:tcW w:w="2120" w:type="dxa"/>
            <w:vAlign w:val="bottom"/>
            <w:tcBorders>
              <w:left w:val="single" w:sz="8" w:color="auto"/>
              <w:right w:val="single" w:sz="8" w:color="auto"/>
            </w:tcBorders>
            <w:shd w:val="clear" w:color="auto" w:fill="F0FFFF"/>
          </w:tcPr>
          <w:p>
            <w:pPr>
              <w:spacing w:after="0"/>
              <w:rPr>
                <w:sz w:val="18"/>
                <w:szCs w:val="18"/>
                <w:color w:val="auto"/>
              </w:rPr>
            </w:pPr>
          </w:p>
        </w:tc>
        <w:tc>
          <w:tcPr>
            <w:tcW w:w="6140" w:type="dxa"/>
            <w:vAlign w:val="bottom"/>
            <w:tcBorders>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on a fixed payment basis or any other Annuity Option acceptable to us:</w:t>
            </w:r>
          </w:p>
        </w:tc>
      </w:tr>
      <w:tr>
        <w:trPr>
          <w:trHeight w:val="216"/>
        </w:trPr>
        <w:tc>
          <w:tcPr>
            <w:tcW w:w="2120" w:type="dxa"/>
            <w:vAlign w:val="bottom"/>
            <w:tcBorders>
              <w:left w:val="single" w:sz="8" w:color="auto"/>
              <w:right w:val="single" w:sz="8" w:color="auto"/>
            </w:tcBorders>
            <w:shd w:val="clear" w:color="auto" w:fill="F0FFFF"/>
          </w:tcPr>
          <w:p>
            <w:pPr>
              <w:spacing w:after="0"/>
              <w:rPr>
                <w:sz w:val="18"/>
                <w:szCs w:val="18"/>
                <w:color w:val="auto"/>
              </w:rPr>
            </w:pPr>
          </w:p>
        </w:tc>
        <w:tc>
          <w:tcPr>
            <w:tcW w:w="340" w:type="dxa"/>
            <w:vAlign w:val="bottom"/>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5800" w:type="dxa"/>
            <w:vAlign w:val="bottom"/>
            <w:tcBorders>
              <w:right w:val="single" w:sz="8" w:color="auto"/>
            </w:tcBorders>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Life Annuity;</w:t>
            </w:r>
          </w:p>
        </w:tc>
      </w:tr>
      <w:tr>
        <w:trPr>
          <w:trHeight w:val="216"/>
        </w:trPr>
        <w:tc>
          <w:tcPr>
            <w:tcW w:w="2120" w:type="dxa"/>
            <w:vAlign w:val="bottom"/>
            <w:tcBorders>
              <w:left w:val="single" w:sz="8" w:color="auto"/>
              <w:right w:val="single" w:sz="8" w:color="auto"/>
            </w:tcBorders>
            <w:shd w:val="clear" w:color="auto" w:fill="F0FFFF"/>
          </w:tcPr>
          <w:p>
            <w:pPr>
              <w:spacing w:after="0"/>
              <w:rPr>
                <w:sz w:val="18"/>
                <w:szCs w:val="18"/>
                <w:color w:val="auto"/>
              </w:rPr>
            </w:pPr>
          </w:p>
        </w:tc>
        <w:tc>
          <w:tcPr>
            <w:tcW w:w="6140" w:type="dxa"/>
            <w:vAlign w:val="bottom"/>
            <w:tcBorders>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(ii)  Life Annuity with 10 Years of Income Payments Guaranteed;</w:t>
            </w:r>
          </w:p>
        </w:tc>
      </w:tr>
      <w:tr>
        <w:trPr>
          <w:trHeight w:val="216"/>
        </w:trPr>
        <w:tc>
          <w:tcPr>
            <w:tcW w:w="2120" w:type="dxa"/>
            <w:vAlign w:val="bottom"/>
            <w:tcBorders>
              <w:left w:val="single" w:sz="8" w:color="auto"/>
              <w:right w:val="single" w:sz="8" w:color="auto"/>
            </w:tcBorders>
            <w:shd w:val="clear" w:color="auto" w:fill="F0FFFF"/>
          </w:tcPr>
          <w:p>
            <w:pPr>
              <w:spacing w:after="0"/>
              <w:rPr>
                <w:sz w:val="18"/>
                <w:szCs w:val="18"/>
                <w:color w:val="auto"/>
              </w:rPr>
            </w:pPr>
          </w:p>
        </w:tc>
        <w:tc>
          <w:tcPr>
            <w:tcW w:w="6140" w:type="dxa"/>
            <w:vAlign w:val="bottom"/>
            <w:tcBorders>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(iii)  Joint and Last Survivor Annuity; and</w:t>
            </w:r>
          </w:p>
        </w:tc>
      </w:tr>
      <w:tr>
        <w:trPr>
          <w:trHeight w:val="216"/>
        </w:trPr>
        <w:tc>
          <w:tcPr>
            <w:tcW w:w="2120" w:type="dxa"/>
            <w:vAlign w:val="bottom"/>
            <w:tcBorders>
              <w:left w:val="single" w:sz="8" w:color="auto"/>
              <w:right w:val="single" w:sz="8" w:color="auto"/>
            </w:tcBorders>
            <w:shd w:val="clear" w:color="auto" w:fill="F0FFFF"/>
          </w:tcPr>
          <w:p>
            <w:pPr>
              <w:spacing w:after="0"/>
              <w:rPr>
                <w:sz w:val="18"/>
                <w:szCs w:val="18"/>
                <w:color w:val="auto"/>
              </w:rPr>
            </w:pPr>
          </w:p>
        </w:tc>
        <w:tc>
          <w:tcPr>
            <w:tcW w:w="6140" w:type="dxa"/>
            <w:vAlign w:val="bottom"/>
            <w:tcBorders>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(iv)  Joint and Last Survivor Annuity with 10 Years of Income Payments</w:t>
            </w:r>
          </w:p>
        </w:tc>
      </w:tr>
      <w:tr>
        <w:trPr>
          <w:trHeight w:val="216"/>
        </w:trPr>
        <w:tc>
          <w:tcPr>
            <w:tcW w:w="2120" w:type="dxa"/>
            <w:vAlign w:val="bottom"/>
            <w:tcBorders>
              <w:left w:val="single" w:sz="8" w:color="auto"/>
              <w:right w:val="single" w:sz="8" w:color="auto"/>
            </w:tcBorders>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58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Guaranteed.</w:t>
            </w:r>
          </w:p>
        </w:tc>
      </w:tr>
      <w:tr>
        <w:trPr>
          <w:trHeight w:val="266"/>
        </w:trPr>
        <w:tc>
          <w:tcPr>
            <w:tcW w:w="2120" w:type="dxa"/>
            <w:vAlign w:val="bottom"/>
            <w:tcBorders>
              <w:left w:val="single" w:sz="8" w:color="auto"/>
              <w:bottom w:val="single" w:sz="8" w:color="F0FFFF"/>
              <w:right w:val="single" w:sz="8" w:color="auto"/>
            </w:tcBorders>
            <w:shd w:val="clear" w:color="auto" w:fill="F0FFFF"/>
          </w:tcPr>
          <w:p>
            <w:pPr>
              <w:spacing w:after="0"/>
              <w:rPr>
                <w:sz w:val="22"/>
                <w:szCs w:val="22"/>
                <w:color w:val="auto"/>
              </w:rPr>
            </w:pPr>
          </w:p>
        </w:tc>
        <w:tc>
          <w:tcPr>
            <w:tcW w:w="6140" w:type="dxa"/>
            <w:vAlign w:val="bottom"/>
            <w:tcBorders>
              <w:bottom w:val="single" w:sz="8" w:color="F0FFFF"/>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The Annuity Options may be limited due to the requirements of the Code.</w:t>
            </w:r>
          </w:p>
        </w:tc>
      </w:tr>
      <w:tr>
        <w:trPr>
          <w:trHeight w:val="218"/>
        </w:trPr>
        <w:tc>
          <w:tcPr>
            <w:tcW w:w="21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Charges and Expenses</w:t>
            </w:r>
          </w:p>
        </w:tc>
        <w:tc>
          <w:tcPr>
            <w:tcW w:w="614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You will bear the following charges and expenses:</w:t>
            </w: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5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Withdrawal Charges; and</w:t>
            </w:r>
          </w:p>
        </w:tc>
      </w:tr>
      <w:tr>
        <w:trPr>
          <w:trHeight w:val="234"/>
        </w:trPr>
        <w:tc>
          <w:tcPr>
            <w:tcW w:w="2120" w:type="dxa"/>
            <w:vAlign w:val="bottom"/>
            <w:tcBorders>
              <w:left w:val="single" w:sz="8" w:color="auto"/>
              <w:right w:val="single" w:sz="8" w:color="auto"/>
            </w:tcBorders>
          </w:tcPr>
          <w:p>
            <w:pPr>
              <w:spacing w:after="0"/>
              <w:rPr>
                <w:sz w:val="20"/>
                <w:szCs w:val="20"/>
                <w:color w:val="auto"/>
              </w:rPr>
            </w:pPr>
          </w:p>
        </w:tc>
        <w:tc>
          <w:tcPr>
            <w:tcW w:w="61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(ii)  Premium Tax and other taxes.</w:t>
            </w:r>
          </w:p>
        </w:tc>
      </w:tr>
      <w:tr>
        <w:trPr>
          <w:trHeight w:val="27"/>
        </w:trPr>
        <w:tc>
          <w:tcPr>
            <w:tcW w:w="2120" w:type="dxa"/>
            <w:vAlign w:val="bottom"/>
            <w:tcBorders>
              <w:left w:val="single" w:sz="8" w:color="auto"/>
              <w:bottom w:val="single" w:sz="8" w:color="auto"/>
              <w:right w:val="single" w:sz="8" w:color="auto"/>
            </w:tcBorders>
          </w:tcPr>
          <w:p>
            <w:pPr>
              <w:spacing w:after="0"/>
              <w:rPr>
                <w:sz w:val="2"/>
                <w:szCs w:val="2"/>
                <w:color w:val="auto"/>
              </w:rPr>
            </w:pPr>
          </w:p>
        </w:tc>
        <w:tc>
          <w:tcPr>
            <w:tcW w:w="6140" w:type="dxa"/>
            <w:vAlign w:val="bottom"/>
            <w:tcBorders>
              <w:bottom w:val="single" w:sz="8" w:color="auto"/>
              <w:right w:val="single" w:sz="8" w:color="auto"/>
            </w:tcBorders>
            <w:gridSpan w:val="2"/>
          </w:tcPr>
          <w:p>
            <w:pPr>
              <w:spacing w:after="0"/>
              <w:rPr>
                <w:sz w:val="2"/>
                <w:szCs w:val="2"/>
                <w:color w:val="auto"/>
              </w:rPr>
            </w:pPr>
          </w:p>
        </w:tc>
      </w:tr>
      <w:tr>
        <w:trPr>
          <w:trHeight w:val="191"/>
        </w:trPr>
        <w:tc>
          <w:tcPr>
            <w:tcW w:w="2120" w:type="dxa"/>
            <w:vAlign w:val="bottom"/>
            <w:tcBorders>
              <w:left w:val="single" w:sz="8" w:color="auto"/>
              <w:right w:val="single" w:sz="8" w:color="auto"/>
            </w:tcBorders>
            <w:shd w:val="clear" w:color="auto" w:fill="F0FFFF"/>
          </w:tcPr>
          <w:p>
            <w:pPr>
              <w:ind w:left="100"/>
              <w:spacing w:after="0" w:line="191" w:lineRule="exact"/>
              <w:rPr>
                <w:sz w:val="20"/>
                <w:szCs w:val="20"/>
                <w:color w:val="auto"/>
              </w:rPr>
            </w:pPr>
            <w:r>
              <w:rPr>
                <w:rFonts w:ascii="Times New Roman" w:cs="Times New Roman" w:eastAsia="Times New Roman" w:hAnsi="Times New Roman"/>
                <w:sz w:val="18"/>
                <w:szCs w:val="18"/>
                <w:color w:val="auto"/>
              </w:rPr>
              <w:t>Your Right to Cancel</w:t>
            </w:r>
          </w:p>
        </w:tc>
        <w:tc>
          <w:tcPr>
            <w:tcW w:w="6140" w:type="dxa"/>
            <w:vAlign w:val="bottom"/>
            <w:tcBorders>
              <w:right w:val="single" w:sz="8" w:color="auto"/>
            </w:tcBorders>
            <w:gridSpan w:val="2"/>
            <w:shd w:val="clear" w:color="auto" w:fill="F0FFFF"/>
          </w:tcPr>
          <w:p>
            <w:pPr>
              <w:ind w:left="100"/>
              <w:spacing w:after="0" w:line="191" w:lineRule="exact"/>
              <w:rPr>
                <w:sz w:val="20"/>
                <w:szCs w:val="20"/>
                <w:color w:val="auto"/>
              </w:rPr>
            </w:pPr>
            <w:r>
              <w:rPr>
                <w:rFonts w:ascii="Times New Roman" w:cs="Times New Roman" w:eastAsia="Times New Roman" w:hAnsi="Times New Roman"/>
                <w:sz w:val="18"/>
                <w:szCs w:val="18"/>
                <w:color w:val="auto"/>
              </w:rPr>
              <w:t>You may cancel the Contract within a certain time period after receiving it by</w:t>
            </w:r>
          </w:p>
        </w:tc>
      </w:tr>
      <w:tr>
        <w:trPr>
          <w:trHeight w:val="189"/>
        </w:trPr>
        <w:tc>
          <w:tcPr>
            <w:tcW w:w="2120" w:type="dxa"/>
            <w:vAlign w:val="bottom"/>
            <w:tcBorders>
              <w:left w:val="single" w:sz="8" w:color="auto"/>
              <w:right w:val="single" w:sz="8" w:color="auto"/>
            </w:tcBorders>
            <w:shd w:val="clear" w:color="auto" w:fill="F0FFFF"/>
          </w:tcPr>
          <w:p>
            <w:pPr>
              <w:spacing w:after="0"/>
              <w:rPr>
                <w:sz w:val="16"/>
                <w:szCs w:val="16"/>
                <w:color w:val="auto"/>
              </w:rPr>
            </w:pPr>
          </w:p>
        </w:tc>
        <w:tc>
          <w:tcPr>
            <w:tcW w:w="6140" w:type="dxa"/>
            <w:vAlign w:val="bottom"/>
            <w:tcBorders>
              <w:right w:val="single" w:sz="8" w:color="auto"/>
            </w:tcBorders>
            <w:gridSpan w:val="2"/>
            <w:shd w:val="clear" w:color="auto" w:fill="F0FFFF"/>
          </w:tcPr>
          <w:p>
            <w:pPr>
              <w:ind w:left="100"/>
              <w:spacing w:after="0" w:line="189" w:lineRule="exact"/>
              <w:rPr>
                <w:sz w:val="20"/>
                <w:szCs w:val="20"/>
                <w:color w:val="auto"/>
              </w:rPr>
            </w:pPr>
            <w:r>
              <w:rPr>
                <w:rFonts w:ascii="Times New Roman" w:cs="Times New Roman" w:eastAsia="Times New Roman" w:hAnsi="Times New Roman"/>
                <w:sz w:val="18"/>
                <w:szCs w:val="18"/>
                <w:color w:val="auto"/>
              </w:rPr>
              <w:t>mailing or delivering the Contract to either us or the financial representative</w:t>
            </w:r>
          </w:p>
        </w:tc>
      </w:tr>
      <w:tr>
        <w:trPr>
          <w:trHeight w:val="203"/>
        </w:trPr>
        <w:tc>
          <w:tcPr>
            <w:tcW w:w="2120" w:type="dxa"/>
            <w:vAlign w:val="bottom"/>
            <w:tcBorders>
              <w:left w:val="single" w:sz="8" w:color="auto"/>
              <w:right w:val="single" w:sz="8" w:color="auto"/>
            </w:tcBorders>
            <w:shd w:val="clear" w:color="auto" w:fill="F0FFFF"/>
          </w:tcPr>
          <w:p>
            <w:pPr>
              <w:spacing w:after="0"/>
              <w:rPr>
                <w:sz w:val="17"/>
                <w:szCs w:val="17"/>
                <w:color w:val="auto"/>
              </w:rPr>
            </w:pPr>
          </w:p>
        </w:tc>
        <w:tc>
          <w:tcPr>
            <w:tcW w:w="6140" w:type="dxa"/>
            <w:vAlign w:val="bottom"/>
            <w:tcBorders>
              <w:right w:val="single" w:sz="8" w:color="auto"/>
            </w:tcBorders>
            <w:gridSpan w:val="2"/>
            <w:shd w:val="clear" w:color="auto" w:fill="F0FFFF"/>
          </w:tcPr>
          <w:p>
            <w:pPr>
              <w:ind w:left="100"/>
              <w:spacing w:after="0" w:line="202" w:lineRule="exact"/>
              <w:rPr>
                <w:sz w:val="20"/>
                <w:szCs w:val="20"/>
                <w:color w:val="auto"/>
              </w:rPr>
            </w:pPr>
            <w:r>
              <w:rPr>
                <w:rFonts w:ascii="Times New Roman" w:cs="Times New Roman" w:eastAsia="Times New Roman" w:hAnsi="Times New Roman"/>
                <w:sz w:val="18"/>
                <w:szCs w:val="18"/>
                <w:color w:val="auto"/>
              </w:rPr>
              <w:t>who sold it. This is known as a “Free Look.” Unless otherwise required by state</w:t>
            </w:r>
          </w:p>
        </w:tc>
      </w:tr>
      <w:tr>
        <w:trPr>
          <w:trHeight w:val="203"/>
        </w:trPr>
        <w:tc>
          <w:tcPr>
            <w:tcW w:w="2120" w:type="dxa"/>
            <w:vAlign w:val="bottom"/>
            <w:tcBorders>
              <w:left w:val="single" w:sz="8" w:color="auto"/>
              <w:right w:val="single" w:sz="8" w:color="auto"/>
            </w:tcBorders>
            <w:shd w:val="clear" w:color="auto" w:fill="F0FFFF"/>
          </w:tcPr>
          <w:p>
            <w:pPr>
              <w:spacing w:after="0"/>
              <w:rPr>
                <w:sz w:val="17"/>
                <w:szCs w:val="17"/>
                <w:color w:val="auto"/>
              </w:rPr>
            </w:pPr>
          </w:p>
        </w:tc>
        <w:tc>
          <w:tcPr>
            <w:tcW w:w="6140" w:type="dxa"/>
            <w:vAlign w:val="bottom"/>
            <w:tcBorders>
              <w:right w:val="single" w:sz="8" w:color="auto"/>
            </w:tcBorders>
            <w:gridSpan w:val="2"/>
            <w:shd w:val="clear" w:color="auto" w:fill="F0FFFF"/>
          </w:tcPr>
          <w:p>
            <w:pPr>
              <w:ind w:left="100"/>
              <w:spacing w:after="0" w:line="202" w:lineRule="exact"/>
              <w:rPr>
                <w:sz w:val="20"/>
                <w:szCs w:val="20"/>
                <w:color w:val="auto"/>
              </w:rPr>
            </w:pPr>
            <w:r>
              <w:rPr>
                <w:rFonts w:ascii="Times New Roman" w:cs="Times New Roman" w:eastAsia="Times New Roman" w:hAnsi="Times New Roman"/>
                <w:sz w:val="18"/>
                <w:szCs w:val="18"/>
                <w:color w:val="auto"/>
              </w:rPr>
              <w:t>law, we will return either your Purchase Payment or Account Value, depending</w:t>
            </w:r>
          </w:p>
        </w:tc>
      </w:tr>
      <w:tr>
        <w:trPr>
          <w:trHeight w:val="245"/>
        </w:trPr>
        <w:tc>
          <w:tcPr>
            <w:tcW w:w="2120" w:type="dxa"/>
            <w:vAlign w:val="bottom"/>
            <w:tcBorders>
              <w:left w:val="single" w:sz="8" w:color="auto"/>
              <w:bottom w:val="single" w:sz="8" w:color="auto"/>
              <w:right w:val="single" w:sz="8" w:color="auto"/>
            </w:tcBorders>
            <w:shd w:val="clear" w:color="auto" w:fill="F0FFFF"/>
          </w:tcPr>
          <w:p>
            <w:pPr>
              <w:spacing w:after="0"/>
              <w:rPr>
                <w:sz w:val="21"/>
                <w:szCs w:val="21"/>
                <w:color w:val="auto"/>
              </w:rPr>
            </w:pPr>
          </w:p>
        </w:tc>
        <w:tc>
          <w:tcPr>
            <w:tcW w:w="6140" w:type="dxa"/>
            <w:vAlign w:val="bottom"/>
            <w:tcBorders>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on your state, and we will not deduct a Withdrawal Charge.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-3679190</wp:posOffset>
            </wp:positionV>
            <wp:extent cx="5229225" cy="127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29225" cy="127762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-1124585</wp:posOffset>
            </wp:positionV>
            <wp:extent cx="5229225" cy="454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29225" cy="454025"/>
                    </a:xfrm>
                    <a:prstGeom prst="rect">
                      <a:avLst/>
                    </a:prstGeom>
                    <a:noFill/>
                  </pic:spPr>
                </pic:pic>
              </a:graphicData>
            </a:graphic>
          </wp:anchor>
        </w:drawing>
      </w:r>
    </w:p>
    <w:p>
      <w:pPr>
        <w:spacing w:after="0" w:line="37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purchase of the Contract involves certain risks. You should carefully consider the following factors, in addition to the matters set forth elsewhere in the prospectus, prior to purchasing the Contract.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of Loss</w:t>
      </w:r>
    </w:p>
    <w:p>
      <w:pPr>
        <w:spacing w:after="0" w:line="121"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There is a risk of substantial loss of your principal (unless you allocated your entire Purchase Payment to the Fixed Account) because you agree to absorb all losses at the end of the Term that exceed the Shield Rate for the Shield Options you select under the Contract. This means that if a negative Index Performance for a Shield Option you select exceeds the corresponding Shield Rate at the Term End Date, you will bear the portion of the loss that exceeds the Shield Rate.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Interim Value Risk of Loss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If you have not exercised the Performance Lock on a Shield Option, the amount that is available between the Term Start Date and the Term End Date for annuitization, death benefits, withdrawals (including RMDs and systematic withdrawals), and Surrenders will be the Interim Value. The calculation of the Interim Value will be based on Index Performance and the applicable Accrued Shield Rate, Accrued Cap Rate or Accrued Step Rate as of the date of the calculation (as well as adjustment for the Performance Lock Factor, if applicable).There is a substantial risk of loss in connection with transactions from the Shield Options before the Term End Date, as discussed below under “Effect of Withdrawals, Surrender, Annuitization or Death”. In extreme circumstances, you could lose up to 100% of the value of the Shield Option if you make a withdrawal, Surrender, or otherwise remove amounts from the Shield Options before the Term End Date.</w:t>
      </w:r>
    </w:p>
    <w:p>
      <w:pPr>
        <w:spacing w:after="0" w:line="80"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Shield Rates, Cap Rates and Step Rates accrue during the Term and only reach full accrual on the last day of a Term, which means withdrawals from the Shield Options before a Term End Date could have adverse impacts. If negative Index Performance is constant during the Term, the Interim Value will be lower the earlier a withdrawal is made during the Term because the Shield Rate is accruing during this period. Also, withdrawals prior to the Term End Date, when Index Performance is positive, are subject to an Accrued Cap Rate or Accrued Step Rate based on the period those amounts were invested in the Shield Option. This means the earlier you take a withdrawal the lesser extent to which any positive Index Performance is reflected in your Account Value due to the accruing of the Cap Rate or Step Rate.</w:t>
      </w:r>
    </w:p>
    <w:p>
      <w:pPr>
        <w:sectPr>
          <w:pgSz w:w="11900" w:h="16838" w:orient="portrait"/>
          <w:cols w:equalWidth="0" w:num="1">
            <w:col w:w="9019"/>
          </w:cols>
          <w:pgMar w:left="1440" w:top="1372" w:right="1440" w:bottom="1440" w:gutter="0" w:footer="0" w:header="0"/>
        </w:sectPr>
      </w:pPr>
    </w:p>
    <w:p>
      <w:pPr>
        <w:spacing w:after="0" w:line="25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019"/>
          </w:cols>
          <w:pgMar w:left="1440" w:top="1372" w:right="1440" w:bottom="1440" w:gutter="0" w:footer="0" w:header="0"/>
          <w:type w:val="continuous"/>
        </w:sectPr>
      </w:pPr>
    </w:p>
    <w:bookmarkStart w:id="19" w:name="page20"/>
    <w:bookmarkEnd w:id="19"/>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If you withdraw Account Value allocated to a Shield Option during a Term (assuming you have not exercised the Performance Lock), the withdrawal will reduce the Investment Amount for that Shield Option by the same percentage that the Interim Value of that Shield Option was reduced by the withdrawal. Accordingly, when negative performance has caused the Interim Value to be less than the Investment Amount, the reduction to the Shield Option is on more than dollar for dollar basis. On the other hand, when positive performance has caused the Interim Value to be greater than the Investment Amount, the reduction to the Shield Option is on a less than dollar for dollar basis.</w:t>
      </w:r>
    </w:p>
    <w:p>
      <w:pPr>
        <w:spacing w:after="0" w:line="9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Amounts withdrawn before the end of the Term will not be credited with positive interest, if any, at the end of the Term. Reductions to the Investment Amount will have an adverse impact on the Interim Value for that Shield Option for the remainder of the Term and, as a result, the positive interest, if any, credited to the remaining Investment Amount on the Term End Date will be less than if you had not taken a withdrawal.</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risk of loss associated with the Performance Lock, see “Performance Lock Risks” below.</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3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Contract is intended for retirement savings or other long-term investment purposes. The benefits of tax deferral and living benefit protection also mean the Contract is more beneficial to investors with a long-time horizon. The Contract is unsuitable as a short-term savings vehicle. Withdrawals (including RMDs and systematic withdrawals) and Surrenders from the Contract may be subject to Withdrawal Charges, income taxes, and income tax penalties if taken before age 59½. Additionally, withdrawals (including RMDs and systematic withdrawals), Surrenders, death benefit payments, and annuitization from the Shield Options before the Term End Date will be based on the Interim Values of the Shield Options, which may result in loss. See “Risk of Loss” above.</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Ownership of the Underlying Securities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When you purchase the Contract and allocate your Purchase Payment to a Shield Option(s), you will not be investing in the Index or the securities tracked by the Index for the Shield Options you select, or in a mutual fund or exchange traded fund that also tracks the Index. Your Performance Rate Adjustment for a Shield Option is limited by a Cap Rate, Step Rate, or Edge Rate, which means your Investment Amount will be lower than if you had invested in a mutual fund or exchange traded fund designed to track the performance of the applicable Index and the performance is greater than your Cap Rate, Step Rate, or Edge Rate.</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Adjustments Upon Taking a Withdrawal</w:t>
      </w:r>
    </w:p>
    <w:p>
      <w:pPr>
        <w:spacing w:after="0" w:line="135" w:lineRule="exact"/>
        <w:rPr>
          <w:sz w:val="20"/>
          <w:szCs w:val="20"/>
          <w:color w:val="auto"/>
        </w:rPr>
      </w:pPr>
    </w:p>
    <w:p>
      <w:pPr>
        <w:jc w:val="both"/>
        <w:ind w:left="120" w:right="639" w:firstLine="439"/>
        <w:spacing w:after="0" w:line="252" w:lineRule="auto"/>
        <w:rPr>
          <w:sz w:val="20"/>
          <w:szCs w:val="20"/>
          <w:color w:val="auto"/>
        </w:rPr>
      </w:pPr>
      <w:r>
        <w:rPr>
          <w:rFonts w:ascii="Times New Roman" w:cs="Times New Roman" w:eastAsia="Times New Roman" w:hAnsi="Times New Roman"/>
          <w:sz w:val="18"/>
          <w:szCs w:val="18"/>
          <w:color w:val="auto"/>
        </w:rPr>
        <w:t>You may withdraw some or all of your money at any time prior to the Annuity Date; however, any applicable Withdrawal Charge is calculated as a percentage of the amount withdrawn. After the first Contract Year, the Contract provides for limited free access to your money, called the Free Withdrawal Amount. If you withdraw an amount that is greater than the Free Withdrawal Amount for your Contract, you may be subject to a Withdrawal Charge which will reduce the amount that is payable to you. For example, assume you make a $100,000 Purchase Payment at Contract issue. If your Account Value is $80,000 in the beginning of the third (3rd) Contract Year and you take a full withdrawal from your Contract, the Free Withdrawal Amount is $8,000 (10% of $80,000) and a Withdrawal Charge percentage of 5% is applied to the remaining amount. This is a 5% reduction of your Account Value, less the Free Withdrawal Amount ($72,000 = $80,000 – $8,000). The Withdrawal Charge would be $3,600 (5% of $72,000). This results in a cash value of $76,400 paid to you ($76,400 = $80,000 – $3,600). If you make a withdrawal before a Term End Date, a Performance Rate Adjustment, as of the date of the withdrawal, will apply. A Performance Rate Adjustment may result in a loss that is greater than the Accrued Shield Rate when Index Performance is negative on the date of the withdrawal. Performance Rate Adjustments, at the time of the withdrawal, may decrease the amount that is payable to you.</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Withdrawals, Surrender, Annuitization or Death</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calculation of your Interim Value may result in an amount that is less than the amount you would receive had you held the investment until the Term End Date. If you take a withdrawal when Index Performance is negative, your remaining Investment Amount may be significantly less than if you waited to take the withdrawal when Index Performance was positive. For more information on how we determine Interim Value and the potential adverse impacts of a withdrawal before the Term End Date, see “Risk of Loss” above.</w:t>
      </w:r>
    </w:p>
    <w:p>
      <w:pPr>
        <w:spacing w:after="0" w:line="89" w:lineRule="exact"/>
        <w:rPr>
          <w:sz w:val="20"/>
          <w:szCs w:val="20"/>
          <w:color w:val="auto"/>
        </w:rPr>
      </w:pPr>
    </w:p>
    <w:p>
      <w:pPr>
        <w:jc w:val="both"/>
        <w:ind w:left="680" w:right="739" w:hanging="208"/>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die (unless your Contract was issued with the Return of Premium death benefit), make a withdrawal or Surrender your Contract prior to the Term End Date, we will pay the Interim Value, which may be less than if you held the Contract until all of your Shield Options reached their Term End Dates.</w:t>
      </w:r>
    </w:p>
    <w:p>
      <w:pPr>
        <w:sectPr>
          <w:pgSz w:w="11900" w:h="16838" w:orient="portrait"/>
          <w:cols w:equalWidth="0" w:num="1">
            <w:col w:w="9019"/>
          </w:cols>
          <w:pgMar w:left="1440" w:top="1377" w:right="1440" w:bottom="1440" w:gutter="0" w:footer="0" w:header="0"/>
        </w:sectPr>
      </w:pPr>
    </w:p>
    <w:p>
      <w:pPr>
        <w:spacing w:after="0" w:line="2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019"/>
          </w:cols>
          <w:pgMar w:left="1440" w:top="1377" w:right="1440" w:bottom="1440" w:gutter="0" w:footer="0" w:header="0"/>
          <w:type w:val="continuous"/>
        </w:sectPr>
      </w:pPr>
    </w:p>
    <w:bookmarkStart w:id="20" w:name="page21"/>
    <w:bookmarkEnd w:id="20"/>
    <w:p>
      <w:pPr>
        <w:jc w:val="both"/>
        <w:ind w:left="680" w:right="739" w:hanging="208"/>
        <w:spacing w:after="0" w:line="261"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If your Contract is annuitized between the Term Start Date and Term End Date, we will use the Interim Value to calculate the Income Payments you will receive based on the applicable Annuity Option. In deciding on an Annuity Date, you should take into consideration the Term End Dates of your Shield Options relative to the Annuity Date you have chosen.</w:t>
      </w:r>
    </w:p>
    <w:p>
      <w:pPr>
        <w:spacing w:after="0" w:line="85" w:lineRule="exact"/>
        <w:rPr>
          <w:rFonts w:ascii="Times New Roman" w:cs="Times New Roman" w:eastAsia="Times New Roman" w:hAnsi="Times New Roman"/>
          <w:sz w:val="18"/>
          <w:szCs w:val="18"/>
          <w:color w:val="auto"/>
        </w:rPr>
      </w:pPr>
    </w:p>
    <w:p>
      <w:pPr>
        <w:jc w:val="both"/>
        <w:ind w:left="680" w:right="739" w:hanging="208"/>
        <w:spacing w:after="0" w:line="253"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Interim Value will be based on Index Performance and the applicable Accrued Shield Rate, Accrued Cap Rate, Accrued Step Rate, or Accrued Edge Rate as of the date of the calculation (as well as a reduction for the Performance Lock Factor, if applicable). The Shield Rates, Cap Rates, Step Rates, and Edge Rates accrue during the Term and only reach full accrual on the last day of a Term. If negative Index Performance is constant during the Term, the Interim Value will be lower the earlier a withdrawal is made during the Term because the Shield Rate is accruing during this period. Also, withdrawals (including any applicable Withdrawal Charge) prior to the Term End Date, when Index Performance is positive, are subject to an Accrued Cap Rate, Accrued Step Rate, or Accrued Edge Rate based on the period those amounts were invested in the Shield Option. This means the earlier you take a withdrawal the lesser extent to which any positive Index Performance is reflected in your Account Value due to the accruing of the Cap Rate, Step Rate, or Edge Rate.</w:t>
      </w:r>
    </w:p>
    <w:p>
      <w:pPr>
        <w:spacing w:after="0" w:line="83"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take a withdrawal (including RMDs and systematic withdrawals) your Account Value will be reduced by the amount withdrawn proportionally from your Shield Options and the Fixed Account unless you tell us from which options, in which you currently have any Account Value, the withdrawal should be taken.</w:t>
      </w:r>
    </w:p>
    <w:p>
      <w:pPr>
        <w:spacing w:after="0" w:line="85"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withdrawals will reduce the death benefit, perhaps significantly, and the reduction could be greater than the amount of the withdrawal.</w:t>
      </w:r>
    </w:p>
    <w:p>
      <w:pPr>
        <w:spacing w:after="0" w:line="6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Account Value falls below the Minimum Account Value as a result of a withdrawal, we may terminate your Contract.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Transfers</w:t>
      </w:r>
    </w:p>
    <w:p>
      <w:pPr>
        <w:spacing w:after="0" w:line="13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You may make transfers between the Fixed Account and the Shield Option(s) to the Fixed Account and the Shield Option(s) only during the Transfer Period. Unless you have a Shield Option with a Locked Index Value, you cannot make transfers outside the Transfer Period and you cannot transfer out of a current Shield Option to another Shield Option or the Fixed Account until the Term End Date of the current Shield Option and you cannot transfer out of the Fixed Account to a Shield Option until the Interest Rate Term End Date (which will not be less than one (1) year). In both cases, the amount transferred can only be transferred to new Shield Options or the Fixed Account. This may limit your ability to react to market conditions.</w:t>
      </w:r>
    </w:p>
    <w:p>
      <w:pPr>
        <w:spacing w:after="0" w:line="9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If you remain in your current Shield Option with a Locked Index Value until the Term End Date and decide to transfer the Investment Amount to a new Shield Option, the Index Value on the Term Start Date of your new Shield Option will be the then-current Index Value for that option, which may be higher or lower than the Locked Index Value from the transferred Shield Option.</w:t>
      </w:r>
    </w:p>
    <w:p>
      <w:pPr>
        <w:spacing w:after="0" w:line="7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In addition, you should understand that for renewals into the same Shield Option, a new Cap Rate, Step Rate or Edge Rate, as applicable, will be declared and will go into effect on the Contract Anniversary that coincides with the Term Start Date of the new Shield Option.</w:t>
      </w:r>
    </w:p>
    <w:p>
      <w:pPr>
        <w:spacing w:after="0" w:line="8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Moreover, at the Term End Date, the Investment Amount allocated to the Shield Option that has reached its Term End Date will be automatically renewed into the same Shield Option, subject to the new Cap Rate, Step Rate, or Edge Rate, as applicable, declared for that Term, unless you instruct us to transfer such amount into a different Shield Option(s) or the Fixed Account. If the same Shield Option is no longer available for investment at the Term End Date, the Investment Amount will automatically be transferred to the Fixed Account (if available). Additionally, any Fixed Account Value will remain in the Fixed Account for another Term, subject to the new interest rate declared for that Term, unless you instruct us to transfer such amount to a Shield Option(s), Account Value automatically renewed or transferred in the absence of transfer instructions from you may not be transferred again until the next Transfer Period coinciding with a Term End Date. You have the Transfer Period to notify us that you want to transfer some or all of your Investment Amount to a new Shield Option(s) or the Fixed Account. Thus, failure to provide such instructions during the Transfer Period will result in an automatic renewal for a period of at least one (1) year.</w:t>
      </w:r>
    </w:p>
    <w:p>
      <w:pPr>
        <w:spacing w:after="0" w:line="9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If you have a Shield Option with a Locked Index Value, you may transfer the Interim Value before the Term End Date. Once a Locked Index Value takes effect, you may elect to transfer the Interim Value to a new Shield Option or to the Fixed Account (if available) on any Contract Anniversary prior to the Term End Date (i.e., during the Term). You may only transfer the entire amount of the Interim Value to a new Shield Option or to the Fixed Account (if available). </w:t>
      </w:r>
      <w:r>
        <w:rPr>
          <w:rFonts w:ascii="Times New Roman" w:cs="Times New Roman" w:eastAsia="Times New Roman" w:hAnsi="Times New Roman"/>
          <w:sz w:val="18"/>
          <w:szCs w:val="18"/>
          <w:b w:val="1"/>
          <w:bCs w:val="1"/>
          <w:color w:val="auto"/>
        </w:rPr>
        <w:t>Partial transfers of Interim Value are not permitted.</w:t>
      </w:r>
    </w:p>
    <w:p>
      <w:pPr>
        <w:sectPr>
          <w:pgSz w:w="11900" w:h="16838" w:orient="portrait"/>
          <w:cols w:equalWidth="0" w:num="1">
            <w:col w:w="9019"/>
          </w:cols>
          <w:pgMar w:left="1440" w:top="1377" w:right="1440" w:bottom="1440" w:gutter="0" w:footer="0" w:header="0"/>
        </w:sectPr>
      </w:pPr>
    </w:p>
    <w:p>
      <w:pPr>
        <w:spacing w:after="0" w:line="2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019"/>
          </w:cols>
          <w:pgMar w:left="1440" w:top="1377" w:right="1440" w:bottom="1440" w:gutter="0" w:footer="0" w:header="0"/>
          <w:type w:val="continuous"/>
        </w:sectPr>
      </w:pPr>
    </w:p>
    <w:bookmarkStart w:id="21" w:name="page22"/>
    <w:bookmarkEnd w:id="21"/>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Availability of Shield Options</w:t>
      </w:r>
    </w:p>
    <w:p>
      <w:pPr>
        <w:spacing w:after="0" w:line="135" w:lineRule="exact"/>
        <w:rPr>
          <w:sz w:val="20"/>
          <w:szCs w:val="20"/>
          <w:color w:val="auto"/>
        </w:rPr>
      </w:pPr>
    </w:p>
    <w:p>
      <w:pPr>
        <w:jc w:val="both"/>
        <w:ind w:left="120" w:right="639" w:firstLine="360"/>
        <w:spacing w:after="0" w:line="251" w:lineRule="auto"/>
        <w:rPr>
          <w:sz w:val="20"/>
          <w:szCs w:val="20"/>
          <w:color w:val="auto"/>
        </w:rPr>
      </w:pPr>
      <w:r>
        <w:rPr>
          <w:rFonts w:ascii="Times New Roman" w:cs="Times New Roman" w:eastAsia="Times New Roman" w:hAnsi="Times New Roman"/>
          <w:sz w:val="18"/>
          <w:szCs w:val="18"/>
          <w:color w:val="auto"/>
        </w:rPr>
        <w:t>Your selling firm may choose not to recommend certain Shield Options described in this prospectus when your Contract is issued or at the Term End Date. Additionally, we may reserve the right to change the duration of any new Shield Options, stop offering any of the Shield Options, or suspend offering any of the Shield Options. We may also add Shield Options in the future. We are not obligated to offer any one particular Shield Option, but after your Contract is issued, there will always be at least one Shield Option available at the Term End Date, although it may not be substantially similar to one of the currently available Shield Options. Consequently, if we were to offer only one Shield Option, you would be limited to investing in that one Shield Option. If that Shield Option does not meet your investment objectives or financial goals, you could transfer to the Fixed Account (if available at that time and subject to applicable conditions described in the “TRANSFERS” section, including the requirement to remain invested in the Fixed Account until the Interest Rate Term End Date), Surrender your Contract and/or invest in another investment vehicle. If you Surrender your Contract, you might incur taxes, tax penalties, Withdrawal Charges, or an Interim Value calculation. If you invest in another investment vehicle, that investment may have different features, fees and risks than your Contract. Similarly, a particular Shield Option may not be available for you to transfer your Investment Amount or Fixed Account Value into after a Term End Date or the Interest Rate Term End Date. If the same Shield Option is no longer available at the Term End Date, the Investment Amount in the applicable Shield Option(s) will automatically transfer into the Fixed Account at the Term End Date, unless you instruct us otherwise during the Transfer Period. The amounts transferred to the Fixed Account must remain in the Fixed Account until the Interest Rate Term End Date (which, currently, will not be less than one (1) year). The Investment Amount held in the Fixed Account may earn a return that is less than the return you might have earned if those amounts were held in a Shield Option. If we exercise this right, your ability to increase your Account Value and, consequently, increase your death benefit will be limited. If the Fixed Account is not available, the Investment Amount will automatically transfer into the Shield Option with, in order of priority, the shortest Term, the highest Shield Rate and the lowest Cap Rate from the Shield Options available at the Term End Date, unless you instruct us otherwise.</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Associated with the Referenced Indices</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Each of the reference Indices is a “price return index,” not a “total return index,” and therefore does not reflect dividends declared by any of the component companies in the Index. This will reduce the Index Performance and will cause the Index to underperform a direct investment in the securities composing the Index.</w:t>
      </w:r>
    </w:p>
    <w:p>
      <w:pPr>
        <w:spacing w:after="0" w:line="8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Because the S&amp;P 500® Index, the Russell 2000® Index, the MSCI EAFE Index, and the Nasdaq-100 Index® are each comprised of a collection of equity securities, in each case the value of the component securities is subject to market risk, or the risk that market fluctuations may cause the value of the component securities to go up or down, sometimes rapidly and unpredictably. In addition, the value of equity securities may increase or decline for reasons directly related to the issuers of the securities. (See “INDICES” and “SHIELD RATES.”)</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addition, each Index has its own unique risks, as follows:</w:t>
      </w:r>
    </w:p>
    <w:p>
      <w:pPr>
        <w:spacing w:after="0" w:line="63" w:lineRule="exact"/>
        <w:rPr>
          <w:sz w:val="20"/>
          <w:szCs w:val="20"/>
          <w:color w:val="auto"/>
        </w:rPr>
      </w:pPr>
    </w:p>
    <w:p>
      <w:pPr>
        <w:jc w:val="both"/>
        <w:ind w:left="480" w:right="739" w:hanging="188"/>
        <w:spacing w:after="0" w:line="254"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S&amp;P 500® Index. This Index is composed of equity securities issued by large-capitalization (“large cap”) U.S. companies. In general, it is more difficult for large-cap companies to pivot their strategies quickly in response to changes in their industry. In addition, because they typically are more well-established, it is rare to see large-cap companies have the high growth rates that can be seen with successful small-capitalization (“small cap”) companies.</w:t>
      </w:r>
    </w:p>
    <w:p>
      <w:pPr>
        <w:spacing w:after="0" w:line="3" w:lineRule="exact"/>
        <w:rPr>
          <w:rFonts w:ascii="Times New Roman" w:cs="Times New Roman" w:eastAsia="Times New Roman" w:hAnsi="Times New Roman"/>
          <w:sz w:val="18"/>
          <w:szCs w:val="18"/>
          <w:color w:val="auto"/>
        </w:rPr>
      </w:pPr>
    </w:p>
    <w:p>
      <w:pPr>
        <w:jc w:val="both"/>
        <w:ind w:left="480" w:right="739" w:hanging="188"/>
        <w:spacing w:after="0" w:line="250"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Russell 2000® Index. This Index is composed of equity securities of small-cap U.S. companies. Generally, the securities of small-cap companies are more volatile and riskier than the securities of larger companies. Small-cap companies are more likely to fail than larger companies.</w:t>
      </w:r>
    </w:p>
    <w:p>
      <w:pPr>
        <w:spacing w:after="0" w:line="1" w:lineRule="exact"/>
        <w:rPr>
          <w:rFonts w:ascii="Times New Roman" w:cs="Times New Roman" w:eastAsia="Times New Roman" w:hAnsi="Times New Roman"/>
          <w:sz w:val="18"/>
          <w:szCs w:val="18"/>
          <w:color w:val="auto"/>
        </w:rPr>
      </w:pPr>
    </w:p>
    <w:p>
      <w:pPr>
        <w:jc w:val="both"/>
        <w:ind w:left="480" w:right="739" w:hanging="188"/>
        <w:spacing w:after="0" w:line="250"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MSCI EAFE Index. The MSCI EAFE Index is comprised of equity securities of large- and mid-capitalization (“mid-cap”) companies and it is designed to measure the equity market performance of developed markets, including countries in Europe, Australia, and the Far East. In general, large-cap companies may be unable to respond quickly in response to changes in their industry and new competitive challenges and may not be able to attain the high growth rates of successful smaller companies. The securities of mid-cap companies may be more volatile and may involve more risk than the securities of larger companies. Securities issued by non-U.S. companies (including related depositary receipts) are subject to the risks related to investments in foreign markets (e.g., increased price volatility; changing currency exchange rates; and greater political, regulatory, and economic uncertainty).</w:t>
      </w:r>
    </w:p>
    <w:p>
      <w:pPr>
        <w:spacing w:after="0" w:line="3" w:lineRule="exact"/>
        <w:rPr>
          <w:rFonts w:ascii="Times New Roman" w:cs="Times New Roman" w:eastAsia="Times New Roman" w:hAnsi="Times New Roman"/>
          <w:sz w:val="18"/>
          <w:szCs w:val="18"/>
          <w:color w:val="auto"/>
        </w:rPr>
      </w:pPr>
    </w:p>
    <w:p>
      <w:pPr>
        <w:jc w:val="both"/>
        <w:ind w:left="480" w:right="739" w:hanging="188"/>
        <w:spacing w:after="0" w:line="252"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Nasdaq-100 Index®. The Nasdaq-100® Index is comprised of equity securities of the largest U.S. and non-U.S. companies listed on The Nasdaq Stock Market across all major industry groups except the financial industry. To the extent that the Nasdaq-100® Index is comprised of securities issued by companies in a particular sector, that company’s securities may not perform as well as companies in other sectors or the market as a whole. Any component securities issued by non-U.S. companies (including related depositary receipts) are subject to the risks related to investments in foreign markets (e.g., increased price volatility; changing currency exchange rates; and greater political, regulatory, and economic uncertainty).</w:t>
      </w:r>
    </w:p>
    <w:p>
      <w:pPr>
        <w:sectPr>
          <w:pgSz w:w="11900" w:h="16838" w:orient="portrait"/>
          <w:cols w:equalWidth="0" w:num="1">
            <w:col w:w="9019"/>
          </w:cols>
          <w:pgMar w:left="1440" w:top="1373" w:right="1440" w:bottom="920" w:gutter="0" w:footer="0" w:header="0"/>
        </w:sectPr>
      </w:pPr>
    </w:p>
    <w:p>
      <w:pPr>
        <w:spacing w:after="0" w:line="2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019"/>
          </w:cols>
          <w:pgMar w:left="1440" w:top="1373" w:right="1440" w:bottom="920" w:gutter="0" w:footer="0" w:header="0"/>
          <w:type w:val="continuous"/>
        </w:sectPr>
      </w:pPr>
    </w:p>
    <w:bookmarkStart w:id="22" w:name="page23"/>
    <w:bookmarkEnd w:id="22"/>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An Index May be Substituted</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We have the right to substitute a comparable index prior to the Term End Date if any Index is discontinued or we determine that our use of such Index should be discontinued because we are no longer licensed to use the Index, the method of calculation of the Index Value is substantially changed, or if Index Values become unavailable for any reason. We would attempt to choose a substitute index that has a similar investment objective and risk profile to the replaced index. In the event that a similar index is not found, we will substitute the original Index with a domestic or international broad-based securities market index. A Shield Option will not end prior to the Term End Date due to our inability to find a similar index. The substituted Index may not be acceptable to you, and you will be unable to transfer your Investment Amount in the associated Shield Option to another Shield Option(s) or the Fixed Account (if available) until the Transfer Period coinciding with the Term End Date. If you no longer want to remain invested in that Shield Option for the remainder of the Term, your only option will be to withdraw the related Investment Amount. If you withdraw the Investment Amount, the amount withdrawn will be the Interim Value. See “Risk of Loss” above for more information about the risks of withdrawals based on Interim Value. Additionally, you might incur Withdrawal Charges, taxes, and tax penalties. Upon substitution of an Index, we will calculate your Index Performance on the replaced Index up until the date of substitution and the substitute Index from the date of substitution to the Term End Date. An Index substitution will not change the Shield Rate, Cap Rate, Step Rate, or Edge Rate for an existing Shield Option. The performance of the new Index may not be as good as the one that it substituted and as a result your Index Performance may have been better if there had been no substitution.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Shield Rate Risks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For all Shield Options, if negative Index Performance exceeds the corresponding Shield Rate at the Term End Date, you will bear the portion of the loss that exceeds the Shield Rate. Under the currently offered Shield Rates, the maximum amount of loss you could experience due to negative index performance at the end of a Term, after taking into account these levels of protection, would be: 90% for 10% downside protection; 85% for 15% downside protection; and 75% for 25% downside protection. We do not guarantee that there will always be a Shield Option under the Contract that provides this minimum amount of downside protection; however, there will always be at least one Shield Option available that offers downside protection, although it may not be substantially similar to one of the currently available Shield Options.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Shield Options with Higher Shield Rates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deciding whether to choose a Shield Option with a higher Shield Rate, you should consider that Shield Options with higher Shield Rates tend to have lower Cap Rates, Step Rates, and Edge Rates, as applicable, than Shield Options with lower Shield Rates that have the same index and term. This is because of the additional protection provided by the higher Shield Rates.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Rate Crediting Type Risks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Cap Rate, Step Rate, or Edge Rate may limit any positive Index Performance used in calculating the Performance Rate credited on the Term End Date. This means that the Performance Rate may be lower than the Index Performance because any positive return of the respective Index is subject to a maximum in the form of the Cap Rate, Step Rate, or Edge Rate. We set Cap Rates, Step Rates, and Edge Rates at our discretion, subject to the minimum guaranteed rates shown in your Contract Schedule. You bear the risk that we will not set these higher than the minimum guaranteed rates.</w:t>
      </w:r>
    </w:p>
    <w:p>
      <w:pPr>
        <w:spacing w:after="0" w:line="79"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For Shield Options with Step Rate Edge, there could be situations when a small difference in the Index Performance results in significantly different Performance Rates. For example, if Index Performance is -9.5%, the Shield Rate is 10% and the Edge Rate is 7%, the Performance Rate will equal the Edge Rate, or 7%. On the other hand, if Index Performance is -10.5% and the Shield Rate is 10%, the Performance Rate will equal -0.5%.</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Performance Lock Risks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Index Value may increase above the Locked Index Value; however, the higher Index Value will not be utilized in the Index Performance calculation. In addition, with a Locked Index Value you may receive less than you would have received had you not exercised a Locked Index Value due to the Performance Lock Factor. Furthermore, once a Locked Index Value takes effect, it is irrevocable for the remainder of that Term.</w:t>
      </w:r>
    </w:p>
    <w:p>
      <w:pPr>
        <w:spacing w:after="0" w:line="7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For a Shield Option where Performance Lock is available, you may set a Target Index Value. The ability to set a Target Index Value in advance is an administrative feature that may not be available in the future for new requests; however any previously received requests will be honored.</w:t>
      </w:r>
    </w:p>
    <w:p>
      <w:pPr>
        <w:sectPr>
          <w:pgSz w:w="11900" w:h="16838" w:orient="portrait"/>
          <w:cols w:equalWidth="0" w:num="1">
            <w:col w:w="9019"/>
          </w:cols>
          <w:pgMar w:left="1440" w:top="1373" w:right="1440" w:bottom="1440" w:gutter="0" w:footer="0" w:header="0"/>
        </w:sectPr>
      </w:pPr>
    </w:p>
    <w:p>
      <w:pPr>
        <w:spacing w:after="0" w:line="2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019"/>
          </w:cols>
          <w:pgMar w:left="1440" w:top="1373" w:right="1440" w:bottom="1440" w:gutter="0" w:footer="0" w:header="0"/>
          <w:type w:val="continuous"/>
        </w:sectPr>
      </w:pPr>
    </w:p>
    <w:bookmarkStart w:id="23" w:name="page24"/>
    <w:bookmarkEnd w:id="23"/>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Issuing Company</w:t>
      </w:r>
    </w:p>
    <w:p>
      <w:pPr>
        <w:spacing w:after="0" w:line="13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No company other than BLIC has any legal responsibility to pay amounts that BLIC owes under the Contract. An Owner should look to the financial strength of BLIC for its claims-paying ability.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Systematic Withdrawal Program</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You may elect the Systematic Withdrawal Program to provide automated processing of amounts withdrawn from your Contract, subject to program terms. For automated processing of RMD amounts withdrawn from an IRA Contract or qualified annuity Contract, you may elect this program in any Contract year. However, for automated processing of amounts withdrawn for purposes other than RMDs, you may elect this program after the first Contract Year for up to 10% of your Account Value as of the prior Contract Anniversary. We do not assess a charge for this program. See “WITHDRAWAL PROVISIONS – Systematic Withdrawal Program” for availability and other restrictions. Withdrawals under this program are subject to the same risks as any other withdrawal. See “Adjustments Upon Taking a Withdrawal,” and “Effect of Withdrawals, Surrender, Annuitization or Death” above.</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Cybersecurity and Certain Business Continuity Risks</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Our business is largely conducted through complex information technology and communications systems operated by us and our service providers and business partners (e.g., the firms involved in the distribution and sale of our products). Our operations rely on the secure processing, storage and transmission of data and confidential and other information in our systems and the systems of third-party service providers. We have established administrative and technical controls and business continuity and resilience plans to protect our operations against attempts by unauthorized third parties to improperly access, modify, disrupt the operation of, or prevent access to critical networks or systems or data within them (a “cyber-attack”). Despite these protocols, the techniques used to attack systems and networks change frequently, are becoming more sophisticated, and can originate from a wide variety of sources including internal actors (through malicious or accidental acts), terrorists, nation states, financially or politically motivated actors, or other third parties, such as external service providers. Furthermore, the rapid evolution and increased adoption of artificial intelligence technologies may intensify our cybersecurity risks, including the deployment of artificial intelligence technologies by malicious third parties and threat actors that may increase in sophistication and effectiveness in the future. There may be an increased risk of cyber-attacks that may adversely disrupt or degrade our operations and compromise our data during periods of geo-political or military conflict.</w:t>
      </w:r>
    </w:p>
    <w:p>
      <w:pPr>
        <w:spacing w:after="0" w:line="88"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A cyber-attack or unanticipated problems with, or failures, of, our disaster recovery systems and business continuity plans could have a material, negative impact on our ability to conduct business and on our financial condition and operations, as well on individual Owners and their Contracts. Our operations also could be negatively impacted by a cyber-attack affecting a third party, such as a service provider, business partner, another participant in the financial markets or a governmental or regulatory authority. Potential attacks can occur through a variety of sources, including, but not limited to, phishing attacks, account takeover attempts, the introduction of computer viruses or malicious code, ransomware or other extortion tactics, denial of service attacks, credential stuffing, and other computer-related penetrations. Hardware, software or applications developed by us or received from third parties may contain exploitable vulnerabilities, bugs, or defects in design, maintenance or manufacture or other issues that could compromise information and cybersecurity. Malicious actors may attempt to fraudulently induce employees, customers, or other users of our systems to disclose credentials or other similar sensitive information in order to gain access to our systems or data, or that of our customers, through social engineering, phishing, mobile phone malware, and other methods. Disruptions or failures to our operations, systems and networks can originate from a wide variety of sources including, but not limited to, a disaster such as a natural catastrophe, epidemic or pandemic crisis, military or terrorist actions, cyber-attack, and unanticipated problems with our or our service providers’ disaster recovery systems (and the disaster recovery systems of such vendors’ suppliers, vendors, or subcontractors). Such disasters and events may adversely affect our ability to conduct business or administer the contract.</w:t>
      </w:r>
    </w:p>
    <w:p>
      <w:pPr>
        <w:spacing w:after="0" w:line="84"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Cyber-attacks, disruptions or failures to our business operations could result in regulatory fines or sanctions, litigation, penalties or financial losses, reputational harm, loss of customers, and/or otherwise adversely affect our business. Such events could also interfere with our processing of Contract transactions, including the processing of transfer orders from our website; impact our ability to calculate Contract values; cause the release and/or possible loss, misappropriation or corruption of data or confidential Owner or business information; or impede order processing or cause other operational issues. There can be no assurance that we or our service providers will be able to detect, prevent, or avoid cyber-attacks, disruptions, or failures affecting your Contract in the future. Although we continually make efforts to identify and reduce our exposure to cybersecurity risk, there is no guarantee that we will be able to successfully identify, manage, and mitigate this risk at all times. Furthermore, we cannot control the cybersecurity plans and systems implemented by third parties, including service providers.</w:t>
      </w:r>
    </w:p>
    <w:p>
      <w:pPr>
        <w:sectPr>
          <w:pgSz w:w="11900" w:h="16838" w:orient="portrait"/>
          <w:cols w:equalWidth="0" w:num="1">
            <w:col w:w="9019"/>
          </w:cols>
          <w:pgMar w:left="1440" w:top="1373" w:right="1440" w:bottom="1068" w:gutter="0" w:footer="0" w:header="0"/>
        </w:sectPr>
      </w:pPr>
    </w:p>
    <w:p>
      <w:pPr>
        <w:spacing w:after="0" w:line="2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019"/>
          </w:cols>
          <w:pgMar w:left="1440" w:top="1373" w:right="1440" w:bottom="1068" w:gutter="0" w:footer="0" w:header="0"/>
          <w:type w:val="continuous"/>
        </w:sectPr>
      </w:pPr>
    </w:p>
    <w:bookmarkStart w:id="24" w:name="page25"/>
    <w:bookmarkEnd w:id="24"/>
    <w:p>
      <w:pPr>
        <w:ind w:left="3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ANNUITY CONTRACT</w:t>
      </w:r>
    </w:p>
    <w:p>
      <w:pPr>
        <w:spacing w:after="0" w:line="118" w:lineRule="exact"/>
        <w:rPr>
          <w:sz w:val="20"/>
          <w:szCs w:val="20"/>
          <w:color w:val="auto"/>
        </w:rPr>
      </w:pPr>
    </w:p>
    <w:p>
      <w:pPr>
        <w:jc w:val="both"/>
        <w:ind w:left="120" w:right="639" w:firstLine="360"/>
        <w:spacing w:after="0" w:line="235" w:lineRule="auto"/>
        <w:rPr>
          <w:sz w:val="20"/>
          <w:szCs w:val="20"/>
          <w:color w:val="auto"/>
        </w:rPr>
      </w:pPr>
      <w:r>
        <w:rPr>
          <w:rFonts w:ascii="Times New Roman" w:cs="Times New Roman" w:eastAsia="Times New Roman" w:hAnsi="Times New Roman"/>
          <w:sz w:val="18"/>
          <w:szCs w:val="18"/>
          <w:color w:val="auto"/>
        </w:rPr>
        <w:t>This prospectus describes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issued by us and describes all the material features of the Contract.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is a contract between you as the Owner, and us, the insurance company, where you agree to make a Purchase Payment to us and we agree to make a series of Income Payments at a later date you select (the “Annuity Date”).</w:t>
      </w:r>
    </w:p>
    <w:p>
      <w:pPr>
        <w:spacing w:after="0" w:line="93" w:lineRule="exact"/>
        <w:rPr>
          <w:sz w:val="20"/>
          <w:szCs w:val="20"/>
          <w:color w:val="auto"/>
        </w:rPr>
      </w:pPr>
    </w:p>
    <w:p>
      <w:pPr>
        <w:jc w:val="both"/>
        <w:ind w:left="120" w:right="659" w:firstLine="360"/>
        <w:spacing w:after="0" w:line="254" w:lineRule="auto"/>
        <w:rPr>
          <w:sz w:val="20"/>
          <w:szCs w:val="20"/>
          <w:color w:val="auto"/>
        </w:rPr>
      </w:pPr>
      <w:r>
        <w:rPr>
          <w:rFonts w:ascii="Times New Roman" w:cs="Times New Roman" w:eastAsia="Times New Roman" w:hAnsi="Times New Roman"/>
          <w:sz w:val="18"/>
          <w:szCs w:val="18"/>
          <w:color w:val="auto"/>
        </w:rPr>
        <w:t>The Contract, like all deferred annuity contracts, has two periods: the Accumulation Period and the Income Period. During the Accumulation Period, Account Value accumulates on a tax-deferred basis and is taxed as income when you make a withdrawal. If you make a withdrawal during the Accumulation Period, we may assess a Withdrawal Charge of up to 6%. Withdrawals (including any applicable Withdrawal Charge), depending on the amount and timing, may negatively impact the benefits and guarantees provided by your Contract. You should carefully consider whether a withdrawal under a particular circumstance will have any negative impact to your benefits or guarantees. The Income Period occurs when you or a designated payee begin receiving regular Income Payments from your Contract.</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maximum issue age for this Contract is 85.</w:t>
      </w:r>
    </w:p>
    <w:p>
      <w:pPr>
        <w:spacing w:after="0" w:line="13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When you purchase the Contract, you can choose one or more of the available Shield Options and the Fixed Account. A Purchase Payment applied to the Shield Options is allocated to the Separate Account. You do not share in the investment performance of assets allocated to the Separate Account. We are obligated to pay all money we owe under the Contract, including death benefits and Income Payments. Any such amount that exceeds the assets in the Separate Account is paid from our General Account, subject to our financial strength and claims-paying ability and our long-term ability to make such payments, and is not guaranteed by any other party. (See “THE SEPARATE ACCOUNT.”)</w:t>
      </w:r>
    </w:p>
    <w:p>
      <w:pPr>
        <w:spacing w:after="0" w:line="9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Contract is intended for retirement savings or other long-term investment purposes. The Contract has features and benefits that may be appropriate for you based on your financial situation and objectives, but we are not a fiduciary and do not provide investment advice or make recommendations regarding insurance or investment products, or any securities transactions or investment strategies involving securities. You should ask your financial professional for guidance as to whether this contract may be appropriate for you. Please bear in mind that your financial professional, or any financial firm or financial professional with whom you consult for advice, acts on your behalf, not ours. We are not party to any agreement between you and your financial professional. See “DISTRIBUTION OF THE CONTRACTS” for information on firms that sell the Contract.</w:t>
      </w:r>
    </w:p>
    <w:p>
      <w:pPr>
        <w:spacing w:after="0" w:line="8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Contract benefits from tax deferral. Tax deferral means that you are not taxed on Account Value or appreciation on the assets in your Contract until you take money out of your Contract. Non-qualified annuity Contracts (which are not retirement plans) owned by a non-natural person such as a corporation or certain other legal entities (other than a trust that holds the Contract as an agent for a natural person), do not receive tax deferral on earnings. In addition, for any tax qualified account (e.g., an IRA), the tax deferred accrual feature is provided by the tax qualified retirement plan. Therefore, there should be reasons other than tax deferral for acquiring the Contract by a corporation, certain legal entities or within a qualified plan. (See “FEDERAL TAX CONSIDERATIONS.”)</w:t>
      </w:r>
    </w:p>
    <w:p>
      <w:pPr>
        <w:spacing w:after="0" w:line="97"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Currently, a Fixed Account is available. However, the Fixed Account may not always be available. You should consult your financial representative for information regarding the Fixed Account, if available. See Appendix D for certain information regarding the Fixed Account. The Fixed Account offers an interest rate that is guaranteed by us. The minimum interest rate depends on the date your Contract is issued and will not be less than 1% annually. Your financial representative can tell you the current and minimum interest rates that apply. If you select the Fixed Account, your money will be placed with our other General Account assets, and the amount of money you are able to accumulate in your Contract during the Accumulation Period depends upon the total interest credited to your Contract. The Fixed Account is part of our General Account. Our General Account consists of all assets owned by us other than those in the Separate Account and our other separate accounts. We have sole discretion over the investment of assets in the General Account and the Separate Account. If you select an Annuity Option during the Income Period, payments are made from our General Account assets.</w:t>
      </w:r>
    </w:p>
    <w:p>
      <w:pPr>
        <w:spacing w:after="0" w:line="8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amount of the Income Payments you receive during the Income Period from an Income Payment option will remain level for the entire Income Period, subject to the payout chosen. (See “INCOME PAYMENTS (THE INCOME PERIOD)” for more information.)</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As Owner, you exercise all interests and rights under the Contract. You can change the Owner at any time, subject to our underwriting requirements. The Contract may be owned generally by Joint Owners (limited to natural persons). (See “OWNERSHIP PROVISIONS.”)</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Any Internal Revenue Code reference to “spouse” includes those persons who are married spouses under state law, regardless of sex.</w:t>
      </w:r>
    </w:p>
    <w:p>
      <w:pPr>
        <w:sectPr>
          <w:pgSz w:w="11900" w:h="16838" w:orient="portrait"/>
          <w:cols w:equalWidth="0" w:num="1">
            <w:col w:w="9019"/>
          </w:cols>
          <w:pgMar w:left="1440" w:top="1373" w:right="1440" w:bottom="1136" w:gutter="0" w:footer="0" w:header="0"/>
        </w:sectPr>
      </w:pPr>
    </w:p>
    <w:p>
      <w:pPr>
        <w:spacing w:after="0" w:line="2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019"/>
          </w:cols>
          <w:pgMar w:left="1440" w:top="1373" w:right="1440" w:bottom="1136" w:gutter="0" w:footer="0" w:header="0"/>
          <w:type w:val="continuous"/>
        </w:sectPr>
      </w:pPr>
    </w:p>
    <w:bookmarkStart w:id="25" w:name="page26"/>
    <w:bookmarkEnd w:id="25"/>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Replacement of Contracts</w:t>
      </w:r>
    </w:p>
    <w:p>
      <w:pPr>
        <w:spacing w:after="0" w:line="13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Exchanges</w:t>
      </w:r>
      <w:r>
        <w:rPr>
          <w:rFonts w:ascii="Times New Roman" w:cs="Times New Roman" w:eastAsia="Times New Roman" w:hAnsi="Times New Roman"/>
          <w:sz w:val="18"/>
          <w:szCs w:val="18"/>
          <w:color w:val="auto"/>
        </w:rPr>
        <w:t>.  Generally you can exchange one non-qualified annuity contract for another in a tax-free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under Section 1035 of the Code. Before making an exchange, you should compare both annuities carefully. If you exchange another annuity for the one described in this prospectus, you might have to pay a withdrawal charge on your old annuity, and there will be a new Withdrawal Charge period for the Contract. Other charges may be higher (or lower) and the benefits may be different. Also, because we will not issue the Contract until we have received the initial premium from your existing insurance company, the issuance of the Contract may be delayed. Generally, it is not advisable to purchase a Contract as a replacement for an existing annuity contract. Before you exchange another annuity for our Contract, ask your financial professional whether the exchange would be advantageous, given the Contract features, benefits and charges.</w:t>
      </w:r>
    </w:p>
    <w:p>
      <w:pPr>
        <w:spacing w:after="0" w:line="80"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Exchange Programs.</w:t>
      </w:r>
      <w:r>
        <w:rPr>
          <w:rFonts w:ascii="Times New Roman" w:cs="Times New Roman" w:eastAsia="Times New Roman" w:hAnsi="Times New Roman"/>
          <w:sz w:val="18"/>
          <w:szCs w:val="18"/>
          <w:color w:val="auto"/>
        </w:rPr>
        <w:t xml:space="preserve">  From time to time we may make available programs under which certain annuity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previously issued by us or one of our affiliates may be exchanged for the Contracts offered by this prospectus. Currently, with respect to exchanges from certain of our annuity contracts to the Contract, an existing contract is eligible for exchange if a surrender of the existing contract would not trigger a withdrawal charge. You should carefully consider whether an exchange is appropriate for you by comparing the benefits and other guarantees provided by the contract you currently own to the benefits and guarantees that would be provided by the new Contract offered by this prospectus. Then, you should compare the fees and charges of your current contract to the fees and charges of the new Contract, which may be higher than your current contract. The programs we offer will be made available on terms and conditions determined by us, and any such programs will comply with applicable law. We believe the exchanges will be tax free for Federal income tax purposes; however, you should consult your tax advisor before making any such exchange.</w:t>
      </w:r>
    </w:p>
    <w:p>
      <w:pPr>
        <w:spacing w:after="0" w:line="30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PURCHASE</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Contract may not be available for purchase through your broker dealer (“selling firm”) during certain periods. There are a number of reasons why the Contract periodically may not be available, including that the insurance company wants to limit the volume of sales of the Contract. You may wish to speak to your financial professional about how this may affect your purchase. For example, you may be required to submit your purchase application in Good Order prior to or on a stipulated date in order to purchase a Contract, and a delay in such process could result in your not being able to purchase a Contract. Your selling firm may offer the Contract with a lower maximum issue age for the Contract compared to what other selling firms may offer. Your selling firm may limit the Shield Options available through that firm when your Contract is issued or at the Term End Date. However, at the end of your initial Shield Option(s), you may transfer into any Shield Option(s) available under the Contract, subject to any transfer restrictions (see “TRANSFERS”). Please be aware that your financial professional may not be able to provide you information or answer questions you may have with regard to those Shield Options that your selling firm does not make available. Therefore, you may contact us directly at (888) 243-1932 or in writing at our Annuity Service Office.</w:t>
      </w:r>
    </w:p>
    <w:p>
      <w:pPr>
        <w:spacing w:after="0" w:line="79"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We offer other individual single premium deferred indexed-linked separate account contracts. However, not every contract we issue is available through every selling firm. In addition, these other contracts may have different Shield Options, Shield Rates, Cap Rates, Step Rates, and Edge Rates.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Payment</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A Purchase Payment is the total amount of money you give us to invest in the Contract. The Purchase Payment is due on the date the Contract is issued.</w:t>
      </w:r>
    </w:p>
    <w:p>
      <w:pPr>
        <w:spacing w:after="0" w:line="54" w:lineRule="exact"/>
        <w:rPr>
          <w:sz w:val="20"/>
          <w:szCs w:val="20"/>
          <w:color w:val="auto"/>
        </w:rPr>
      </w:pPr>
    </w:p>
    <w:p>
      <w:pPr>
        <w:ind w:left="680" w:hanging="208"/>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Purchase Payment we will accept is $25,000.</w:t>
      </w:r>
    </w:p>
    <w:p>
      <w:pPr>
        <w:spacing w:after="0" w:line="11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want to make a Purchase Payment of less than $25,000 or $1,000,000 or more, you will need our prior approval.</w:t>
      </w:r>
    </w:p>
    <w:p>
      <w:pPr>
        <w:spacing w:after="0" w:line="53"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reserve the right to refuse a Purchase Payment made via a personal check in excess of $100,000. A Purchase Payment over $100,000 may be accepted in other forms, including, but not limited to, EFT/wire transfers, certified checks, corporate checks, and checks written on financial institutions.</w:t>
      </w:r>
    </w:p>
    <w:p>
      <w:pPr>
        <w:spacing w:after="0" w:line="6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accept a Purchase Payment made with cash, money orders, or travelers checks.</w:t>
      </w:r>
    </w:p>
    <w:p>
      <w:pPr>
        <w:spacing w:after="0" w:line="117"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and other legal entities we approve, may purchase the Contract; however, we will not accept a Purchase Payment made by a corporation or other legal entity (other than a trust that holds the Contract as agent for a natural person) to fund any type of qualified or non-qualified retirement plan.</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reserve the right to reject any application.</w:t>
      </w:r>
    </w:p>
    <w:p>
      <w:pPr>
        <w:sectPr>
          <w:pgSz w:w="11900" w:h="16838" w:orient="portrait"/>
          <w:cols w:equalWidth="0" w:num="1">
            <w:col w:w="9019"/>
          </w:cols>
          <w:pgMar w:left="1440" w:top="1373" w:right="1440" w:bottom="1440" w:gutter="0" w:footer="0" w:header="0"/>
        </w:sectPr>
      </w:pPr>
    </w:p>
    <w:p>
      <w:pPr>
        <w:spacing w:after="0" w:line="3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019"/>
          </w:cols>
          <w:pgMar w:left="1440" w:top="1373" w:right="1440" w:bottom="1440" w:gutter="0" w:footer="0" w:header="0"/>
          <w:type w:val="continuous"/>
        </w:sectPr>
      </w:pPr>
    </w:p>
    <w:bookmarkStart w:id="26" w:name="page27"/>
    <w:bookmarkEnd w:id="26"/>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Allocation of the Purchase Payment</w:t>
      </w:r>
    </w:p>
    <w:p>
      <w:pPr>
        <w:spacing w:after="0" w:line="121"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You may allocate your Purchase Payment to one or more of the available Shield Options or into the Fixed Account. On your Issue Date, your Purchase Payment is allocated to the Shield Option(s) and/or the Fixed Account, as you specified on the application, unless we receive Notice of any changes from you before we have issued your Contract. All allocations must be in whole percentages that total 100% or in whole dollars. Once your Purchase Payment is allocated to the Shield Options and/or the Fixed Account, they become part of your Account Value.</w:t>
      </w:r>
    </w:p>
    <w:p>
      <w:pPr>
        <w:spacing w:after="0" w:line="29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SHIELD OPTIONS</w:t>
      </w:r>
    </w:p>
    <w:p>
      <w:pPr>
        <w:spacing w:after="0" w:line="104" w:lineRule="exact"/>
        <w:rPr>
          <w:sz w:val="20"/>
          <w:szCs w:val="20"/>
          <w:color w:val="auto"/>
        </w:rPr>
      </w:pPr>
    </w:p>
    <w:p>
      <w:pPr>
        <w:jc w:val="both"/>
        <w:ind w:left="120" w:right="639" w:firstLine="360"/>
        <w:spacing w:after="0" w:line="250" w:lineRule="auto"/>
        <w:rPr>
          <w:sz w:val="20"/>
          <w:szCs w:val="20"/>
          <w:color w:val="auto"/>
        </w:rPr>
      </w:pPr>
      <w:r>
        <w:rPr>
          <w:rFonts w:ascii="Times New Roman" w:cs="Times New Roman" w:eastAsia="Times New Roman" w:hAnsi="Times New Roman"/>
          <w:sz w:val="18"/>
          <w:szCs w:val="18"/>
          <w:color w:val="auto"/>
        </w:rPr>
        <w:t>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is not a variable annuity where your account value varies based on the investment performance of the underlying portfolios you choose, rather the Shield Options offer potential interest based upon index performance. This potential interest—the Performance Rate Adjustment —may be a positive or negative percentage or zero. You may allocate your Purchase Payment to one or more of the available Shield Options and the Fixed Account. When you allocate your Purchase Payment to a Shield Option(s), you will not be investing in the Index or the securities tracked by the Index for the Shield Options you select, or in a mutual fund or exchange traded fund that also tracks the Index. Based upon the Index Performance of the Index associated with the Shield Option, a Performance Rate Adjustment will be applied to the Investment Amount in that Shield Option on the Term End Date. Given that Index Performance may be positive, zero or negative, your Performance Rate Adjustment may be positive, zero or negative. We calculate the Interim Value of each Shield Option on any Business Day other than the Term Start Date and Term End Date. If applicable, the Interim Value is the amount that is available for annuitization, death benefits, withdrawals, and Surrenders.</w:t>
      </w:r>
    </w:p>
    <w:p>
      <w:pPr>
        <w:spacing w:after="0" w:line="83" w:lineRule="exact"/>
        <w:rPr>
          <w:sz w:val="20"/>
          <w:szCs w:val="20"/>
          <w:color w:val="auto"/>
        </w:rPr>
      </w:pPr>
    </w:p>
    <w:p>
      <w:pPr>
        <w:jc w:val="both"/>
        <w:ind w:left="120" w:right="659" w:firstLine="360"/>
        <w:spacing w:after="0" w:line="271" w:lineRule="auto"/>
        <w:rPr>
          <w:sz w:val="20"/>
          <w:szCs w:val="20"/>
          <w:color w:val="auto"/>
        </w:rPr>
      </w:pPr>
      <w:r>
        <w:rPr>
          <w:rFonts w:ascii="Times New Roman" w:cs="Times New Roman" w:eastAsia="Times New Roman" w:hAnsi="Times New Roman"/>
          <w:sz w:val="17"/>
          <w:szCs w:val="17"/>
          <w:color w:val="auto"/>
        </w:rPr>
        <w:t>You could lose a significant amount of money if the Index Value declines. It is possible for you to lose a portion of the Purchase Payment and any earnings invested in the Contract. The Performance Rate Adjustment is based on a certain amount of protection against decreases in an Index Value and a limitation on potential interest based on an Index Value. The extent of the downside protection varies by the Shield Rate you select. If you access amounts in the Shield Options before the Term End Date, we will instead calculate an Interim Value of your investment in the Shield Amount. The Interim Value is calculated on each Business Day between the Term Start Date and the Term End Date. You could lose a significant amount of money due to an Interim Value calculation (and any associated proportional reduction to the Investment Amount associated with the Shield Option) if amounts are removed from a Shield Option prior to the Term End Date. (See “Interim Value Calculation.”)</w:t>
      </w:r>
    </w:p>
    <w:p>
      <w:pPr>
        <w:spacing w:after="0" w:line="6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You have the opportunity to allocate your Investment Amount to any of the Shield Options described below, subject to the requirements, limitations and procedures disclosed in the prospectus. We are not obligated to offer any one particular Shield Option and your selling firm may limit the Shield Options available through that firm when your Contract is issued. After the Contract is issued, there will always be at least one Shield Option available although it may not be substantially similar to one of the currently available Shield Options. If we were to offer only one Shield Option, you would be limited to investing in that one Shield Option. If that Shield Option does not meet your investment objectives or financial goals, you could transfer to the Fixed Account, surrender your Contract and/or invest in another investment vehicle. If you surrender your Contract, you might incur taxes, tax penalties, Withdrawal Charges, or an Interim Value calculation. If you invest in another investment vehicle, that investment may have different features, fees, and risks than your Contract. Each Shield Option has an associated (i) Term, (ii) Index, (iii) Shield Rate and (iv) Rate Crediting Type you select.</w:t>
      </w:r>
    </w:p>
    <w:p>
      <w:pPr>
        <w:spacing w:after="0" w:line="84" w:lineRule="exact"/>
        <w:rPr>
          <w:sz w:val="20"/>
          <w:szCs w:val="20"/>
          <w:color w:val="auto"/>
        </w:rPr>
      </w:pPr>
    </w:p>
    <w:p>
      <w:pPr>
        <w:jc w:val="both"/>
        <w:ind w:left="120" w:right="639" w:firstLine="360"/>
        <w:spacing w:after="0" w:line="275" w:lineRule="auto"/>
        <w:rPr>
          <w:sz w:val="20"/>
          <w:szCs w:val="20"/>
          <w:color w:val="auto"/>
        </w:rPr>
      </w:pPr>
      <w:r>
        <w:rPr>
          <w:rFonts w:ascii="Times New Roman" w:cs="Times New Roman" w:eastAsia="Times New Roman" w:hAnsi="Times New Roman"/>
          <w:sz w:val="18"/>
          <w:szCs w:val="18"/>
          <w:color w:val="auto"/>
        </w:rPr>
        <w:t>The following chart lists the Shield Options (each of which is issued with a Cap Rate unless otherwise noted as a Step Rate or Step Rate Edge) currently available and indicates the availability of the Performance Lock Rider: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222885</wp:posOffset>
            </wp:positionV>
            <wp:extent cx="5250180" cy="612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50180" cy="612775"/>
                    </a:xfrm>
                    <a:prstGeom prst="rect">
                      <a:avLst/>
                    </a:prstGeom>
                    <a:noFill/>
                  </pic:spPr>
                </pic:pic>
              </a:graphicData>
            </a:graphic>
          </wp:anchor>
        </w:drawing>
      </w:r>
    </w:p>
    <w:p>
      <w:pPr>
        <w:spacing w:after="0" w:line="36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SHIELD OPTIONS</w:t>
      </w: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2720" w:type="dxa"/>
            <w:vAlign w:val="bottom"/>
            <w:tcBorders>
              <w:top w:val="single" w:sz="8" w:color="auto"/>
              <w:bottom w:val="single" w:sz="8" w:color="F0FFFF"/>
              <w:right w:val="single" w:sz="8" w:color="auto"/>
            </w:tcBorders>
            <w:shd w:val="clear" w:color="auto" w:fill="F0FFFF"/>
          </w:tcPr>
          <w:p>
            <w:pPr>
              <w:ind w:left="10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820" w:type="dxa"/>
            <w:vAlign w:val="bottom"/>
            <w:tcBorders>
              <w:top w:val="single" w:sz="8" w:color="auto"/>
              <w:bottom w:val="single" w:sz="8" w:color="F0FFFF"/>
              <w:right w:val="single" w:sz="8" w:color="auto"/>
            </w:tcBorders>
            <w:shd w:val="clear" w:color="auto" w:fill="F0FFFF"/>
          </w:tcPr>
          <w:p>
            <w:pPr>
              <w:ind w:left="116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2700" w:type="dxa"/>
            <w:vAlign w:val="bottom"/>
            <w:tcBorders>
              <w:top w:val="single" w:sz="8" w:color="auto"/>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4"/>
                <w:szCs w:val="14"/>
                <w:b w:val="1"/>
                <w:bCs w:val="1"/>
                <w:color w:val="auto"/>
              </w:rPr>
              <w:t>PERFORMANCE LOCK AVAILABLE</w:t>
            </w:r>
          </w:p>
        </w:tc>
        <w:tc>
          <w:tcPr>
            <w:tcW w:w="20" w:type="dxa"/>
            <w:vAlign w:val="bottom"/>
            <w:tcBorders>
              <w:top w:val="single" w:sz="8" w:color="auto"/>
            </w:tcBorders>
          </w:tcPr>
          <w:p>
            <w:pPr>
              <w:spacing w:after="0"/>
              <w:rPr>
                <w:sz w:val="19"/>
                <w:szCs w:val="19"/>
                <w:color w:val="auto"/>
              </w:rPr>
            </w:pPr>
          </w:p>
        </w:tc>
      </w:tr>
      <w:tr>
        <w:trPr>
          <w:trHeight w:val="20"/>
        </w:trPr>
        <w:tc>
          <w:tcPr>
            <w:tcW w:w="2720" w:type="dxa"/>
            <w:vAlign w:val="bottom"/>
            <w:tcBorders>
              <w:right w:val="single" w:sz="8" w:color="auto"/>
            </w:tcBorders>
            <w:shd w:val="clear" w:color="auto" w:fill="000000"/>
          </w:tcPr>
          <w:p>
            <w:pPr>
              <w:spacing w:after="0" w:line="20" w:lineRule="exact"/>
              <w:rPr>
                <w:sz w:val="1"/>
                <w:szCs w:val="1"/>
                <w:color w:val="auto"/>
              </w:rPr>
            </w:pPr>
          </w:p>
        </w:tc>
        <w:tc>
          <w:tcPr>
            <w:tcW w:w="2820" w:type="dxa"/>
            <w:vAlign w:val="bottom"/>
            <w:tcBorders>
              <w:right w:val="single" w:sz="8" w:color="auto"/>
            </w:tcBorders>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jc w:val="center"/>
        <w:ind w:right="519"/>
        <w:spacing w:after="0"/>
        <w:rPr>
          <w:sz w:val="20"/>
          <w:szCs w:val="20"/>
          <w:color w:val="auto"/>
        </w:rPr>
      </w:pPr>
      <w:r>
        <w:rPr>
          <w:rFonts w:ascii="Times New Roman" w:cs="Times New Roman" w:eastAsia="Times New Roman" w:hAnsi="Times New Roman"/>
          <w:sz w:val="18"/>
          <w:szCs w:val="18"/>
          <w:color w:val="auto"/>
        </w:rPr>
        <w:t>SHIELD 15</w:t>
      </w:r>
    </w:p>
    <w:p>
      <w:pPr>
        <w:spacing w:after="0" w:line="1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(up to 15% downside protection)</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019"/>
          </w:cols>
          <w:pgMar w:left="1440" w:top="1373" w:right="1440" w:bottom="1440" w:gutter="0" w:footer="0" w:header="0"/>
          <w:type w:val="continuous"/>
        </w:sectPr>
      </w:pPr>
    </w:p>
    <w:bookmarkStart w:id="27" w:name="page28"/>
    <w:bookmarkEnd w:id="27"/>
    <w:p>
      <w:pPr>
        <w:ind w:left="36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80987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8098790"/>
                    </a:xfrm>
                    <a:prstGeom prst="rect">
                      <a:avLst/>
                    </a:prstGeom>
                    <a:noFill/>
                  </pic:spPr>
                </pic:pic>
              </a:graphicData>
            </a:graphic>
          </wp:anchor>
        </w:drawing>
        <w:t>SHIELD OPTIONS</w:t>
      </w: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680" w:type="dxa"/>
            <w:vAlign w:val="bottom"/>
            <w:tcBorders>
              <w:top w:val="single" w:sz="8" w:color="auto"/>
              <w:bottom w:val="single" w:sz="8" w:color="F0FFFF"/>
              <w:right w:val="single" w:sz="8" w:color="auto"/>
            </w:tcBorders>
            <w:shd w:val="clear" w:color="auto" w:fill="F0FFFF"/>
          </w:tcPr>
          <w:p>
            <w:pPr>
              <w:ind w:left="10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860" w:type="dxa"/>
            <w:vAlign w:val="bottom"/>
            <w:tcBorders>
              <w:top w:val="single" w:sz="8" w:color="auto"/>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tc>
        <w:tc>
          <w:tcPr>
            <w:tcW w:w="2700" w:type="dxa"/>
            <w:vAlign w:val="bottom"/>
            <w:tcBorders>
              <w:top w:val="single" w:sz="8" w:color="auto"/>
              <w:bottom w:val="single" w:sz="8" w:color="F0FFFF"/>
            </w:tcBorders>
            <w:shd w:val="clear" w:color="auto" w:fill="F0FFFF"/>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PERFORMANCE LOCK AVAILABLE</w:t>
            </w:r>
          </w:p>
        </w:tc>
        <w:tc>
          <w:tcPr>
            <w:tcW w:w="20" w:type="dxa"/>
            <w:vAlign w:val="bottom"/>
            <w:tcBorders>
              <w:top w:val="single" w:sz="8" w:color="auto"/>
            </w:tcBorders>
          </w:tcPr>
          <w:p>
            <w:pPr>
              <w:spacing w:after="0"/>
              <w:rPr>
                <w:sz w:val="21"/>
                <w:szCs w:val="21"/>
                <w:color w:val="auto"/>
              </w:rPr>
            </w:pPr>
          </w:p>
        </w:tc>
      </w:tr>
      <w:tr>
        <w:trPr>
          <w:trHeight w:val="183"/>
        </w:trPr>
        <w:tc>
          <w:tcPr>
            <w:tcW w:w="2680" w:type="dxa"/>
            <w:vAlign w:val="bottom"/>
            <w:tcBorders>
              <w:top w:val="single" w:sz="8" w:color="auto"/>
              <w:right w:val="single" w:sz="8" w:color="auto"/>
            </w:tcBorders>
          </w:tcPr>
          <w:p>
            <w:pPr>
              <w:ind w:left="1040"/>
              <w:spacing w:after="0" w:line="182" w:lineRule="exact"/>
              <w:rPr>
                <w:sz w:val="20"/>
                <w:szCs w:val="20"/>
                <w:color w:val="auto"/>
              </w:rPr>
            </w:pPr>
            <w:r>
              <w:rPr>
                <w:rFonts w:ascii="Times New Roman" w:cs="Times New Roman" w:eastAsia="Times New Roman" w:hAnsi="Times New Roman"/>
                <w:sz w:val="18"/>
                <w:szCs w:val="18"/>
                <w:color w:val="auto"/>
              </w:rPr>
              <w:t>1 Year</w:t>
            </w:r>
          </w:p>
        </w:tc>
        <w:tc>
          <w:tcPr>
            <w:tcW w:w="286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S&amp;P 500</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Index</w:t>
            </w:r>
          </w:p>
        </w:tc>
        <w:tc>
          <w:tcPr>
            <w:tcW w:w="2700" w:type="dxa"/>
            <w:vAlign w:val="bottom"/>
            <w:tcBorders>
              <w:top w:val="single" w:sz="8" w:color="auto"/>
            </w:tcBorders>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Borders>
              <w:top w:val="single" w:sz="8" w:color="auto"/>
            </w:tcBorders>
          </w:tcPr>
          <w:p>
            <w:pPr>
              <w:spacing w:after="0"/>
              <w:rPr>
                <w:sz w:val="15"/>
                <w:szCs w:val="15"/>
                <w:color w:val="auto"/>
              </w:rPr>
            </w:pPr>
          </w:p>
        </w:tc>
      </w:tr>
      <w:tr>
        <w:trPr>
          <w:trHeight w:val="229"/>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9"/>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Russell 2000</w:t>
            </w:r>
            <w:r>
              <w:rPr>
                <w:rFonts w:ascii="Times New Roman" w:cs="Times New Roman" w:eastAsia="Times New Roman" w:hAnsi="Times New Roman"/>
                <w:sz w:val="23"/>
                <w:szCs w:val="23"/>
                <w:color w:val="auto"/>
                <w:w w:val="96"/>
                <w:vertAlign w:val="superscript"/>
              </w:rPr>
              <w:t>®</w:t>
            </w:r>
            <w:r>
              <w:rPr>
                <w:rFonts w:ascii="Times New Roman" w:cs="Times New Roman" w:eastAsia="Times New Roman" w:hAnsi="Times New Roman"/>
                <w:sz w:val="18"/>
                <w:szCs w:val="18"/>
                <w:color w:val="auto"/>
                <w:w w:val="96"/>
              </w:rPr>
              <w:t xml:space="preserve"> Index</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9"/>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9"/>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MSCI EAFE Index</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6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MSCI EAFE Index Step Rate</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6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MSCI EAFE Index Step Rate Edge</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6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Step Rate</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Nasdaq-100 Index</w:t>
            </w:r>
            <w:r>
              <w:rPr>
                <w:rFonts w:ascii="Times New Roman" w:cs="Times New Roman" w:eastAsia="Times New Roman" w:hAnsi="Times New Roman"/>
                <w:sz w:val="23"/>
                <w:szCs w:val="23"/>
                <w:color w:val="auto"/>
                <w:w w:val="99"/>
                <w:vertAlign w:val="superscript"/>
              </w:rPr>
              <w:t>®</w:t>
            </w:r>
            <w:r>
              <w:rPr>
                <w:rFonts w:ascii="Times New Roman" w:cs="Times New Roman" w:eastAsia="Times New Roman" w:hAnsi="Times New Roman"/>
                <w:sz w:val="18"/>
                <w:szCs w:val="18"/>
                <w:color w:val="auto"/>
                <w:w w:val="99"/>
              </w:rPr>
              <w:t xml:space="preserve"> Step Rate Edge</w:t>
            </w:r>
          </w:p>
        </w:tc>
        <w:tc>
          <w:tcPr>
            <w:tcW w:w="2720" w:type="dxa"/>
            <w:vAlign w:val="bottom"/>
            <w:tcBorders>
              <w:bottom w:val="single" w:sz="8" w:color="auto"/>
            </w:tcBorders>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83"/>
        </w:trPr>
        <w:tc>
          <w:tcPr>
            <w:tcW w:w="2680" w:type="dxa"/>
            <w:vAlign w:val="bottom"/>
            <w:tcBorders>
              <w:right w:val="single" w:sz="8" w:color="auto"/>
            </w:tcBorders>
            <w:shd w:val="clear" w:color="auto" w:fill="F0FFFF"/>
          </w:tcPr>
          <w:p>
            <w:pPr>
              <w:ind w:left="1040"/>
              <w:spacing w:after="0" w:line="182" w:lineRule="exact"/>
              <w:rPr>
                <w:sz w:val="20"/>
                <w:szCs w:val="20"/>
                <w:color w:val="auto"/>
              </w:rPr>
            </w:pPr>
            <w:r>
              <w:rPr>
                <w:rFonts w:ascii="Times New Roman" w:cs="Times New Roman" w:eastAsia="Times New Roman" w:hAnsi="Times New Roman"/>
                <w:sz w:val="18"/>
                <w:szCs w:val="18"/>
                <w:color w:val="auto"/>
              </w:rPr>
              <w:t>2 Year</w:t>
            </w:r>
          </w:p>
        </w:tc>
        <w:tc>
          <w:tcPr>
            <w:tcW w:w="2860" w:type="dxa"/>
            <w:vAlign w:val="bottom"/>
            <w:tcBorders>
              <w:right w:val="single" w:sz="8" w:color="auto"/>
            </w:tcBorders>
            <w:shd w:val="clear" w:color="auto" w:fill="F0FFFF"/>
          </w:tcPr>
          <w:p>
            <w:pPr>
              <w:jc w:val="center"/>
              <w:spacing w:after="0" w:line="183" w:lineRule="exact"/>
              <w:rPr>
                <w:sz w:val="20"/>
                <w:szCs w:val="20"/>
                <w:color w:val="auto"/>
              </w:rPr>
            </w:pPr>
            <w:r>
              <w:rPr>
                <w:rFonts w:ascii="Times New Roman" w:cs="Times New Roman" w:eastAsia="Times New Roman" w:hAnsi="Times New Roman"/>
                <w:sz w:val="17"/>
                <w:szCs w:val="17"/>
                <w:color w:val="auto"/>
              </w:rPr>
              <w:t>S&amp;P 500</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Index Step Rate</w:t>
            </w:r>
          </w:p>
        </w:tc>
        <w:tc>
          <w:tcPr>
            <w:tcW w:w="2700" w:type="dxa"/>
            <w:vAlign w:val="bottom"/>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5"/>
                <w:szCs w:val="15"/>
                <w:color w:val="auto"/>
              </w:rPr>
            </w:pPr>
          </w:p>
        </w:tc>
      </w:tr>
      <w:tr>
        <w:trPr>
          <w:trHeight w:val="229"/>
        </w:trPr>
        <w:tc>
          <w:tcPr>
            <w:tcW w:w="2680" w:type="dxa"/>
            <w:vAlign w:val="bottom"/>
            <w:tcBorders>
              <w:right w:val="single" w:sz="8" w:color="auto"/>
            </w:tcBorders>
            <w:shd w:val="clear" w:color="auto" w:fill="F0FFFF"/>
          </w:tcPr>
          <w:p>
            <w:pPr>
              <w:spacing w:after="0"/>
              <w:rPr>
                <w:sz w:val="19"/>
                <w:szCs w:val="19"/>
                <w:color w:val="auto"/>
              </w:rPr>
            </w:pPr>
          </w:p>
        </w:tc>
        <w:tc>
          <w:tcPr>
            <w:tcW w:w="286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c>
          <w:tcPr>
            <w:tcW w:w="2700" w:type="dxa"/>
            <w:vAlign w:val="bottom"/>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9"/>
                <w:szCs w:val="19"/>
                <w:color w:val="auto"/>
              </w:rPr>
            </w:pPr>
          </w:p>
        </w:tc>
      </w:tr>
      <w:tr>
        <w:trPr>
          <w:trHeight w:val="229"/>
        </w:trPr>
        <w:tc>
          <w:tcPr>
            <w:tcW w:w="2680" w:type="dxa"/>
            <w:vAlign w:val="bottom"/>
            <w:tcBorders>
              <w:right w:val="single" w:sz="8" w:color="auto"/>
            </w:tcBorders>
            <w:shd w:val="clear" w:color="auto" w:fill="F0FFFF"/>
          </w:tcPr>
          <w:p>
            <w:pPr>
              <w:spacing w:after="0"/>
              <w:rPr>
                <w:sz w:val="19"/>
                <w:szCs w:val="19"/>
                <w:color w:val="auto"/>
              </w:rPr>
            </w:pPr>
          </w:p>
        </w:tc>
        <w:tc>
          <w:tcPr>
            <w:tcW w:w="286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c>
          <w:tcPr>
            <w:tcW w:w="2700" w:type="dxa"/>
            <w:vAlign w:val="bottom"/>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9"/>
                <w:szCs w:val="19"/>
                <w:color w:val="auto"/>
              </w:rPr>
            </w:pPr>
          </w:p>
        </w:tc>
      </w:tr>
      <w:tr>
        <w:trPr>
          <w:trHeight w:val="230"/>
        </w:trPr>
        <w:tc>
          <w:tcPr>
            <w:tcW w:w="2680" w:type="dxa"/>
            <w:vAlign w:val="bottom"/>
            <w:tcBorders>
              <w:right w:val="single" w:sz="8" w:color="auto"/>
            </w:tcBorders>
            <w:shd w:val="clear" w:color="auto" w:fill="F0FFFF"/>
          </w:tcPr>
          <w:p>
            <w:pPr>
              <w:spacing w:after="0"/>
              <w:rPr>
                <w:sz w:val="19"/>
                <w:szCs w:val="19"/>
                <w:color w:val="auto"/>
              </w:rPr>
            </w:pPr>
          </w:p>
        </w:tc>
        <w:tc>
          <w:tcPr>
            <w:tcW w:w="286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c>
          <w:tcPr>
            <w:tcW w:w="2700" w:type="dxa"/>
            <w:vAlign w:val="bottom"/>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9"/>
                <w:szCs w:val="19"/>
                <w:color w:val="auto"/>
              </w:rPr>
            </w:pPr>
          </w:p>
        </w:tc>
      </w:tr>
      <w:tr>
        <w:trPr>
          <w:trHeight w:val="229"/>
        </w:trPr>
        <w:tc>
          <w:tcPr>
            <w:tcW w:w="2680" w:type="dxa"/>
            <w:vAlign w:val="bottom"/>
            <w:tcBorders>
              <w:right w:val="single" w:sz="8" w:color="auto"/>
            </w:tcBorders>
            <w:shd w:val="clear" w:color="auto" w:fill="F0FFFF"/>
          </w:tcPr>
          <w:p>
            <w:pPr>
              <w:spacing w:after="0"/>
              <w:rPr>
                <w:sz w:val="19"/>
                <w:szCs w:val="19"/>
                <w:color w:val="auto"/>
              </w:rPr>
            </w:pPr>
          </w:p>
        </w:tc>
        <w:tc>
          <w:tcPr>
            <w:tcW w:w="28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MSCI EAFE Index Step Rate</w:t>
            </w:r>
          </w:p>
        </w:tc>
        <w:tc>
          <w:tcPr>
            <w:tcW w:w="2700" w:type="dxa"/>
            <w:vAlign w:val="bottom"/>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9"/>
                <w:szCs w:val="19"/>
                <w:color w:val="auto"/>
              </w:rPr>
            </w:pPr>
          </w:p>
        </w:tc>
      </w:tr>
      <w:tr>
        <w:trPr>
          <w:trHeight w:val="216"/>
        </w:trPr>
        <w:tc>
          <w:tcPr>
            <w:tcW w:w="2680" w:type="dxa"/>
            <w:vAlign w:val="bottom"/>
            <w:tcBorders>
              <w:right w:val="single" w:sz="8" w:color="auto"/>
            </w:tcBorders>
            <w:shd w:val="clear" w:color="auto" w:fill="F0FFFF"/>
          </w:tcPr>
          <w:p>
            <w:pPr>
              <w:spacing w:after="0"/>
              <w:rPr>
                <w:sz w:val="18"/>
                <w:szCs w:val="18"/>
                <w:color w:val="auto"/>
              </w:rPr>
            </w:pPr>
          </w:p>
        </w:tc>
        <w:tc>
          <w:tcPr>
            <w:tcW w:w="28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MSCI EAFE Index Step Rate Edge</w:t>
            </w:r>
          </w:p>
        </w:tc>
        <w:tc>
          <w:tcPr>
            <w:tcW w:w="2700" w:type="dxa"/>
            <w:vAlign w:val="bottom"/>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8"/>
                <w:szCs w:val="18"/>
                <w:color w:val="auto"/>
              </w:rPr>
            </w:pPr>
          </w:p>
        </w:tc>
      </w:tr>
      <w:tr>
        <w:trPr>
          <w:trHeight w:val="216"/>
        </w:trPr>
        <w:tc>
          <w:tcPr>
            <w:tcW w:w="2680" w:type="dxa"/>
            <w:vAlign w:val="bottom"/>
            <w:tcBorders>
              <w:right w:val="single" w:sz="8" w:color="auto"/>
            </w:tcBorders>
            <w:shd w:val="clear" w:color="auto" w:fill="F0FFFF"/>
          </w:tcPr>
          <w:p>
            <w:pPr>
              <w:spacing w:after="0"/>
              <w:rPr>
                <w:sz w:val="18"/>
                <w:szCs w:val="18"/>
                <w:color w:val="auto"/>
              </w:rPr>
            </w:pPr>
          </w:p>
        </w:tc>
        <w:tc>
          <w:tcPr>
            <w:tcW w:w="2860" w:type="dxa"/>
            <w:vAlign w:val="bottom"/>
            <w:tcBorders>
              <w:right w:val="single" w:sz="8" w:color="auto"/>
            </w:tcBorders>
            <w:shd w:val="clear" w:color="auto" w:fill="F0FFFF"/>
          </w:tcPr>
          <w:p>
            <w:pPr>
              <w:jc w:val="center"/>
              <w:spacing w:after="0" w:line="216"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Step Rate</w:t>
            </w:r>
          </w:p>
        </w:tc>
        <w:tc>
          <w:tcPr>
            <w:tcW w:w="2700" w:type="dxa"/>
            <w:vAlign w:val="bottom"/>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8"/>
                <w:szCs w:val="18"/>
                <w:color w:val="auto"/>
              </w:rPr>
            </w:pPr>
          </w:p>
        </w:tc>
      </w:tr>
      <w:tr>
        <w:trPr>
          <w:trHeight w:val="324"/>
        </w:trPr>
        <w:tc>
          <w:tcPr>
            <w:tcW w:w="2680" w:type="dxa"/>
            <w:vAlign w:val="bottom"/>
            <w:tcBorders>
              <w:bottom w:val="single" w:sz="8" w:color="auto"/>
              <w:right w:val="single" w:sz="8" w:color="auto"/>
            </w:tcBorders>
            <w:shd w:val="clear" w:color="auto" w:fill="F0FFFF"/>
          </w:tcPr>
          <w:p>
            <w:pPr>
              <w:spacing w:after="0"/>
              <w:rPr>
                <w:sz w:val="24"/>
                <w:szCs w:val="24"/>
                <w:color w:val="auto"/>
              </w:rPr>
            </w:pPr>
          </w:p>
        </w:tc>
        <w:tc>
          <w:tcPr>
            <w:tcW w:w="28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Nasdaq-100 Index</w:t>
            </w:r>
            <w:r>
              <w:rPr>
                <w:rFonts w:ascii="Times New Roman" w:cs="Times New Roman" w:eastAsia="Times New Roman" w:hAnsi="Times New Roman"/>
                <w:sz w:val="23"/>
                <w:szCs w:val="23"/>
                <w:color w:val="auto"/>
                <w:w w:val="99"/>
                <w:vertAlign w:val="superscript"/>
              </w:rPr>
              <w:t>®</w:t>
            </w:r>
            <w:r>
              <w:rPr>
                <w:rFonts w:ascii="Times New Roman" w:cs="Times New Roman" w:eastAsia="Times New Roman" w:hAnsi="Times New Roman"/>
                <w:sz w:val="18"/>
                <w:szCs w:val="18"/>
                <w:color w:val="auto"/>
                <w:w w:val="99"/>
              </w:rPr>
              <w:t xml:space="preserve"> Step Rate Edge</w:t>
            </w:r>
          </w:p>
        </w:tc>
        <w:tc>
          <w:tcPr>
            <w:tcW w:w="2700" w:type="dxa"/>
            <w:vAlign w:val="bottom"/>
            <w:tcBorders>
              <w:bottom w:val="single" w:sz="8" w:color="auto"/>
            </w:tcBorders>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Borders>
              <w:bottom w:val="single" w:sz="8" w:color="auto"/>
            </w:tcBorders>
          </w:tcPr>
          <w:p>
            <w:pPr>
              <w:spacing w:after="0"/>
              <w:rPr>
                <w:sz w:val="24"/>
                <w:szCs w:val="24"/>
                <w:color w:val="auto"/>
              </w:rPr>
            </w:pPr>
          </w:p>
        </w:tc>
      </w:tr>
      <w:tr>
        <w:trPr>
          <w:trHeight w:val="183"/>
        </w:trPr>
        <w:tc>
          <w:tcPr>
            <w:tcW w:w="2680" w:type="dxa"/>
            <w:vAlign w:val="bottom"/>
            <w:tcBorders>
              <w:right w:val="single" w:sz="8" w:color="auto"/>
            </w:tcBorders>
          </w:tcPr>
          <w:p>
            <w:pPr>
              <w:ind w:left="1040"/>
              <w:spacing w:after="0" w:line="182" w:lineRule="exact"/>
              <w:rPr>
                <w:sz w:val="20"/>
                <w:szCs w:val="20"/>
                <w:color w:val="auto"/>
              </w:rPr>
            </w:pPr>
            <w:r>
              <w:rPr>
                <w:rFonts w:ascii="Times New Roman" w:cs="Times New Roman" w:eastAsia="Times New Roman" w:hAnsi="Times New Roman"/>
                <w:sz w:val="18"/>
                <w:szCs w:val="18"/>
                <w:color w:val="auto"/>
              </w:rPr>
              <w:t>3 Year</w:t>
            </w:r>
          </w:p>
        </w:tc>
        <w:tc>
          <w:tcPr>
            <w:tcW w:w="28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S&amp;P 500</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Index</w:t>
            </w:r>
          </w:p>
        </w:tc>
        <w:tc>
          <w:tcPr>
            <w:tcW w:w="270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5"/>
                <w:szCs w:val="15"/>
                <w:color w:val="auto"/>
              </w:rPr>
            </w:pPr>
          </w:p>
        </w:tc>
      </w:tr>
      <w:tr>
        <w:trPr>
          <w:trHeight w:val="230"/>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Russell 2000</w:t>
            </w:r>
            <w:r>
              <w:rPr>
                <w:rFonts w:ascii="Times New Roman" w:cs="Times New Roman" w:eastAsia="Times New Roman" w:hAnsi="Times New Roman"/>
                <w:sz w:val="23"/>
                <w:szCs w:val="23"/>
                <w:color w:val="auto"/>
                <w:w w:val="96"/>
                <w:vertAlign w:val="superscript"/>
              </w:rPr>
              <w:t>®</w:t>
            </w:r>
            <w:r>
              <w:rPr>
                <w:rFonts w:ascii="Times New Roman" w:cs="Times New Roman" w:eastAsia="Times New Roman" w:hAnsi="Times New Roman"/>
                <w:sz w:val="18"/>
                <w:szCs w:val="18"/>
                <w:color w:val="auto"/>
                <w:w w:val="96"/>
              </w:rPr>
              <w:t xml:space="preserve"> Index</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MSCI EAFE Index</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10"/>
        </w:trPr>
        <w:tc>
          <w:tcPr>
            <w:tcW w:w="2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c>
          <w:tcPr>
            <w:tcW w:w="2720" w:type="dxa"/>
            <w:vAlign w:val="bottom"/>
            <w:tcBorders>
              <w:bottom w:val="single" w:sz="8" w:color="auto"/>
            </w:tcBorders>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8"/>
        </w:trPr>
        <w:tc>
          <w:tcPr>
            <w:tcW w:w="2680" w:type="dxa"/>
            <w:vAlign w:val="bottom"/>
            <w:tcBorders>
              <w:right w:val="single" w:sz="8" w:color="F0FFFF"/>
            </w:tcBorders>
            <w:shd w:val="clear" w:color="auto" w:fill="F0FFFF"/>
          </w:tcPr>
          <w:p>
            <w:pPr>
              <w:spacing w:after="0"/>
              <w:rPr>
                <w:sz w:val="18"/>
                <w:szCs w:val="18"/>
                <w:color w:val="auto"/>
              </w:rPr>
            </w:pPr>
          </w:p>
        </w:tc>
        <w:tc>
          <w:tcPr>
            <w:tcW w:w="2860" w:type="dxa"/>
            <w:vAlign w:val="bottom"/>
            <w:tcBorders>
              <w:right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SHIELD 10</w:t>
            </w:r>
          </w:p>
        </w:tc>
        <w:tc>
          <w:tcPr>
            <w:tcW w:w="2700" w:type="dxa"/>
            <w:vAlign w:val="bottom"/>
            <w:shd w:val="clear" w:color="auto" w:fill="F0FFFF"/>
          </w:tcPr>
          <w:p>
            <w:pPr>
              <w:spacing w:after="0"/>
              <w:rPr>
                <w:sz w:val="18"/>
                <w:szCs w:val="18"/>
                <w:color w:val="auto"/>
              </w:rPr>
            </w:pPr>
          </w:p>
        </w:tc>
        <w:tc>
          <w:tcPr>
            <w:tcW w:w="20" w:type="dxa"/>
            <w:vAlign w:val="bottom"/>
          </w:tcPr>
          <w:p>
            <w:pPr>
              <w:spacing w:after="0"/>
              <w:rPr>
                <w:sz w:val="18"/>
                <w:szCs w:val="18"/>
                <w:color w:val="auto"/>
              </w:rPr>
            </w:pPr>
          </w:p>
        </w:tc>
      </w:tr>
      <w:tr>
        <w:trPr>
          <w:trHeight w:val="261"/>
        </w:trPr>
        <w:tc>
          <w:tcPr>
            <w:tcW w:w="2680" w:type="dxa"/>
            <w:vAlign w:val="bottom"/>
            <w:tcBorders>
              <w:bottom w:val="single" w:sz="8" w:color="F0FFFF"/>
              <w:right w:val="single" w:sz="8" w:color="F0FFFF"/>
            </w:tcBorders>
            <w:shd w:val="clear" w:color="auto" w:fill="F0FFFF"/>
          </w:tcPr>
          <w:p>
            <w:pPr>
              <w:spacing w:after="0"/>
              <w:rPr>
                <w:sz w:val="22"/>
                <w:szCs w:val="22"/>
                <w:color w:val="auto"/>
              </w:rPr>
            </w:pPr>
          </w:p>
        </w:tc>
        <w:tc>
          <w:tcPr>
            <w:tcW w:w="2860" w:type="dxa"/>
            <w:vAlign w:val="bottom"/>
            <w:tcBorders>
              <w:bottom w:val="single" w:sz="8" w:color="F0FFFF"/>
              <w:right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(up to 10% downside protection)</w:t>
            </w:r>
          </w:p>
        </w:tc>
        <w:tc>
          <w:tcPr>
            <w:tcW w:w="270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183"/>
        </w:trPr>
        <w:tc>
          <w:tcPr>
            <w:tcW w:w="2680" w:type="dxa"/>
            <w:vAlign w:val="bottom"/>
            <w:tcBorders>
              <w:top w:val="single" w:sz="8" w:color="auto"/>
              <w:right w:val="single" w:sz="8" w:color="auto"/>
            </w:tcBorders>
          </w:tcPr>
          <w:p>
            <w:pPr>
              <w:ind w:left="1040"/>
              <w:spacing w:after="0" w:line="182" w:lineRule="exact"/>
              <w:rPr>
                <w:sz w:val="20"/>
                <w:szCs w:val="20"/>
                <w:color w:val="auto"/>
              </w:rPr>
            </w:pPr>
            <w:r>
              <w:rPr>
                <w:rFonts w:ascii="Times New Roman" w:cs="Times New Roman" w:eastAsia="Times New Roman" w:hAnsi="Times New Roman"/>
                <w:sz w:val="18"/>
                <w:szCs w:val="18"/>
                <w:color w:val="auto"/>
              </w:rPr>
              <w:t>1 Year</w:t>
            </w:r>
          </w:p>
        </w:tc>
        <w:tc>
          <w:tcPr>
            <w:tcW w:w="286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S&amp;P 500</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Index</w:t>
            </w:r>
          </w:p>
        </w:tc>
        <w:tc>
          <w:tcPr>
            <w:tcW w:w="2700" w:type="dxa"/>
            <w:vAlign w:val="bottom"/>
            <w:tcBorders>
              <w:top w:val="single" w:sz="8" w:color="auto"/>
            </w:tcBorders>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Borders>
              <w:top w:val="single" w:sz="8" w:color="auto"/>
            </w:tcBorders>
          </w:tcPr>
          <w:p>
            <w:pPr>
              <w:spacing w:after="0"/>
              <w:rPr>
                <w:sz w:val="15"/>
                <w:szCs w:val="15"/>
                <w:color w:val="auto"/>
              </w:rPr>
            </w:pPr>
          </w:p>
        </w:tc>
      </w:tr>
      <w:tr>
        <w:trPr>
          <w:trHeight w:val="229"/>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Russell 2000</w:t>
            </w:r>
            <w:r>
              <w:rPr>
                <w:rFonts w:ascii="Times New Roman" w:cs="Times New Roman" w:eastAsia="Times New Roman" w:hAnsi="Times New Roman"/>
                <w:sz w:val="23"/>
                <w:szCs w:val="23"/>
                <w:color w:val="auto"/>
                <w:w w:val="96"/>
                <w:vertAlign w:val="superscript"/>
              </w:rPr>
              <w:t>®</w:t>
            </w:r>
            <w:r>
              <w:rPr>
                <w:rFonts w:ascii="Times New Roman" w:cs="Times New Roman" w:eastAsia="Times New Roman" w:hAnsi="Times New Roman"/>
                <w:sz w:val="18"/>
                <w:szCs w:val="18"/>
                <w:color w:val="auto"/>
                <w:w w:val="96"/>
              </w:rPr>
              <w:t xml:space="preserve"> Index</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9"/>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MSCI EAFE Index</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6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MSCI EAFE Index Step Rate</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6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MSCI EAFE Index Step Rate Edge</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6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6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Step Rate</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Nasdaq-100 Index</w:t>
            </w:r>
            <w:r>
              <w:rPr>
                <w:rFonts w:ascii="Times New Roman" w:cs="Times New Roman" w:eastAsia="Times New Roman" w:hAnsi="Times New Roman"/>
                <w:sz w:val="23"/>
                <w:szCs w:val="23"/>
                <w:color w:val="auto"/>
                <w:w w:val="99"/>
                <w:vertAlign w:val="superscript"/>
              </w:rPr>
              <w:t>®</w:t>
            </w:r>
            <w:r>
              <w:rPr>
                <w:rFonts w:ascii="Times New Roman" w:cs="Times New Roman" w:eastAsia="Times New Roman" w:hAnsi="Times New Roman"/>
                <w:sz w:val="18"/>
                <w:szCs w:val="18"/>
                <w:color w:val="auto"/>
                <w:w w:val="99"/>
              </w:rPr>
              <w:t xml:space="preserve"> Step Rate Edge</w:t>
            </w:r>
          </w:p>
        </w:tc>
        <w:tc>
          <w:tcPr>
            <w:tcW w:w="2720" w:type="dxa"/>
            <w:vAlign w:val="bottom"/>
            <w:tcBorders>
              <w:bottom w:val="single" w:sz="8" w:color="auto"/>
            </w:tcBorders>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82"/>
        </w:trPr>
        <w:tc>
          <w:tcPr>
            <w:tcW w:w="2680" w:type="dxa"/>
            <w:vAlign w:val="bottom"/>
            <w:tcBorders>
              <w:right w:val="single" w:sz="8" w:color="auto"/>
            </w:tcBorders>
            <w:shd w:val="clear" w:color="auto" w:fill="F0FFFF"/>
          </w:tcPr>
          <w:p>
            <w:pPr>
              <w:ind w:left="1040"/>
              <w:spacing w:after="0" w:line="182" w:lineRule="exact"/>
              <w:rPr>
                <w:sz w:val="20"/>
                <w:szCs w:val="20"/>
                <w:color w:val="auto"/>
              </w:rPr>
            </w:pPr>
            <w:r>
              <w:rPr>
                <w:rFonts w:ascii="Times New Roman" w:cs="Times New Roman" w:eastAsia="Times New Roman" w:hAnsi="Times New Roman"/>
                <w:sz w:val="18"/>
                <w:szCs w:val="18"/>
                <w:color w:val="auto"/>
              </w:rPr>
              <w:t>2 Year</w:t>
            </w:r>
          </w:p>
        </w:tc>
        <w:tc>
          <w:tcPr>
            <w:tcW w:w="2860" w:type="dxa"/>
            <w:vAlign w:val="bottom"/>
            <w:tcBorders>
              <w:right w:val="single" w:sz="8" w:color="auto"/>
            </w:tcBorders>
            <w:shd w:val="clear" w:color="auto" w:fill="F0FFFF"/>
          </w:tcPr>
          <w:p>
            <w:pPr>
              <w:jc w:val="center"/>
              <w:spacing w:after="0" w:line="183" w:lineRule="exact"/>
              <w:rPr>
                <w:sz w:val="20"/>
                <w:szCs w:val="20"/>
                <w:color w:val="auto"/>
              </w:rPr>
            </w:pPr>
            <w:r>
              <w:rPr>
                <w:rFonts w:ascii="Times New Roman" w:cs="Times New Roman" w:eastAsia="Times New Roman" w:hAnsi="Times New Roman"/>
                <w:sz w:val="17"/>
                <w:szCs w:val="17"/>
                <w:color w:val="auto"/>
              </w:rPr>
              <w:t>S&amp;P 500</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Index Step Rate</w:t>
            </w:r>
          </w:p>
        </w:tc>
        <w:tc>
          <w:tcPr>
            <w:tcW w:w="2700" w:type="dxa"/>
            <w:vAlign w:val="bottom"/>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5"/>
                <w:szCs w:val="15"/>
                <w:color w:val="auto"/>
              </w:rPr>
            </w:pPr>
          </w:p>
        </w:tc>
      </w:tr>
      <w:tr>
        <w:trPr>
          <w:trHeight w:val="230"/>
        </w:trPr>
        <w:tc>
          <w:tcPr>
            <w:tcW w:w="2680" w:type="dxa"/>
            <w:vAlign w:val="bottom"/>
            <w:tcBorders>
              <w:right w:val="single" w:sz="8" w:color="auto"/>
            </w:tcBorders>
            <w:shd w:val="clear" w:color="auto" w:fill="F0FFFF"/>
          </w:tcPr>
          <w:p>
            <w:pPr>
              <w:spacing w:after="0"/>
              <w:rPr>
                <w:sz w:val="19"/>
                <w:szCs w:val="19"/>
                <w:color w:val="auto"/>
              </w:rPr>
            </w:pPr>
          </w:p>
        </w:tc>
        <w:tc>
          <w:tcPr>
            <w:tcW w:w="286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c>
          <w:tcPr>
            <w:tcW w:w="2700" w:type="dxa"/>
            <w:vAlign w:val="bottom"/>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9"/>
                <w:szCs w:val="19"/>
                <w:color w:val="auto"/>
              </w:rPr>
            </w:pPr>
          </w:p>
        </w:tc>
      </w:tr>
      <w:tr>
        <w:trPr>
          <w:trHeight w:val="230"/>
        </w:trPr>
        <w:tc>
          <w:tcPr>
            <w:tcW w:w="2680" w:type="dxa"/>
            <w:vAlign w:val="bottom"/>
            <w:tcBorders>
              <w:right w:val="single" w:sz="8" w:color="auto"/>
            </w:tcBorders>
            <w:shd w:val="clear" w:color="auto" w:fill="F0FFFF"/>
          </w:tcPr>
          <w:p>
            <w:pPr>
              <w:spacing w:after="0"/>
              <w:rPr>
                <w:sz w:val="19"/>
                <w:szCs w:val="19"/>
                <w:color w:val="auto"/>
              </w:rPr>
            </w:pPr>
          </w:p>
        </w:tc>
        <w:tc>
          <w:tcPr>
            <w:tcW w:w="286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c>
          <w:tcPr>
            <w:tcW w:w="2700" w:type="dxa"/>
            <w:vAlign w:val="bottom"/>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9"/>
                <w:szCs w:val="19"/>
                <w:color w:val="auto"/>
              </w:rPr>
            </w:pPr>
          </w:p>
        </w:tc>
      </w:tr>
      <w:tr>
        <w:trPr>
          <w:trHeight w:val="230"/>
        </w:trPr>
        <w:tc>
          <w:tcPr>
            <w:tcW w:w="2680" w:type="dxa"/>
            <w:vAlign w:val="bottom"/>
            <w:tcBorders>
              <w:right w:val="single" w:sz="8" w:color="auto"/>
            </w:tcBorders>
            <w:shd w:val="clear" w:color="auto" w:fill="F0FFFF"/>
          </w:tcPr>
          <w:p>
            <w:pPr>
              <w:spacing w:after="0"/>
              <w:rPr>
                <w:sz w:val="19"/>
                <w:szCs w:val="19"/>
                <w:color w:val="auto"/>
              </w:rPr>
            </w:pPr>
          </w:p>
        </w:tc>
        <w:tc>
          <w:tcPr>
            <w:tcW w:w="286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c>
          <w:tcPr>
            <w:tcW w:w="2700" w:type="dxa"/>
            <w:vAlign w:val="bottom"/>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9"/>
                <w:szCs w:val="19"/>
                <w:color w:val="auto"/>
              </w:rPr>
            </w:pPr>
          </w:p>
        </w:tc>
      </w:tr>
      <w:tr>
        <w:trPr>
          <w:trHeight w:val="229"/>
        </w:trPr>
        <w:tc>
          <w:tcPr>
            <w:tcW w:w="2680" w:type="dxa"/>
            <w:vAlign w:val="bottom"/>
            <w:tcBorders>
              <w:right w:val="single" w:sz="8" w:color="auto"/>
            </w:tcBorders>
            <w:shd w:val="clear" w:color="auto" w:fill="F0FFFF"/>
          </w:tcPr>
          <w:p>
            <w:pPr>
              <w:spacing w:after="0"/>
              <w:rPr>
                <w:sz w:val="19"/>
                <w:szCs w:val="19"/>
                <w:color w:val="auto"/>
              </w:rPr>
            </w:pPr>
          </w:p>
        </w:tc>
        <w:tc>
          <w:tcPr>
            <w:tcW w:w="28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MSCI EAFE Index Step Rate</w:t>
            </w:r>
          </w:p>
        </w:tc>
        <w:tc>
          <w:tcPr>
            <w:tcW w:w="2700" w:type="dxa"/>
            <w:vAlign w:val="bottom"/>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9"/>
                <w:szCs w:val="19"/>
                <w:color w:val="auto"/>
              </w:rPr>
            </w:pPr>
          </w:p>
        </w:tc>
      </w:tr>
      <w:tr>
        <w:trPr>
          <w:trHeight w:val="216"/>
        </w:trPr>
        <w:tc>
          <w:tcPr>
            <w:tcW w:w="2680" w:type="dxa"/>
            <w:vAlign w:val="bottom"/>
            <w:tcBorders>
              <w:right w:val="single" w:sz="8" w:color="auto"/>
            </w:tcBorders>
            <w:shd w:val="clear" w:color="auto" w:fill="F0FFFF"/>
          </w:tcPr>
          <w:p>
            <w:pPr>
              <w:spacing w:after="0"/>
              <w:rPr>
                <w:sz w:val="18"/>
                <w:szCs w:val="18"/>
                <w:color w:val="auto"/>
              </w:rPr>
            </w:pPr>
          </w:p>
        </w:tc>
        <w:tc>
          <w:tcPr>
            <w:tcW w:w="286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MSCI EAFE Index Step Rate Edge</w:t>
            </w:r>
          </w:p>
        </w:tc>
        <w:tc>
          <w:tcPr>
            <w:tcW w:w="2700" w:type="dxa"/>
            <w:vAlign w:val="bottom"/>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8"/>
                <w:szCs w:val="18"/>
                <w:color w:val="auto"/>
              </w:rPr>
            </w:pPr>
          </w:p>
        </w:tc>
      </w:tr>
      <w:tr>
        <w:trPr>
          <w:trHeight w:val="216"/>
        </w:trPr>
        <w:tc>
          <w:tcPr>
            <w:tcW w:w="2680" w:type="dxa"/>
            <w:vAlign w:val="bottom"/>
            <w:tcBorders>
              <w:right w:val="single" w:sz="8" w:color="auto"/>
            </w:tcBorders>
            <w:shd w:val="clear" w:color="auto" w:fill="F0FFFF"/>
          </w:tcPr>
          <w:p>
            <w:pPr>
              <w:spacing w:after="0"/>
              <w:rPr>
                <w:sz w:val="18"/>
                <w:szCs w:val="18"/>
                <w:color w:val="auto"/>
              </w:rPr>
            </w:pPr>
          </w:p>
        </w:tc>
        <w:tc>
          <w:tcPr>
            <w:tcW w:w="2860" w:type="dxa"/>
            <w:vAlign w:val="bottom"/>
            <w:tcBorders>
              <w:right w:val="single" w:sz="8" w:color="auto"/>
            </w:tcBorders>
            <w:shd w:val="clear" w:color="auto" w:fill="F0FFFF"/>
          </w:tcPr>
          <w:p>
            <w:pPr>
              <w:jc w:val="center"/>
              <w:spacing w:after="0" w:line="216"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Step Rate</w:t>
            </w:r>
          </w:p>
        </w:tc>
        <w:tc>
          <w:tcPr>
            <w:tcW w:w="2700" w:type="dxa"/>
            <w:vAlign w:val="bottom"/>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8"/>
                <w:szCs w:val="18"/>
                <w:color w:val="auto"/>
              </w:rPr>
            </w:pPr>
          </w:p>
        </w:tc>
      </w:tr>
      <w:tr>
        <w:trPr>
          <w:trHeight w:val="324"/>
        </w:trPr>
        <w:tc>
          <w:tcPr>
            <w:tcW w:w="2680" w:type="dxa"/>
            <w:vAlign w:val="bottom"/>
            <w:tcBorders>
              <w:bottom w:val="single" w:sz="8" w:color="auto"/>
              <w:right w:val="single" w:sz="8" w:color="auto"/>
            </w:tcBorders>
            <w:shd w:val="clear" w:color="auto" w:fill="F0FFFF"/>
          </w:tcPr>
          <w:p>
            <w:pPr>
              <w:spacing w:after="0"/>
              <w:rPr>
                <w:sz w:val="24"/>
                <w:szCs w:val="24"/>
                <w:color w:val="auto"/>
              </w:rPr>
            </w:pPr>
          </w:p>
        </w:tc>
        <w:tc>
          <w:tcPr>
            <w:tcW w:w="286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Nasdaq-100 Index</w:t>
            </w:r>
            <w:r>
              <w:rPr>
                <w:rFonts w:ascii="Times New Roman" w:cs="Times New Roman" w:eastAsia="Times New Roman" w:hAnsi="Times New Roman"/>
                <w:sz w:val="23"/>
                <w:szCs w:val="23"/>
                <w:color w:val="auto"/>
                <w:w w:val="99"/>
                <w:vertAlign w:val="superscript"/>
              </w:rPr>
              <w:t>®</w:t>
            </w:r>
            <w:r>
              <w:rPr>
                <w:rFonts w:ascii="Times New Roman" w:cs="Times New Roman" w:eastAsia="Times New Roman" w:hAnsi="Times New Roman"/>
                <w:sz w:val="18"/>
                <w:szCs w:val="18"/>
                <w:color w:val="auto"/>
                <w:w w:val="99"/>
              </w:rPr>
              <w:t xml:space="preserve"> Step Rate Edge</w:t>
            </w:r>
          </w:p>
        </w:tc>
        <w:tc>
          <w:tcPr>
            <w:tcW w:w="2700" w:type="dxa"/>
            <w:vAlign w:val="bottom"/>
            <w:tcBorders>
              <w:bottom w:val="single" w:sz="8" w:color="auto"/>
            </w:tcBorders>
            <w:shd w:val="clear" w:color="auto" w:fill="F0FFFF"/>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Borders>
              <w:bottom w:val="single" w:sz="8" w:color="auto"/>
            </w:tcBorders>
          </w:tcPr>
          <w:p>
            <w:pPr>
              <w:spacing w:after="0"/>
              <w:rPr>
                <w:sz w:val="24"/>
                <w:szCs w:val="24"/>
                <w:color w:val="auto"/>
              </w:rPr>
            </w:pPr>
          </w:p>
        </w:tc>
      </w:tr>
      <w:tr>
        <w:trPr>
          <w:trHeight w:val="169"/>
        </w:trPr>
        <w:tc>
          <w:tcPr>
            <w:tcW w:w="2680" w:type="dxa"/>
            <w:vAlign w:val="bottom"/>
            <w:tcBorders>
              <w:right w:val="single" w:sz="8" w:color="auto"/>
            </w:tcBorders>
          </w:tcPr>
          <w:p>
            <w:pPr>
              <w:ind w:left="1040"/>
              <w:spacing w:after="0" w:line="169" w:lineRule="exact"/>
              <w:rPr>
                <w:sz w:val="20"/>
                <w:szCs w:val="20"/>
                <w:color w:val="auto"/>
              </w:rPr>
            </w:pPr>
            <w:r>
              <w:rPr>
                <w:rFonts w:ascii="Times New Roman" w:cs="Times New Roman" w:eastAsia="Times New Roman" w:hAnsi="Times New Roman"/>
                <w:sz w:val="18"/>
                <w:szCs w:val="18"/>
                <w:color w:val="auto"/>
              </w:rPr>
              <w:t>3 Year</w:t>
            </w:r>
          </w:p>
        </w:tc>
        <w:tc>
          <w:tcPr>
            <w:tcW w:w="28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color w:val="auto"/>
              </w:rPr>
              <w:t>S&amp;P 500</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Index</w:t>
            </w:r>
          </w:p>
        </w:tc>
        <w:tc>
          <w:tcPr>
            <w:tcW w:w="2700" w:type="dxa"/>
            <w:vAlign w:val="bottom"/>
          </w:tcPr>
          <w:p>
            <w:pPr>
              <w:jc w:val="center"/>
              <w:ind w:left="10"/>
              <w:spacing w:after="0" w:line="169"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4"/>
                <w:szCs w:val="14"/>
                <w:color w:val="auto"/>
              </w:rPr>
            </w:pPr>
          </w:p>
        </w:tc>
      </w:tr>
      <w:tr>
        <w:trPr>
          <w:trHeight w:val="216"/>
        </w:trPr>
        <w:tc>
          <w:tcPr>
            <w:tcW w:w="26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8"/>
                <w:szCs w:val="18"/>
                <w:color w:val="auto"/>
                <w:w w:val="96"/>
              </w:rPr>
              <w:t>Russell 2000</w:t>
            </w:r>
            <w:r>
              <w:rPr>
                <w:rFonts w:ascii="Times New Roman" w:cs="Times New Roman" w:eastAsia="Times New Roman" w:hAnsi="Times New Roman"/>
                <w:sz w:val="23"/>
                <w:szCs w:val="23"/>
                <w:color w:val="auto"/>
                <w:w w:val="96"/>
                <w:vertAlign w:val="superscript"/>
              </w:rPr>
              <w:t>®</w:t>
            </w:r>
            <w:r>
              <w:rPr>
                <w:rFonts w:ascii="Times New Roman" w:cs="Times New Roman" w:eastAsia="Times New Roman" w:hAnsi="Times New Roman"/>
                <w:sz w:val="18"/>
                <w:szCs w:val="18"/>
                <w:color w:val="auto"/>
                <w:w w:val="96"/>
              </w:rPr>
              <w:t xml:space="preserve"> Index</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03"/>
        </w:trPr>
        <w:tc>
          <w:tcPr>
            <w:tcW w:w="2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MSCI EAFE Index</w:t>
            </w:r>
          </w:p>
        </w:tc>
        <w:tc>
          <w:tcPr>
            <w:tcW w:w="27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4"/>
        </w:trPr>
        <w:tc>
          <w:tcPr>
            <w:tcW w:w="2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c>
          <w:tcPr>
            <w:tcW w:w="2720" w:type="dxa"/>
            <w:vAlign w:val="bottom"/>
            <w:tcBorders>
              <w:bottom w:val="single" w:sz="8" w:color="auto"/>
            </w:tcBorders>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4"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The Indices are described in more detail below, under the heading “Indices.” For each new Shield Option we declare a new Cap Rate, Step Rate, or Edge Rate, as applicable, for each Term. The initial Cap Rate, Step Rate, or Edge Rate, as applicable, for each Shield Option is declared on the Issue Date. Thereafter the Cap Rate, Step Rate, or Edge Rate, as applicable, for each subsequent Shield Option is declared for each subsequent Term. See “Cap Rate," “Step Rate," and “Step Rate Edge”.</w:t>
      </w:r>
    </w:p>
    <w:p>
      <w:pPr>
        <w:sectPr>
          <w:pgSz w:w="11900" w:h="16838" w:orient="portrait"/>
          <w:cols w:equalWidth="0" w:num="1">
            <w:col w:w="9019"/>
          </w:cols>
          <w:pgMar w:left="1440" w:top="1424" w:right="1440" w:bottom="906" w:gutter="0" w:footer="0" w:header="0"/>
        </w:sectPr>
      </w:pPr>
    </w:p>
    <w:p>
      <w:pPr>
        <w:spacing w:after="0" w:line="26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019"/>
          </w:cols>
          <w:pgMar w:left="1440" w:top="1424" w:right="1440" w:bottom="906" w:gutter="0" w:footer="0" w:header="0"/>
          <w:type w:val="continuous"/>
        </w:sectPr>
      </w:pPr>
    </w:p>
    <w:bookmarkStart w:id="28" w:name="page29"/>
    <w:bookmarkEnd w:id="28"/>
    <w:p>
      <w:pPr>
        <w:jc w:val="both"/>
        <w:ind w:left="120" w:right="63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xml:space="preserve">Please note, Shield Options with higher Shield Rates tend to have lower Cap Rates, Step Rates, and Edge Rates, as applicable, than other Shield Options that use the same Index and Term but provide lower Shield Rates. </w:t>
      </w:r>
      <w:r>
        <w:rPr>
          <w:rFonts w:ascii="Times New Roman" w:cs="Times New Roman" w:eastAsia="Times New Roman" w:hAnsi="Times New Roman"/>
          <w:sz w:val="18"/>
          <w:szCs w:val="18"/>
          <w:color w:val="auto"/>
        </w:rPr>
        <w:t>For example, a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Index with a 3-Year Term and a Shield 15 will tend to have a Cap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lower than a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3-Year Term and a Shield 10.</w:t>
      </w:r>
    </w:p>
    <w:p>
      <w:pPr>
        <w:spacing w:after="0" w:line="4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A Shield Option will always be available; however, we reserve the right to change the duration of any new Shield Options, stop offering any of the Shield Options or suspend offering any of the Shield Options. We may also add Shield Options in the future. All Shield Options may not be available in all states.</w:t>
      </w:r>
    </w:p>
    <w:p>
      <w:pPr>
        <w:spacing w:after="0" w:line="28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Term is the number of years that a Shield Option is in effect. For specific Shield Options we currently offer Terms of 1 year, 2 years, 3 years, or 6 years. An initial Term(s) begins on the Issue Date. A Term ends and a subsequent Term begins on the Contract Anniversary coinciding with the duration of the then current Term for the Shield Option you have selected.</w:t>
      </w:r>
    </w:p>
    <w:p>
      <w:pPr>
        <w:spacing w:after="0" w:line="72"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In deciding whether to purchase a Shield Option with a longer or shorter Term, consider that investing in Shield Options with shorter Terms will provide more opportunities for receiving Performance Rate Adjustments, and reallocating Account Value in response to changing market conditions. Additionally, there will be more opportunities to access your Account Value without resulting in an Interim Value calculation (and any associated proportional reduction to your Investment Amount). However, Shield Options with shorter Terms may have less potential for Index gains because Index Performance is measured over a shorter period of time. Conversely, investing in Shield Options with longer Terms will provide fewer opportunities for Performance Rate Adjustments and reduce the frequency at which you can reallocate Account Value, in addition to limiting your ability to access your Account Value without an Interim Value calculation. However, Shield Options with longer Terms may provide more potential for Index gains.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Each Shield Option will have a Term Start Date, which is the Contract Anniversary on which a Shield Option is established. The initial Term Start Date(s) begins on the Issue Date, and thereafter, will be the Contract Anniversary coinciding with the duration of the Term for the Shield Option completed.</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End Date</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Each Shield Option will have a Term End Date, which is the Contract Anniversary on which a Shield Option ends. Thirty (30) days in advance of the Term End Date, we will send you written notification stating that your current Shield Option is maturing and that, at the Term End Date, the Investment Amount allocated to that Shield Option will automatically be renewed into the same Shield Option unless you instruct us to transfer such amount into a different Shield Option(s) or the Fixed Account, if available. The notification will inform you of what your maturing Shield Options are and explain how you can obtain the different Shield Options available at the Term End Date, including the renewal Cap Rates, Step Rates, and Edge Rates, and the interest rate for the Fixed Account. You may also access information on our website at [TO BE UPDATED BY AMENDMENT] where at least two months of available Shield Options and renewal rates are posted. If the same Shield Option is no longer available at the Term End Date, the Investment Amount will automatically transfer into the Fixed Account at the Term End Date, unless you instruct us otherwise. The amounts transferred to the Fixed Account must remain in the Fixed Account until the Interest Rate Term End Date (which, currently, will not be less than one (1) year). If the Fixed Account is not available, the Investment Amount will automatically transfer into the Shield Option with, in order of priority, the shortest Term, the highest Shield Rate and the lowest Cap Rate from the Shield Options available at the Term End Date, unless you instruct us otherwise. You have the Transfer Period to notify us that you want to transfer some or all of your Investment Amount to a new Shield Option(s) or the Fixed Account. For renewals into the same Shield Option, a new Cap Rate, Step Rate, or Edge Rate, as applicable, will be declared and will go into effect on the Contract Anniversary that coincides with the beginning of the new Term in the Shield Option that just ended. The amount transferred to the new Shield Option is the Investment Amount as of the Contract Anniversary.</w:t>
      </w:r>
    </w:p>
    <w:p>
      <w:pPr>
        <w:spacing w:after="0" w:line="77"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Amounts must remain in a Shield Option until the Term End Date to be credited with all or partial interest, as applicable, and to avoid a reduction in Interim Value and any proportional reduction to the Investment Amount associated with the Shield Option, in addition to potential tax consequences. Between the Term Start Date and the Term End Date, an Interim Value calculation is used to determine the amounts available for annuitization, death benefit payments, withdrawals (including RMDs and systematic withdrawals), and Surrenders. See “Interim Value Calculation” for more information.</w:t>
      </w:r>
    </w:p>
    <w:p>
      <w:pPr>
        <w:sectPr>
          <w:pgSz w:w="11900" w:h="16838" w:orient="portrait"/>
          <w:cols w:equalWidth="0" w:num="1">
            <w:col w:w="9019"/>
          </w:cols>
          <w:pgMar w:left="1440" w:top="1373" w:right="1440" w:bottom="1440" w:gutter="0" w:footer="0" w:header="0"/>
        </w:sectPr>
      </w:pPr>
    </w:p>
    <w:p>
      <w:pPr>
        <w:spacing w:after="0" w:line="26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019"/>
          </w:cols>
          <w:pgMar w:left="1440" w:top="1373" w:right="1440" w:bottom="1440" w:gutter="0" w:footer="0" w:header="0"/>
          <w:type w:val="continuous"/>
        </w:sectPr>
      </w:pPr>
    </w:p>
    <w:bookmarkStart w:id="29" w:name="page30"/>
    <w:bookmarkEnd w:id="29"/>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INDICES</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Performance Rate of a Shield Option is based on the performance of the associated Index. We currently offer Shield Options with indices based on the performance of securities. In the future we may offer Shield Options based on other types of indices. We may also add or remove indices for new Contracts at our discretion.</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Each Index is a “price return index,” not a “total return index,” and therefore does not reflect dividends declared by any of the companies in this Index. This will reduce the Index Performance and will cause the Index to underperform a direct investment in the securities composing the Index.</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Indices are currently available:</w:t>
      </w:r>
    </w:p>
    <w:p>
      <w:pPr>
        <w:spacing w:after="0" w:line="98" w:lineRule="exact"/>
        <w:rPr>
          <w:sz w:val="20"/>
          <w:szCs w:val="20"/>
          <w:color w:val="auto"/>
        </w:rPr>
      </w:pPr>
    </w:p>
    <w:p>
      <w:pPr>
        <w:jc w:val="both"/>
        <w:ind w:left="120" w:right="639" w:firstLine="360"/>
        <w:spacing w:after="0" w:line="250" w:lineRule="auto"/>
        <w:rPr>
          <w:sz w:val="20"/>
          <w:szCs w:val="20"/>
          <w:color w:val="auto"/>
        </w:rPr>
      </w:pPr>
      <w:r>
        <w:rPr>
          <w:rFonts w:ascii="Times New Roman" w:cs="Times New Roman" w:eastAsia="Times New Roman" w:hAnsi="Times New Roman"/>
          <w:sz w:val="18"/>
          <w:szCs w:val="18"/>
          <w:i w:val="1"/>
          <w:iCs w:val="1"/>
          <w:color w:val="auto"/>
        </w:rPr>
        <w:t>S&amp;P 500</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Index (Price Return Index).</w:t>
      </w:r>
      <w:r>
        <w:rPr>
          <w:rFonts w:ascii="Times New Roman" w:cs="Times New Roman" w:eastAsia="Times New Roman" w:hAnsi="Times New Roman"/>
          <w:sz w:val="18"/>
          <w:szCs w:val="18"/>
          <w:color w:val="auto"/>
        </w:rPr>
        <w:t xml:space="preserve">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Index includes 500 large cap stocks from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in leading industries of the U.S. economy, capturing approximately 80% coverage of U.S. equities by market capitalization.</w:t>
      </w:r>
    </w:p>
    <w:p>
      <w:pPr>
        <w:spacing w:after="0" w:line="63" w:lineRule="exact"/>
        <w:rPr>
          <w:sz w:val="20"/>
          <w:szCs w:val="20"/>
          <w:color w:val="auto"/>
        </w:rPr>
      </w:pPr>
    </w:p>
    <w:p>
      <w:pPr>
        <w:jc w:val="both"/>
        <w:ind w:left="120" w:right="659" w:firstLine="360"/>
        <w:spacing w:after="0" w:line="236" w:lineRule="auto"/>
        <w:rPr>
          <w:sz w:val="20"/>
          <w:szCs w:val="20"/>
          <w:color w:val="auto"/>
        </w:rPr>
      </w:pPr>
      <w:r>
        <w:rPr>
          <w:rFonts w:ascii="Times New Roman" w:cs="Times New Roman" w:eastAsia="Times New Roman" w:hAnsi="Times New Roman"/>
          <w:sz w:val="18"/>
          <w:szCs w:val="18"/>
          <w:i w:val="1"/>
          <w:iCs w:val="1"/>
          <w:color w:val="auto"/>
        </w:rPr>
        <w:t>Russell 2000</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Index (Price Return Index).</w:t>
      </w:r>
      <w:r>
        <w:rPr>
          <w:rFonts w:ascii="Times New Roman" w:cs="Times New Roman" w:eastAsia="Times New Roman" w:hAnsi="Times New Roman"/>
          <w:sz w:val="18"/>
          <w:szCs w:val="18"/>
          <w:color w:val="auto"/>
        </w:rPr>
        <w:t xml:space="preserve">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Index measures the performance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small-cap segment of the U.S. equity universe. The Russell 2000 is a subset of the Russell 3000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representing approximately 10% of the total market capitalization of that index. It includes approximately 2000 of the smallest securities based on a combination of their market cap and current index membership.</w:t>
      </w:r>
    </w:p>
    <w:p>
      <w:pPr>
        <w:spacing w:after="0" w:line="8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MSCI EAFE Index (Price Return Index).</w:t>
      </w:r>
      <w:r>
        <w:rPr>
          <w:rFonts w:ascii="Times New Roman" w:cs="Times New Roman" w:eastAsia="Times New Roman" w:hAnsi="Times New Roman"/>
          <w:sz w:val="18"/>
          <w:szCs w:val="18"/>
          <w:color w:val="auto"/>
        </w:rPr>
        <w:t xml:space="preserve">  The MSCI EAFE Index (Europe, Australasia, Far East) is a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float-adjusted market capitalization index that is designed to measure the equity market performance of developed markets, excluding the US &amp; Canada. As of the date of this prospectus the MSCI EAFE Index consists of the following 21 developed market country indices: Australia, Austria, Belgium, Denmark, Finland, France, Germany, Hong Kong, Ireland, Israel, Italy, Japan, the Netherlands, New Zealand, Norway, Portugal, Singapore, Spain, Sweden, Switzerland, and the United Kingdom. Index Value and Index Performance will be calculated without any exchange rate adjustment.</w:t>
      </w:r>
    </w:p>
    <w:p>
      <w:pPr>
        <w:spacing w:after="0" w:line="58" w:lineRule="exact"/>
        <w:rPr>
          <w:sz w:val="20"/>
          <w:szCs w:val="20"/>
          <w:color w:val="auto"/>
        </w:rPr>
      </w:pPr>
    </w:p>
    <w:p>
      <w:pPr>
        <w:jc w:val="both"/>
        <w:ind w:left="120" w:right="659" w:firstLine="360"/>
        <w:spacing w:after="0" w:line="250" w:lineRule="auto"/>
        <w:rPr>
          <w:sz w:val="20"/>
          <w:szCs w:val="20"/>
          <w:color w:val="auto"/>
        </w:rPr>
      </w:pPr>
      <w:r>
        <w:rPr>
          <w:rFonts w:ascii="Times New Roman" w:cs="Times New Roman" w:eastAsia="Times New Roman" w:hAnsi="Times New Roman"/>
          <w:sz w:val="18"/>
          <w:szCs w:val="18"/>
          <w:i w:val="1"/>
          <w:iCs w:val="1"/>
          <w:color w:val="auto"/>
        </w:rPr>
        <w:t>Nasdaq-100 Index</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(Price Return Index). </w:t>
      </w:r>
      <w:r>
        <w:rPr>
          <w:rFonts w:ascii="Times New Roman" w:cs="Times New Roman" w:eastAsia="Times New Roman" w:hAnsi="Times New Roman"/>
          <w:sz w:val="18"/>
          <w:szCs w:val="18"/>
          <w:color w:val="auto"/>
        </w:rPr>
        <w:t>The Nasdaq-100 Index</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100 of the largest domestic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non-financial securities listed on the Nasdaq Stock Market based on market capitalization. The Index reflects companies across major industry groups including computer hardware and software, telecommunications, retail/wholesale trade and biotechnology. It does not contain securities of financial companies including investment companies.</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Appendix A for important information regarding the publishers of the Indices.</w:t>
      </w:r>
    </w:p>
    <w:p>
      <w:pPr>
        <w:spacing w:after="0" w:line="113"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Discontinuation or Substantial Change to an Index.</w:t>
      </w:r>
      <w:r>
        <w:rPr>
          <w:rFonts w:ascii="Times New Roman" w:cs="Times New Roman" w:eastAsia="Times New Roman" w:hAnsi="Times New Roman"/>
          <w:sz w:val="18"/>
          <w:szCs w:val="18"/>
          <w:color w:val="auto"/>
        </w:rPr>
        <w:t xml:space="preserve">  If any Index is discontinued or we determine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use of such Index should be discontinued because we are no longer licensed to use the Index, the method of calculation is substantially changed, or if Index Values become unavailable for any reason, we may substitute a comparable index with a similar investment objective and risk profile. We will send you written Notice thirty (30) days in advance of such substitution or as soon as reasonably possible. In the event that a similar index is not found, we will substitute the original Index with a domestic or international broad-based securities market index. A Shield Option will not end prior to the Term End Date due to our inability to find a similar index. The substituted Index may not be acceptable to you, and you will be unable to transfer your Investment Amount in the associated Shield Option to another Shield Option(s) or the Fixed Account (if available) until the Transfer Period coinciding with the Term End Date. If you no longer want to remain invested in that Shield Option for the remainder of the Term, your only option will be to withdraw the related Investment Amount. If you withdraw the Investment Amount, the amount withdrawn will be the Interim Value of the Shield Option.</w:t>
      </w:r>
    </w:p>
    <w:p>
      <w:pPr>
        <w:spacing w:after="0" w:line="86"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Upon substitution of an Index, we will calculate your Index Performance on the existing Index up until the date of substitution and the substitute Index from the date of substitution to the Term End Date. The Index Performance as of the Term End Date will be equal to the return from having invested in the initial Index up to the substitution date and then investing in the substitute Index from the date of substitution to the Term End Date assuming no withdrawals or transfers based on the following formula: (initial Index at Index substitution date ÷ initial Index at Term Start Date) x (substituted Index at Term End Date ÷ substituted Index at substitution date) –</w:t>
      </w:r>
    </w:p>
    <w:p>
      <w:pPr>
        <w:spacing w:after="0" w:line="5" w:lineRule="exact"/>
        <w:rPr>
          <w:sz w:val="20"/>
          <w:szCs w:val="20"/>
          <w:color w:val="auto"/>
        </w:rPr>
      </w:pPr>
    </w:p>
    <w:p>
      <w:pPr>
        <w:jc w:val="both"/>
        <w:ind w:left="120" w:right="659" w:hanging="8"/>
        <w:spacing w:after="0" w:line="255"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Index substitution will not change the Term, Shield Rate, Cap Rate, Step Rate, or Edge Rate for an existing Shield Option. The performance of the new Index may not be as good as the one that it substituted and as a result your Index Performance may have been better if there had been no substitution.</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Appendix B for an Index substitution Investment Amount example.</w:t>
      </w:r>
    </w:p>
    <w:p>
      <w:pPr>
        <w:spacing w:after="0" w:line="117"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color w:val="auto"/>
        </w:rPr>
        <w:t>For the Performance Lock, if the Index associated with your Shield Option is substituted but a Locked Index Value has not yet taken effect, we will calculate a new Target Index Value based on the new Index and will notify you of the change. The new Target Index Value will reflect the same amount of growth between the replaced (i.e., old) Index’s value at Term Start Date and the Target Index Value you had set on the replaced Index. You will have the opportunity to cancel the Notice of election with the new Target Index Value if you choose to do so.</w:t>
      </w:r>
    </w:p>
    <w:p>
      <w:pPr>
        <w:sectPr>
          <w:pgSz w:w="11900" w:h="16838" w:orient="portrait"/>
          <w:cols w:equalWidth="0" w:num="1">
            <w:col w:w="9019"/>
          </w:cols>
          <w:pgMar w:left="1440" w:top="1373" w:right="1440" w:bottom="947" w:gutter="0" w:footer="0" w:header="0"/>
        </w:sectPr>
      </w:pPr>
    </w:p>
    <w:p>
      <w:pPr>
        <w:spacing w:after="0" w:line="200" w:lineRule="exact"/>
        <w:rPr>
          <w:sz w:val="20"/>
          <w:szCs w:val="20"/>
          <w:color w:val="auto"/>
        </w:rPr>
      </w:pPr>
    </w:p>
    <w:p>
      <w:pPr>
        <w:spacing w:after="0" w:line="28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019"/>
          </w:cols>
          <w:pgMar w:left="1440" w:top="1373" w:right="1440" w:bottom="947" w:gutter="0" w:footer="0" w:header="0"/>
          <w:type w:val="continuous"/>
        </w:sectPr>
      </w:pPr>
    </w:p>
    <w:bookmarkStart w:id="30" w:name="page31"/>
    <w:bookmarkEnd w:id="30"/>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Index Value</w:t>
      </w:r>
    </w:p>
    <w:p>
      <w:pPr>
        <w:spacing w:after="0" w:line="135"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The Index Value of an Index, on a Business Day, is the published closing value of the Index on that Business Day. The Index Value on any day that is not a Business Day is the value as of the prior Business Day. If an Index Value is not published on a Business Day, the closing Index Value on the next Business Day on which the Index Value is published will be used. We will use consistent sources to obtain Index Values. If these sources are no longer available for specific indices, we will select an alternative published source(s) for these Index Values.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Index Performance</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Performance Rate of a Shield Option is based on the performance of an Index. Index Performance is the percentage change in an Index Value measured from the Term Start Date to any day, including the Term End Date, within the Term. The Index Performance can be positive, zero or negative.</w:t>
      </w:r>
    </w:p>
    <w:p>
      <w:pPr>
        <w:spacing w:after="0" w:line="8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For any Shield Option with a Locked Index Value, Index Performance is the percentage change in Index Value measured from the Term Start Date to the date on which the Locked Index Value takes effect. Since Index Performance is calculated as of the date on which the Locked Index Value takes effect, subsequent changes to an Index—such as substitution of the Index for a Shield Option or changes in the value of an Index—will have no impact on your Index Performance. Index Performance with a Locked Index Value is calculated once—as of the date on which the Locked Index Value takes effect—and does not change under any circumstances for the remainder of the Term.</w:t>
      </w:r>
    </w:p>
    <w:p>
      <w:pPr>
        <w:spacing w:after="0" w:line="29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SHIELD RATES</w:t>
      </w:r>
    </w:p>
    <w:p>
      <w:pPr>
        <w:spacing w:after="0" w:line="135"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Shield Rate is accrued from the Term Start Date to the Term End Date, and the full Shield Rate only applies if you hold the Shield Option until the Term End Date. The Shield Rate for each Shield Option is the amount of any negative Index Performance that is absorbed by us at the Term End Date. Any negative Index Performance beyond the Shield Rate will reduce the Investment Amount. </w:t>
      </w:r>
      <w:r>
        <w:rPr>
          <w:rFonts w:ascii="Times New Roman" w:cs="Times New Roman" w:eastAsia="Times New Roman" w:hAnsi="Times New Roman"/>
          <w:sz w:val="18"/>
          <w:szCs w:val="18"/>
          <w:b w:val="1"/>
          <w:bCs w:val="1"/>
          <w:color w:val="auto"/>
        </w:rPr>
        <w:t>You should also keep in mind that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Index Performance is negative, the Performance Rate can never be greater than zero.</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currently offer the following Shield Rates: Shield 10 and Shield 15:</w:t>
      </w:r>
    </w:p>
    <w:p>
      <w:pPr>
        <w:spacing w:after="0" w:line="166" w:lineRule="exact"/>
        <w:rPr>
          <w:sz w:val="20"/>
          <w:szCs w:val="20"/>
          <w:color w:val="auto"/>
        </w:rPr>
      </w:pPr>
    </w:p>
    <w:tbl>
      <w:tblPr>
        <w:tblLayout w:type="fixed"/>
        <w:tblInd w:w="1970" w:type="dxa"/>
        <w:tblCellMar>
          <w:top w:w="0" w:type="dxa"/>
          <w:left w:w="0" w:type="dxa"/>
          <w:bottom w:w="0" w:type="dxa"/>
          <w:right w:w="0" w:type="dxa"/>
        </w:tblCellMar>
      </w:tblPr>
      <w:tr>
        <w:trPr>
          <w:trHeight w:val="223"/>
        </w:trPr>
        <w:tc>
          <w:tcPr>
            <w:tcW w:w="2280" w:type="dxa"/>
            <w:vAlign w:val="bottom"/>
            <w:tcBorders>
              <w:top w:val="single" w:sz="8" w:color="auto"/>
              <w:left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Shield Rate</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Downside Protection</w:t>
            </w:r>
          </w:p>
        </w:tc>
      </w:tr>
      <w:tr>
        <w:trPr>
          <w:trHeight w:val="23"/>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68"/>
        </w:trPr>
        <w:tc>
          <w:tcPr>
            <w:tcW w:w="2280" w:type="dxa"/>
            <w:vAlign w:val="bottom"/>
            <w:tcBorders>
              <w:left w:val="single" w:sz="8" w:color="auto"/>
              <w:bottom w:val="single" w:sz="8" w:color="F0FFFF"/>
              <w:right w:val="single" w:sz="8" w:color="auto"/>
            </w:tcBorders>
            <w:shd w:val="clear" w:color="auto" w:fill="F0FFFF"/>
          </w:tcPr>
          <w:p>
            <w:pPr>
              <w:ind w:left="740"/>
              <w:spacing w:after="0"/>
              <w:rPr>
                <w:sz w:val="20"/>
                <w:szCs w:val="20"/>
                <w:color w:val="auto"/>
              </w:rPr>
            </w:pPr>
            <w:r>
              <w:rPr>
                <w:rFonts w:ascii="Times New Roman" w:cs="Times New Roman" w:eastAsia="Times New Roman" w:hAnsi="Times New Roman"/>
                <w:sz w:val="18"/>
                <w:szCs w:val="18"/>
                <w:color w:val="auto"/>
              </w:rPr>
              <w:t>Shield 10</w:t>
            </w:r>
          </w:p>
        </w:tc>
        <w:tc>
          <w:tcPr>
            <w:tcW w:w="22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up to 10%</w:t>
            </w:r>
          </w:p>
        </w:tc>
      </w:tr>
      <w:tr>
        <w:trPr>
          <w:trHeight w:val="247"/>
        </w:trPr>
        <w:tc>
          <w:tcPr>
            <w:tcW w:w="2280" w:type="dxa"/>
            <w:vAlign w:val="bottom"/>
            <w:tcBorders>
              <w:top w:val="single" w:sz="8" w:color="auto"/>
              <w:left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Shield 15</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up to 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-507365</wp:posOffset>
            </wp:positionV>
            <wp:extent cx="287147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71470" cy="15430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-172720</wp:posOffset>
            </wp:positionV>
            <wp:extent cx="287147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71470" cy="162560"/>
                    </a:xfrm>
                    <a:prstGeom prst="rect">
                      <a:avLst/>
                    </a:prstGeom>
                    <a:noFill/>
                  </pic:spPr>
                </pic:pic>
              </a:graphicData>
            </a:graphic>
          </wp:anchor>
        </w:drawing>
      </w:r>
    </w:p>
    <w:p>
      <w:pPr>
        <w:spacing w:after="0" w:line="17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For example, a -15% Index Performance with a 10% Shield Rate will result in a -5% Performance Rate; or a -10% Index Performance with a 15% Shield Rate will result in a 0% Performance Rate. </w:t>
      </w:r>
      <w:r>
        <w:rPr>
          <w:rFonts w:ascii="Times New Roman" w:cs="Times New Roman" w:eastAsia="Times New Roman" w:hAnsi="Times New Roman"/>
          <w:sz w:val="18"/>
          <w:szCs w:val="18"/>
          <w:b w:val="1"/>
          <w:bCs w:val="1"/>
          <w:color w:val="auto"/>
        </w:rPr>
        <w:t>The Shield Rate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vary between Shield Options and is not an annual rate.</w:t>
      </w:r>
    </w:p>
    <w:p>
      <w:pPr>
        <w:spacing w:after="0" w:line="64" w:lineRule="exact"/>
        <w:rPr>
          <w:sz w:val="20"/>
          <w:szCs w:val="20"/>
          <w:color w:val="auto"/>
        </w:rPr>
      </w:pPr>
    </w:p>
    <w:p>
      <w:pPr>
        <w:jc w:val="both"/>
        <w:ind w:left="12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In deciding whether to choose a Shield Option with a higher Shield Rate, you should consider that Shield Options with higher Shield Rates tend to have lower Cap Rates, Step Rates, and Edge Rates, as applicable, than Shield Options with lower Shield Rates that have the same Index and Term.</w:t>
      </w:r>
    </w:p>
    <w:p>
      <w:pPr>
        <w:spacing w:after="0" w:line="67"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Each Shield Option’s Shield Rate is guaranteed not to change for the life of the currently offered Shield Options. However, we may stop offering any of the Shield Options or add new Shield Options, so the Shield Rates offered under the Contract may change from one Term to the next. </w:t>
      </w:r>
      <w:r>
        <w:rPr>
          <w:rFonts w:ascii="Times New Roman" w:cs="Times New Roman" w:eastAsia="Times New Roman" w:hAnsi="Times New Roman"/>
          <w:sz w:val="18"/>
          <w:szCs w:val="18"/>
          <w:b w:val="1"/>
          <w:bCs w:val="1"/>
          <w:color w:val="auto"/>
        </w:rPr>
        <w:t>We do not guarantee that there will always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 a Shield Option under the Contract that provides this minimum amount of downside protection; however, there will always be at least one Shield Option available that offers downside protection, although it may not be substantially similar to one of the currently available Shield Options.</w:t>
      </w:r>
    </w:p>
    <w:p>
      <w:pPr>
        <w:spacing w:after="0" w:line="79"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set the Shield Rates at our discretion. We consider various factors in determining the Shield Rates, including, but not limited to, market conditions, administrative expenses, regulatory requirements, general economic trends, and competitive factors.</w:t>
      </w:r>
    </w:p>
    <w:p>
      <w:pPr>
        <w:spacing w:after="0" w:line="28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RATE CREDITING TYPES</w:t>
      </w:r>
    </w:p>
    <w:p>
      <w:pPr>
        <w:spacing w:after="0" w:line="117"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The Cap Rate, Step Rate, and Step Rate Edge (each, a “Rate Crediting Type”) are the three ways we offer that you can potentially receive positive interest based on the performance of an Index. We will limit the positive Index Performance used in calculating the Performance Rate applied to the Investment Amount on the Term End Date through the applicable Rate Crediting Type for each Shield Option. A new Cap Rate, Step Rate, or Edge Rate will be declared for each subsequent Term. There are two ways you may find out what the renewal rates will be for a</w:t>
      </w:r>
    </w:p>
    <w:p>
      <w:pPr>
        <w:sectPr>
          <w:pgSz w:w="11900" w:h="16838" w:orient="portrait"/>
          <w:cols w:equalWidth="0" w:num="1">
            <w:col w:w="9019"/>
          </w:cols>
          <w:pgMar w:left="1440" w:top="1373" w:right="1440" w:bottom="1440" w:gutter="0" w:footer="0" w:header="0"/>
        </w:sectPr>
      </w:pPr>
    </w:p>
    <w:p>
      <w:pPr>
        <w:spacing w:after="0" w:line="26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019"/>
          </w:cols>
          <w:pgMar w:left="1440" w:top="1373" w:right="1440" w:bottom="1440" w:gutter="0" w:footer="0" w:header="0"/>
          <w:type w:val="continuous"/>
        </w:sectPr>
      </w:pPr>
    </w:p>
    <w:bookmarkStart w:id="31" w:name="page32"/>
    <w:bookmarkEnd w:id="31"/>
    <w:p>
      <w:pPr>
        <w:jc w:val="both"/>
        <w:ind w:left="120" w:right="659"/>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subsequent Term. Thirty (30) days before the current Term expires, we will send you notification, written or electronic depending on your selected preferences, indicating your maturing Shield Options and how you can obtain the different Shield Options available at the Term End Date, including the new Cap Rates, Step Rates, and Edge Rates, and the interest rate for the Fixed Account. You may also access our website at [TO BE UPDATED BY AMENDMENT] where at least two months of renewal rates for the Rate Crediting Types and the interest rate for the Fixed Account are posted – i.e., for the current month and the following month. The current rates for the Rate Crediting Types posted on that website are incorporated by reference into this prospectus.</w:t>
      </w:r>
    </w:p>
    <w:p>
      <w:pPr>
        <w:spacing w:after="0" w:line="90"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We set the rates for the Rate Crediting Types at our discretion. We consider various factors in determining the rates for the Rate Crediting Types, including, but not limited to, market conditions, administrative expenses, regulatory requirements, general economic trends, and competitive factors. At the Term End Date, the Investment Amount will automatically be renewed into the same Shield Option, with the new Cap Rate, Step Rate, or Edge Rate, unless you elect to transfer such amount into a different Shield Option(s) or the Fixed Account. See “TRANSFERS.”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 Rate</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Cap Rate is the maximum rate that may be credited at the Term End Date based on Index Performance. For example, a 15% Index Performance with a 10% Cap Rate will result in a 10% Performance Rate; or, a 5% Index Performance with a 10% Cap Rate will result in a 5% Performance Rate. </w:t>
      </w:r>
      <w:r>
        <w:rPr>
          <w:rFonts w:ascii="Times New Roman" w:cs="Times New Roman" w:eastAsia="Times New Roman" w:hAnsi="Times New Roman"/>
          <w:sz w:val="18"/>
          <w:szCs w:val="18"/>
          <w:b w:val="1"/>
          <w:bCs w:val="1"/>
          <w:color w:val="auto"/>
        </w:rPr>
        <w:t>The Cap Rate may vary between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Shield Options and, unless you have a Shield Option with a 1-year Term, is not an annual rate. </w:t>
      </w:r>
      <w:r>
        <w:rPr>
          <w:rFonts w:ascii="Times New Roman" w:cs="Times New Roman" w:eastAsia="Times New Roman" w:hAnsi="Times New Roman"/>
          <w:sz w:val="18"/>
          <w:szCs w:val="18"/>
          <w:color w:val="auto"/>
        </w:rPr>
        <w:t>The Cap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is measured from the Term Start Date to the Term End Date, and the full Cap Rate only applies if you hold the Shield Option until the Term End Date. For renewals into the same Shield Option a new Cap Rate is declared for each subsequent Term, and such rate will not be less than the Minimum Guaranteed Cap Rate stated in your Contract, but will not be less than 2% for Shield Options with a 1-Year Term or 6% for Shield Options with a 3-Year Term. A thirty (30) day advance written Notice will be mailed to you indicating your maturing Shield Options and how you can obtain the new Cap Rates and Step Rates for the available Shield Options and the interest rate for the Fixed Account.</w:t>
      </w:r>
    </w:p>
    <w:p>
      <w:pPr>
        <w:spacing w:after="0" w:line="8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There are two ways you may find out what the renewal Cap Rates will be for a subsequent Term. Thirty (30) days before the current Term expires, we will mail you a notification, written or electronic depending on your selected preferences, indicating your maturing Shield Options and how you can obtain the new Cap Rates. You may also access our website at [TO BE UPDATED BY AMENDMENT] where at least two months of renewal rates for the Rate Crediting Types and the interest rate for the Fixed Account are posted – i.e., for the current month and the following month. At the Term End Date, the Investment Amount will automatically be renewed into the same Shield Option, with the new Cap Rate, unless you elect to transfer such amount into a different Shield Option(s) or the Fixed Account. See “TRANSFERS.”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 Rate</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Step Rate is the rate credited at the Term End Date if the Index Performance is equal to or greater than zero. For example, a 15% Index Performance with a 8% Step Rate will result in a 8% Performance Rate; or, a 5% Index Performance with a 8% Step Rate will result in a 8% Performance Rate. The Step Rate is measured from the Term Start Date to the Term End Date, and the full Step Rate only applies if you hold the Shield Option until the Term End Date. </w:t>
      </w:r>
      <w:r>
        <w:rPr>
          <w:rFonts w:ascii="Times New Roman" w:cs="Times New Roman" w:eastAsia="Times New Roman" w:hAnsi="Times New Roman"/>
          <w:sz w:val="18"/>
          <w:szCs w:val="18"/>
          <w:b w:val="1"/>
          <w:bCs w:val="1"/>
          <w:color w:val="auto"/>
        </w:rPr>
        <w:t>The Step Rate may vary between Shield Options and, unless you have a Shield Option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 1-year Term, is not an annual rate. </w:t>
      </w:r>
      <w:r>
        <w:rPr>
          <w:rFonts w:ascii="Times New Roman" w:cs="Times New Roman" w:eastAsia="Times New Roman" w:hAnsi="Times New Roman"/>
          <w:sz w:val="18"/>
          <w:szCs w:val="18"/>
          <w:color w:val="auto"/>
        </w:rPr>
        <w:t>For renewals into the same Shield Option a new Step Rate is declared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subsequent Term, and such rate will not be less than the Minimum Guaranteed Step Rate stated in your Contract, but will not be less than 1.5%.</w:t>
      </w:r>
    </w:p>
    <w:p>
      <w:pPr>
        <w:spacing w:after="0" w:line="8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There are two ways you may find out what the renewal Step Rates will be for a subsequent Term. Thirty (30) days before the current Term expires, we will mail you a notification, written or electronic depending on your selected preferences, indicating your maturing Shield Options and how you can obtain the new Step Rates. You may also access our website at [TO BE UPDATED BY AMENDMENT] where at least two months of renewal rates for the Rate Crediting Types and the interest rate for the Fixed Account are posted – i.e., for the current month and the following month. At the Term End Date, the Investment Amount will automatically be renewed into the same Shield Option, with the new Step Rate, unless you elect to transfer such amount into a different Shield Option(s) or the Fixed Account. See “TRANSFERS.”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 Rate Edge</w:t>
      </w:r>
    </w:p>
    <w:p>
      <w:pPr>
        <w:spacing w:after="0" w:line="121"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For Shield Options with Step Rate Edge, the Edge Rate is the rate credited at the Term End Date if the Index Performance is equal to or greater than the Shield Rate. Step Rate Edge therefore, provides the opportunity to receive the Edge Rate even when Index Performance is negative, so long as Index Performance is equal to or greater than the Shield Rate. For example, a 3% Index Performance with a 7% Edge Rate and a 10% Shield Rate will result in a 7% Performance Rate, or, a -10% Index Performance with a 7% Edge Rate and a 10% Shield Rate will result in a 7% Performance Rate. The Edge Rate is measured from the Term Start Date to the Term End Date, and the full Edge Rate only applies if you hold the Shield Option until the Term</w:t>
      </w:r>
    </w:p>
    <w:p>
      <w:pPr>
        <w:sectPr>
          <w:pgSz w:w="11900" w:h="16838" w:orient="portrait"/>
          <w:cols w:equalWidth="0" w:num="1">
            <w:col w:w="9019"/>
          </w:cols>
          <w:pgMar w:left="1440" w:top="1373" w:right="1440" w:bottom="353" w:gutter="0" w:footer="0" w:header="0"/>
        </w:sectPr>
      </w:pPr>
    </w:p>
    <w:p>
      <w:pPr>
        <w:spacing w:after="0" w:line="2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019"/>
          </w:cols>
          <w:pgMar w:left="1440" w:top="1373" w:right="1440" w:bottom="353" w:gutter="0" w:footer="0" w:header="0"/>
          <w:type w:val="continuous"/>
        </w:sectPr>
      </w:pPr>
    </w:p>
    <w:bookmarkStart w:id="32" w:name="page33"/>
    <w:bookmarkEnd w:id="32"/>
    <w:p>
      <w:pPr>
        <w:jc w:val="both"/>
        <w:ind w:left="120" w:right="639"/>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xml:space="preserve">End Date. </w:t>
      </w:r>
      <w:r>
        <w:rPr>
          <w:rFonts w:ascii="Times New Roman" w:cs="Times New Roman" w:eastAsia="Times New Roman" w:hAnsi="Times New Roman"/>
          <w:sz w:val="18"/>
          <w:szCs w:val="18"/>
          <w:b w:val="1"/>
          <w:bCs w:val="1"/>
          <w:color w:val="auto"/>
        </w:rPr>
        <w:t xml:space="preserve">The Edge Rate may vary between Shield Options and, unless you have a Shield Option with a 1-year Term, is not an annual rate. </w:t>
      </w:r>
      <w:r>
        <w:rPr>
          <w:rFonts w:ascii="Times New Roman" w:cs="Times New Roman" w:eastAsia="Times New Roman" w:hAnsi="Times New Roman"/>
          <w:sz w:val="18"/>
          <w:szCs w:val="18"/>
          <w:color w:val="auto"/>
        </w:rPr>
        <w:t>For renewals into the same Shield Option a new Edge Rate is declared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subsequent Term, and such rate will not be less than the Minimum Guaranteed Edge Rate stated in your Contract, but will not be less than 1.5%.</w:t>
      </w:r>
    </w:p>
    <w:p>
      <w:pPr>
        <w:spacing w:after="0" w:line="7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There are two ways you may find out what the renewal Edge Rates will be for a subsequent Term. Thirty (30) days before the current Term expires, we will mail you a notification, written or electronic depending on your selected preferences, indicating your maturing Shield Options and how you can obtain the new Cap Rates, Step Rates, and Edge Rates. You may also access our website at [TO BE UPDATED BY AMENDMENT] where at least two months of renewal rates for the Rate Crediting Types and the interest rate for the Fixed Account are posted – i.e., for the current month and the following month. At the Term End Date, the Investment Amount will automatically be renewed into the same Shield Option, with the new Edge Rate, unless you elect to transfer such amount into a different Shield Option(s) or the Fixed Account. See “TRANSFERS.”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Rate Crediting Type Considerations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In deciding whether to purchase a Shield Option with a Cap Rate versus a Step Rate or Step Rate Edge, you should consider the following:</w:t>
      </w:r>
    </w:p>
    <w:p>
      <w:pPr>
        <w:spacing w:after="0" w:line="5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Step Rates and Edge Rates are generally lower than Cap Rates. For example, if Index Performance is equal to or greater than zero but less than the Step Rate, and you chose a Cap Rate for your Shield Option, your Performance Rate Adjustment will be lower than it otherwise would be had you chosen a Step Rate.</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Similarly, if Index Performance is equal to or greater than the Shield Rate but less than the Edge Rate, and you chose a Cap Rate for your Shield Option, your Performance Rate Adjustment will be lower than it otherwise would be had you chosen an Edge Rate.</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Alternatively, if Index Performance is positive and exceeds the Step Rate, and you chose a Step Rate for your Shield Option, your Performance Rate Adjustment will be lower than it otherwise would be had you chosen a Cap Rate. For example, if you chose a Shield Option with a 10% Cap Rate and there is a 15% Index Performance, your Performance Rate is 10%; however, if instead you were to choose a Shield Option with an 8% Step Rate, your Performance Rate would instead be 8%.</w:t>
      </w:r>
    </w:p>
    <w:p>
      <w:pPr>
        <w:spacing w:after="0" w:line="7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Similarly, if the Index Performance is equal to or greater than the Shield Rate and exceeds the Edge Rate, and you chose an Edge Rate for your Shield Option, your Performance Rate Adjustment will be lower than it otherwise would be had you chosen a Cap Rate. For example, if you chose a Shield Option with a 10% Cap Rate and there is a 15% Index Performance, your Performance Rate is 10%; however, if instead you were to choose a Shield Option with a 7% Edge Rate, your Performance Rate would instead be 7%.</w:t>
      </w:r>
    </w:p>
    <w:p>
      <w:pPr>
        <w:spacing w:after="0" w:line="7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In deciding whether to purchase a Shield Option with a Step Rate versus Step Rate Edge, you should consider that Edge Rates are generally lower than Step Rates, but Edge Rates are applicable when Index Performance is equal to or greater than the Shield Rate whereas Step Rates are applicable only when Index Performance is equal to or greater than zero. For example, if you chose an Edge Rate of 7% and Index Performance is equal to or greater than the Shield Rate but less than zero, your Performance Rate would be 7%. On the other hand, if you chose a Step Rate of 8% and Index Performance is equal to or greater than the Shield Rate but less than zero, your Performance Rate would be 0% even though the Step Rate is higher than the Edge Rate. Conversely, if you chose an Edge Rate of 7% and Index Performance is equal to or greater than zero, your Performance Rate would be 7% whereas if you had chosen a Step Rate of 8%, your Performance Rate would be 8% rather than 7%.</w:t>
      </w:r>
    </w:p>
    <w:p>
      <w:pPr>
        <w:spacing w:after="0" w:line="86"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You should keep in mind that unlike Shield Options with a Cap Rate or Step Rate, with a Shield Option with Step Rate Edge you will receive a positive Performance Rate equal to the Edge Rate even if Index Performance is negative, so long as such negative Index Performance does not exceed the Shield Rate.</w:t>
      </w:r>
    </w:p>
    <w:p>
      <w:pPr>
        <w:spacing w:after="0" w:line="28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ADDITION OR DISCONTINUANCE OF A SHIELD OPTION</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A Shield Option will always be available; however, we can add or discontinue any Shield Option. When a change is made to a Shield Option or an Index, or changed subsequent to the Issue Date, we will send a notification describing any changes to the Shield Option, as required by law. This change will take effect under your Contract as of the next Contract Anniversary for any allowable transfers into the Shield Option(s). If you are currently allocated in a Shield Option which is no longer available, you will remain in that Shield Option until the Term End Date, but that Shield Option will no longer be available following the Term End Date. For more on transfers and renewals, see “TRANSFERS.”</w:t>
      </w:r>
    </w:p>
    <w:p>
      <w:pPr>
        <w:sectPr>
          <w:pgSz w:w="11900" w:h="16838" w:orient="portrait"/>
          <w:cols w:equalWidth="0" w:num="1">
            <w:col w:w="9019"/>
          </w:cols>
          <w:pgMar w:left="1440" w:top="1373" w:right="1440" w:bottom="1440"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019"/>
          </w:cols>
          <w:pgMar w:left="1440" w:top="1373" w:right="1440" w:bottom="1440" w:gutter="0" w:footer="0" w:header="0"/>
          <w:type w:val="continuous"/>
        </w:sectPr>
      </w:pPr>
    </w:p>
    <w:bookmarkStart w:id="33" w:name="page34"/>
    <w:bookmarkEnd w:id="33"/>
    <w:p>
      <w:pPr>
        <w:ind w:left="3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ACCOUNT VALUE</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Your Account Value is the total of the Fixed Account Value and the value of the Shield Option(s) under your Contract during the Accumulation Period.</w:t>
      </w:r>
    </w:p>
    <w:p>
      <w:pPr>
        <w:spacing w:after="0" w:line="54"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following four sections of the prospectus describe (1) the calculation of Investment Amount, (2) the calculation of Interim Value, (3) how Withdrawals work, and (4) how Transfers work. Each section has corresponding example(s). These examples should not be considered a representation of past or future performance for any Shield Option. </w:t>
      </w:r>
      <w:r>
        <w:rPr>
          <w:rFonts w:ascii="Times New Roman" w:cs="Times New Roman" w:eastAsia="Times New Roman" w:hAnsi="Times New Roman"/>
          <w:sz w:val="18"/>
          <w:szCs w:val="18"/>
          <w:b w:val="1"/>
          <w:bCs w:val="1"/>
          <w:color w:val="auto"/>
        </w:rPr>
        <w:t>Actual performance may be greater or less than those shown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examples. Similarly, the Index Values in the examples are not an estimate or guarantee of future Index Performance.</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rates for the Rate Crediting Types shown in the following examples are for illustrative purposes only and may not reflect actual declared rates. Values are rounded for display purposes only.</w:t>
      </w:r>
    </w:p>
    <w:p>
      <w:pPr>
        <w:spacing w:after="0" w:line="26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INVESTMENT AMOUNT</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Investment Amount for each Shield Option is equal to the Investment Amount at the Term Start Date, reduced proportionately for any withdrawals (including any applicable Withdrawal Charge, RMDs, and systematic withdrawals) by the same percentage that the withdrawal reduces the Interim Value attributable to that Shield Option, adjusted by the Performance Rate at Term End Date, and, for a Shield Option with a Locked Index Value, multiplied by the Performance Lock Factor. The Investment Amount for any Shield Option with a Locked Index Value at the end of the Term will not be less than the Investment Amount at the Term Start Date, reduced for any withdrawals by the same percentage that the withdrawal reduces the Interim Value attributable to that Shield Option but not adjusted by the Performance Rate.</w:t>
      </w:r>
    </w:p>
    <w:p>
      <w:pPr>
        <w:spacing w:after="0" w:line="84"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remaining Investment Amount after a withdrawal will be used as the new Investment Amount for the Term until the Term End Date for that Shield Option, or the next Interim Value calculation.</w:t>
      </w:r>
    </w:p>
    <w:p>
      <w:pPr>
        <w:spacing w:after="0" w:line="54"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There are two ways to calculate Investment Amount on a Term End Date, and the calculation depends on whether the Shield Option has a Locked Value Index.</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Amount without Performance Lock</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For a Shield Option without a Locked Index Value, we calculate Investment Amount without Performance Lock. We apply the Performance Rate Adjustment to your Investment Amount on the Term End Date.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Amount with Performance Lock</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For a Shield Option with a Locked Index Value, we calculate Investment Amount with Performance Lock. We apply the Performance Rate Adjustment, multiplied by the Performance Lock Factor, to your Investment Amount on the Term End Date.</w:t>
      </w:r>
    </w:p>
    <w:p>
      <w:pPr>
        <w:spacing w:after="0" w:line="68"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Performance Rate Adjustment is based on the Performance Rate, which is the rate credited at the Term End Date. The Performance Rate is determined by the Index Performance adjusted for the applicable Shield Rate and Cap Rate, and for Shield Options with a Locked Index Value, multiplied by the Performance Lock Factor.</w:t>
      </w:r>
    </w:p>
    <w:p>
      <w:pPr>
        <w:spacing w:after="0" w:line="68"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You should note that you will benefit from locking the Index Value when the Index Value at the Term End Date turns out to be lower than the Locked Index Value. Importantly, however, by locking in the Index Value, you are exposed to the risk that the Index Value at the Term End Date may exceed the Locked Index Value, in which case you would have received higher performance if you had not locked the Index Value.</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019"/>
          </w:cols>
          <w:pgMar w:left="1440" w:top="1373" w:right="1440" w:bottom="1440" w:gutter="0" w:footer="0" w:header="0"/>
          <w:type w:val="continuous"/>
        </w:sectPr>
      </w:pPr>
    </w:p>
    <w:bookmarkStart w:id="34" w:name="page35"/>
    <w:bookmarkEnd w:id="34"/>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The Performance Rate can be positive, zero or negative and is determined as follows:</w:t>
      </w:r>
    </w:p>
    <w:p>
      <w:pPr>
        <w:spacing w:after="0" w:line="166" w:lineRule="exact"/>
        <w:rPr>
          <w:sz w:val="20"/>
          <w:szCs w:val="20"/>
          <w:color w:val="auto"/>
        </w:rPr>
      </w:pPr>
    </w:p>
    <w:tbl>
      <w:tblPr>
        <w:tblLayout w:type="fixed"/>
        <w:tblInd w:w="130" w:type="dxa"/>
        <w:tblCellMar>
          <w:top w:w="0" w:type="dxa"/>
          <w:left w:w="0" w:type="dxa"/>
          <w:bottom w:w="0" w:type="dxa"/>
          <w:right w:w="0" w:type="dxa"/>
        </w:tblCellMar>
      </w:tblPr>
      <w:tr>
        <w:trPr>
          <w:trHeight w:val="222"/>
        </w:trPr>
        <w:tc>
          <w:tcPr>
            <w:tcW w:w="2820" w:type="dxa"/>
            <w:vAlign w:val="bottom"/>
            <w:tcBorders>
              <w:top w:val="single" w:sz="8" w:color="auto"/>
              <w:left w:val="single" w:sz="8" w:color="auto"/>
              <w:right w:val="single" w:sz="8" w:color="auto"/>
            </w:tcBorders>
          </w:tcPr>
          <w:p>
            <w:pPr>
              <w:spacing w:after="0"/>
              <w:rPr>
                <w:sz w:val="19"/>
                <w:szCs w:val="19"/>
                <w:color w:val="auto"/>
              </w:rPr>
            </w:pPr>
          </w:p>
        </w:tc>
        <w:tc>
          <w:tcPr>
            <w:tcW w:w="290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If Index Performance (can be positive,</w:t>
            </w:r>
          </w:p>
        </w:tc>
        <w:tc>
          <w:tcPr>
            <w:tcW w:w="3000" w:type="dxa"/>
            <w:vAlign w:val="bottom"/>
            <w:tcBorders>
              <w:top w:val="single" w:sz="8" w:color="auto"/>
              <w:right w:val="single" w:sz="8" w:color="auto"/>
            </w:tcBorders>
          </w:tcPr>
          <w:p>
            <w:pPr>
              <w:spacing w:after="0"/>
              <w:rPr>
                <w:sz w:val="19"/>
                <w:szCs w:val="19"/>
                <w:color w:val="auto"/>
              </w:rPr>
            </w:pPr>
          </w:p>
        </w:tc>
      </w:tr>
      <w:tr>
        <w:trPr>
          <w:trHeight w:val="204"/>
        </w:trPr>
        <w:tc>
          <w:tcPr>
            <w:tcW w:w="2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Shield Option type:</w:t>
            </w:r>
          </w:p>
        </w:tc>
        <w:tc>
          <w:tcPr>
            <w:tcW w:w="290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zero or negative) is:</w:t>
            </w:r>
          </w:p>
        </w:tc>
        <w:tc>
          <w:tcPr>
            <w:tcW w:w="30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Performance Rate will equal:</w:t>
            </w:r>
          </w:p>
        </w:tc>
      </w:tr>
      <w:tr>
        <w:trPr>
          <w:trHeight w:val="37"/>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r>
      <w:tr>
        <w:trPr>
          <w:trHeight w:val="205"/>
        </w:trPr>
        <w:tc>
          <w:tcPr>
            <w:tcW w:w="2820" w:type="dxa"/>
            <w:vAlign w:val="bottom"/>
            <w:tcBorders>
              <w:left w:val="single" w:sz="8" w:color="auto"/>
              <w:right w:val="single" w:sz="8" w:color="auto"/>
            </w:tcBorders>
            <w:shd w:val="clear" w:color="auto" w:fill="F0FFFF"/>
          </w:tcPr>
          <w:p>
            <w:pPr>
              <w:ind w:left="100"/>
              <w:spacing w:after="0" w:line="205" w:lineRule="exact"/>
              <w:rPr>
                <w:sz w:val="20"/>
                <w:szCs w:val="20"/>
                <w:color w:val="auto"/>
              </w:rPr>
            </w:pPr>
            <w:r>
              <w:rPr>
                <w:rFonts w:ascii="Times New Roman" w:cs="Times New Roman" w:eastAsia="Times New Roman" w:hAnsi="Times New Roman"/>
                <w:sz w:val="18"/>
                <w:szCs w:val="18"/>
                <w:color w:val="auto"/>
              </w:rPr>
              <w:t>Shield Options with a Cap Rate</w:t>
            </w:r>
          </w:p>
        </w:tc>
        <w:tc>
          <w:tcPr>
            <w:tcW w:w="2900" w:type="dxa"/>
            <w:vAlign w:val="bottom"/>
            <w:tcBorders>
              <w:right w:val="single" w:sz="8" w:color="auto"/>
            </w:tcBorders>
            <w:shd w:val="clear" w:color="auto" w:fill="F0FFFF"/>
          </w:tcPr>
          <w:p>
            <w:pPr>
              <w:ind w:left="100"/>
              <w:spacing w:after="0" w:line="205" w:lineRule="exact"/>
              <w:rPr>
                <w:sz w:val="20"/>
                <w:szCs w:val="20"/>
                <w:color w:val="auto"/>
              </w:rPr>
            </w:pPr>
            <w:r>
              <w:rPr>
                <w:rFonts w:ascii="Times New Roman" w:cs="Times New Roman" w:eastAsia="Times New Roman" w:hAnsi="Times New Roman"/>
                <w:sz w:val="18"/>
                <w:szCs w:val="18"/>
                <w:color w:val="auto"/>
              </w:rPr>
              <w:t>less than or equal to zero</w:t>
            </w:r>
          </w:p>
        </w:tc>
        <w:tc>
          <w:tcPr>
            <w:tcW w:w="3000" w:type="dxa"/>
            <w:vAlign w:val="bottom"/>
            <w:tcBorders>
              <w:right w:val="single" w:sz="8" w:color="auto"/>
            </w:tcBorders>
            <w:shd w:val="clear" w:color="auto" w:fill="F0FFFF"/>
          </w:tcPr>
          <w:p>
            <w:pPr>
              <w:ind w:left="80"/>
              <w:spacing w:after="0" w:line="205" w:lineRule="exact"/>
              <w:rPr>
                <w:sz w:val="20"/>
                <w:szCs w:val="20"/>
                <w:color w:val="auto"/>
              </w:rPr>
            </w:pPr>
            <w:r>
              <w:rPr>
                <w:rFonts w:ascii="Times New Roman" w:cs="Times New Roman" w:eastAsia="Times New Roman" w:hAnsi="Times New Roman"/>
                <w:sz w:val="18"/>
                <w:szCs w:val="18"/>
                <w:color w:val="auto"/>
              </w:rPr>
              <w:t>the lesser of: zero or the Index</w:t>
            </w:r>
          </w:p>
        </w:tc>
      </w:tr>
      <w:tr>
        <w:trPr>
          <w:trHeight w:val="189"/>
        </w:trPr>
        <w:tc>
          <w:tcPr>
            <w:tcW w:w="2820" w:type="dxa"/>
            <w:vAlign w:val="bottom"/>
            <w:tcBorders>
              <w:left w:val="single" w:sz="8" w:color="auto"/>
              <w:right w:val="single" w:sz="8" w:color="auto"/>
            </w:tcBorders>
            <w:shd w:val="clear" w:color="auto" w:fill="F0FFFF"/>
          </w:tcPr>
          <w:p>
            <w:pPr>
              <w:spacing w:after="0"/>
              <w:rPr>
                <w:sz w:val="16"/>
                <w:szCs w:val="16"/>
                <w:color w:val="auto"/>
              </w:rPr>
            </w:pPr>
          </w:p>
        </w:tc>
        <w:tc>
          <w:tcPr>
            <w:tcW w:w="2900" w:type="dxa"/>
            <w:vAlign w:val="bottom"/>
            <w:tcBorders>
              <w:right w:val="single" w:sz="8" w:color="auto"/>
            </w:tcBorders>
            <w:shd w:val="clear" w:color="auto" w:fill="F0FFFF"/>
          </w:tcPr>
          <w:p>
            <w:pPr>
              <w:spacing w:after="0"/>
              <w:rPr>
                <w:sz w:val="16"/>
                <w:szCs w:val="16"/>
                <w:color w:val="auto"/>
              </w:rPr>
            </w:pPr>
          </w:p>
        </w:tc>
        <w:tc>
          <w:tcPr>
            <w:tcW w:w="3000" w:type="dxa"/>
            <w:vAlign w:val="bottom"/>
            <w:tcBorders>
              <w:right w:val="single" w:sz="8" w:color="auto"/>
            </w:tcBorders>
            <w:shd w:val="clear" w:color="auto" w:fill="F0FFFF"/>
          </w:tcPr>
          <w:p>
            <w:pPr>
              <w:ind w:left="80"/>
              <w:spacing w:after="0" w:line="189" w:lineRule="exact"/>
              <w:rPr>
                <w:sz w:val="20"/>
                <w:szCs w:val="20"/>
                <w:color w:val="auto"/>
              </w:rPr>
            </w:pPr>
            <w:r>
              <w:rPr>
                <w:rFonts w:ascii="Times New Roman" w:cs="Times New Roman" w:eastAsia="Times New Roman" w:hAnsi="Times New Roman"/>
                <w:sz w:val="18"/>
                <w:szCs w:val="18"/>
                <w:color w:val="auto"/>
              </w:rPr>
              <w:t>Performance increased by the Shield</w:t>
            </w:r>
          </w:p>
        </w:tc>
      </w:tr>
      <w:tr>
        <w:trPr>
          <w:trHeight w:val="203"/>
        </w:trPr>
        <w:tc>
          <w:tcPr>
            <w:tcW w:w="2820" w:type="dxa"/>
            <w:vAlign w:val="bottom"/>
            <w:tcBorders>
              <w:left w:val="single" w:sz="8" w:color="auto"/>
              <w:right w:val="single" w:sz="8" w:color="auto"/>
            </w:tcBorders>
            <w:shd w:val="clear" w:color="auto" w:fill="F0FFFF"/>
          </w:tcPr>
          <w:p>
            <w:pPr>
              <w:spacing w:after="0"/>
              <w:rPr>
                <w:sz w:val="17"/>
                <w:szCs w:val="17"/>
                <w:color w:val="auto"/>
              </w:rPr>
            </w:pPr>
          </w:p>
        </w:tc>
        <w:tc>
          <w:tcPr>
            <w:tcW w:w="2900" w:type="dxa"/>
            <w:vAlign w:val="bottom"/>
            <w:tcBorders>
              <w:right w:val="single" w:sz="8" w:color="auto"/>
            </w:tcBorders>
            <w:shd w:val="clear" w:color="auto" w:fill="F0FFFF"/>
          </w:tcPr>
          <w:p>
            <w:pPr>
              <w:spacing w:after="0"/>
              <w:rPr>
                <w:sz w:val="17"/>
                <w:szCs w:val="17"/>
                <w:color w:val="auto"/>
              </w:rPr>
            </w:pPr>
          </w:p>
        </w:tc>
        <w:tc>
          <w:tcPr>
            <w:tcW w:w="300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Rate (For example: a -15% Index</w:t>
            </w:r>
          </w:p>
        </w:tc>
      </w:tr>
      <w:tr>
        <w:trPr>
          <w:trHeight w:val="203"/>
        </w:trPr>
        <w:tc>
          <w:tcPr>
            <w:tcW w:w="2820" w:type="dxa"/>
            <w:vAlign w:val="bottom"/>
            <w:tcBorders>
              <w:left w:val="single" w:sz="8" w:color="auto"/>
              <w:right w:val="single" w:sz="8" w:color="auto"/>
            </w:tcBorders>
            <w:shd w:val="clear" w:color="auto" w:fill="F0FFFF"/>
          </w:tcPr>
          <w:p>
            <w:pPr>
              <w:spacing w:after="0"/>
              <w:rPr>
                <w:sz w:val="17"/>
                <w:szCs w:val="17"/>
                <w:color w:val="auto"/>
              </w:rPr>
            </w:pPr>
          </w:p>
        </w:tc>
        <w:tc>
          <w:tcPr>
            <w:tcW w:w="2900" w:type="dxa"/>
            <w:vAlign w:val="bottom"/>
            <w:tcBorders>
              <w:right w:val="single" w:sz="8" w:color="auto"/>
            </w:tcBorders>
            <w:shd w:val="clear" w:color="auto" w:fill="F0FFFF"/>
          </w:tcPr>
          <w:p>
            <w:pPr>
              <w:spacing w:after="0"/>
              <w:rPr>
                <w:sz w:val="17"/>
                <w:szCs w:val="17"/>
                <w:color w:val="auto"/>
              </w:rPr>
            </w:pPr>
          </w:p>
        </w:tc>
        <w:tc>
          <w:tcPr>
            <w:tcW w:w="300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Performance with a Shield 10 will</w:t>
            </w:r>
          </w:p>
        </w:tc>
      </w:tr>
      <w:tr>
        <w:trPr>
          <w:trHeight w:val="189"/>
        </w:trPr>
        <w:tc>
          <w:tcPr>
            <w:tcW w:w="2820" w:type="dxa"/>
            <w:vAlign w:val="bottom"/>
            <w:tcBorders>
              <w:left w:val="single" w:sz="8" w:color="auto"/>
              <w:right w:val="single" w:sz="8" w:color="auto"/>
            </w:tcBorders>
            <w:shd w:val="clear" w:color="auto" w:fill="F0FFFF"/>
          </w:tcPr>
          <w:p>
            <w:pPr>
              <w:spacing w:after="0"/>
              <w:rPr>
                <w:sz w:val="16"/>
                <w:szCs w:val="16"/>
                <w:color w:val="auto"/>
              </w:rPr>
            </w:pPr>
          </w:p>
        </w:tc>
        <w:tc>
          <w:tcPr>
            <w:tcW w:w="2900" w:type="dxa"/>
            <w:vAlign w:val="bottom"/>
            <w:tcBorders>
              <w:right w:val="single" w:sz="8" w:color="auto"/>
            </w:tcBorders>
            <w:shd w:val="clear" w:color="auto" w:fill="F0FFFF"/>
          </w:tcPr>
          <w:p>
            <w:pPr>
              <w:spacing w:after="0"/>
              <w:rPr>
                <w:sz w:val="16"/>
                <w:szCs w:val="16"/>
                <w:color w:val="auto"/>
              </w:rPr>
            </w:pPr>
          </w:p>
        </w:tc>
        <w:tc>
          <w:tcPr>
            <w:tcW w:w="3000" w:type="dxa"/>
            <w:vAlign w:val="bottom"/>
            <w:tcBorders>
              <w:right w:val="single" w:sz="8" w:color="auto"/>
            </w:tcBorders>
            <w:shd w:val="clear" w:color="auto" w:fill="F0FFFF"/>
          </w:tcPr>
          <w:p>
            <w:pPr>
              <w:ind w:left="80"/>
              <w:spacing w:after="0" w:line="189" w:lineRule="exact"/>
              <w:rPr>
                <w:sz w:val="20"/>
                <w:szCs w:val="20"/>
                <w:color w:val="auto"/>
              </w:rPr>
            </w:pPr>
            <w:r>
              <w:rPr>
                <w:rFonts w:ascii="Times New Roman" w:cs="Times New Roman" w:eastAsia="Times New Roman" w:hAnsi="Times New Roman"/>
                <w:sz w:val="18"/>
                <w:szCs w:val="18"/>
                <w:color w:val="auto"/>
              </w:rPr>
              <w:t>result in a -5% Performance Rate. The</w:t>
            </w:r>
          </w:p>
        </w:tc>
      </w:tr>
      <w:tr>
        <w:trPr>
          <w:trHeight w:val="203"/>
        </w:trPr>
        <w:tc>
          <w:tcPr>
            <w:tcW w:w="2820" w:type="dxa"/>
            <w:vAlign w:val="bottom"/>
            <w:tcBorders>
              <w:left w:val="single" w:sz="8" w:color="auto"/>
              <w:right w:val="single" w:sz="8" w:color="auto"/>
            </w:tcBorders>
            <w:shd w:val="clear" w:color="auto" w:fill="F0FFFF"/>
          </w:tcPr>
          <w:p>
            <w:pPr>
              <w:spacing w:after="0"/>
              <w:rPr>
                <w:sz w:val="17"/>
                <w:szCs w:val="17"/>
                <w:color w:val="auto"/>
              </w:rPr>
            </w:pPr>
          </w:p>
        </w:tc>
        <w:tc>
          <w:tcPr>
            <w:tcW w:w="2900" w:type="dxa"/>
            <w:vAlign w:val="bottom"/>
            <w:tcBorders>
              <w:right w:val="single" w:sz="8" w:color="auto"/>
            </w:tcBorders>
            <w:shd w:val="clear" w:color="auto" w:fill="F0FFFF"/>
          </w:tcPr>
          <w:p>
            <w:pPr>
              <w:spacing w:after="0"/>
              <w:rPr>
                <w:sz w:val="17"/>
                <w:szCs w:val="17"/>
                <w:color w:val="auto"/>
              </w:rPr>
            </w:pPr>
          </w:p>
        </w:tc>
        <w:tc>
          <w:tcPr>
            <w:tcW w:w="300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Performance Rate can never be</w:t>
            </w:r>
          </w:p>
        </w:tc>
      </w:tr>
      <w:tr>
        <w:trPr>
          <w:trHeight w:val="203"/>
        </w:trPr>
        <w:tc>
          <w:tcPr>
            <w:tcW w:w="2820" w:type="dxa"/>
            <w:vAlign w:val="bottom"/>
            <w:tcBorders>
              <w:left w:val="single" w:sz="8" w:color="auto"/>
              <w:right w:val="single" w:sz="8" w:color="auto"/>
            </w:tcBorders>
            <w:shd w:val="clear" w:color="auto" w:fill="F0FFFF"/>
          </w:tcPr>
          <w:p>
            <w:pPr>
              <w:spacing w:after="0"/>
              <w:rPr>
                <w:sz w:val="17"/>
                <w:szCs w:val="17"/>
                <w:color w:val="auto"/>
              </w:rPr>
            </w:pPr>
          </w:p>
        </w:tc>
        <w:tc>
          <w:tcPr>
            <w:tcW w:w="2900" w:type="dxa"/>
            <w:vAlign w:val="bottom"/>
            <w:tcBorders>
              <w:right w:val="single" w:sz="8" w:color="auto"/>
            </w:tcBorders>
            <w:shd w:val="clear" w:color="auto" w:fill="F0FFFF"/>
          </w:tcPr>
          <w:p>
            <w:pPr>
              <w:spacing w:after="0"/>
              <w:rPr>
                <w:sz w:val="17"/>
                <w:szCs w:val="17"/>
                <w:color w:val="auto"/>
              </w:rPr>
            </w:pPr>
          </w:p>
        </w:tc>
        <w:tc>
          <w:tcPr>
            <w:tcW w:w="300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greater than zero if the Index</w:t>
            </w:r>
          </w:p>
        </w:tc>
      </w:tr>
      <w:tr>
        <w:trPr>
          <w:trHeight w:val="268"/>
        </w:trPr>
        <w:tc>
          <w:tcPr>
            <w:tcW w:w="282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2900" w:type="dxa"/>
            <w:vAlign w:val="bottom"/>
            <w:tcBorders>
              <w:bottom w:val="single" w:sz="8" w:color="F0FFFF"/>
              <w:right w:val="single" w:sz="8" w:color="auto"/>
            </w:tcBorders>
            <w:shd w:val="clear" w:color="auto" w:fill="F0FFFF"/>
          </w:tcPr>
          <w:p>
            <w:pPr>
              <w:spacing w:after="0"/>
              <w:rPr>
                <w:sz w:val="23"/>
                <w:szCs w:val="23"/>
                <w:color w:val="auto"/>
              </w:rPr>
            </w:pPr>
          </w:p>
        </w:tc>
        <w:tc>
          <w:tcPr>
            <w:tcW w:w="30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Performance is negative.)</w:t>
            </w:r>
          </w:p>
        </w:tc>
      </w:tr>
      <w:tr>
        <w:trPr>
          <w:trHeight w:val="238"/>
        </w:trPr>
        <w:tc>
          <w:tcPr>
            <w:tcW w:w="2820" w:type="dxa"/>
            <w:vAlign w:val="bottom"/>
            <w:tcBorders>
              <w:left w:val="single" w:sz="8" w:color="auto"/>
              <w:right w:val="single" w:sz="8" w:color="auto"/>
            </w:tcBorders>
          </w:tcPr>
          <w:p>
            <w:pPr>
              <w:spacing w:after="0"/>
              <w:rPr>
                <w:sz w:val="20"/>
                <w:szCs w:val="20"/>
                <w:color w:val="auto"/>
              </w:rPr>
            </w:pPr>
          </w:p>
        </w:tc>
        <w:tc>
          <w:tcPr>
            <w:tcW w:w="2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greater than zero and less than the</w:t>
            </w:r>
          </w:p>
        </w:tc>
        <w:tc>
          <w:tcPr>
            <w:tcW w:w="3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Index Performance</w:t>
            </w:r>
          </w:p>
        </w:tc>
      </w:tr>
      <w:tr>
        <w:trPr>
          <w:trHeight w:val="234"/>
        </w:trPr>
        <w:tc>
          <w:tcPr>
            <w:tcW w:w="2820" w:type="dxa"/>
            <w:vAlign w:val="bottom"/>
            <w:tcBorders>
              <w:left w:val="single" w:sz="8" w:color="auto"/>
              <w:right w:val="single" w:sz="8" w:color="auto"/>
            </w:tcBorders>
          </w:tcPr>
          <w:p>
            <w:pPr>
              <w:spacing w:after="0"/>
              <w:rPr>
                <w:sz w:val="20"/>
                <w:szCs w:val="20"/>
                <w:color w:val="auto"/>
              </w:rPr>
            </w:pPr>
          </w:p>
        </w:tc>
        <w:tc>
          <w:tcPr>
            <w:tcW w:w="2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Cap Rate</w:t>
            </w:r>
          </w:p>
        </w:tc>
        <w:tc>
          <w:tcPr>
            <w:tcW w:w="3000" w:type="dxa"/>
            <w:vAlign w:val="bottom"/>
            <w:tcBorders>
              <w:right w:val="single" w:sz="8" w:color="auto"/>
            </w:tcBorders>
          </w:tcPr>
          <w:p>
            <w:pPr>
              <w:spacing w:after="0"/>
              <w:rPr>
                <w:sz w:val="20"/>
                <w:szCs w:val="20"/>
                <w:color w:val="auto"/>
              </w:rPr>
            </w:pPr>
          </w:p>
        </w:tc>
      </w:tr>
      <w:tr>
        <w:trPr>
          <w:trHeight w:val="54"/>
        </w:trPr>
        <w:tc>
          <w:tcPr>
            <w:tcW w:w="2820" w:type="dxa"/>
            <w:vAlign w:val="bottom"/>
            <w:tcBorders>
              <w:left w:val="single" w:sz="8" w:color="auto"/>
              <w:right w:val="single" w:sz="8" w:color="auto"/>
            </w:tcBorders>
          </w:tcPr>
          <w:p>
            <w:pPr>
              <w:spacing w:after="0"/>
              <w:rPr>
                <w:sz w:val="4"/>
                <w:szCs w:val="4"/>
                <w:color w:val="auto"/>
              </w:rPr>
            </w:pPr>
          </w:p>
        </w:tc>
        <w:tc>
          <w:tcPr>
            <w:tcW w:w="290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tcPr>
          <w:p>
            <w:pPr>
              <w:spacing w:after="0"/>
              <w:rPr>
                <w:sz w:val="4"/>
                <w:szCs w:val="4"/>
                <w:color w:val="auto"/>
              </w:rPr>
            </w:pPr>
          </w:p>
        </w:tc>
      </w:tr>
      <w:tr>
        <w:trPr>
          <w:trHeight w:val="265"/>
        </w:trPr>
        <w:tc>
          <w:tcPr>
            <w:tcW w:w="2820" w:type="dxa"/>
            <w:vAlign w:val="bottom"/>
            <w:tcBorders>
              <w:left w:val="single" w:sz="8" w:color="auto"/>
              <w:right w:val="single" w:sz="8" w:color="auto"/>
            </w:tcBorders>
            <w:shd w:val="clear" w:color="auto" w:fill="F0FFFF"/>
          </w:tcPr>
          <w:p>
            <w:pPr>
              <w:spacing w:after="0"/>
              <w:rPr>
                <w:sz w:val="23"/>
                <w:szCs w:val="23"/>
                <w:color w:val="auto"/>
              </w:rPr>
            </w:pPr>
          </w:p>
        </w:tc>
        <w:tc>
          <w:tcPr>
            <w:tcW w:w="290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greater than zero and equals or</w:t>
            </w:r>
          </w:p>
        </w:tc>
        <w:tc>
          <w:tcPr>
            <w:tcW w:w="30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the Cap Rate</w:t>
            </w:r>
          </w:p>
        </w:tc>
      </w:tr>
      <w:tr>
        <w:trPr>
          <w:trHeight w:val="280"/>
        </w:trPr>
        <w:tc>
          <w:tcPr>
            <w:tcW w:w="282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29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exceeds the Cap Rate</w:t>
            </w:r>
          </w:p>
        </w:tc>
        <w:tc>
          <w:tcPr>
            <w:tcW w:w="3000" w:type="dxa"/>
            <w:vAlign w:val="bottom"/>
            <w:tcBorders>
              <w:bottom w:val="single" w:sz="8" w:color="F0FFFF"/>
              <w:right w:val="single" w:sz="8" w:color="auto"/>
            </w:tcBorders>
            <w:shd w:val="clear" w:color="auto" w:fill="F0FFFF"/>
          </w:tcPr>
          <w:p>
            <w:pPr>
              <w:spacing w:after="0"/>
              <w:rPr>
                <w:sz w:val="23"/>
                <w:szCs w:val="23"/>
                <w:color w:val="auto"/>
              </w:rPr>
            </w:pPr>
          </w:p>
        </w:tc>
      </w:tr>
      <w:tr>
        <w:trPr>
          <w:trHeight w:val="205"/>
        </w:trPr>
        <w:tc>
          <w:tcPr>
            <w:tcW w:w="2820" w:type="dxa"/>
            <w:vAlign w:val="bottom"/>
            <w:tcBorders>
              <w:top w:val="single" w:sz="8" w:color="auto"/>
              <w:left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Shield Options with a Step Rate</w:t>
            </w:r>
          </w:p>
        </w:tc>
        <w:tc>
          <w:tcPr>
            <w:tcW w:w="2900" w:type="dxa"/>
            <w:vAlign w:val="bottom"/>
            <w:tcBorders>
              <w:top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less than zero</w:t>
            </w:r>
          </w:p>
        </w:tc>
        <w:tc>
          <w:tcPr>
            <w:tcW w:w="3000" w:type="dxa"/>
            <w:vAlign w:val="bottom"/>
            <w:tcBorders>
              <w:top w:val="single" w:sz="8" w:color="auto"/>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the lesser of: zero or the Index</w:t>
            </w:r>
          </w:p>
        </w:tc>
      </w:tr>
      <w:tr>
        <w:trPr>
          <w:trHeight w:val="189"/>
        </w:trPr>
        <w:tc>
          <w:tcPr>
            <w:tcW w:w="282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spacing w:after="0"/>
              <w:rPr>
                <w:sz w:val="16"/>
                <w:szCs w:val="16"/>
                <w:color w:val="auto"/>
              </w:rPr>
            </w:pPr>
          </w:p>
        </w:tc>
        <w:tc>
          <w:tcPr>
            <w:tcW w:w="300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Performance increased by the Shield</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Rate (For example: a -15% Index</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Performance with a Shield 10 will</w:t>
            </w:r>
          </w:p>
        </w:tc>
      </w:tr>
      <w:tr>
        <w:trPr>
          <w:trHeight w:val="189"/>
        </w:trPr>
        <w:tc>
          <w:tcPr>
            <w:tcW w:w="282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spacing w:after="0"/>
              <w:rPr>
                <w:sz w:val="16"/>
                <w:szCs w:val="16"/>
                <w:color w:val="auto"/>
              </w:rPr>
            </w:pPr>
          </w:p>
        </w:tc>
        <w:tc>
          <w:tcPr>
            <w:tcW w:w="300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result in a -5% Performance Rate. The</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Performance Rate can never be</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greater than zero if the Index</w:t>
            </w:r>
          </w:p>
        </w:tc>
      </w:tr>
      <w:tr>
        <w:trPr>
          <w:trHeight w:val="234"/>
        </w:trPr>
        <w:tc>
          <w:tcPr>
            <w:tcW w:w="2820" w:type="dxa"/>
            <w:vAlign w:val="bottom"/>
            <w:tcBorders>
              <w:left w:val="single" w:sz="8" w:color="auto"/>
              <w:right w:val="single" w:sz="8" w:color="auto"/>
            </w:tcBorders>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Performance is negative.)</w:t>
            </w:r>
          </w:p>
        </w:tc>
      </w:tr>
      <w:tr>
        <w:trPr>
          <w:trHeight w:val="54"/>
        </w:trPr>
        <w:tc>
          <w:tcPr>
            <w:tcW w:w="2820" w:type="dxa"/>
            <w:vAlign w:val="bottom"/>
            <w:tcBorders>
              <w:left w:val="single" w:sz="8" w:color="auto"/>
              <w:right w:val="single" w:sz="8" w:color="auto"/>
            </w:tcBorders>
          </w:tcPr>
          <w:p>
            <w:pPr>
              <w:spacing w:after="0"/>
              <w:rPr>
                <w:sz w:val="4"/>
                <w:szCs w:val="4"/>
                <w:color w:val="auto"/>
              </w:rPr>
            </w:pPr>
          </w:p>
        </w:tc>
        <w:tc>
          <w:tcPr>
            <w:tcW w:w="290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tcPr>
          <w:p>
            <w:pPr>
              <w:spacing w:after="0"/>
              <w:rPr>
                <w:sz w:val="4"/>
                <w:szCs w:val="4"/>
                <w:color w:val="auto"/>
              </w:rPr>
            </w:pPr>
          </w:p>
        </w:tc>
      </w:tr>
      <w:tr>
        <w:trPr>
          <w:trHeight w:val="329"/>
        </w:trPr>
        <w:tc>
          <w:tcPr>
            <w:tcW w:w="2820" w:type="dxa"/>
            <w:vAlign w:val="bottom"/>
            <w:tcBorders>
              <w:left w:val="single" w:sz="8" w:color="auto"/>
              <w:bottom w:val="single" w:sz="8" w:color="F0FFFF"/>
              <w:right w:val="single" w:sz="8" w:color="auto"/>
            </w:tcBorders>
            <w:shd w:val="clear" w:color="auto" w:fill="F0FFFF"/>
          </w:tcPr>
          <w:p>
            <w:pPr>
              <w:spacing w:after="0"/>
              <w:rPr>
                <w:sz w:val="24"/>
                <w:szCs w:val="24"/>
                <w:color w:val="auto"/>
              </w:rPr>
            </w:pPr>
          </w:p>
        </w:tc>
        <w:tc>
          <w:tcPr>
            <w:tcW w:w="29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equal to or greater than zero</w:t>
            </w:r>
          </w:p>
        </w:tc>
        <w:tc>
          <w:tcPr>
            <w:tcW w:w="30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the Step Rate</w:t>
            </w:r>
          </w:p>
        </w:tc>
      </w:tr>
      <w:tr>
        <w:trPr>
          <w:trHeight w:val="205"/>
        </w:trPr>
        <w:tc>
          <w:tcPr>
            <w:tcW w:w="2820" w:type="dxa"/>
            <w:vAlign w:val="bottom"/>
            <w:tcBorders>
              <w:top w:val="single" w:sz="8" w:color="auto"/>
              <w:left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Shield Options with Step Rate Edge</w:t>
            </w:r>
          </w:p>
        </w:tc>
        <w:tc>
          <w:tcPr>
            <w:tcW w:w="2900" w:type="dxa"/>
            <w:vAlign w:val="bottom"/>
            <w:tcBorders>
              <w:top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less than zero and exceeds the Shield</w:t>
            </w:r>
          </w:p>
        </w:tc>
        <w:tc>
          <w:tcPr>
            <w:tcW w:w="3000" w:type="dxa"/>
            <w:vAlign w:val="bottom"/>
            <w:tcBorders>
              <w:top w:val="single" w:sz="8" w:color="auto"/>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Index Performance increased by the</w:t>
            </w:r>
          </w:p>
        </w:tc>
      </w:tr>
      <w:tr>
        <w:trPr>
          <w:trHeight w:val="189"/>
        </w:trPr>
        <w:tc>
          <w:tcPr>
            <w:tcW w:w="282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Rate</w:t>
            </w:r>
          </w:p>
        </w:tc>
        <w:tc>
          <w:tcPr>
            <w:tcW w:w="300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Shield Rate (For example: a -15%</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Index Performance with Shield 10 will</w:t>
            </w:r>
          </w:p>
        </w:tc>
      </w:tr>
      <w:tr>
        <w:trPr>
          <w:trHeight w:val="234"/>
        </w:trPr>
        <w:tc>
          <w:tcPr>
            <w:tcW w:w="2820" w:type="dxa"/>
            <w:vAlign w:val="bottom"/>
            <w:tcBorders>
              <w:left w:val="single" w:sz="8" w:color="auto"/>
              <w:right w:val="single" w:sz="8" w:color="auto"/>
            </w:tcBorders>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result in a -5% Performance Rate.)</w:t>
            </w:r>
          </w:p>
        </w:tc>
      </w:tr>
      <w:tr>
        <w:trPr>
          <w:trHeight w:val="67"/>
        </w:trPr>
        <w:tc>
          <w:tcPr>
            <w:tcW w:w="2820" w:type="dxa"/>
            <w:vAlign w:val="bottom"/>
            <w:tcBorders>
              <w:left w:val="single" w:sz="8" w:color="auto"/>
              <w:right w:val="single" w:sz="8" w:color="auto"/>
            </w:tcBorders>
          </w:tcPr>
          <w:p>
            <w:pPr>
              <w:spacing w:after="0"/>
              <w:rPr>
                <w:sz w:val="5"/>
                <w:szCs w:val="5"/>
                <w:color w:val="auto"/>
              </w:rPr>
            </w:pPr>
          </w:p>
        </w:tc>
        <w:tc>
          <w:tcPr>
            <w:tcW w:w="2900" w:type="dxa"/>
            <w:vAlign w:val="bottom"/>
            <w:tcBorders>
              <w:right w:val="single" w:sz="8" w:color="auto"/>
            </w:tcBorders>
          </w:tcPr>
          <w:p>
            <w:pPr>
              <w:spacing w:after="0"/>
              <w:rPr>
                <w:sz w:val="5"/>
                <w:szCs w:val="5"/>
                <w:color w:val="auto"/>
              </w:rPr>
            </w:pPr>
          </w:p>
        </w:tc>
        <w:tc>
          <w:tcPr>
            <w:tcW w:w="3000" w:type="dxa"/>
            <w:vAlign w:val="bottom"/>
            <w:tcBorders>
              <w:right w:val="single" w:sz="8" w:color="auto"/>
            </w:tcBorders>
          </w:tcPr>
          <w:p>
            <w:pPr>
              <w:spacing w:after="0"/>
              <w:rPr>
                <w:sz w:val="5"/>
                <w:szCs w:val="5"/>
                <w:color w:val="auto"/>
              </w:rPr>
            </w:pPr>
          </w:p>
        </w:tc>
      </w:tr>
      <w:tr>
        <w:trPr>
          <w:trHeight w:val="238"/>
        </w:trPr>
        <w:tc>
          <w:tcPr>
            <w:tcW w:w="2820" w:type="dxa"/>
            <w:vAlign w:val="bottom"/>
            <w:tcBorders>
              <w:left w:val="single" w:sz="8" w:color="auto"/>
              <w:right w:val="single" w:sz="8" w:color="auto"/>
            </w:tcBorders>
            <w:shd w:val="clear" w:color="auto" w:fill="F0FFFF"/>
          </w:tcPr>
          <w:p>
            <w:pPr>
              <w:spacing w:after="0"/>
              <w:rPr>
                <w:sz w:val="20"/>
                <w:szCs w:val="20"/>
                <w:color w:val="auto"/>
              </w:rPr>
            </w:pPr>
          </w:p>
        </w:tc>
        <w:tc>
          <w:tcPr>
            <w:tcW w:w="290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less than zero but does not exceed</w:t>
            </w:r>
          </w:p>
        </w:tc>
        <w:tc>
          <w:tcPr>
            <w:tcW w:w="30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the Edge Rate</w:t>
            </w:r>
          </w:p>
        </w:tc>
      </w:tr>
      <w:tr>
        <w:trPr>
          <w:trHeight w:val="268"/>
        </w:trPr>
        <w:tc>
          <w:tcPr>
            <w:tcW w:w="282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29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the Shield Rate</w:t>
            </w:r>
          </w:p>
        </w:tc>
        <w:tc>
          <w:tcPr>
            <w:tcW w:w="3000" w:type="dxa"/>
            <w:vAlign w:val="bottom"/>
            <w:tcBorders>
              <w:bottom w:val="single" w:sz="8" w:color="F0FFFF"/>
              <w:right w:val="single" w:sz="8" w:color="auto"/>
            </w:tcBorders>
            <w:shd w:val="clear" w:color="auto" w:fill="F0FFFF"/>
          </w:tcPr>
          <w:p>
            <w:pPr>
              <w:spacing w:after="0"/>
              <w:rPr>
                <w:sz w:val="23"/>
                <w:szCs w:val="23"/>
                <w:color w:val="auto"/>
              </w:rPr>
            </w:pPr>
          </w:p>
        </w:tc>
      </w:tr>
      <w:tr>
        <w:trPr>
          <w:trHeight w:val="270"/>
        </w:trPr>
        <w:tc>
          <w:tcPr>
            <w:tcW w:w="2820" w:type="dxa"/>
            <w:vAlign w:val="bottom"/>
            <w:tcBorders>
              <w:left w:val="single" w:sz="8" w:color="auto"/>
              <w:right w:val="single" w:sz="8" w:color="auto"/>
            </w:tcBorders>
          </w:tcPr>
          <w:p>
            <w:pPr>
              <w:spacing w:after="0"/>
              <w:rPr>
                <w:sz w:val="23"/>
                <w:szCs w:val="23"/>
                <w:color w:val="auto"/>
              </w:rPr>
            </w:pPr>
          </w:p>
        </w:tc>
        <w:tc>
          <w:tcPr>
            <w:tcW w:w="2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zero or positive</w:t>
            </w:r>
          </w:p>
        </w:tc>
        <w:tc>
          <w:tcPr>
            <w:tcW w:w="3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Edge Rate</w:t>
            </w:r>
          </w:p>
        </w:tc>
      </w:tr>
      <w:tr>
        <w:trPr>
          <w:trHeight w:val="24"/>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-4441825</wp:posOffset>
            </wp:positionV>
            <wp:extent cx="5520690"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20690"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-3079115</wp:posOffset>
            </wp:positionV>
            <wp:extent cx="5520690" cy="3340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0690" cy="33401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-2393315</wp:posOffset>
            </wp:positionV>
            <wp:extent cx="5520690" cy="1071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20690" cy="10712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-1107440</wp:posOffset>
            </wp:positionV>
            <wp:extent cx="5520690" cy="5740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20690" cy="5740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-198755</wp:posOffset>
            </wp:positionV>
            <wp:extent cx="552069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20690" cy="188595"/>
                    </a:xfrm>
                    <a:prstGeom prst="rect">
                      <a:avLst/>
                    </a:prstGeom>
                    <a:noFill/>
                  </pic:spPr>
                </pic:pic>
              </a:graphicData>
            </a:graphic>
          </wp:anchor>
        </w:drawing>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 1.1—Calculating your Investment Amount without Performance Lock on a Term End Date</w:t>
      </w:r>
    </w:p>
    <w:p>
      <w:pPr>
        <w:spacing w:after="0" w:line="121" w:lineRule="exact"/>
        <w:rPr>
          <w:sz w:val="20"/>
          <w:szCs w:val="20"/>
          <w:color w:val="auto"/>
        </w:rPr>
      </w:pPr>
    </w:p>
    <w:p>
      <w:pPr>
        <w:jc w:val="both"/>
        <w:ind w:left="120" w:right="639" w:firstLine="360"/>
        <w:spacing w:after="0" w:line="231" w:lineRule="auto"/>
        <w:rPr>
          <w:sz w:val="20"/>
          <w:szCs w:val="20"/>
          <w:color w:val="auto"/>
        </w:rPr>
      </w:pPr>
      <w:r>
        <w:rPr>
          <w:rFonts w:ascii="Times New Roman" w:cs="Times New Roman" w:eastAsia="Times New Roman" w:hAnsi="Times New Roman"/>
          <w:sz w:val="18"/>
          <w:szCs w:val="18"/>
          <w:color w:val="auto"/>
        </w:rPr>
        <w:t>Examples 1.1A, 1.1B, and 1.1C are intended to show how the Investment Amount on a Term End Date is calculated. In each example, assume Owner 1 allocates her $50,000 Purchase Payment into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and she allows her allocation to renew year to year for five years. In Example 1.1A she has selected the Shield 10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in Example 1.1B she has selected the Shield 10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Step Rate of 8%, and in Example 1.1C she has selected the Shield 10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an Edge Rate of 7%. For purposes of each example, assume no withdrawals are made during the five-year example period, the Example 1.1A Cap Rate stays at 10% for all five years, the Example 1.1B Step Rate stays at 8% for all five years, and the Example 1.1C Edge Rate stays at 7% for all five years. If a withdrawal were made, a Withdrawal Charge during the first 3 Contract Years as well as an Interim Value calculation may apply; and consequently the Investment Amount for the Term would be adjusted accordingly.</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Example 1.1A—Shield Option with Cap Rate:</w:t>
      </w:r>
    </w:p>
    <w:p>
      <w:pPr>
        <w:spacing w:after="0" w:line="100" w:lineRule="exact"/>
        <w:rPr>
          <w:sz w:val="20"/>
          <w:szCs w:val="20"/>
          <w:color w:val="auto"/>
        </w:rPr>
      </w:pPr>
    </w:p>
    <w:p>
      <w:pPr>
        <w:jc w:val="both"/>
        <w:ind w:left="120" w:right="639" w:firstLine="360"/>
        <w:spacing w:after="0" w:line="249" w:lineRule="auto"/>
        <w:rPr>
          <w:sz w:val="20"/>
          <w:szCs w:val="20"/>
          <w:color w:val="auto"/>
        </w:rPr>
      </w:pPr>
      <w:r>
        <w:rPr>
          <w:rFonts w:ascii="Times New Roman" w:cs="Times New Roman" w:eastAsia="Times New Roman" w:hAnsi="Times New Roman"/>
          <w:sz w:val="18"/>
          <w:szCs w:val="18"/>
          <w:color w:val="auto"/>
        </w:rPr>
        <w:t>Owner 1 allocates her $50,000 Purchase Payment into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and lets it renew year after year for five years. The following example illustrates how her initial $50,000 Purchase Payment could perform over a five-year period given fluctuating Index Values. For renewals into the same Shield Option a new Cap Rate would be declared and go into effect on the Contract Anniversary that coincides with the beginning of the new Shield Option.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019"/>
          </w:cols>
          <w:pgMar w:left="1440" w:top="1440" w:right="1440"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1134745</wp:posOffset>
            </wp:positionH>
            <wp:positionV relativeFrom="paragraph">
              <wp:posOffset>-59055</wp:posOffset>
            </wp:positionV>
            <wp:extent cx="4097655" cy="2400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9765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910" w:type="dxa"/>
        <w:tblCellMar>
          <w:top w:w="0" w:type="dxa"/>
          <w:left w:w="0" w:type="dxa"/>
          <w:bottom w:w="0" w:type="dxa"/>
          <w:right w:w="0" w:type="dxa"/>
        </w:tblCellMar>
      </w:tblPr>
      <w:tr>
        <w:trPr>
          <w:trHeight w:val="223"/>
        </w:trPr>
        <w:tc>
          <w:tcPr>
            <w:tcW w:w="30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Year</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3"/>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8"/>
        </w:trPr>
        <w:tc>
          <w:tcPr>
            <w:tcW w:w="3000" w:type="dxa"/>
            <w:vAlign w:val="bottom"/>
            <w:tcBorders>
              <w:left w:val="single" w:sz="8" w:color="auto"/>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Term Start Date</w:t>
            </w: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0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77"/>
        </w:trPr>
        <w:tc>
          <w:tcPr>
            <w:tcW w:w="300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w:t>
            </w:r>
            <w:r>
              <w:rPr>
                <w:rFonts w:ascii="Times New Roman" w:cs="Times New Roman" w:eastAsia="Times New Roman" w:hAnsi="Times New Roman"/>
                <w:sz w:val="23"/>
                <w:szCs w:val="23"/>
                <w:color w:val="auto"/>
                <w:vertAlign w:val="superscript"/>
              </w:rPr>
              <w:t>(1)</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$55,000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$57,750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$57,750</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$57,750</w:t>
            </w: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1,197</w:t>
            </w:r>
          </w:p>
        </w:tc>
      </w:tr>
      <w:tr>
        <w:trPr>
          <w:trHeight w:val="237"/>
        </w:trPr>
        <w:tc>
          <w:tcPr>
            <w:tcW w:w="3000" w:type="dxa"/>
            <w:vAlign w:val="bottom"/>
            <w:tcBorders>
              <w:top w:val="single" w:sz="8" w:color="auto"/>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1,197</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r>
      <w:tr>
        <w:trPr>
          <w:trHeight w:val="277"/>
        </w:trPr>
        <w:tc>
          <w:tcPr>
            <w:tcW w:w="300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(2)</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37"/>
        </w:trPr>
        <w:tc>
          <w:tcPr>
            <w:tcW w:w="3000" w:type="dxa"/>
            <w:vAlign w:val="bottom"/>
            <w:tcBorders>
              <w:top w:val="single" w:sz="8" w:color="auto"/>
              <w:left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77"/>
        </w:trPr>
        <w:tc>
          <w:tcPr>
            <w:tcW w:w="300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 (one year)</w:t>
            </w:r>
            <w:r>
              <w:rPr>
                <w:rFonts w:ascii="Times New Roman" w:cs="Times New Roman" w:eastAsia="Times New Roman" w:hAnsi="Times New Roman"/>
                <w:sz w:val="23"/>
                <w:szCs w:val="23"/>
                <w:color w:val="auto"/>
                <w:vertAlign w:val="superscript"/>
              </w:rPr>
              <w:t>(3)</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77"/>
        </w:trPr>
        <w:tc>
          <w:tcPr>
            <w:tcW w:w="3000" w:type="dxa"/>
            <w:vAlign w:val="bottom"/>
            <w:tcBorders>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$2,750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-$2,888</w:t>
            </w:r>
          </w:p>
        </w:tc>
      </w:tr>
      <w:tr>
        <w:trPr>
          <w:trHeight w:val="275"/>
        </w:trPr>
        <w:tc>
          <w:tcPr>
            <w:tcW w:w="300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23"/>
                <w:szCs w:val="23"/>
                <w:color w:val="auto"/>
                <w:vertAlign w:val="superscript"/>
              </w:rPr>
              <w:t>(5)</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$55,000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$57,750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$57,750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$57,750</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$54,862</w:t>
            </w:r>
          </w:p>
        </w:tc>
      </w:tr>
      <w:tr>
        <w:trPr>
          <w:trHeight w:val="83"/>
        </w:trPr>
        <w:tc>
          <w:tcPr>
            <w:tcW w:w="110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-2245360</wp:posOffset>
            </wp:positionV>
            <wp:extent cx="480060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00600" cy="15430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-1910715</wp:posOffset>
            </wp:positionV>
            <wp:extent cx="480060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-1542415</wp:posOffset>
            </wp:positionV>
            <wp:extent cx="480060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00600" cy="18034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-1182370</wp:posOffset>
            </wp:positionV>
            <wp:extent cx="480060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-813435</wp:posOffset>
            </wp:positionV>
            <wp:extent cx="480060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00600" cy="17970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-445135</wp:posOffset>
            </wp:positionV>
            <wp:extent cx="480060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1250950</wp:posOffset>
            </wp:positionH>
            <wp:positionV relativeFrom="paragraph">
              <wp:posOffset>-37465</wp:posOffset>
            </wp:positionV>
            <wp:extent cx="34290"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556260</wp:posOffset>
            </wp:positionH>
            <wp:positionV relativeFrom="paragraph">
              <wp:posOffset>-37465</wp:posOffset>
            </wp:positionV>
            <wp:extent cx="34290"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1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spacing w:after="0" w:line="70" w:lineRule="exact"/>
        <w:rPr>
          <w:sz w:val="20"/>
          <w:szCs w:val="20"/>
          <w:color w:val="auto"/>
        </w:rPr>
      </w:pPr>
    </w:p>
    <w:p>
      <w:pPr>
        <w:jc w:val="both"/>
        <w:ind w:left="1260" w:right="739" w:hanging="368"/>
        <w:spacing w:after="0" w:line="242"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Amount at Term Start Date in year one is the $50,000 Purchase Payment. In years two through five, the Investment Amount at Term Start Date would be $55,000, $57,750, $57,750 and $57,750, respectively, which was the Investment Amount at Term End Date for the prior year.</w:t>
      </w:r>
    </w:p>
    <w:p>
      <w:pPr>
        <w:spacing w:after="0" w:line="35" w:lineRule="exact"/>
        <w:rPr>
          <w:rFonts w:ascii="Times New Roman" w:cs="Times New Roman" w:eastAsia="Times New Roman" w:hAnsi="Times New Roman"/>
          <w:sz w:val="18"/>
          <w:szCs w:val="18"/>
          <w:color w:val="auto"/>
        </w:rPr>
      </w:pPr>
    </w:p>
    <w:p>
      <w:pPr>
        <w:ind w:left="1260" w:right="739" w:hanging="368"/>
        <w:spacing w:after="0" w:line="266"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Term End Date. For example, in year one, Index Performance is calculated as follows:</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(1,200 [Index Value at Term End Date] – 1,000 [Index Value at Term Start Date])</w:t>
      </w:r>
    </w:p>
    <w:p>
      <w:pPr>
        <w:spacing w:after="0" w:line="2" w:lineRule="exact"/>
        <w:rPr>
          <w:sz w:val="20"/>
          <w:szCs w:val="20"/>
          <w:color w:val="auto"/>
        </w:rPr>
      </w:pPr>
    </w:p>
    <w:p>
      <w:pPr>
        <w:ind w:left="3440" w:hanging="150"/>
        <w:spacing w:after="0"/>
        <w:tabs>
          <w:tab w:leader="none" w:pos="34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[Index Value at Term Start Date] = 20%</w:t>
      </w:r>
    </w:p>
    <w:p>
      <w:pPr>
        <w:spacing w:after="0" w:line="43" w:lineRule="exact"/>
        <w:rPr>
          <w:rFonts w:ascii="Times New Roman" w:cs="Times New Roman" w:eastAsia="Times New Roman" w:hAnsi="Times New Roman"/>
          <w:sz w:val="18"/>
          <w:szCs w:val="18"/>
          <w:color w:val="auto"/>
        </w:rPr>
      </w:pPr>
    </w:p>
    <w:p>
      <w:pPr>
        <w:jc w:val="both"/>
        <w:ind w:left="1260" w:right="739" w:hanging="368"/>
        <w:spacing w:after="0" w:line="235"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year one, Index Performance exceeds the Cap Rate and therefore the Performance Rate is equal to the Cap Rate. In years two and three the Performance Rate is equal to the Index Performance because the Index Performance is not negative and does not exceed the Cap Rate. In year four the Performance Rate is 0% because the Index Performance is –5% and the Shield 10 absorbs up to 10% of the negative Index Performance. In year five, the Performance Rate is –5% because the Index Performance is –15% and the Shield 10 absorbs up to 10% of negative Index Performance.</w:t>
      </w:r>
    </w:p>
    <w:p>
      <w:pPr>
        <w:spacing w:after="0" w:line="39" w:lineRule="exact"/>
        <w:rPr>
          <w:rFonts w:ascii="Times New Roman" w:cs="Times New Roman" w:eastAsia="Times New Roman" w:hAnsi="Times New Roman"/>
          <w:sz w:val="18"/>
          <w:szCs w:val="18"/>
          <w:color w:val="auto"/>
        </w:rPr>
      </w:pPr>
    </w:p>
    <w:p>
      <w:pPr>
        <w:jc w:val="both"/>
        <w:ind w:left="1260" w:right="739" w:hanging="368"/>
        <w:spacing w:after="0" w:line="250"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(there are no withdrawals in the example) multiplied by the Performance Rate. For example, in year one the Performance Rate Adjustment is calculated as follows:</w:t>
      </w:r>
    </w:p>
    <w:p>
      <w:pPr>
        <w:spacing w:after="0" w:line="2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$50,000 [Investment Amount at Term Start Date] x 10% [Performance Rate] = $5,000</w:t>
      </w:r>
    </w:p>
    <w:p>
      <w:pPr>
        <w:spacing w:after="0" w:line="63" w:lineRule="exact"/>
        <w:rPr>
          <w:sz w:val="20"/>
          <w:szCs w:val="20"/>
          <w:color w:val="auto"/>
        </w:rPr>
      </w:pPr>
    </w:p>
    <w:p>
      <w:pPr>
        <w:jc w:val="both"/>
        <w:ind w:left="1260" w:right="739" w:hanging="368"/>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Amount at the Term End Date is equal to the Investment Amount at Term Start Date adjusted for any withdrawals (there are no withdrawals in the example) plus the Performance Rate Adjustment. For example, in year one the Investment Amount at the Term End Date is calculated as follows:</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$50,000 [Investment Amount at Term Start Date] + $5,000 [Performance Rate Adjustment] = $55,000</w:t>
      </w:r>
    </w:p>
    <w:p>
      <w:pPr>
        <w:sectPr>
          <w:pgSz w:w="11900" w:h="16838" w:orient="portrait"/>
          <w:cols w:equalWidth="0" w:num="1">
            <w:col w:w="9799"/>
          </w:cols>
          <w:pgMar w:left="660" w:top="1282" w:right="1440" w:bottom="1440" w:gutter="0" w:footer="0" w:header="0"/>
        </w:sectPr>
      </w:pPr>
    </w:p>
    <w:p>
      <w:pPr>
        <w:spacing w:after="0" w:line="29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799"/>
          </w:cols>
          <w:pgMar w:left="660" w:top="1282" w:right="1440" w:bottom="1440" w:gutter="0" w:footer="0" w:header="0"/>
          <w:type w:val="continuous"/>
        </w:sectPr>
      </w:pPr>
    </w:p>
    <w:bookmarkStart w:id="36" w:name="page37"/>
    <w:bookmarkEnd w:id="36"/>
    <w:p>
      <w:pPr>
        <w:ind w:left="8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Example 1.1B—Shield Option with Step Rate:</w:t>
      </w:r>
    </w:p>
    <w:p>
      <w:pPr>
        <w:spacing w:after="0" w:line="100" w:lineRule="exact"/>
        <w:rPr>
          <w:sz w:val="20"/>
          <w:szCs w:val="20"/>
          <w:color w:val="auto"/>
        </w:rPr>
      </w:pPr>
    </w:p>
    <w:p>
      <w:pPr>
        <w:jc w:val="both"/>
        <w:ind w:left="880" w:right="639" w:firstLine="360"/>
        <w:spacing w:after="0" w:line="247" w:lineRule="auto"/>
        <w:rPr>
          <w:sz w:val="20"/>
          <w:szCs w:val="20"/>
          <w:color w:val="auto"/>
        </w:rPr>
      </w:pPr>
      <w:r>
        <w:rPr>
          <w:rFonts w:ascii="Times New Roman" w:cs="Times New Roman" w:eastAsia="Times New Roman" w:hAnsi="Times New Roman"/>
          <w:sz w:val="18"/>
          <w:szCs w:val="18"/>
          <w:color w:val="auto"/>
        </w:rPr>
        <w:t>Owner 1 allocates her $50,000 Purchase Payment into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Step Rate of 8% and lets it renew year after year for five years. The following example illustrates how her initial $50,000 Purchase Payment could perform over a five-year period given fluctuating Index Values. For renewals into the same Shield Option a new Step Rate would be declared and go into effect on the Contract Anniversary that coincides with the beginning of the new Shield Option.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-62230</wp:posOffset>
            </wp:positionV>
            <wp:extent cx="4131945" cy="254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3194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890" w:type="dxa"/>
        <w:tblCellMar>
          <w:top w:w="0" w:type="dxa"/>
          <w:left w:w="0" w:type="dxa"/>
          <w:bottom w:w="0" w:type="dxa"/>
          <w:right w:w="0" w:type="dxa"/>
        </w:tblCellMar>
      </w:tblPr>
      <w:tr>
        <w:trPr>
          <w:trHeight w:val="223"/>
        </w:trPr>
        <w:tc>
          <w:tcPr>
            <w:tcW w:w="30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Year</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3"/>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8"/>
        </w:trPr>
        <w:tc>
          <w:tcPr>
            <w:tcW w:w="3000" w:type="dxa"/>
            <w:vAlign w:val="bottom"/>
            <w:tcBorders>
              <w:left w:val="single" w:sz="8" w:color="auto"/>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Term Start Date</w:t>
            </w: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0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77"/>
        </w:trPr>
        <w:tc>
          <w:tcPr>
            <w:tcW w:w="300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w:t>
            </w:r>
            <w:r>
              <w:rPr>
                <w:rFonts w:ascii="Times New Roman" w:cs="Times New Roman" w:eastAsia="Times New Roman" w:hAnsi="Times New Roman"/>
                <w:sz w:val="23"/>
                <w:szCs w:val="23"/>
                <w:color w:val="auto"/>
                <w:vertAlign w:val="superscript"/>
              </w:rPr>
              <w:t>(1)</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$54,000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$58,320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$62,986</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$62,986</w:t>
            </w: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1,134</w:t>
            </w:r>
          </w:p>
        </w:tc>
      </w:tr>
      <w:tr>
        <w:trPr>
          <w:trHeight w:val="237"/>
        </w:trPr>
        <w:tc>
          <w:tcPr>
            <w:tcW w:w="3000" w:type="dxa"/>
            <w:vAlign w:val="bottom"/>
            <w:tcBorders>
              <w:top w:val="single" w:sz="8" w:color="auto"/>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1,134</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964</w:t>
            </w:r>
          </w:p>
        </w:tc>
      </w:tr>
      <w:tr>
        <w:trPr>
          <w:trHeight w:val="277"/>
        </w:trPr>
        <w:tc>
          <w:tcPr>
            <w:tcW w:w="300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(2)</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Step Rate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37"/>
        </w:trPr>
        <w:tc>
          <w:tcPr>
            <w:tcW w:w="3000" w:type="dxa"/>
            <w:vAlign w:val="bottom"/>
            <w:tcBorders>
              <w:top w:val="single" w:sz="8" w:color="auto"/>
              <w:left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77"/>
        </w:trPr>
        <w:tc>
          <w:tcPr>
            <w:tcW w:w="300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 (one year)</w:t>
            </w:r>
            <w:r>
              <w:rPr>
                <w:rFonts w:ascii="Times New Roman" w:cs="Times New Roman" w:eastAsia="Times New Roman" w:hAnsi="Times New Roman"/>
                <w:sz w:val="23"/>
                <w:szCs w:val="23"/>
                <w:color w:val="auto"/>
                <w:vertAlign w:val="superscript"/>
              </w:rPr>
              <w:t>(3)</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77"/>
        </w:trPr>
        <w:tc>
          <w:tcPr>
            <w:tcW w:w="3000" w:type="dxa"/>
            <w:vAlign w:val="bottom"/>
            <w:tcBorders>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$4,320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$4,666</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-$3,149</w:t>
            </w:r>
          </w:p>
        </w:tc>
      </w:tr>
      <w:tr>
        <w:trPr>
          <w:trHeight w:val="275"/>
        </w:trPr>
        <w:tc>
          <w:tcPr>
            <w:tcW w:w="300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23"/>
                <w:szCs w:val="23"/>
                <w:color w:val="auto"/>
                <w:vertAlign w:val="superscript"/>
              </w:rPr>
              <w:t>(5)</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$54,000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$58,320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$62,986</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$62,986</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$59,837</w:t>
            </w:r>
          </w:p>
        </w:tc>
      </w:tr>
      <w:tr>
        <w:trPr>
          <w:trHeight w:val="83"/>
        </w:trPr>
        <w:tc>
          <w:tcPr>
            <w:tcW w:w="1100" w:type="dxa"/>
            <w:vAlign w:val="bottom"/>
            <w:tcBorders>
              <w:bottom w:val="single" w:sz="8" w:color="9A9A9A"/>
            </w:tcBorders>
          </w:tcPr>
          <w:p>
            <w:pPr>
              <w:spacing w:after="0"/>
              <w:rPr>
                <w:sz w:val="7"/>
                <w:szCs w:val="7"/>
                <w:color w:val="auto"/>
              </w:rPr>
            </w:pPr>
          </w:p>
        </w:tc>
        <w:tc>
          <w:tcPr>
            <w:tcW w:w="1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-2245360</wp:posOffset>
            </wp:positionV>
            <wp:extent cx="480060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00600" cy="15430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-1910715</wp:posOffset>
            </wp:positionV>
            <wp:extent cx="480060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-1542415</wp:posOffset>
            </wp:positionV>
            <wp:extent cx="480060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00600" cy="17970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-1182370</wp:posOffset>
            </wp:positionV>
            <wp:extent cx="480060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-814070</wp:posOffset>
            </wp:positionV>
            <wp:extent cx="4800600"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00600" cy="18034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-445135</wp:posOffset>
            </wp:positionV>
            <wp:extent cx="480060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spacing w:after="0" w:line="70" w:lineRule="exact"/>
        <w:rPr>
          <w:sz w:val="20"/>
          <w:szCs w:val="20"/>
          <w:color w:val="auto"/>
        </w:rPr>
      </w:pPr>
    </w:p>
    <w:p>
      <w:pPr>
        <w:jc w:val="both"/>
        <w:ind w:left="1240" w:right="739" w:hanging="368"/>
        <w:spacing w:after="0" w:line="24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Amount at Term Start Date in year one is the $50,000 Purchase Payment. In years two through five, the Investment Amount at the Term Start Date would be $54,000, $58,320, $62,986 and $62,986, respectively, which was the Investment Amount at the Term End Date for the prior year.</w:t>
      </w:r>
    </w:p>
    <w:p>
      <w:pPr>
        <w:spacing w:after="0" w:line="35" w:lineRule="exact"/>
        <w:rPr>
          <w:rFonts w:ascii="Times New Roman" w:cs="Times New Roman" w:eastAsia="Times New Roman" w:hAnsi="Times New Roman"/>
          <w:sz w:val="18"/>
          <w:szCs w:val="18"/>
          <w:color w:val="auto"/>
        </w:rPr>
      </w:pPr>
    </w:p>
    <w:p>
      <w:pPr>
        <w:ind w:left="1240" w:right="739" w:hanging="368"/>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Term End Date. For example, in year one, Index Performance is calculated as follows:</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(1,050 [Index Value at Term End Date] – 1,000 [Index Value at Term Start Date])</w:t>
      </w:r>
    </w:p>
    <w:p>
      <w:pPr>
        <w:spacing w:after="0" w:line="16" w:lineRule="exact"/>
        <w:rPr>
          <w:sz w:val="20"/>
          <w:szCs w:val="20"/>
          <w:color w:val="auto"/>
        </w:rPr>
      </w:pPr>
    </w:p>
    <w:p>
      <w:pPr>
        <w:ind w:left="3420" w:hanging="135"/>
        <w:spacing w:after="0"/>
        <w:tabs>
          <w:tab w:leader="none" w:pos="3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[Index Value at Term Start Date]) = 5%</w:t>
      </w:r>
    </w:p>
    <w:p>
      <w:pPr>
        <w:spacing w:after="0" w:line="43" w:lineRule="exact"/>
        <w:rPr>
          <w:rFonts w:ascii="Times New Roman" w:cs="Times New Roman" w:eastAsia="Times New Roman" w:hAnsi="Times New Roman"/>
          <w:sz w:val="18"/>
          <w:szCs w:val="18"/>
          <w:color w:val="auto"/>
        </w:rPr>
      </w:pPr>
    </w:p>
    <w:p>
      <w:pPr>
        <w:jc w:val="both"/>
        <w:ind w:left="1240" w:right="739" w:hanging="368"/>
        <w:spacing w:after="0" w:line="235"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years one, two and three the Performance Rate is equal to the Step Rate because the Index Performance is positive or zero. It should be noted that although Index Performance was 20% in year two, the Performance Rate is capped at 8% by the Step Rate. In year four the Performance Rate is 0% because the Index Performance is –10% and the Shield 10 absorbs up to 10% of the negative Index Performance. In year five, the Performance Rate is –5% because the Index Performance is –15% and the Shield 10 absorbs up to 10% of the negative Index Performance.</w:t>
      </w:r>
    </w:p>
    <w:p>
      <w:pPr>
        <w:sectPr>
          <w:pgSz w:w="11900" w:h="16838" w:orient="portrait"/>
          <w:cols w:equalWidth="0" w:num="1">
            <w:col w:w="9779"/>
          </w:cols>
          <w:pgMar w:left="680" w:top="1377" w:right="1440" w:bottom="1440" w:gutter="0" w:footer="0" w:header="0"/>
        </w:sectPr>
      </w:pPr>
    </w:p>
    <w:p>
      <w:pPr>
        <w:spacing w:after="0" w:line="30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779"/>
          </w:cols>
          <w:pgMar w:left="680" w:top="1377" w:right="1440" w:bottom="1440" w:gutter="0" w:footer="0" w:header="0"/>
          <w:type w:val="continuous"/>
        </w:sectPr>
      </w:pPr>
    </w:p>
    <w:bookmarkStart w:id="37" w:name="page38"/>
    <w:bookmarkEnd w:id="37"/>
    <w:p>
      <w:pPr>
        <w:jc w:val="both"/>
        <w:ind w:left="1240" w:right="739" w:hanging="368"/>
        <w:spacing w:after="0" w:line="24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Performance Rate Adjustment is equal to the product of the Investment Amount at the Term Start Date adjusted for any withdrawals (there are no withdrawals in the example) multiplied by the Performance Rate. For example, in year one the Performance Rate Adjustment is calculated as follows:</w:t>
      </w:r>
    </w:p>
    <w:p>
      <w:pPr>
        <w:spacing w:after="0" w:line="3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$50,000 [Investment Amount at Term Start Date] x 8% [Performance Rate] = $4,000</w:t>
      </w:r>
    </w:p>
    <w:p>
      <w:pPr>
        <w:spacing w:after="0" w:line="63" w:lineRule="exact"/>
        <w:rPr>
          <w:sz w:val="20"/>
          <w:szCs w:val="20"/>
          <w:color w:val="auto"/>
        </w:rPr>
      </w:pPr>
    </w:p>
    <w:p>
      <w:pPr>
        <w:jc w:val="both"/>
        <w:ind w:left="1240" w:right="739" w:hanging="368"/>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Amount at the Term End Date is equal to the Investment Amount at Term Start Date adjusted for any withdrawals (there are no withdrawals in the example) plus the Performance Rate Adjustment. For example, in year one the Investment Amount at the Term End Date is calculated as follows: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$50,000 [Investment Amount at Term Start Date] + $4,000 [Performance Rate Adjustment] = $54,000</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Example 1.1C—Shield Option with Step Rate Edge:</w:t>
      </w:r>
    </w:p>
    <w:p>
      <w:pPr>
        <w:spacing w:after="0" w:line="100" w:lineRule="exact"/>
        <w:rPr>
          <w:sz w:val="20"/>
          <w:szCs w:val="20"/>
          <w:color w:val="auto"/>
        </w:rPr>
      </w:pPr>
    </w:p>
    <w:p>
      <w:pPr>
        <w:jc w:val="both"/>
        <w:ind w:left="880" w:right="659" w:firstLine="360"/>
        <w:spacing w:after="0" w:line="247" w:lineRule="auto"/>
        <w:rPr>
          <w:sz w:val="20"/>
          <w:szCs w:val="20"/>
          <w:color w:val="auto"/>
        </w:rPr>
      </w:pPr>
      <w:r>
        <w:rPr>
          <w:rFonts w:ascii="Times New Roman" w:cs="Times New Roman" w:eastAsia="Times New Roman" w:hAnsi="Times New Roman"/>
          <w:sz w:val="18"/>
          <w:szCs w:val="18"/>
          <w:color w:val="auto"/>
        </w:rPr>
        <w:t>Owner 1 allocates her $50,000 Purchase Payment into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an Edge Rate of 7% and lets it renew year after year for five years. The following example illustrates how her initial $50,000 Purchase Payment could perform over a five-year period given fluctuating Index Values. For renewals into the same Shield Option a new Edge Rate would be declared and go into effect on the Contract Anniversary that coincides with the beginning of the new Shield Option.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-62230</wp:posOffset>
            </wp:positionV>
            <wp:extent cx="4131945" cy="26485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3194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890" w:type="dxa"/>
        <w:tblCellMar>
          <w:top w:w="0" w:type="dxa"/>
          <w:left w:w="0" w:type="dxa"/>
          <w:bottom w:w="0" w:type="dxa"/>
          <w:right w:w="0" w:type="dxa"/>
        </w:tblCellMar>
      </w:tblPr>
      <w:tr>
        <w:trPr>
          <w:trHeight w:val="223"/>
        </w:trPr>
        <w:tc>
          <w:tcPr>
            <w:tcW w:w="30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Year</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3"/>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8"/>
        </w:trPr>
        <w:tc>
          <w:tcPr>
            <w:tcW w:w="3000" w:type="dxa"/>
            <w:vAlign w:val="bottom"/>
            <w:tcBorders>
              <w:left w:val="single" w:sz="8" w:color="auto"/>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Term Start Date</w:t>
            </w: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0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77"/>
        </w:trPr>
        <w:tc>
          <w:tcPr>
            <w:tcW w:w="300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w:t>
            </w:r>
            <w:r>
              <w:rPr>
                <w:rFonts w:ascii="Times New Roman" w:cs="Times New Roman" w:eastAsia="Times New Roman" w:hAnsi="Times New Roman"/>
                <w:sz w:val="23"/>
                <w:szCs w:val="23"/>
                <w:color w:val="auto"/>
                <w:vertAlign w:val="superscript"/>
              </w:rPr>
              <w:t>(1)</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$53,500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$57,245</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$61,252</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$65,540</w:t>
            </w: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1,134</w:t>
            </w:r>
          </w:p>
        </w:tc>
      </w:tr>
      <w:tr>
        <w:trPr>
          <w:trHeight w:val="237"/>
        </w:trPr>
        <w:tc>
          <w:tcPr>
            <w:tcW w:w="3000" w:type="dxa"/>
            <w:vAlign w:val="bottom"/>
            <w:tcBorders>
              <w:top w:val="single" w:sz="8" w:color="auto"/>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1,134</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964</w:t>
            </w:r>
          </w:p>
        </w:tc>
      </w:tr>
      <w:tr>
        <w:trPr>
          <w:trHeight w:val="277"/>
        </w:trPr>
        <w:tc>
          <w:tcPr>
            <w:tcW w:w="300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(2)</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Edge Rate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36"/>
        </w:trPr>
        <w:tc>
          <w:tcPr>
            <w:tcW w:w="3000" w:type="dxa"/>
            <w:vAlign w:val="bottom"/>
            <w:tcBorders>
              <w:top w:val="single" w:sz="8" w:color="auto"/>
              <w:left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77"/>
        </w:trPr>
        <w:tc>
          <w:tcPr>
            <w:tcW w:w="300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 (one year)</w:t>
            </w:r>
            <w:r>
              <w:rPr>
                <w:rFonts w:ascii="Times New Roman" w:cs="Times New Roman" w:eastAsia="Times New Roman" w:hAnsi="Times New Roman"/>
                <w:sz w:val="23"/>
                <w:szCs w:val="23"/>
                <w:color w:val="auto"/>
                <w:vertAlign w:val="superscript"/>
              </w:rPr>
              <w:t>(3)</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77"/>
        </w:trPr>
        <w:tc>
          <w:tcPr>
            <w:tcW w:w="3000" w:type="dxa"/>
            <w:vAlign w:val="bottom"/>
            <w:tcBorders>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$3,500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$3,745</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$4,007</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$4,288</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-$3,277</w:t>
            </w:r>
          </w:p>
        </w:tc>
      </w:tr>
      <w:tr>
        <w:trPr>
          <w:trHeight w:val="275"/>
        </w:trPr>
        <w:tc>
          <w:tcPr>
            <w:tcW w:w="300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23"/>
                <w:szCs w:val="23"/>
                <w:color w:val="auto"/>
                <w:vertAlign w:val="superscript"/>
              </w:rPr>
              <w:t>(5)</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$53,500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$57,245</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$61,252</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$65,540</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$62,263</w:t>
            </w:r>
          </w:p>
        </w:tc>
      </w:tr>
      <w:tr>
        <w:trPr>
          <w:trHeight w:val="83"/>
        </w:trPr>
        <w:tc>
          <w:tcPr>
            <w:tcW w:w="1100" w:type="dxa"/>
            <w:vAlign w:val="bottom"/>
            <w:tcBorders>
              <w:bottom w:val="single" w:sz="8" w:color="9A9A9A"/>
            </w:tcBorders>
          </w:tcPr>
          <w:p>
            <w:pPr>
              <w:spacing w:after="0"/>
              <w:rPr>
                <w:sz w:val="7"/>
                <w:szCs w:val="7"/>
                <w:color w:val="auto"/>
              </w:rPr>
            </w:pPr>
          </w:p>
        </w:tc>
        <w:tc>
          <w:tcPr>
            <w:tcW w:w="1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-2245360</wp:posOffset>
            </wp:positionV>
            <wp:extent cx="480060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00600" cy="15430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-1910715</wp:posOffset>
            </wp:positionV>
            <wp:extent cx="480060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-1542415</wp:posOffset>
            </wp:positionV>
            <wp:extent cx="480060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00600" cy="17970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-1182370</wp:posOffset>
            </wp:positionV>
            <wp:extent cx="480060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-814070</wp:posOffset>
            </wp:positionV>
            <wp:extent cx="480060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00600" cy="18034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-445135</wp:posOffset>
            </wp:positionV>
            <wp:extent cx="480060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spacing w:after="0" w:line="70" w:lineRule="exact"/>
        <w:rPr>
          <w:sz w:val="20"/>
          <w:szCs w:val="20"/>
          <w:color w:val="auto"/>
        </w:rPr>
      </w:pPr>
    </w:p>
    <w:p>
      <w:pPr>
        <w:jc w:val="both"/>
        <w:ind w:left="1240" w:right="739" w:hanging="368"/>
        <w:spacing w:after="0" w:line="24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Amount at Term Start Date in year one is the $50,000 Purchase Payment. In years two through five, the Investment Amount at the Term Start Date would be $53,500, $57,245, $61,252 and $65,540, respectively, which was the Investment Amount at the Term End Date for the prior year.</w:t>
      </w:r>
    </w:p>
    <w:p>
      <w:pPr>
        <w:sectPr>
          <w:pgSz w:w="11900" w:h="16838" w:orient="portrait"/>
          <w:cols w:equalWidth="0" w:num="1">
            <w:col w:w="9779"/>
          </w:cols>
          <w:pgMar w:left="680" w:top="1363" w:right="1440" w:bottom="1440" w:gutter="0" w:footer="0" w:header="0"/>
        </w:sectPr>
      </w:pPr>
    </w:p>
    <w:p>
      <w:pPr>
        <w:spacing w:after="0" w:line="26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779"/>
          </w:cols>
          <w:pgMar w:left="680" w:top="1363" w:right="1440" w:bottom="1440" w:gutter="0" w:footer="0" w:header="0"/>
          <w:type w:val="continuous"/>
        </w:sectPr>
      </w:pPr>
    </w:p>
    <w:bookmarkStart w:id="38" w:name="page39"/>
    <w:bookmarkEnd w:id="38"/>
    <w:p>
      <w:pPr>
        <w:ind w:left="480" w:right="739" w:hanging="368"/>
        <w:spacing w:after="0" w:line="266"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Index Performance is equal to the percentage change in the Index Value measured from the Term Start Date to the Term End Date. For example, in year one, Index Performance is calculated as follows: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(1,050 [Index Value at Term End Date] – 1,000 [Index Value at Term Start Date])</w:t>
      </w:r>
    </w:p>
    <w:p>
      <w:pPr>
        <w:spacing w:after="0" w:line="16" w:lineRule="exact"/>
        <w:rPr>
          <w:sz w:val="20"/>
          <w:szCs w:val="20"/>
          <w:color w:val="auto"/>
        </w:rPr>
      </w:pPr>
    </w:p>
    <w:p>
      <w:pPr>
        <w:ind w:left="2660" w:hanging="135"/>
        <w:spacing w:after="0"/>
        <w:tabs>
          <w:tab w:leader="none" w:pos="2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[Index Value at Term Start Date]) = 5%</w:t>
      </w:r>
    </w:p>
    <w:p>
      <w:pPr>
        <w:spacing w:after="0" w:line="56" w:lineRule="exact"/>
        <w:rPr>
          <w:rFonts w:ascii="Times New Roman" w:cs="Times New Roman" w:eastAsia="Times New Roman" w:hAnsi="Times New Roman"/>
          <w:sz w:val="18"/>
          <w:szCs w:val="18"/>
          <w:color w:val="auto"/>
        </w:rPr>
      </w:pPr>
    </w:p>
    <w:p>
      <w:pPr>
        <w:jc w:val="both"/>
        <w:ind w:left="480" w:right="739" w:hanging="368"/>
        <w:spacing w:after="0" w:line="235"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years one, two and three the Performance Rate is equal to the Edge Rate because the Index Performance is positive or zero. It should be noted that although Index Performance was 20% in year two, the Performance Rate is capped at 7% by the Step Rate Edge. In year four the Performance Rate is 7% because the Index Performance is –10% and does not exceed the Shield 10 which absorbs up to 10% of the negative Index Performance. In year five, the Performance Rate is –5% because the Index Performance is –15% and the Shield 10 absorbs up to 10% of the negative Index Performance.</w:t>
      </w:r>
    </w:p>
    <w:p>
      <w:pPr>
        <w:spacing w:after="0" w:line="52" w:lineRule="exact"/>
        <w:rPr>
          <w:rFonts w:ascii="Times New Roman" w:cs="Times New Roman" w:eastAsia="Times New Roman" w:hAnsi="Times New Roman"/>
          <w:sz w:val="18"/>
          <w:szCs w:val="18"/>
          <w:color w:val="auto"/>
        </w:rPr>
      </w:pPr>
    </w:p>
    <w:p>
      <w:pPr>
        <w:jc w:val="both"/>
        <w:ind w:left="480" w:right="739" w:hanging="368"/>
        <w:spacing w:after="0" w:line="242"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(there are no withdrawals in the example) multiplied by the Performance Rate. For example, in year one the Performance Rate Adjustment is calculated as follows:</w:t>
      </w:r>
    </w:p>
    <w:p>
      <w:pPr>
        <w:spacing w:after="0" w:line="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$50,000 [Investment Amount at Term Start Date] x 7% [Performance Rate] = $3,500</w:t>
      </w:r>
    </w:p>
    <w:p>
      <w:pPr>
        <w:spacing w:after="0" w:line="63" w:lineRule="exact"/>
        <w:rPr>
          <w:sz w:val="20"/>
          <w:szCs w:val="20"/>
          <w:color w:val="auto"/>
        </w:rPr>
      </w:pPr>
    </w:p>
    <w:p>
      <w:pPr>
        <w:jc w:val="both"/>
        <w:ind w:left="480" w:right="739" w:hanging="368"/>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Amount at the Term End Date is equal to the Investment Amount at Term Start Date adjusted for any withdrawals (there are no withdrawals in the example) plus the Performance Rate Adjustment. For example, in year one the Investment Amount at the Term End Date is calculated as follows:</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$50,000 [Investment Amount at Term Start Date] + $3,500 [Performance Rate Adjustment] = $53,500</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 1.2—Calculating your Investment Amount with Performance Lock on a Term End Date</w:t>
      </w:r>
    </w:p>
    <w:p>
      <w:pPr>
        <w:spacing w:after="0" w:line="135" w:lineRule="exact"/>
        <w:rPr>
          <w:sz w:val="20"/>
          <w:szCs w:val="20"/>
          <w:color w:val="auto"/>
        </w:rPr>
      </w:pPr>
    </w:p>
    <w:p>
      <w:pPr>
        <w:jc w:val="both"/>
        <w:ind w:left="120" w:right="659" w:firstLine="360"/>
        <w:spacing w:after="0" w:line="244" w:lineRule="auto"/>
        <w:rPr>
          <w:sz w:val="20"/>
          <w:szCs w:val="20"/>
          <w:color w:val="auto"/>
        </w:rPr>
      </w:pPr>
      <w:r>
        <w:rPr>
          <w:rFonts w:ascii="Times New Roman" w:cs="Times New Roman" w:eastAsia="Times New Roman" w:hAnsi="Times New Roman"/>
          <w:sz w:val="18"/>
          <w:szCs w:val="18"/>
          <w:color w:val="auto"/>
        </w:rPr>
        <w:t>Example 1.2 is intended to show how the Investment Amount on a Term End Date is calculated when a Locked Index Value has taken effect. This example assumes a $100,000 Purchase Payment allocation 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The example illustrates an Investment Amount calculation with a Locked Index Value and no withdrawal, calculated at the Term End Date.</w:t>
      </w:r>
    </w:p>
    <w:p>
      <w:pPr>
        <w:spacing w:after="0" w:line="8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Example 1.2 shows only the Investment Amount on a Term End Date and does not reflect an Interim Value calculation. To see how we calculate Interim Value, please see “INTERIM VALUE CALCULATION” and Examples 2.1 and 2.2 below.</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Example 1.2—Investment Amount with a Locked Index Value (no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49530</wp:posOffset>
            </wp:positionV>
            <wp:extent cx="5250180" cy="24041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50180" cy="2404110"/>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Borders>
              <w:top w:val="single" w:sz="8" w:color="auto"/>
            </w:tcBorders>
          </w:tcPr>
          <w:p>
            <w:pPr>
              <w:spacing w:after="0"/>
              <w:rPr>
                <w:sz w:val="24"/>
                <w:szCs w:val="24"/>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Locked 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Cap Rate</w:t>
            </w:r>
            <w:r>
              <w:rPr>
                <w:rFonts w:ascii="Times New Roman" w:cs="Times New Roman" w:eastAsia="Times New Roman" w:hAnsi="Times New Roman"/>
                <w:sz w:val="23"/>
                <w:szCs w:val="23"/>
                <w:color w:val="auto"/>
                <w:vertAlign w:val="superscript"/>
              </w:rPr>
              <w:t>(2)</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(3)</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Lock Factor</w:t>
            </w:r>
            <w:r>
              <w:rPr>
                <w:rFonts w:ascii="Times New Roman" w:cs="Times New Roman" w:eastAsia="Times New Roman" w:hAnsi="Times New Roman"/>
                <w:sz w:val="23"/>
                <w:szCs w:val="23"/>
                <w:color w:val="auto"/>
                <w:vertAlign w:val="superscript"/>
              </w:rPr>
              <w:t>(5)</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97%</w:t>
            </w:r>
          </w:p>
        </w:tc>
        <w:tc>
          <w:tcPr>
            <w:tcW w:w="20" w:type="dxa"/>
            <w:vAlign w:val="bottom"/>
            <w:tcBorders>
              <w:bottom w:val="single" w:sz="8" w:color="auto"/>
            </w:tcBorders>
          </w:tcPr>
          <w:p>
            <w:pPr>
              <w:spacing w:after="0"/>
              <w:rPr>
                <w:sz w:val="24"/>
                <w:szCs w:val="24"/>
                <w:color w:val="auto"/>
              </w:rPr>
            </w:pPr>
          </w:p>
        </w:tc>
      </w:tr>
      <w:tr>
        <w:trPr>
          <w:trHeight w:val="260"/>
        </w:trPr>
        <w:tc>
          <w:tcPr>
            <w:tcW w:w="6420" w:type="dxa"/>
            <w:vAlign w:val="bottom"/>
            <w:tcBorders>
              <w:bottom w:val="single" w:sz="8" w:color="auto"/>
              <w:right w:val="single" w:sz="8" w:color="auto"/>
            </w:tcBorders>
            <w:gridSpan w:val="2"/>
          </w:tcPr>
          <w:p>
            <w:pPr>
              <w:ind w:left="280"/>
              <w:spacing w:after="0" w:line="261" w:lineRule="exact"/>
              <w:rPr>
                <w:sz w:val="20"/>
                <w:szCs w:val="20"/>
                <w:color w:val="auto"/>
              </w:rPr>
            </w:pP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23"/>
                <w:szCs w:val="23"/>
                <w:color w:val="auto"/>
                <w:vertAlign w:val="superscript"/>
              </w:rPr>
              <w:t>(6)</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$106,700</w:t>
            </w:r>
          </w:p>
        </w:tc>
        <w:tc>
          <w:tcPr>
            <w:tcW w:w="20" w:type="dxa"/>
            <w:vAlign w:val="bottom"/>
            <w:tcBorders>
              <w:bottom w:val="single" w:sz="8" w:color="auto"/>
            </w:tcBorders>
          </w:tcPr>
          <w:p>
            <w:pPr>
              <w:spacing w:after="0"/>
              <w:rPr>
                <w:sz w:val="22"/>
                <w:szCs w:val="22"/>
                <w:color w:val="auto"/>
              </w:rPr>
            </w:pPr>
          </w:p>
        </w:tc>
      </w:tr>
      <w:tr>
        <w:trPr>
          <w:trHeight w:val="85"/>
        </w:trPr>
        <w:tc>
          <w:tcPr>
            <w:tcW w:w="1100" w:type="dxa"/>
            <w:vAlign w:val="bottom"/>
            <w:tcBorders>
              <w:bottom w:val="single" w:sz="8" w:color="9A9A9A"/>
            </w:tcBorders>
          </w:tcPr>
          <w:p>
            <w:pPr>
              <w:spacing w:after="0"/>
              <w:rPr>
                <w:sz w:val="7"/>
                <w:szCs w:val="7"/>
                <w:color w:val="auto"/>
              </w:rPr>
            </w:pPr>
          </w:p>
        </w:tc>
        <w:tc>
          <w:tcPr>
            <w:tcW w:w="53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spacing w:after="0" w:line="70" w:lineRule="exact"/>
        <w:rPr>
          <w:sz w:val="20"/>
          <w:szCs w:val="20"/>
          <w:color w:val="auto"/>
        </w:rPr>
      </w:pPr>
    </w:p>
    <w:p>
      <w:pPr>
        <w:ind w:left="480" w:right="739" w:hanging="368"/>
        <w:spacing w:after="0" w:line="266"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Index Value Lock date. Index Performance is calculated as follows: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(1,200 [Locked Index Value on the Index Value Lock date] – 1,000 [Index Value at Term Start Date])</w:t>
      </w:r>
    </w:p>
    <w:p>
      <w:pPr>
        <w:spacing w:after="0" w:line="2" w:lineRule="exact"/>
        <w:rPr>
          <w:sz w:val="20"/>
          <w:szCs w:val="20"/>
          <w:color w:val="auto"/>
        </w:rPr>
      </w:pPr>
    </w:p>
    <w:p>
      <w:pPr>
        <w:ind w:left="2660" w:hanging="150"/>
        <w:spacing w:after="0"/>
        <w:tabs>
          <w:tab w:leader="none" w:pos="2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[Index Value at Term Start Date] = 20%</w:t>
      </w:r>
    </w:p>
    <w:p>
      <w:pPr>
        <w:spacing w:after="0" w:line="43" w:lineRule="exact"/>
        <w:rPr>
          <w:rFonts w:ascii="Times New Roman" w:cs="Times New Roman" w:eastAsia="Times New Roman" w:hAnsi="Times New Roman"/>
          <w:sz w:val="18"/>
          <w:szCs w:val="18"/>
          <w:color w:val="auto"/>
        </w:rPr>
      </w:pPr>
    </w:p>
    <w:p>
      <w:pPr>
        <w:ind w:left="480" w:right="739" w:hanging="368"/>
        <w:spacing w:after="0" w:line="266" w:lineRule="auto"/>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 Rate is equal to the Cap Rate multiplied by the number of days elapsed since the Term Start Date divided by the total number of days in the Term. The Cap Rate is calculated as follows:</w:t>
      </w:r>
    </w:p>
    <w:p>
      <w:pPr>
        <w:spacing w:after="0" w:line="2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10% [Cap Rate] x 365 [number of days elapsed since the Term Start Date]</w:t>
      </w:r>
    </w:p>
    <w:p>
      <w:pPr>
        <w:spacing w:after="0" w:line="1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365 [total number of days in the Term] = 10%</w:t>
      </w:r>
    </w:p>
    <w:p>
      <w:pPr>
        <w:sectPr>
          <w:pgSz w:w="11900" w:h="16838" w:orient="portrait"/>
          <w:cols w:equalWidth="0" w:num="1">
            <w:col w:w="9019"/>
          </w:cols>
          <w:pgMar w:left="1440" w:top="1363" w:right="1440" w:bottom="1440" w:gutter="0" w:footer="0" w:header="0"/>
        </w:sectPr>
      </w:pPr>
    </w:p>
    <w:p>
      <w:pPr>
        <w:spacing w:after="0" w:line="27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019"/>
          </w:cols>
          <w:pgMar w:left="1440" w:top="1363" w:right="1440" w:bottom="1440" w:gutter="0" w:footer="0" w:header="0"/>
          <w:type w:val="continuous"/>
        </w:sectPr>
      </w:pPr>
    </w:p>
    <w:bookmarkStart w:id="39" w:name="page40"/>
    <w:bookmarkEnd w:id="39"/>
    <w:p>
      <w:pPr>
        <w:ind w:left="480" w:right="739" w:hanging="368"/>
        <w:spacing w:after="0" w:line="266" w:lineRule="auto"/>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Performance Rate is equal to the Cap Rate because it cannot exceed the Cap Rate even though the Index Performance was 20%.</w:t>
      </w:r>
    </w:p>
    <w:p>
      <w:pPr>
        <w:spacing w:after="0" w:line="13" w:lineRule="exact"/>
        <w:rPr>
          <w:rFonts w:ascii="Times New Roman" w:cs="Times New Roman" w:eastAsia="Times New Roman" w:hAnsi="Times New Roman"/>
          <w:sz w:val="18"/>
          <w:szCs w:val="18"/>
          <w:color w:val="auto"/>
        </w:rPr>
      </w:pPr>
    </w:p>
    <w:p>
      <w:pPr>
        <w:jc w:val="both"/>
        <w:ind w:left="480" w:right="739" w:hanging="368"/>
        <w:spacing w:after="0" w:line="250" w:lineRule="auto"/>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(Example 1.2 assumes no withdrawals have been taken) multiplied by the Performance Rate. The Performance Rate Adjustment is calculated as follows:</w:t>
      </w:r>
    </w:p>
    <w:p>
      <w:pPr>
        <w:spacing w:after="0" w:line="2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$100,000 [Investment Amount at Term Start Date] x 10% [Performance Rate] = $10,000</w:t>
      </w:r>
    </w:p>
    <w:p>
      <w:pPr>
        <w:spacing w:after="0" w:line="77" w:lineRule="exact"/>
        <w:rPr>
          <w:sz w:val="20"/>
          <w:szCs w:val="20"/>
          <w:color w:val="auto"/>
        </w:rPr>
      </w:pPr>
    </w:p>
    <w:p>
      <w:pPr>
        <w:ind w:left="480" w:right="739" w:hanging="368"/>
        <w:spacing w:after="0" w:line="266" w:lineRule="auto"/>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Lock Factor is 97% and the remaining percentage (3%) is not included in the Investment Amount. 3% is equal to $3,300.</w:t>
      </w:r>
    </w:p>
    <w:p>
      <w:pPr>
        <w:spacing w:after="0" w:line="13" w:lineRule="exact"/>
        <w:rPr>
          <w:rFonts w:ascii="Times New Roman" w:cs="Times New Roman" w:eastAsia="Times New Roman" w:hAnsi="Times New Roman"/>
          <w:sz w:val="18"/>
          <w:szCs w:val="18"/>
          <w:color w:val="auto"/>
        </w:rPr>
      </w:pPr>
    </w:p>
    <w:p>
      <w:pPr>
        <w:ind w:left="480" w:hanging="368"/>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Amount is calculated as follows:</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The Greater of:</w:t>
      </w:r>
    </w:p>
    <w:p>
      <w:pPr>
        <w:spacing w:after="0" w:line="27" w:lineRule="exact"/>
        <w:rPr>
          <w:sz w:val="20"/>
          <w:szCs w:val="20"/>
          <w:color w:val="auto"/>
        </w:rPr>
      </w:pPr>
    </w:p>
    <w:p>
      <w:pPr>
        <w:ind w:left="1820" w:right="1019" w:hanging="1386"/>
        <w:spacing w:after="0" w:line="235" w:lineRule="auto"/>
        <w:tabs>
          <w:tab w:leader="none" w:pos="65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[Investment Amount at Term Start Date] x (1+10%) [the lesser of Index Performance (20%) or Cap Rate (10%)] x 97% [Performance Lock Factor] = $106,700</w:t>
      </w:r>
    </w:p>
    <w:p>
      <w:pPr>
        <w:spacing w:after="0" w:line="1" w:lineRule="exact"/>
        <w:rPr>
          <w:rFonts w:ascii="Times New Roman" w:cs="Times New Roman" w:eastAsia="Times New Roman" w:hAnsi="Times New Roman"/>
          <w:sz w:val="18"/>
          <w:szCs w:val="18"/>
          <w:color w:val="auto"/>
        </w:rPr>
      </w:pPr>
    </w:p>
    <w:p>
      <w:pPr>
        <w:ind w:left="2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$100,000 [Investment Amount at Term Start Date]</w:t>
      </w:r>
    </w:p>
    <w:p>
      <w:pPr>
        <w:spacing w:after="0" w:line="97"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You should note that in the above example, the Index Value at Term End Date was assumed to be lower than the Locked Index Value. In that example, the Owner would have benefited from locking the Index Value. Importantly, however, by locking in the Index Value the Owner is exposed to the risk that the Index Value at the Term End Date may exceed the Locked Index Value, in which case the Owner would have received higher performance if the Owner had not locked the Index Value.</w:t>
      </w:r>
    </w:p>
    <w:p>
      <w:pPr>
        <w:spacing w:after="0" w:line="30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INTERIM VALUE CALCULATION</w:t>
      </w:r>
    </w:p>
    <w:p>
      <w:pPr>
        <w:spacing w:after="0" w:line="121"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Your Investment Amount in each Shield Option on the Term End Date is calculated as described above under “Calculating your Investment Amount on a Term End Date”. In setting the various rates we use in calculating the Investment Amount, we assume that you are going to hold a Shield Option until the Term End Date. Nevertheless, you have the right under the Contract to make withdrawals, Surrender the Contract or annuitize before the Term End Date. Therefore, we calculate an Interim Value on each Business Day between the Term Start Date and prior to the Term End Date.</w:t>
      </w:r>
    </w:p>
    <w:p>
      <w:pPr>
        <w:spacing w:after="0" w:line="93"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Between the Term Start Date and the Term End Date, we use the Interim Value to calculate the amount that is available for (1) annuitization; (2) death benefits; (3) withdrawals; or (4) Surrenders. The Interim Value is also used to determine how much the Investment Amount will be reduced by a withdrawal. You may obtain your Interim Value on any Business Day by calling us at (888) 243-1932 or by accessing our website at www.brighthousefinancial.com. However, Interim Values fluctuate daily, and the current value(s) quoted may differ from the actual value(s) calculated.</w:t>
      </w:r>
    </w:p>
    <w:p>
      <w:pPr>
        <w:spacing w:after="0" w:line="93"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There are two ways to calculate Interim Value, and the calculation depends on whether the Shield Option has a Locked Index Value.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Interim Value Calculation without Performance Lock</w:t>
      </w:r>
    </w:p>
    <w:p>
      <w:pPr>
        <w:spacing w:after="0" w:line="13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For a Shield Option without a Locked Index Value, we calculate Interim Value without Performance Lock. It is equal to the Investment Amount at the Term Start Date, adjusted proportionately for any withdrawals (including any applicable Withdrawal Charge), in the Shield Option, adjusted for the Index Performance of the associated Index and subject to the applicable Accrued Shield Rate, Accrued Cap Rate, Accrued Step Rate, or Accrued Edge Rate. A withdrawal from a Shield Option will reduce your Interim Value by the amount withdrawn on the date of withdrawal. The Interim Value calculation is different than the calculation we use to calculate the Investment Amount for a Shield Option on the Term End Date.</w:t>
      </w:r>
    </w:p>
    <w:p>
      <w:pPr>
        <w:spacing w:after="0" w:line="90"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The Withdrawal Amount (including any applicable Withdrawal Charge) will reduce the Investment Amount for each Shield Option by the percentage reduction in the Interim Value of such Shield Option (</w:t>
      </w:r>
      <w:r>
        <w:rPr>
          <w:rFonts w:ascii="Times New Roman" w:cs="Times New Roman" w:eastAsia="Times New Roman" w:hAnsi="Times New Roman"/>
          <w:sz w:val="18"/>
          <w:szCs w:val="18"/>
          <w:b w:val="1"/>
          <w:bCs w:val="1"/>
          <w:i w:val="1"/>
          <w:iCs w:val="1"/>
          <w:color w:val="auto"/>
        </w:rPr>
        <w:t>i.e.</w:t>
      </w:r>
      <w:r>
        <w:rPr>
          <w:rFonts w:ascii="Times New Roman" w:cs="Times New Roman" w:eastAsia="Times New Roman" w:hAnsi="Times New Roman"/>
          <w:sz w:val="18"/>
          <w:szCs w:val="18"/>
          <w:b w:val="1"/>
          <w:bCs w:val="1"/>
          <w:color w:val="auto"/>
        </w:rPr>
        <w:t xml:space="preserve"> a proportional reduction). Accordingly, when negative performance has caused the Interim Value to be </w:t>
      </w:r>
      <w:r>
        <w:rPr>
          <w:rFonts w:ascii="Times New Roman" w:cs="Times New Roman" w:eastAsia="Times New Roman" w:hAnsi="Times New Roman"/>
          <w:sz w:val="18"/>
          <w:szCs w:val="18"/>
          <w:b w:val="1"/>
          <w:bCs w:val="1"/>
          <w:i w:val="1"/>
          <w:iCs w:val="1"/>
          <w:color w:val="auto"/>
        </w:rPr>
        <w:t>less</w:t>
      </w:r>
      <w:r>
        <w:rPr>
          <w:rFonts w:ascii="Times New Roman" w:cs="Times New Roman" w:eastAsia="Times New Roman" w:hAnsi="Times New Roman"/>
          <w:sz w:val="18"/>
          <w:szCs w:val="18"/>
          <w:b w:val="1"/>
          <w:bCs w:val="1"/>
          <w:color w:val="auto"/>
        </w:rPr>
        <w:t xml:space="preserve"> than the Investment Amount, the reduction to the Shield Option is on more than dollar for dollar basis. On the other hand, when positive performance has caused the Interim Value to be </w:t>
      </w:r>
      <w:r>
        <w:rPr>
          <w:rFonts w:ascii="Times New Roman" w:cs="Times New Roman" w:eastAsia="Times New Roman" w:hAnsi="Times New Roman"/>
          <w:sz w:val="18"/>
          <w:szCs w:val="18"/>
          <w:b w:val="1"/>
          <w:bCs w:val="1"/>
          <w:i w:val="1"/>
          <w:iCs w:val="1"/>
          <w:color w:val="auto"/>
        </w:rPr>
        <w:t>greater</w:t>
      </w:r>
      <w:r>
        <w:rPr>
          <w:rFonts w:ascii="Times New Roman" w:cs="Times New Roman" w:eastAsia="Times New Roman" w:hAnsi="Times New Roman"/>
          <w:sz w:val="18"/>
          <w:szCs w:val="18"/>
          <w:b w:val="1"/>
          <w:bCs w:val="1"/>
          <w:color w:val="auto"/>
        </w:rPr>
        <w:t xml:space="preserve"> than the Investment Amount, the reduction to the Shield Option is on a less than dollar for dollar basis.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Interim Value Calculation with Performance Lock</w:t>
      </w:r>
    </w:p>
    <w:p>
      <w:pPr>
        <w:spacing w:after="0" w:line="135"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For a Shield Option with a Locked Index Value, we calculate Interim Value with Performance Lock. It is equal to the Investment Amount in the Shield Option at the Term Start Date, adjusted proportionately for any withdrawals (including any applicable Withdrawal Charge), in the Shield Option, adjusted for the Index Performance (using the Locked Index Value) of the associated Index and subject to the applicable Accrued Cap Rate (where the Performance Rate is the Index Performance, adjusted for the applicable Accrued Cap Rate), multiplied by the Performance Lock Factor.</w:t>
      </w:r>
    </w:p>
    <w:p>
      <w:pPr>
        <w:sectPr>
          <w:pgSz w:w="11900" w:h="16838" w:orient="portrait"/>
          <w:cols w:equalWidth="0" w:num="1">
            <w:col w:w="9019"/>
          </w:cols>
          <w:pgMar w:left="1440" w:top="1363" w:right="1440" w:bottom="920" w:gutter="0" w:footer="0" w:header="0"/>
        </w:sectPr>
      </w:pPr>
    </w:p>
    <w:p>
      <w:pPr>
        <w:spacing w:after="0" w:line="2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019"/>
          </w:cols>
          <w:pgMar w:left="1440" w:top="1363" w:right="1440" w:bottom="920" w:gutter="0" w:footer="0" w:header="0"/>
          <w:type w:val="continuous"/>
        </w:sectPr>
      </w:pPr>
    </w:p>
    <w:bookmarkStart w:id="40" w:name="page41"/>
    <w:bookmarkEnd w:id="40"/>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Withdrawal Amount (including any applicable Withdrawal Charge) will reduce the Investment Amount for each Shield Option by the percentage reduction in the Interim Value of such Shield Option (</w:t>
      </w:r>
      <w:r>
        <w:rPr>
          <w:rFonts w:ascii="Times New Roman" w:cs="Times New Roman" w:eastAsia="Times New Roman" w:hAnsi="Times New Roman"/>
          <w:sz w:val="18"/>
          <w:szCs w:val="18"/>
          <w:b w:val="1"/>
          <w:bCs w:val="1"/>
          <w:i w:val="1"/>
          <w:iCs w:val="1"/>
          <w:color w:val="auto"/>
        </w:rPr>
        <w:t>i.e.</w:t>
      </w:r>
      <w:r>
        <w:rPr>
          <w:rFonts w:ascii="Times New Roman" w:cs="Times New Roman" w:eastAsia="Times New Roman" w:hAnsi="Times New Roman"/>
          <w:sz w:val="18"/>
          <w:szCs w:val="18"/>
          <w:b w:val="1"/>
          <w:bCs w:val="1"/>
          <w:color w:val="auto"/>
        </w:rPr>
        <w:t xml:space="preserve"> proportional reduction). Accordingly, when negative performance has caused the Interim Value to be </w:t>
      </w:r>
      <w:r>
        <w:rPr>
          <w:rFonts w:ascii="Times New Roman" w:cs="Times New Roman" w:eastAsia="Times New Roman" w:hAnsi="Times New Roman"/>
          <w:sz w:val="18"/>
          <w:szCs w:val="18"/>
          <w:b w:val="1"/>
          <w:bCs w:val="1"/>
          <w:i w:val="1"/>
          <w:iCs w:val="1"/>
          <w:color w:val="auto"/>
        </w:rPr>
        <w:t>less</w:t>
      </w:r>
      <w:r>
        <w:rPr>
          <w:rFonts w:ascii="Times New Roman" w:cs="Times New Roman" w:eastAsia="Times New Roman" w:hAnsi="Times New Roman"/>
          <w:sz w:val="18"/>
          <w:szCs w:val="18"/>
          <w:b w:val="1"/>
          <w:bCs w:val="1"/>
          <w:color w:val="auto"/>
        </w:rPr>
        <w:t xml:space="preserve"> than the Investment Amount, the reduction to the Shield Option is on more than dollar for dollar basis. On the other hand, when positive performance has caused the Interim Value to be </w:t>
      </w:r>
      <w:r>
        <w:rPr>
          <w:rFonts w:ascii="Times New Roman" w:cs="Times New Roman" w:eastAsia="Times New Roman" w:hAnsi="Times New Roman"/>
          <w:sz w:val="18"/>
          <w:szCs w:val="18"/>
          <w:b w:val="1"/>
          <w:bCs w:val="1"/>
          <w:i w:val="1"/>
          <w:iCs w:val="1"/>
          <w:color w:val="auto"/>
        </w:rPr>
        <w:t>greater</w:t>
      </w:r>
      <w:r>
        <w:rPr>
          <w:rFonts w:ascii="Times New Roman" w:cs="Times New Roman" w:eastAsia="Times New Roman" w:hAnsi="Times New Roman"/>
          <w:sz w:val="18"/>
          <w:szCs w:val="18"/>
          <w:b w:val="1"/>
          <w:bCs w:val="1"/>
          <w:color w:val="auto"/>
        </w:rPr>
        <w:t xml:space="preserve"> than the Investment Amount, the reduction to the Shield Option is on a less than dollar for dollar basis.</w:t>
      </w:r>
    </w:p>
    <w:p>
      <w:pPr>
        <w:spacing w:after="0" w:line="9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However, the Interim Value after the Locked Index Value takes effect will not be less than the Investment Amount at the Term Start Date in the Shield Option reduced for any withdrawals (including any applicable Withdrawal Charge) by the same percentage that the withdrawal reduces the Interim Value attributable to that Shield Option. This is because after a Locked Index Value takes effect, Index performance is measured from the Term Start Date to the date on which the Index Value is locked. Therefore, subsequent changes to an Index – such as substitution of the Index for a Shield Option or changes in the value of an Index – will have no impact on your Index Performance. Index Performance with a Locked Index Value is calculated once, as of the date on which the Locked Index Value takes effect, and does not change under any circumstances for the remainder of the Term.</w:t>
      </w:r>
    </w:p>
    <w:p>
      <w:pPr>
        <w:spacing w:after="0" w:line="80" w:lineRule="exact"/>
        <w:rPr>
          <w:sz w:val="20"/>
          <w:szCs w:val="20"/>
          <w:color w:val="auto"/>
        </w:rPr>
      </w:pPr>
    </w:p>
    <w:p>
      <w:pPr>
        <w:jc w:val="both"/>
        <w:ind w:left="12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descriptions for Accrued Shield Rate, Accrued Cap Rate, Accrued Step Rate, Accrued Edge Rate, and Performance Rate apply to both Interim Value without Performance Lock and Interim Value with Performance Lock.</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Accrued Shield Rate for Interim Value Calculation</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Accrued Shield Rate is the portion of the Shield Rate that has accrued from the Term Start Date to any day within the Term. This is the amount that will be applied in calculating the Interim Value on any day prior to the Term End Date if Index Performance is less than zero. The Accrued Shield Rate is equal to the Shield Rate multiplied by the number of days elapsed since the Term Start Date, divided by the total number of days in the Term. Therefore, you receive a larger portion of the Shield Rate the closer you are to the Term End Date.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Accrued Cap Rate for Interim Value Calculation</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Accrued Cap Rate is the portion of the Cap Rate that has accrued from the Term Start Date to any day within the Term. This is the maximum Index Performance that may be applied in calculating the Interim Value on any day prior to the Term End Date if Index Performance is greater than zero. The Accrued Cap Rate is equal to the Cap Rate multiplied by the number of days elapsed since the Term Start Date, divided by the total number of days in the Term. Therefore, you receive a larger portion of the Cap Rate the closer you are to the Term End Date.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Accrued Edge Rate for Interim Value Calculation</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Accrued Edge Rate is the portion of the Edge Rate that has accrued from the Term Start Date to any day within the Term. This is the rate that will be applied in calculating the Interim Value on any day prior to the Term End Date if Index Performance is equal to or greater than the Accrued Shield Rate. The Accrued Edge Rate is equal to the Edge Rate multiplied by the number of days elapsed since the Term Start Date, divided by the total number of days in the Term. Therefore, you receive a larger portion of the Edge Rate the closer you are to the Term End Date.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Accrued Step Rate for Interim Value Calculation</w:t>
      </w:r>
    </w:p>
    <w:p>
      <w:pPr>
        <w:spacing w:after="0" w:line="121"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The Accrued Step Rate is the portion of the Step Rate that has accrued from the Term Start Date to any day within the Term. This is the rate that will be applied in calculating the Interim Value on any day prior to the Term End Date if Index Performance is equal to or greater than zero. The Accrued Step Rate is equal to the Step Rate multiplied by the number of days elapsed since the Term Start Date, divided by the total number of days in the Term. Therefore, you receive a larger portion of the Step Rate the closer you are to the Term End Date.</w:t>
      </w:r>
    </w:p>
    <w:p>
      <w:pPr>
        <w:spacing w:after="0" w:line="7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For purposes of determining the Accrued Shield Rate, Accrued Cap Rate, Accrued Step Rate, and Accrued Edge Rate, the total number of days in each calendar year of a Term is 365.</w:t>
      </w:r>
    </w:p>
    <w:p>
      <w:pPr>
        <w:spacing w:after="0" w:line="50" w:lineRule="exact"/>
        <w:rPr>
          <w:sz w:val="20"/>
          <w:szCs w:val="20"/>
          <w:color w:val="auto"/>
        </w:rPr>
      </w:pPr>
    </w:p>
    <w:p>
      <w:pPr>
        <w:jc w:val="both"/>
        <w:ind w:left="12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Performance Rate for Determination of Interim Value.</w:t>
      </w:r>
      <w:r>
        <w:rPr>
          <w:rFonts w:ascii="Times New Roman" w:cs="Times New Roman" w:eastAsia="Times New Roman" w:hAnsi="Times New Roman"/>
          <w:sz w:val="18"/>
          <w:szCs w:val="18"/>
          <w:color w:val="auto"/>
        </w:rPr>
        <w:t xml:space="preserve">  The Performance Rate during a particular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the Index Performance, adjusted for the applicable Accrued Shield Rate, Accrued Cap Rate, Accrued Step Rate, or Accrued Edge Rate.</w:t>
      </w:r>
    </w:p>
    <w:p>
      <w:pPr>
        <w:spacing w:after="0" w:line="67"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As noted above, the Interim Value is calculated using accrued values for the Shield Rate, Cap Rate, Step Rate, and Edge Rate. So if you annuitize, die, make a withdrawal or Surrender your Contract before the Term End Date, you will not receive the full benefit of the Shield Rate, Cap Rate, Step Rate, or Edge Rate, but instead will receive the accrued percentage to the date of the annuitization, date of the payment of the death benefit, withdrawal or Surrender. In addition, a withdrawal from a Shield Option will reduce your Interim Value by the amount withdrawn on the date of the withdrawal. For example, if you have</w:t>
      </w:r>
    </w:p>
    <w:p>
      <w:pPr>
        <w:sectPr>
          <w:pgSz w:w="11900" w:h="16838" w:orient="portrait"/>
          <w:cols w:equalWidth="0" w:num="1">
            <w:col w:w="9019"/>
          </w:cols>
          <w:pgMar w:left="1440" w:top="1373" w:right="1440" w:bottom="1068" w:gutter="0" w:footer="0" w:header="0"/>
        </w:sectPr>
      </w:pPr>
    </w:p>
    <w:p>
      <w:pPr>
        <w:spacing w:after="0" w:line="2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9019"/>
          </w:cols>
          <w:pgMar w:left="1440" w:top="1373" w:right="1440" w:bottom="1068" w:gutter="0" w:footer="0" w:header="0"/>
          <w:type w:val="continuous"/>
        </w:sectPr>
      </w:pPr>
    </w:p>
    <w:bookmarkStart w:id="41" w:name="page42"/>
    <w:bookmarkEnd w:id="41"/>
    <w:p>
      <w:pPr>
        <w:jc w:val="both"/>
        <w:ind w:left="120" w:right="65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 Shield Option with a 1-Year Term, a Shield 10 and a 10% Cap Rate and you make a withdrawal halfway through your Term, the Interim Value will be calculated using your Accrued Shield Rate and Accrued Cap Rate. That means your Accrued Shield Rate will be 5% and your Accrued Cap Rate will be 5%.</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Based on the above, the accrued rates are calculated as follows:</w:t>
      </w:r>
    </w:p>
    <w:p>
      <w:pPr>
        <w:spacing w:after="0" w:line="117"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Shield Rate (10%) is multiplied by the number of days elapsed since the Term Start Date (183) and divided by the total number of days in the Term (365), so the Accrued Shield Rate is 5%.</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Cap Rate (10%) is multiplied by the number of days elapsed since the Term Start Date (183) and divided by the total number of days in the Term (365), so the Accrued Cap Rate is 5%.</w:t>
      </w:r>
    </w:p>
    <w:p>
      <w:pPr>
        <w:spacing w:after="0" w:line="5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An Accrued Step Rate is calculated in the same manner—the Step Rate is multiplied by the number of days elapsed since the Term Start Date and divided by the total number of days in the Term. For example, if the Step Rate is 8% and the total number of days in the Term is 365 and 183 days have elapsed, then the Step Rate (8%) is multiplied by 183 and divided by 365 to arrive at an Accrued Step Rate of 4%.</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Similarly, an Accrued Edge Rate is multiplied by the number of days elapsed since the Term Start Date and divided by the total number of days in the Term. For example, if the Edge Rate is 7% and the total number of days in the Term is 365 and 183 days have elapsed, then the Edge Rate (7%) is multiplied by 183 and divided by 365 to arrive at an Accrued Edge Rate of 3.5%.</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 2.1—Calculating your Interim Value without Performance Lock</w:t>
      </w:r>
    </w:p>
    <w:p>
      <w:pPr>
        <w:spacing w:after="0" w:line="121" w:lineRule="exact"/>
        <w:rPr>
          <w:sz w:val="20"/>
          <w:szCs w:val="20"/>
          <w:color w:val="auto"/>
        </w:rPr>
      </w:pPr>
    </w:p>
    <w:p>
      <w:pPr>
        <w:jc w:val="both"/>
        <w:ind w:left="120" w:right="639" w:firstLine="360"/>
        <w:spacing w:after="0" w:line="247" w:lineRule="auto"/>
        <w:rPr>
          <w:sz w:val="20"/>
          <w:szCs w:val="20"/>
          <w:color w:val="auto"/>
        </w:rPr>
      </w:pPr>
      <w:r>
        <w:rPr>
          <w:rFonts w:ascii="Times New Roman" w:cs="Times New Roman" w:eastAsia="Times New Roman" w:hAnsi="Times New Roman"/>
          <w:sz w:val="18"/>
          <w:szCs w:val="18"/>
          <w:color w:val="auto"/>
        </w:rPr>
        <w:t>Examples 2.1A and 2.1B are intended to show how Interim Value without Performance Lock is calculated. For a Shield Option without a Locked Index Value, an Interim Value Calculation will be made if you annuitize, die, make a withdrawal or Surrender your Contract before the Term End Date. In both examples, assume Owner 1 allocates her $50,000 Purchase Payment 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and has not exercised Performance Lock by locking an Index Value. Example 2.1A will illustrate an Interim Value calculation with positive Index Performance and Example 2.1B will illustrate an Interim Value calculation with negative Index Performance. For purposes of these examples, assume the activity that triggers the Interim Value calculation occurs exactly halfway through the Term and that there are no withdrawals made as of the date the Interim Value is calculated.</w:t>
      </w:r>
    </w:p>
    <w:p>
      <w:pPr>
        <w:spacing w:after="0" w:line="89"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To see how we calculate Investment Amount without a Locked Index Value after a withdrawal, please see “WITHDRAWAL PROVISIONS” and Example 3A.</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Example 2.1A—Positive Index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49530</wp:posOffset>
            </wp:positionV>
            <wp:extent cx="5250180" cy="2215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50180" cy="2215515"/>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20" w:type="dxa"/>
            <w:vAlign w:val="bottom"/>
            <w:tcBorders>
              <w:top w:val="single" w:sz="8" w:color="auto"/>
            </w:tcBorders>
          </w:tcPr>
          <w:p>
            <w:pPr>
              <w:spacing w:after="0"/>
              <w:rPr>
                <w:sz w:val="24"/>
                <w:szCs w:val="24"/>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Interim Value Calculation Halfway Through Term</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Accrued Cap Rate</w:t>
            </w:r>
            <w:r>
              <w:rPr>
                <w:rFonts w:ascii="Times New Roman" w:cs="Times New Roman" w:eastAsia="Times New Roman" w:hAnsi="Times New Roman"/>
                <w:sz w:val="23"/>
                <w:szCs w:val="23"/>
                <w:color w:val="auto"/>
                <w:vertAlign w:val="superscript"/>
              </w:rPr>
              <w:t>(2)</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(3)</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Borders>
              <w:bottom w:val="single" w:sz="8" w:color="auto"/>
            </w:tcBorders>
          </w:tcPr>
          <w:p>
            <w:pPr>
              <w:spacing w:after="0"/>
              <w:rPr>
                <w:sz w:val="24"/>
                <w:szCs w:val="24"/>
                <w:color w:val="auto"/>
              </w:rPr>
            </w:pPr>
          </w:p>
        </w:tc>
      </w:tr>
      <w:tr>
        <w:trPr>
          <w:trHeight w:val="260"/>
        </w:trPr>
        <w:tc>
          <w:tcPr>
            <w:tcW w:w="6420" w:type="dxa"/>
            <w:vAlign w:val="bottom"/>
            <w:tcBorders>
              <w:bottom w:val="single" w:sz="8" w:color="auto"/>
              <w:right w:val="single" w:sz="8" w:color="auto"/>
            </w:tcBorders>
            <w:gridSpan w:val="2"/>
            <w:shd w:val="clear" w:color="auto" w:fill="F0FFFF"/>
          </w:tcPr>
          <w:p>
            <w:pPr>
              <w:ind w:left="280"/>
              <w:spacing w:after="0" w:line="261" w:lineRule="exact"/>
              <w:rPr>
                <w:sz w:val="20"/>
                <w:szCs w:val="20"/>
                <w:color w:val="auto"/>
              </w:rPr>
            </w:pPr>
            <w:r>
              <w:rPr>
                <w:rFonts w:ascii="Times New Roman" w:cs="Times New Roman" w:eastAsia="Times New Roman" w:hAnsi="Times New Roman"/>
                <w:sz w:val="18"/>
                <w:szCs w:val="18"/>
                <w:b w:val="1"/>
                <w:bCs w:val="1"/>
                <w:color w:val="auto"/>
              </w:rPr>
              <w:t>Interim Value</w:t>
            </w:r>
            <w:r>
              <w:rPr>
                <w:rFonts w:ascii="Times New Roman" w:cs="Times New Roman" w:eastAsia="Times New Roman" w:hAnsi="Times New Roman"/>
                <w:sz w:val="23"/>
                <w:szCs w:val="23"/>
                <w:color w:val="auto"/>
                <w:vertAlign w:val="superscript"/>
              </w:rPr>
              <w:t>(5)</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$52,500</w:t>
            </w:r>
          </w:p>
        </w:tc>
        <w:tc>
          <w:tcPr>
            <w:tcW w:w="20" w:type="dxa"/>
            <w:vAlign w:val="bottom"/>
            <w:tcBorders>
              <w:bottom w:val="single" w:sz="8" w:color="auto"/>
            </w:tcBorders>
          </w:tcPr>
          <w:p>
            <w:pPr>
              <w:spacing w:after="0"/>
              <w:rPr>
                <w:sz w:val="22"/>
                <w:szCs w:val="22"/>
                <w:color w:val="auto"/>
              </w:rPr>
            </w:pPr>
          </w:p>
        </w:tc>
      </w:tr>
      <w:tr>
        <w:trPr>
          <w:trHeight w:val="85"/>
        </w:trPr>
        <w:tc>
          <w:tcPr>
            <w:tcW w:w="1100" w:type="dxa"/>
            <w:vAlign w:val="bottom"/>
            <w:tcBorders>
              <w:bottom w:val="single" w:sz="8" w:color="auto"/>
            </w:tcBorders>
          </w:tcPr>
          <w:p>
            <w:pPr>
              <w:spacing w:after="0"/>
              <w:rPr>
                <w:sz w:val="7"/>
                <w:szCs w:val="7"/>
                <w:color w:val="auto"/>
              </w:rPr>
            </w:pPr>
          </w:p>
        </w:tc>
        <w:tc>
          <w:tcPr>
            <w:tcW w:w="53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-38100</wp:posOffset>
            </wp:positionV>
            <wp:extent cx="34290"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-38100</wp:posOffset>
            </wp:positionV>
            <wp:extent cx="34290"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ind w:left="120"/>
        <w:spacing w:after="0" w:line="208" w:lineRule="auto"/>
        <w:rPr>
          <w:sz w:val="20"/>
          <w:szCs w:val="20"/>
          <w:color w:val="auto"/>
        </w:rPr>
      </w:pPr>
      <w:r>
        <w:rPr>
          <w:rFonts w:ascii="Times New Roman" w:cs="Times New Roman" w:eastAsia="Times New Roman" w:hAnsi="Times New Roman"/>
          <w:sz w:val="9"/>
          <w:szCs w:val="9"/>
          <w:color w:val="auto"/>
        </w:rPr>
        <w:t>(1)</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Interim Value calculation. Index Performance is calculated as follows:</w:t>
      </w:r>
    </w:p>
    <w:p>
      <w:pPr>
        <w:spacing w:after="0" w:line="5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(600 [Index Value on date of Interim Value calculation] — 500 [Index Value at Term Start Date])</w:t>
      </w:r>
    </w:p>
    <w:p>
      <w:pPr>
        <w:spacing w:after="0" w:line="1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500 [Index Value at Term Start Date] = 20%</w:t>
      </w:r>
    </w:p>
    <w:p>
      <w:pPr>
        <w:sectPr>
          <w:pgSz w:w="11900" w:h="16838" w:orient="portrait"/>
          <w:cols w:equalWidth="0" w:num="1">
            <w:col w:w="9019"/>
          </w:cols>
          <w:pgMar w:left="1440" w:top="1377" w:right="1440" w:bottom="1440" w:gutter="0" w:footer="0" w:header="0"/>
        </w:sectPr>
      </w:pPr>
    </w:p>
    <w:p>
      <w:pPr>
        <w:spacing w:after="0" w:line="32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9019"/>
          </w:cols>
          <w:pgMar w:left="1440" w:top="1377" w:right="1440" w:bottom="1440" w:gutter="0" w:footer="0" w:header="0"/>
          <w:type w:val="continuous"/>
        </w:sectPr>
      </w:pPr>
    </w:p>
    <w:bookmarkStart w:id="42" w:name="page43"/>
    <w:bookmarkEnd w:id="42"/>
    <w:p>
      <w:pPr>
        <w:ind w:left="120"/>
        <w:spacing w:after="0"/>
        <w:rPr>
          <w:sz w:val="20"/>
          <w:szCs w:val="20"/>
          <w:color w:val="auto"/>
        </w:rPr>
      </w:pPr>
      <w:r>
        <w:rPr>
          <w:rFonts w:ascii="Times New Roman" w:cs="Times New Roman" w:eastAsia="Times New Roman" w:hAnsi="Times New Roman"/>
          <w:sz w:val="9"/>
          <w:szCs w:val="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(3)</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(4)</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both"/>
        <w:ind w:right="739"/>
        <w:spacing w:after="0" w:line="266" w:lineRule="auto"/>
        <w:rPr>
          <w:sz w:val="20"/>
          <w:szCs w:val="20"/>
          <w:color w:val="auto"/>
        </w:rPr>
      </w:pPr>
      <w:r>
        <w:rPr>
          <w:rFonts w:ascii="Times New Roman" w:cs="Times New Roman" w:eastAsia="Times New Roman" w:hAnsi="Times New Roman"/>
          <w:sz w:val="18"/>
          <w:szCs w:val="18"/>
          <w:color w:val="auto"/>
        </w:rPr>
        <w:t>The Accrued Cap Rate is equal to the Cap Rate multiplied by the number of days elapsed since the Term Start Date divided by the total number of days in the Term. The Accrued Cap Rate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-626110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7"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8"/>
          <w:szCs w:val="18"/>
          <w:color w:val="auto"/>
        </w:rPr>
        <w:t>10% [Cap Rate] x 183 [number of days elapsed since the Term Start Date]</w:t>
      </w:r>
    </w:p>
    <w:p>
      <w:pPr>
        <w:spacing w:after="0" w:line="2"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color w:val="auto"/>
        </w:rPr>
        <w:t>÷ 365 [total number of days in the Term] = 5%</w:t>
      </w:r>
    </w:p>
    <w:p>
      <w:pPr>
        <w:spacing w:after="0" w:line="43" w:lineRule="exact"/>
        <w:rPr>
          <w:sz w:val="20"/>
          <w:szCs w:val="20"/>
          <w:color w:val="auto"/>
        </w:rPr>
      </w:pPr>
    </w:p>
    <w:p>
      <w:pPr>
        <w:jc w:val="both"/>
        <w:ind w:right="739"/>
        <w:spacing w:after="0" w:line="266" w:lineRule="auto"/>
        <w:rPr>
          <w:sz w:val="20"/>
          <w:szCs w:val="20"/>
          <w:color w:val="auto"/>
        </w:rPr>
      </w:pPr>
      <w:r>
        <w:rPr>
          <w:rFonts w:ascii="Times New Roman" w:cs="Times New Roman" w:eastAsia="Times New Roman" w:hAnsi="Times New Roman"/>
          <w:sz w:val="18"/>
          <w:szCs w:val="18"/>
          <w:color w:val="auto"/>
        </w:rPr>
        <w:t>The Performance Rate is equal to the Accrued Cap Rate because it cannot exceed the Accrued Cap Rate even though the Index Performance was at 20%.</w:t>
      </w:r>
    </w:p>
    <w:p>
      <w:pPr>
        <w:spacing w:after="0" w:line="14" w:lineRule="exact"/>
        <w:rPr>
          <w:sz w:val="20"/>
          <w:szCs w:val="20"/>
          <w:color w:val="auto"/>
        </w:rPr>
      </w:pPr>
    </w:p>
    <w:p>
      <w:pPr>
        <w:jc w:val="both"/>
        <w:ind w:right="739"/>
        <w:spacing w:after="0" w:line="242" w:lineRule="auto"/>
        <w:rPr>
          <w:sz w:val="20"/>
          <w:szCs w:val="20"/>
          <w:color w:val="auto"/>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(there are no withdrawals in the example) multiplied by the Performance Rate. The Performance Rate Adjustment is calculated as follows:</w:t>
      </w:r>
    </w:p>
    <w:p>
      <w:pPr>
        <w:spacing w:after="0" w:line="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$50,000 [Investment Amount at Term Start Date] x 5% [Performance Rate] = $2,500</w:t>
      </w:r>
    </w:p>
    <w:p>
      <w:pPr>
        <w:spacing w:after="0" w:line="63" w:lineRule="exact"/>
        <w:rPr>
          <w:sz w:val="20"/>
          <w:szCs w:val="20"/>
          <w:color w:val="auto"/>
        </w:rPr>
      </w:pPr>
    </w:p>
    <w:p>
      <w:pPr>
        <w:sectPr>
          <w:pgSz w:w="11900" w:h="16838" w:orient="portrait"/>
          <w:cols w:equalWidth="0" w:num="2">
            <w:col w:w="240" w:space="240"/>
            <w:col w:w="8539"/>
          </w:cols>
          <w:pgMar w:left="1440" w:top="1306" w:right="1440" w:bottom="1440" w:gutter="0" w:footer="0" w:header="0"/>
        </w:sectPr>
      </w:pPr>
    </w:p>
    <w:p>
      <w:pPr>
        <w:jc w:val="both"/>
        <w:ind w:left="480" w:right="739" w:hanging="368"/>
        <w:spacing w:after="0" w:line="226" w:lineRule="auto"/>
        <w:tabs>
          <w:tab w:leader="none" w:pos="48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Interim Value is equal to the Investment Amount at the Term Start Date adjusted for any withdrawals (there are no withdrawals in the example) plus the Performance Rate Adjustment. The Interim Value is calculated as follows:</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$50,000 [Investment Amount at Term Start Date] + $2,500 [Performance Rate Adjustment] = $52,500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Example 2.1B—Negative Index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49530</wp:posOffset>
            </wp:positionV>
            <wp:extent cx="5250180" cy="2215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50180" cy="2215515"/>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20" w:type="dxa"/>
            <w:vAlign w:val="bottom"/>
            <w:tcBorders>
              <w:top w:val="single" w:sz="8" w:color="auto"/>
            </w:tcBorders>
          </w:tcPr>
          <w:p>
            <w:pPr>
              <w:spacing w:after="0"/>
              <w:rPr>
                <w:sz w:val="24"/>
                <w:szCs w:val="24"/>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Interim Value Calculation Halfway Through Term</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Accrued Shield Rate</w:t>
            </w:r>
            <w:r>
              <w:rPr>
                <w:rFonts w:ascii="Times New Roman" w:cs="Times New Roman" w:eastAsia="Times New Roman" w:hAnsi="Times New Roman"/>
                <w:sz w:val="23"/>
                <w:szCs w:val="23"/>
                <w:color w:val="auto"/>
                <w:vertAlign w:val="superscript"/>
              </w:rPr>
              <w:t>(2)</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(3)</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18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–$7,500</w:t>
            </w:r>
          </w:p>
        </w:tc>
      </w:tr>
      <w:tr>
        <w:trPr>
          <w:trHeight w:val="260"/>
        </w:trPr>
        <w:tc>
          <w:tcPr>
            <w:tcW w:w="6420" w:type="dxa"/>
            <w:vAlign w:val="bottom"/>
            <w:tcBorders>
              <w:bottom w:val="single" w:sz="8" w:color="auto"/>
              <w:right w:val="single" w:sz="8" w:color="auto"/>
            </w:tcBorders>
            <w:gridSpan w:val="2"/>
            <w:shd w:val="clear" w:color="auto" w:fill="F0FFFF"/>
          </w:tcPr>
          <w:p>
            <w:pPr>
              <w:ind w:left="280"/>
              <w:spacing w:after="0" w:line="261" w:lineRule="exact"/>
              <w:rPr>
                <w:sz w:val="20"/>
                <w:szCs w:val="20"/>
                <w:color w:val="auto"/>
              </w:rPr>
            </w:pPr>
            <w:r>
              <w:rPr>
                <w:rFonts w:ascii="Times New Roman" w:cs="Times New Roman" w:eastAsia="Times New Roman" w:hAnsi="Times New Roman"/>
                <w:sz w:val="18"/>
                <w:szCs w:val="18"/>
                <w:b w:val="1"/>
                <w:bCs w:val="1"/>
                <w:color w:val="auto"/>
              </w:rPr>
              <w:t>Interim Value</w:t>
            </w:r>
            <w:r>
              <w:rPr>
                <w:rFonts w:ascii="Times New Roman" w:cs="Times New Roman" w:eastAsia="Times New Roman" w:hAnsi="Times New Roman"/>
                <w:sz w:val="23"/>
                <w:szCs w:val="23"/>
                <w:color w:val="auto"/>
                <w:vertAlign w:val="superscript"/>
              </w:rPr>
              <w:t>(5)</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$42,500</w:t>
            </w:r>
          </w:p>
        </w:tc>
        <w:tc>
          <w:tcPr>
            <w:tcW w:w="20" w:type="dxa"/>
            <w:vAlign w:val="bottom"/>
            <w:tcBorders>
              <w:bottom w:val="single" w:sz="8" w:color="auto"/>
            </w:tcBorders>
          </w:tcPr>
          <w:p>
            <w:pPr>
              <w:spacing w:after="0"/>
              <w:rPr>
                <w:sz w:val="22"/>
                <w:szCs w:val="22"/>
                <w:color w:val="auto"/>
              </w:rPr>
            </w:pPr>
          </w:p>
        </w:tc>
      </w:tr>
      <w:tr>
        <w:trPr>
          <w:trHeight w:val="85"/>
        </w:trPr>
        <w:tc>
          <w:tcPr>
            <w:tcW w:w="1100" w:type="dxa"/>
            <w:vAlign w:val="bottom"/>
            <w:tcBorders>
              <w:bottom w:val="single" w:sz="8" w:color="auto"/>
            </w:tcBorders>
          </w:tcPr>
          <w:p>
            <w:pPr>
              <w:spacing w:after="0"/>
              <w:rPr>
                <w:sz w:val="7"/>
                <w:szCs w:val="7"/>
                <w:color w:val="auto"/>
              </w:rPr>
            </w:pPr>
          </w:p>
        </w:tc>
        <w:tc>
          <w:tcPr>
            <w:tcW w:w="53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ind w:left="120"/>
        <w:spacing w:after="0" w:line="208" w:lineRule="auto"/>
        <w:rPr>
          <w:sz w:val="20"/>
          <w:szCs w:val="20"/>
          <w:color w:val="auto"/>
        </w:rPr>
      </w:pPr>
      <w:r>
        <w:rPr>
          <w:rFonts w:ascii="Times New Roman" w:cs="Times New Roman" w:eastAsia="Times New Roman" w:hAnsi="Times New Roman"/>
          <w:sz w:val="9"/>
          <w:szCs w:val="9"/>
          <w:color w:val="auto"/>
        </w:rPr>
        <w:t>(1)</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Interim Value calculation. Therefore, the Index Performance is calculated as follows:</w:t>
      </w:r>
    </w:p>
    <w:p>
      <w:pPr>
        <w:spacing w:after="0" w:line="5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(400 [Index Value on date of Interim Value calculation] — 500 [Index Value at Term Start Date])</w:t>
      </w:r>
    </w:p>
    <w:p>
      <w:pPr>
        <w:spacing w:after="0" w:line="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500 [Index Value at Term Start Date]) = –20%</w:t>
      </w:r>
    </w:p>
    <w:p>
      <w:pPr>
        <w:ind w:left="120"/>
        <w:spacing w:after="0" w:line="194" w:lineRule="auto"/>
        <w:rPr>
          <w:sz w:val="20"/>
          <w:szCs w:val="20"/>
          <w:color w:val="auto"/>
        </w:rPr>
      </w:pPr>
      <w:r>
        <w:rPr>
          <w:rFonts w:ascii="Times New Roman" w:cs="Times New Roman" w:eastAsia="Times New Roman" w:hAnsi="Times New Roman"/>
          <w:sz w:val="7"/>
          <w:szCs w:val="7"/>
          <w:color w:val="auto"/>
        </w:rPr>
        <w:t>(2)</w:t>
      </w:r>
    </w:p>
    <w:p>
      <w:pPr>
        <w:ind w:left="480"/>
        <w:spacing w:after="0" w:line="235" w:lineRule="auto"/>
        <w:rPr>
          <w:sz w:val="20"/>
          <w:szCs w:val="20"/>
          <w:color w:val="auto"/>
        </w:rPr>
      </w:pPr>
      <w:r>
        <w:rPr>
          <w:rFonts w:ascii="Times New Roman" w:cs="Times New Roman" w:eastAsia="Times New Roman" w:hAnsi="Times New Roman"/>
          <w:sz w:val="18"/>
          <w:szCs w:val="18"/>
          <w:color w:val="auto"/>
        </w:rPr>
        <w:t>The Accrued Shield Rate is equal to the Shield Rate multiplied by the number of days elapsed since the</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Term Start Date divided by the total number of days in the Term. The Accrued Shield Rate is calculated as follows:</w:t>
      </w:r>
    </w:p>
    <w:p>
      <w:pPr>
        <w:spacing w:after="0" w:line="5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10% [Shield Rate] x 183 [number of days elapsed since the Term Start Date]</w:t>
      </w:r>
    </w:p>
    <w:p>
      <w:pPr>
        <w:spacing w:after="0" w:line="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365 [total number of days in the Term] = 5%</w:t>
      </w:r>
    </w:p>
    <w:p>
      <w:pPr>
        <w:sectPr>
          <w:pgSz w:w="11900" w:h="16838" w:orient="portrait"/>
          <w:cols w:equalWidth="0" w:num="1">
            <w:col w:w="9019"/>
          </w:cols>
          <w:pgMar w:left="1440" w:top="1306" w:right="1440"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9"/>
          <w:szCs w:val="9"/>
          <w:color w:val="auto"/>
        </w:rPr>
        <w:t>(3)</w:t>
      </w:r>
    </w:p>
    <w:p>
      <w:pPr>
        <w:spacing w:after="0" w:line="3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(5)</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right="739"/>
        <w:spacing w:after="0" w:line="266" w:lineRule="auto"/>
        <w:rPr>
          <w:sz w:val="20"/>
          <w:szCs w:val="20"/>
          <w:color w:val="auto"/>
        </w:rPr>
      </w:pPr>
      <w:r>
        <w:rPr>
          <w:rFonts w:ascii="Times New Roman" w:cs="Times New Roman" w:eastAsia="Times New Roman" w:hAnsi="Times New Roman"/>
          <w:sz w:val="18"/>
          <w:szCs w:val="18"/>
          <w:color w:val="auto"/>
        </w:rPr>
        <w:t>The Performance Rate is –15% because the Index Performance is –20% and the Accrued Shield Rate of 5% absorbs up to 5% of the negative Index Performance.</w:t>
      </w:r>
    </w:p>
    <w:p>
      <w:pPr>
        <w:spacing w:after="0" w:line="14" w:lineRule="exact"/>
        <w:rPr>
          <w:sz w:val="20"/>
          <w:szCs w:val="20"/>
          <w:color w:val="auto"/>
        </w:rPr>
      </w:pPr>
    </w:p>
    <w:p>
      <w:pPr>
        <w:jc w:val="both"/>
        <w:ind w:right="739"/>
        <w:spacing w:after="0" w:line="242" w:lineRule="auto"/>
        <w:rPr>
          <w:sz w:val="20"/>
          <w:szCs w:val="20"/>
          <w:color w:val="auto"/>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(there are no withdrawals in the example) multiplied by the Performance Rate. The Performance Rate Adjustment is calculated as follows:</w:t>
      </w:r>
    </w:p>
    <w:p>
      <w:pPr>
        <w:spacing w:after="0" w:line="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$50,000 [Investment Amount at Term Start Date] x –15% [Performance Rate] = –$7,500</w:t>
      </w:r>
    </w:p>
    <w:p>
      <w:pPr>
        <w:spacing w:after="0" w:line="63" w:lineRule="exact"/>
        <w:rPr>
          <w:sz w:val="20"/>
          <w:szCs w:val="20"/>
          <w:color w:val="auto"/>
        </w:rPr>
      </w:pPr>
    </w:p>
    <w:p>
      <w:pPr>
        <w:jc w:val="both"/>
        <w:ind w:right="739"/>
        <w:spacing w:after="0" w:line="242" w:lineRule="auto"/>
        <w:rPr>
          <w:sz w:val="20"/>
          <w:szCs w:val="20"/>
          <w:color w:val="auto"/>
        </w:rPr>
      </w:pPr>
      <w:r>
        <w:rPr>
          <w:rFonts w:ascii="Times New Roman" w:cs="Times New Roman" w:eastAsia="Times New Roman" w:hAnsi="Times New Roman"/>
          <w:sz w:val="18"/>
          <w:szCs w:val="18"/>
          <w:color w:val="auto"/>
        </w:rPr>
        <w:t>The Interim Value is equal to the Investment Amount at the Term Start Date adjusted for any withdrawals (there are no withdrawals in the example) plus the Performance Rate Adjustment. The Interim Value is calculated as follows:</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$50,000 [Investment Amount at Term Start Date] + –$7,500 [Performance Rate Adjustment] = $42,500</w:t>
      </w:r>
    </w:p>
    <w:p>
      <w:pPr>
        <w:spacing w:after="0" w:line="200" w:lineRule="exact"/>
        <w:rPr>
          <w:sz w:val="20"/>
          <w:szCs w:val="20"/>
          <w:color w:val="auto"/>
        </w:rPr>
      </w:pPr>
    </w:p>
    <w:p>
      <w:pPr>
        <w:sectPr>
          <w:pgSz w:w="11900" w:h="16838" w:orient="portrait"/>
          <w:cols w:equalWidth="0" w:num="2">
            <w:col w:w="240" w:space="240"/>
            <w:col w:w="8539"/>
          </w:cols>
          <w:pgMar w:left="1440" w:top="1306" w:right="1440"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019"/>
          </w:cols>
          <w:pgMar w:left="1440" w:top="1306" w:right="1440" w:bottom="1440" w:gutter="0" w:footer="0" w:header="0"/>
          <w:type w:val="continuous"/>
        </w:sectPr>
      </w:pPr>
    </w:p>
    <w:bookmarkStart w:id="43" w:name="page44"/>
    <w:bookmarkEnd w:id="43"/>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Example 2.2—Calculating your Interim Value with Performance Lock</w:t>
      </w:r>
    </w:p>
    <w:p>
      <w:pPr>
        <w:spacing w:after="0" w:line="121" w:lineRule="exact"/>
        <w:rPr>
          <w:sz w:val="20"/>
          <w:szCs w:val="20"/>
          <w:color w:val="auto"/>
        </w:rPr>
      </w:pPr>
    </w:p>
    <w:p>
      <w:pPr>
        <w:jc w:val="both"/>
        <w:ind w:left="120" w:right="639" w:firstLine="360"/>
        <w:spacing w:after="0" w:line="263" w:lineRule="auto"/>
        <w:rPr>
          <w:sz w:val="20"/>
          <w:szCs w:val="20"/>
          <w:color w:val="auto"/>
        </w:rPr>
      </w:pPr>
      <w:r>
        <w:rPr>
          <w:rFonts w:ascii="Times New Roman" w:cs="Times New Roman" w:eastAsia="Times New Roman" w:hAnsi="Times New Roman"/>
          <w:sz w:val="17"/>
          <w:szCs w:val="17"/>
          <w:color w:val="auto"/>
        </w:rPr>
        <w:t>Examples 2.2A, 2.2B, and 2.2C are intended to show how an Interim Value with Performance Lock is calculated with a Locked Index Value. For a Shield Option with a Locked Index Value, an Interim Value Calculation will be made if you annuitize, die, make a withdrawal or Surrender your Contract before the Term End Date. The examples assume a $100,000 Purchase Payment allocation to a 1-Year Term / Shield 10 / S&amp;P 500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with a Cap Rate of 10% and that a Locked Index Value has taken effect. Specifically, the examples assume a Locked Index Value of $1,200. Example 2.2A illustrates an Interim Value calculation with a Locked Index Value and no withdrawal, calculated at day 183 of a 1-Year Term. Example 2.2B illustrates an Interim Value calculation with a Locked Index Value and withdrawal of 50% of the Investment Amount, calculated at day 183 of a 1-Year Term. Example 2.2C illustrates an Interim Value calculation with a Locked Index Value and a withdrawal of 50% of the Investment Amount (including any applicable Withdrawal Charge), calculated at day 183 of a 1-Year Term.</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Example 2.2A—Interim Value with a Locked Index Value (no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49530</wp:posOffset>
            </wp:positionV>
            <wp:extent cx="5250180" cy="24047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50180" cy="2404745"/>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Borders>
              <w:top w:val="single" w:sz="8" w:color="auto"/>
            </w:tcBorders>
          </w:tcPr>
          <w:p>
            <w:pPr>
              <w:spacing w:after="0"/>
              <w:rPr>
                <w:sz w:val="24"/>
                <w:szCs w:val="24"/>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Interim Value Calculation Halfway Through Term</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Locked 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Accrued Cap Rate</w:t>
            </w:r>
            <w:r>
              <w:rPr>
                <w:rFonts w:ascii="Times New Roman" w:cs="Times New Roman" w:eastAsia="Times New Roman" w:hAnsi="Times New Roman"/>
                <w:sz w:val="23"/>
                <w:szCs w:val="23"/>
                <w:color w:val="auto"/>
                <w:vertAlign w:val="superscript"/>
              </w:rPr>
              <w:t>(2)</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(3)</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Lock Factor</w:t>
            </w:r>
            <w:r>
              <w:rPr>
                <w:rFonts w:ascii="Times New Roman" w:cs="Times New Roman" w:eastAsia="Times New Roman" w:hAnsi="Times New Roman"/>
                <w:sz w:val="23"/>
                <w:szCs w:val="23"/>
                <w:color w:val="auto"/>
                <w:vertAlign w:val="superscript"/>
              </w:rPr>
              <w:t>(5)</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97%</w:t>
            </w:r>
          </w:p>
        </w:tc>
        <w:tc>
          <w:tcPr>
            <w:tcW w:w="20" w:type="dxa"/>
            <w:vAlign w:val="bottom"/>
            <w:tcBorders>
              <w:bottom w:val="single" w:sz="8" w:color="auto"/>
            </w:tcBorders>
          </w:tcPr>
          <w:p>
            <w:pPr>
              <w:spacing w:after="0"/>
              <w:rPr>
                <w:sz w:val="24"/>
                <w:szCs w:val="24"/>
                <w:color w:val="auto"/>
              </w:rPr>
            </w:pPr>
          </w:p>
        </w:tc>
      </w:tr>
      <w:tr>
        <w:trPr>
          <w:trHeight w:val="260"/>
        </w:trPr>
        <w:tc>
          <w:tcPr>
            <w:tcW w:w="6420" w:type="dxa"/>
            <w:vAlign w:val="bottom"/>
            <w:tcBorders>
              <w:bottom w:val="single" w:sz="8" w:color="auto"/>
              <w:right w:val="single" w:sz="8" w:color="auto"/>
            </w:tcBorders>
            <w:gridSpan w:val="2"/>
          </w:tcPr>
          <w:p>
            <w:pPr>
              <w:ind w:left="280"/>
              <w:spacing w:after="0" w:line="261" w:lineRule="exact"/>
              <w:rPr>
                <w:sz w:val="20"/>
                <w:szCs w:val="20"/>
                <w:color w:val="auto"/>
              </w:rPr>
            </w:pPr>
            <w:r>
              <w:rPr>
                <w:rFonts w:ascii="Times New Roman" w:cs="Times New Roman" w:eastAsia="Times New Roman" w:hAnsi="Times New Roman"/>
                <w:sz w:val="18"/>
                <w:szCs w:val="18"/>
                <w:b w:val="1"/>
                <w:bCs w:val="1"/>
                <w:color w:val="auto"/>
              </w:rPr>
              <w:t>Interim Value</w:t>
            </w:r>
            <w:r>
              <w:rPr>
                <w:rFonts w:ascii="Times New Roman" w:cs="Times New Roman" w:eastAsia="Times New Roman" w:hAnsi="Times New Roman"/>
                <w:sz w:val="23"/>
                <w:szCs w:val="23"/>
                <w:color w:val="auto"/>
                <w:vertAlign w:val="superscript"/>
              </w:rPr>
              <w:t>(6)</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$101,850</w:t>
            </w:r>
          </w:p>
        </w:tc>
        <w:tc>
          <w:tcPr>
            <w:tcW w:w="20" w:type="dxa"/>
            <w:vAlign w:val="bottom"/>
            <w:tcBorders>
              <w:bottom w:val="single" w:sz="8" w:color="auto"/>
            </w:tcBorders>
          </w:tcPr>
          <w:p>
            <w:pPr>
              <w:spacing w:after="0"/>
              <w:rPr>
                <w:sz w:val="22"/>
                <w:szCs w:val="22"/>
                <w:color w:val="auto"/>
              </w:rPr>
            </w:pPr>
          </w:p>
        </w:tc>
      </w:tr>
      <w:tr>
        <w:trPr>
          <w:trHeight w:val="85"/>
        </w:trPr>
        <w:tc>
          <w:tcPr>
            <w:tcW w:w="1100" w:type="dxa"/>
            <w:vAlign w:val="bottom"/>
            <w:tcBorders>
              <w:bottom w:val="single" w:sz="8" w:color="auto"/>
            </w:tcBorders>
          </w:tcPr>
          <w:p>
            <w:pPr>
              <w:spacing w:after="0"/>
              <w:rPr>
                <w:sz w:val="7"/>
                <w:szCs w:val="7"/>
                <w:color w:val="auto"/>
              </w:rPr>
            </w:pPr>
          </w:p>
        </w:tc>
        <w:tc>
          <w:tcPr>
            <w:tcW w:w="53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ind w:left="120"/>
        <w:spacing w:after="0" w:line="208" w:lineRule="auto"/>
        <w:rPr>
          <w:sz w:val="20"/>
          <w:szCs w:val="20"/>
          <w:color w:val="auto"/>
        </w:rPr>
      </w:pPr>
      <w:r>
        <w:rPr>
          <w:rFonts w:ascii="Times New Roman" w:cs="Times New Roman" w:eastAsia="Times New Roman" w:hAnsi="Times New Roman"/>
          <w:sz w:val="9"/>
          <w:szCs w:val="9"/>
          <w:color w:val="auto"/>
        </w:rPr>
        <w:t>(1)</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Index Value Lock date. Index Performance is calculated as follows:</w:t>
      </w:r>
    </w:p>
    <w:p>
      <w:pPr>
        <w:spacing w:after="0" w:line="51" w:lineRule="exact"/>
        <w:rPr>
          <w:sz w:val="20"/>
          <w:szCs w:val="20"/>
          <w:color w:val="auto"/>
        </w:rPr>
      </w:pPr>
    </w:p>
    <w:p>
      <w:pPr>
        <w:jc w:val="center"/>
        <w:ind w:left="120" w:right="699"/>
        <w:spacing w:after="0" w:line="247" w:lineRule="auto"/>
        <w:rPr>
          <w:sz w:val="20"/>
          <w:szCs w:val="20"/>
          <w:color w:val="auto"/>
        </w:rPr>
      </w:pPr>
      <w:r>
        <w:rPr>
          <w:rFonts w:ascii="Times New Roman" w:cs="Times New Roman" w:eastAsia="Times New Roman" w:hAnsi="Times New Roman"/>
          <w:sz w:val="18"/>
          <w:szCs w:val="18"/>
          <w:color w:val="auto"/>
        </w:rPr>
        <w:t>(1,200 [Locked Index Value on the Index Value Lock date] — 1,000 [Index Value at Term Start Date]) ÷ 1,000 [Index Value at Term Start Date] = 20%</w:t>
      </w:r>
    </w:p>
    <w:p>
      <w:pPr>
        <w:sectPr>
          <w:pgSz w:w="11900" w:h="16838" w:orient="portrait"/>
          <w:cols w:equalWidth="0" w:num="1">
            <w:col w:w="9019"/>
          </w:cols>
          <w:pgMar w:left="1440" w:top="1373" w:right="1440" w:bottom="1440" w:gutter="0" w:footer="0" w:header="0"/>
        </w:sectPr>
      </w:pP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(3)</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(5)</w:t>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(6)</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ind w:left="1" w:right="739"/>
        <w:spacing w:after="0" w:line="266" w:lineRule="auto"/>
        <w:rPr>
          <w:sz w:val="20"/>
          <w:szCs w:val="20"/>
          <w:color w:val="auto"/>
        </w:rPr>
      </w:pPr>
      <w:r>
        <w:rPr>
          <w:rFonts w:ascii="Times New Roman" w:cs="Times New Roman" w:eastAsia="Times New Roman" w:hAnsi="Times New Roman"/>
          <w:sz w:val="18"/>
          <w:szCs w:val="18"/>
          <w:color w:val="auto"/>
        </w:rPr>
        <w:t>The Accrued Cap Rate is equal to the Cap Rate multiplied by the number of days elapsed since the Term Start Date divided by the total number of days in the Term. The Accrued Cap Rate is calculated as follows:</w:t>
      </w:r>
    </w:p>
    <w:p>
      <w:pPr>
        <w:spacing w:after="0" w:line="27" w:lineRule="exact"/>
        <w:rPr>
          <w:sz w:val="20"/>
          <w:szCs w:val="20"/>
          <w:color w:val="auto"/>
        </w:rPr>
      </w:pPr>
    </w:p>
    <w:p>
      <w:pPr>
        <w:jc w:val="center"/>
        <w:ind w:right="1058"/>
        <w:spacing w:after="0"/>
        <w:rPr>
          <w:sz w:val="20"/>
          <w:szCs w:val="20"/>
          <w:color w:val="auto"/>
        </w:rPr>
      </w:pPr>
      <w:r>
        <w:rPr>
          <w:rFonts w:ascii="Times New Roman" w:cs="Times New Roman" w:eastAsia="Times New Roman" w:hAnsi="Times New Roman"/>
          <w:sz w:val="18"/>
          <w:szCs w:val="18"/>
          <w:color w:val="auto"/>
        </w:rPr>
        <w:t>10% [Cap Rate] x 183 [number of days elapsed since the Term Start Date]</w:t>
      </w:r>
    </w:p>
    <w:p>
      <w:pPr>
        <w:spacing w:after="0" w:line="2" w:lineRule="exact"/>
        <w:rPr>
          <w:sz w:val="20"/>
          <w:szCs w:val="20"/>
          <w:color w:val="auto"/>
        </w:rPr>
      </w:pPr>
    </w:p>
    <w:p>
      <w:pPr>
        <w:jc w:val="center"/>
        <w:ind w:right="998"/>
        <w:spacing w:after="0"/>
        <w:rPr>
          <w:sz w:val="20"/>
          <w:szCs w:val="20"/>
          <w:color w:val="auto"/>
        </w:rPr>
      </w:pPr>
      <w:r>
        <w:rPr>
          <w:rFonts w:ascii="Times New Roman" w:cs="Times New Roman" w:eastAsia="Times New Roman" w:hAnsi="Times New Roman"/>
          <w:sz w:val="18"/>
          <w:szCs w:val="18"/>
          <w:color w:val="auto"/>
        </w:rPr>
        <w:t>÷ 365 [total number of days in the Term] = 5%</w:t>
      </w:r>
    </w:p>
    <w:p>
      <w:pPr>
        <w:spacing w:after="0" w:line="43" w:lineRule="exact"/>
        <w:rPr>
          <w:sz w:val="20"/>
          <w:szCs w:val="20"/>
          <w:color w:val="auto"/>
        </w:rPr>
      </w:pPr>
    </w:p>
    <w:p>
      <w:pPr>
        <w:jc w:val="both"/>
        <w:ind w:left="1" w:right="739"/>
        <w:spacing w:after="0" w:line="266" w:lineRule="auto"/>
        <w:rPr>
          <w:sz w:val="20"/>
          <w:szCs w:val="20"/>
          <w:color w:val="auto"/>
        </w:rPr>
      </w:pPr>
      <w:r>
        <w:rPr>
          <w:rFonts w:ascii="Times New Roman" w:cs="Times New Roman" w:eastAsia="Times New Roman" w:hAnsi="Times New Roman"/>
          <w:sz w:val="18"/>
          <w:szCs w:val="18"/>
          <w:color w:val="auto"/>
        </w:rPr>
        <w:t>The Performance Rate is equal to the Accrued Cap Rate because it cannot exceed the Accrued Cap Rate even though the Index Performance was 20%.</w:t>
      </w:r>
    </w:p>
    <w:p>
      <w:pPr>
        <w:spacing w:after="0" w:line="14" w:lineRule="exact"/>
        <w:rPr>
          <w:sz w:val="20"/>
          <w:szCs w:val="20"/>
          <w:color w:val="auto"/>
        </w:rPr>
      </w:pPr>
    </w:p>
    <w:p>
      <w:pPr>
        <w:jc w:val="both"/>
        <w:ind w:left="1" w:right="739"/>
        <w:spacing w:after="0" w:line="242" w:lineRule="auto"/>
        <w:rPr>
          <w:sz w:val="20"/>
          <w:szCs w:val="20"/>
          <w:color w:val="auto"/>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(Example 1A assumes no withdrawals have been taken) multiplied by the Performance Rate. The Performance Rate Adjustment is calculated as follows:</w:t>
      </w:r>
    </w:p>
    <w:p>
      <w:pPr>
        <w:spacing w:after="0" w:line="35" w:lineRule="exact"/>
        <w:rPr>
          <w:sz w:val="20"/>
          <w:szCs w:val="20"/>
          <w:color w:val="auto"/>
        </w:rPr>
      </w:pPr>
    </w:p>
    <w:p>
      <w:pPr>
        <w:ind w:left="661"/>
        <w:spacing w:after="0"/>
        <w:rPr>
          <w:sz w:val="20"/>
          <w:szCs w:val="20"/>
          <w:color w:val="auto"/>
        </w:rPr>
      </w:pPr>
      <w:r>
        <w:rPr>
          <w:rFonts w:ascii="Times New Roman" w:cs="Times New Roman" w:eastAsia="Times New Roman" w:hAnsi="Times New Roman"/>
          <w:sz w:val="18"/>
          <w:szCs w:val="18"/>
          <w:color w:val="auto"/>
        </w:rPr>
        <w:t>$100,000 [Investment Amount at Term Start Date] x 5% [Performance Rate] = $5,000</w:t>
      </w:r>
    </w:p>
    <w:p>
      <w:pPr>
        <w:spacing w:after="0" w:line="63" w:lineRule="exact"/>
        <w:rPr>
          <w:sz w:val="20"/>
          <w:szCs w:val="20"/>
          <w:color w:val="auto"/>
        </w:rPr>
      </w:pPr>
    </w:p>
    <w:p>
      <w:pPr>
        <w:jc w:val="both"/>
        <w:ind w:left="1" w:right="739"/>
        <w:spacing w:after="0" w:line="266" w:lineRule="auto"/>
        <w:rPr>
          <w:sz w:val="20"/>
          <w:szCs w:val="20"/>
          <w:color w:val="auto"/>
        </w:rPr>
      </w:pPr>
      <w:r>
        <w:rPr>
          <w:rFonts w:ascii="Times New Roman" w:cs="Times New Roman" w:eastAsia="Times New Roman" w:hAnsi="Times New Roman"/>
          <w:sz w:val="18"/>
          <w:szCs w:val="18"/>
          <w:color w:val="auto"/>
        </w:rPr>
        <w:t>The Performance Lock Factor is 97% and the remaining percentage (3%) is not included in the Interim Value. 3% is equal to $3,150.</w:t>
      </w:r>
    </w:p>
    <w:p>
      <w:pPr>
        <w:spacing w:after="0" w:line="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The Interim Value is calculated as follows:</w:t>
      </w:r>
    </w:p>
    <w:p>
      <w:pPr>
        <w:spacing w:after="0" w:line="77" w:lineRule="exact"/>
        <w:rPr>
          <w:sz w:val="20"/>
          <w:szCs w:val="20"/>
          <w:color w:val="auto"/>
        </w:rPr>
      </w:pPr>
    </w:p>
    <w:p>
      <w:pPr>
        <w:ind w:left="3181"/>
        <w:spacing w:after="0"/>
        <w:rPr>
          <w:sz w:val="20"/>
          <w:szCs w:val="20"/>
          <w:color w:val="auto"/>
        </w:rPr>
      </w:pPr>
      <w:r>
        <w:rPr>
          <w:rFonts w:ascii="Times New Roman" w:cs="Times New Roman" w:eastAsia="Times New Roman" w:hAnsi="Times New Roman"/>
          <w:sz w:val="18"/>
          <w:szCs w:val="18"/>
          <w:color w:val="auto"/>
        </w:rPr>
        <w:t>The Greater of:</w:t>
      </w:r>
    </w:p>
    <w:p>
      <w:pPr>
        <w:spacing w:after="0" w:line="16" w:lineRule="exact"/>
        <w:rPr>
          <w:sz w:val="20"/>
          <w:szCs w:val="20"/>
          <w:color w:val="auto"/>
        </w:rPr>
      </w:pPr>
    </w:p>
    <w:p>
      <w:pPr>
        <w:ind w:left="1061" w:right="1059" w:hanging="1061"/>
        <w:spacing w:after="0" w:line="242" w:lineRule="auto"/>
        <w:tabs>
          <w:tab w:leader="none" w:pos="2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[Investment Amount at Term Start Date] x (1+5%) [the lesser of Index Performance (20%) or Accrued Cap Rate (5%)] x 97% [Performance Lock Factor] = $101,850</w:t>
      </w:r>
    </w:p>
    <w:p>
      <w:pPr>
        <w:spacing w:after="0" w:line="1" w:lineRule="exact"/>
        <w:rPr>
          <w:rFonts w:ascii="Times New Roman" w:cs="Times New Roman" w:eastAsia="Times New Roman" w:hAnsi="Times New Roman"/>
          <w:sz w:val="18"/>
          <w:szCs w:val="18"/>
          <w:color w:val="auto"/>
        </w:rPr>
      </w:pPr>
    </w:p>
    <w:p>
      <w:pPr>
        <w:ind w:left="17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$100,000 [Investment Amount at Term Start Date]</w:t>
      </w:r>
    </w:p>
    <w:p>
      <w:pPr>
        <w:spacing w:after="0" w:line="200" w:lineRule="exact"/>
        <w:rPr>
          <w:sz w:val="20"/>
          <w:szCs w:val="20"/>
          <w:color w:val="auto"/>
        </w:rPr>
      </w:pPr>
    </w:p>
    <w:p>
      <w:pPr>
        <w:sectPr>
          <w:pgSz w:w="11900" w:h="16838" w:orient="portrait"/>
          <w:cols w:equalWidth="0" w:num="2">
            <w:col w:w="240" w:space="239"/>
            <w:col w:w="8540"/>
          </w:cols>
          <w:pgMar w:left="1440" w:top="1373" w:right="1440" w:bottom="1440" w:gutter="0" w:footer="0" w:header="0"/>
          <w:type w:val="continuous"/>
        </w:sectPr>
      </w:pPr>
    </w:p>
    <w:p>
      <w:pPr>
        <w:spacing w:after="0" w:line="3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9019"/>
          </w:cols>
          <w:pgMar w:left="1440" w:top="1373" w:right="1440" w:bottom="1440" w:gutter="0" w:footer="0" w:header="0"/>
          <w:type w:val="continuous"/>
        </w:sectPr>
      </w:pPr>
    </w:p>
    <w:bookmarkStart w:id="44" w:name="page45"/>
    <w:bookmarkEnd w:id="44"/>
    <w:p>
      <w:pPr>
        <w:ind w:left="1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Example 2.2B—Interim Value with a Locked Index Value After Withdrawal (not including Withdrawal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49530</wp:posOffset>
            </wp:positionV>
            <wp:extent cx="5250180" cy="31502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50180" cy="3150235"/>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Borders>
              <w:top w:val="single" w:sz="8" w:color="auto"/>
            </w:tcBorders>
          </w:tcPr>
          <w:p>
            <w:pPr>
              <w:spacing w:after="0"/>
              <w:rPr>
                <w:sz w:val="24"/>
                <w:szCs w:val="24"/>
                <w:color w:val="auto"/>
              </w:rPr>
            </w:pPr>
          </w:p>
        </w:tc>
      </w:tr>
      <w:tr>
        <w:trPr>
          <w:trHeight w:val="236"/>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Interim Value Calculation Halfway Through Term</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Locked 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Accrued Cap Rate</w:t>
            </w:r>
            <w:r>
              <w:rPr>
                <w:rFonts w:ascii="Times New Roman" w:cs="Times New Roman" w:eastAsia="Times New Roman" w:hAnsi="Times New Roman"/>
                <w:sz w:val="23"/>
                <w:szCs w:val="23"/>
                <w:color w:val="auto"/>
                <w:vertAlign w:val="superscript"/>
              </w:rPr>
              <w:t>(2)</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(3)</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Lock Factor</w:t>
            </w:r>
            <w:r>
              <w:rPr>
                <w:rFonts w:ascii="Times New Roman" w:cs="Times New Roman" w:eastAsia="Times New Roman" w:hAnsi="Times New Roman"/>
                <w:sz w:val="23"/>
                <w:szCs w:val="23"/>
                <w:color w:val="auto"/>
                <w:vertAlign w:val="superscript"/>
              </w:rPr>
              <w:t>(5)</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97%</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Interim Value</w:t>
            </w:r>
            <w:r>
              <w:rPr>
                <w:rFonts w:ascii="Times New Roman" w:cs="Times New Roman" w:eastAsia="Times New Roman" w:hAnsi="Times New Roman"/>
                <w:sz w:val="23"/>
                <w:szCs w:val="23"/>
                <w:color w:val="auto"/>
                <w:vertAlign w:val="superscript"/>
              </w:rPr>
              <w:t>(6)</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$101,850</w:t>
            </w:r>
          </w:p>
        </w:tc>
        <w:tc>
          <w:tcPr>
            <w:tcW w:w="20" w:type="dxa"/>
            <w:vAlign w:val="bottom"/>
            <w:tcBorders>
              <w:bottom w:val="single" w:sz="8" w:color="auto"/>
            </w:tcBorders>
          </w:tcPr>
          <w:p>
            <w:pPr>
              <w:spacing w:after="0"/>
              <w:rPr>
                <w:sz w:val="24"/>
                <w:szCs w:val="24"/>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Withdrawal Amount taken</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 adjusted for any Withdrawals</w:t>
            </w:r>
            <w:r>
              <w:rPr>
                <w:rFonts w:ascii="Times New Roman" w:cs="Times New Roman" w:eastAsia="Times New Roman" w:hAnsi="Times New Roman"/>
                <w:sz w:val="23"/>
                <w:szCs w:val="23"/>
                <w:color w:val="auto"/>
                <w:vertAlign w:val="superscript"/>
              </w:rPr>
              <w:t>(7)</w:t>
            </w: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$50,909</w:t>
            </w:r>
          </w:p>
        </w:tc>
        <w:tc>
          <w:tcPr>
            <w:tcW w:w="20" w:type="dxa"/>
            <w:vAlign w:val="bottom"/>
            <w:tcBorders>
              <w:top w:val="single" w:sz="8" w:color="auto"/>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Net Proceeds from Withdrawal paid to Contract Owner</w:t>
            </w:r>
            <w:r>
              <w:rPr>
                <w:rFonts w:ascii="Times New Roman" w:cs="Times New Roman" w:eastAsia="Times New Roman" w:hAnsi="Times New Roman"/>
                <w:sz w:val="23"/>
                <w:szCs w:val="23"/>
                <w:color w:val="auto"/>
                <w:vertAlign w:val="superscript"/>
              </w:rPr>
              <w:t>(8)</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20" w:type="dxa"/>
            <w:vAlign w:val="bottom"/>
            <w:tcBorders>
              <w:bottom w:val="single" w:sz="8" w:color="auto"/>
            </w:tcBorders>
          </w:tcPr>
          <w:p>
            <w:pPr>
              <w:spacing w:after="0"/>
              <w:rPr>
                <w:sz w:val="24"/>
                <w:szCs w:val="24"/>
                <w:color w:val="auto"/>
              </w:rPr>
            </w:pPr>
          </w:p>
        </w:tc>
      </w:tr>
      <w:tr>
        <w:trPr>
          <w:trHeight w:val="260"/>
        </w:trPr>
        <w:tc>
          <w:tcPr>
            <w:tcW w:w="6420" w:type="dxa"/>
            <w:vAlign w:val="bottom"/>
            <w:tcBorders>
              <w:bottom w:val="single" w:sz="8" w:color="auto"/>
              <w:right w:val="single" w:sz="8" w:color="auto"/>
            </w:tcBorders>
            <w:gridSpan w:val="2"/>
          </w:tcPr>
          <w:p>
            <w:pPr>
              <w:ind w:left="280"/>
              <w:spacing w:after="0" w:line="261" w:lineRule="exact"/>
              <w:rPr>
                <w:sz w:val="20"/>
                <w:szCs w:val="20"/>
                <w:color w:val="auto"/>
              </w:rPr>
            </w:pPr>
            <w:r>
              <w:rPr>
                <w:rFonts w:ascii="Times New Roman" w:cs="Times New Roman" w:eastAsia="Times New Roman" w:hAnsi="Times New Roman"/>
                <w:sz w:val="18"/>
                <w:szCs w:val="18"/>
                <w:b w:val="1"/>
                <w:bCs w:val="1"/>
                <w:color w:val="auto"/>
              </w:rPr>
              <w:t>Interim Value after Withdrawal</w:t>
            </w:r>
            <w:r>
              <w:rPr>
                <w:rFonts w:ascii="Times New Roman" w:cs="Times New Roman" w:eastAsia="Times New Roman" w:hAnsi="Times New Roman"/>
                <w:sz w:val="23"/>
                <w:szCs w:val="23"/>
                <w:color w:val="auto"/>
                <w:vertAlign w:val="superscript"/>
              </w:rPr>
              <w:t>(9)</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$51,850</w:t>
            </w:r>
          </w:p>
        </w:tc>
        <w:tc>
          <w:tcPr>
            <w:tcW w:w="20" w:type="dxa"/>
            <w:vAlign w:val="bottom"/>
            <w:tcBorders>
              <w:bottom w:val="single" w:sz="8" w:color="auto"/>
            </w:tcBorders>
          </w:tcPr>
          <w:p>
            <w:pPr>
              <w:spacing w:after="0"/>
              <w:rPr>
                <w:sz w:val="22"/>
                <w:szCs w:val="22"/>
                <w:color w:val="auto"/>
              </w:rPr>
            </w:pPr>
          </w:p>
        </w:tc>
      </w:tr>
      <w:tr>
        <w:trPr>
          <w:trHeight w:val="98"/>
        </w:trPr>
        <w:tc>
          <w:tcPr>
            <w:tcW w:w="110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ind w:left="120"/>
        <w:spacing w:after="0" w:line="180" w:lineRule="auto"/>
        <w:rPr>
          <w:sz w:val="20"/>
          <w:szCs w:val="20"/>
          <w:color w:val="auto"/>
        </w:rPr>
      </w:pPr>
      <w:r>
        <w:rPr>
          <w:rFonts w:ascii="Times New Roman" w:cs="Times New Roman" w:eastAsia="Times New Roman" w:hAnsi="Times New Roman"/>
          <w:sz w:val="12"/>
          <w:szCs w:val="12"/>
          <w:color w:val="auto"/>
        </w:rPr>
        <w:t>(1)</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Index Value Lock date. Index Performance is calculated as follows:</w:t>
      </w:r>
    </w:p>
    <w:p>
      <w:pPr>
        <w:spacing w:after="0" w:line="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(1,200 [Locked Index Value on the Index Value Lock date] — 1,000 [Index Value at Term Start Date])</w:t>
      </w:r>
    </w:p>
    <w:p>
      <w:pPr>
        <w:spacing w:after="0" w:line="16" w:lineRule="exact"/>
        <w:rPr>
          <w:sz w:val="20"/>
          <w:szCs w:val="20"/>
          <w:color w:val="auto"/>
        </w:rPr>
      </w:pPr>
    </w:p>
    <w:p>
      <w:pPr>
        <w:ind w:left="2660" w:hanging="150"/>
        <w:spacing w:after="0"/>
        <w:tabs>
          <w:tab w:leader="none" w:pos="2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[Index Value at Term Start Date] = 20%</w:t>
      </w:r>
    </w:p>
    <w:p>
      <w:pPr>
        <w:spacing w:after="0" w:line="43" w:lineRule="exact"/>
        <w:rPr>
          <w:rFonts w:ascii="Times New Roman" w:cs="Times New Roman" w:eastAsia="Times New Roman" w:hAnsi="Times New Roman"/>
          <w:sz w:val="18"/>
          <w:szCs w:val="18"/>
          <w:color w:val="auto"/>
        </w:rPr>
      </w:pPr>
    </w:p>
    <w:p>
      <w:pPr>
        <w:ind w:left="480" w:right="739" w:hanging="368"/>
        <w:spacing w:after="0" w:line="222" w:lineRule="auto"/>
        <w:tabs>
          <w:tab w:leader="none" w:pos="48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Accrued Cap Rate is equal to the Cap Rate multiplied by the number of days elapsed since the Term Start Date divided by the total number of days in the Term. The Accrued Cap Rate is calculated as follows:</w:t>
      </w:r>
    </w:p>
    <w:p>
      <w:pPr>
        <w:spacing w:after="0" w:line="63"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10% [Cap Rate] x 183 [number of days elapsed since the Term Start Date]</w:t>
      </w:r>
    </w:p>
    <w:p>
      <w:pPr>
        <w:spacing w:after="0" w:line="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365 [total number of days in the Term] = 5%</w:t>
      </w:r>
    </w:p>
    <w:p>
      <w:pPr>
        <w:ind w:left="120"/>
        <w:spacing w:after="0" w:line="199" w:lineRule="auto"/>
        <w:rPr>
          <w:sz w:val="20"/>
          <w:szCs w:val="20"/>
          <w:color w:val="auto"/>
        </w:rPr>
      </w:pPr>
      <w:r>
        <w:rPr>
          <w:rFonts w:ascii="Times New Roman" w:cs="Times New Roman" w:eastAsia="Times New Roman" w:hAnsi="Times New Roman"/>
          <w:sz w:val="8"/>
          <w:szCs w:val="8"/>
          <w:color w:val="auto"/>
        </w:rPr>
        <w:t>(3)</w:t>
      </w:r>
    </w:p>
    <w:p>
      <w:pPr>
        <w:ind w:left="480" w:right="739"/>
        <w:spacing w:after="0" w:line="241" w:lineRule="auto"/>
        <w:rPr>
          <w:sz w:val="20"/>
          <w:szCs w:val="20"/>
          <w:color w:val="auto"/>
        </w:rPr>
      </w:pPr>
      <w:r>
        <w:rPr>
          <w:rFonts w:ascii="Times New Roman" w:cs="Times New Roman" w:eastAsia="Times New Roman" w:hAnsi="Times New Roman"/>
          <w:sz w:val="18"/>
          <w:szCs w:val="18"/>
          <w:color w:val="auto"/>
        </w:rPr>
        <w:t>The Performance Rate is equal to the Accrued Cap Rate because it cannot exceed the Accrued Cap Rate even though the Index Performance was 20%.</w:t>
      </w:r>
    </w:p>
    <w:p>
      <w:pPr>
        <w:spacing w:after="0" w:line="37" w:lineRule="exact"/>
        <w:rPr>
          <w:sz w:val="20"/>
          <w:szCs w:val="20"/>
          <w:color w:val="auto"/>
        </w:rPr>
      </w:pPr>
    </w:p>
    <w:p>
      <w:pPr>
        <w:jc w:val="both"/>
        <w:ind w:left="480" w:right="739" w:hanging="368"/>
        <w:spacing w:after="0" w:line="221" w:lineRule="auto"/>
        <w:tabs>
          <w:tab w:leader="none" w:pos="48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multiplied by the Performance Rate. The Performance Rate Adjustment is calculated as follows: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$100,000 [Investment Amount at Term Start Date] x 5% [Performance Rate] = $5,000</w:t>
      </w:r>
    </w:p>
    <w:p>
      <w:pPr>
        <w:ind w:left="120"/>
        <w:spacing w:after="0" w:line="183" w:lineRule="auto"/>
        <w:rPr>
          <w:sz w:val="20"/>
          <w:szCs w:val="20"/>
          <w:color w:val="auto"/>
        </w:rPr>
      </w:pPr>
      <w:r>
        <w:rPr>
          <w:rFonts w:ascii="Times New Roman" w:cs="Times New Roman" w:eastAsia="Times New Roman" w:hAnsi="Times New Roman"/>
          <w:sz w:val="11"/>
          <w:szCs w:val="11"/>
          <w:color w:val="auto"/>
        </w:rPr>
        <w:t>(5)</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The Performance Lock Factor is 97% and the remaining percentage (3%) is not included in the Interim Value. 3% is equal to $3,150.</w:t>
      </w:r>
    </w:p>
    <w:p>
      <w:pPr>
        <w:ind w:left="120"/>
        <w:spacing w:after="0" w:line="184" w:lineRule="auto"/>
        <w:rPr>
          <w:sz w:val="20"/>
          <w:szCs w:val="20"/>
          <w:color w:val="auto"/>
        </w:rPr>
      </w:pPr>
      <w:r>
        <w:rPr>
          <w:rFonts w:ascii="Times New Roman" w:cs="Times New Roman" w:eastAsia="Times New Roman" w:hAnsi="Times New Roman"/>
          <w:sz w:val="8"/>
          <w:szCs w:val="8"/>
          <w:color w:val="auto"/>
        </w:rPr>
        <w:t>(6)</w:t>
      </w:r>
    </w:p>
    <w:p>
      <w:pPr>
        <w:ind w:left="480"/>
        <w:spacing w:after="0"/>
        <w:rPr>
          <w:sz w:val="20"/>
          <w:szCs w:val="20"/>
          <w:color w:val="auto"/>
        </w:rPr>
      </w:pPr>
      <w:r>
        <w:rPr>
          <w:rFonts w:ascii="Times New Roman" w:cs="Times New Roman" w:eastAsia="Times New Roman" w:hAnsi="Times New Roman"/>
          <w:sz w:val="18"/>
          <w:szCs w:val="18"/>
          <w:color w:val="auto"/>
        </w:rPr>
        <w:t>The Interim Value is calculated as follows:</w:t>
      </w:r>
    </w:p>
    <w:p>
      <w:pPr>
        <w:spacing w:after="0" w:line="7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The Greater of:</w:t>
      </w:r>
    </w:p>
    <w:p>
      <w:pPr>
        <w:spacing w:after="0" w:line="16" w:lineRule="exact"/>
        <w:rPr>
          <w:sz w:val="20"/>
          <w:szCs w:val="20"/>
          <w:color w:val="auto"/>
        </w:rPr>
      </w:pPr>
    </w:p>
    <w:p>
      <w:pPr>
        <w:ind w:left="1540" w:right="1059" w:hanging="1061"/>
        <w:spacing w:after="0" w:line="242" w:lineRule="auto"/>
        <w:tabs>
          <w:tab w:leader="none" w:pos="6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[Investment Amount at Term Start Date] x (1+5%) [the lesser of Index Performance (20%) or Accrued Cap Rate (5%)] x 97% [Performance Lock Factor] = $101,850</w:t>
      </w:r>
    </w:p>
    <w:p>
      <w:pPr>
        <w:spacing w:after="0" w:line="1" w:lineRule="exact"/>
        <w:rPr>
          <w:rFonts w:ascii="Times New Roman" w:cs="Times New Roman" w:eastAsia="Times New Roman" w:hAnsi="Times New Roman"/>
          <w:sz w:val="18"/>
          <w:szCs w:val="18"/>
          <w:color w:val="auto"/>
        </w:rPr>
      </w:pPr>
    </w:p>
    <w:p>
      <w:pPr>
        <w:ind w:left="2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$100,000 [Investment Amount at Term Start Date]</w:t>
      </w:r>
    </w:p>
    <w:p>
      <w:pPr>
        <w:spacing w:after="0" w:line="43" w:lineRule="exact"/>
        <w:rPr>
          <w:rFonts w:ascii="Times New Roman" w:cs="Times New Roman" w:eastAsia="Times New Roman" w:hAnsi="Times New Roman"/>
          <w:sz w:val="18"/>
          <w:szCs w:val="18"/>
          <w:color w:val="auto"/>
        </w:rPr>
      </w:pPr>
    </w:p>
    <w:p>
      <w:pPr>
        <w:ind w:left="480" w:right="739" w:hanging="368"/>
        <w:spacing w:after="0" w:line="222" w:lineRule="auto"/>
        <w:tabs>
          <w:tab w:leader="none" w:pos="48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Investment Amount is reduced proportionally by the withdrawal taken based on the reduction in Interim Value. Therefore, the Investment Amount adjusted for any withdrawals is calculated as follows:</w:t>
      </w:r>
    </w:p>
    <w:p>
      <w:pPr>
        <w:spacing w:after="0" w:line="5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$100,000 [Investment Amount on Term Start Date] x (1-$50,000 [gross withdrawal amount halfway through the</w:t>
      </w:r>
    </w:p>
    <w:p>
      <w:pPr>
        <w:spacing w:after="0" w:line="1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Term]</w:t>
      </w:r>
    </w:p>
    <w:p>
      <w:pPr>
        <w:jc w:val="center"/>
        <w:ind w:right="519"/>
        <w:spacing w:after="0"/>
        <w:rPr>
          <w:sz w:val="20"/>
          <w:szCs w:val="20"/>
          <w:color w:val="auto"/>
        </w:rPr>
      </w:pPr>
      <w:r>
        <w:rPr>
          <w:rFonts w:ascii="Times New Roman" w:cs="Times New Roman" w:eastAsia="Times New Roman" w:hAnsi="Times New Roman"/>
          <w:sz w:val="18"/>
          <w:szCs w:val="18"/>
          <w:color w:val="auto"/>
        </w:rPr>
        <w:t>÷ $101,850 [Interim Value on date of withdrawal]) = $50,909</w:t>
      </w:r>
    </w:p>
    <w:p>
      <w:pPr>
        <w:spacing w:after="0" w:line="57" w:lineRule="exact"/>
        <w:rPr>
          <w:sz w:val="20"/>
          <w:szCs w:val="20"/>
          <w:color w:val="auto"/>
        </w:rPr>
      </w:pPr>
    </w:p>
    <w:p>
      <w:pPr>
        <w:ind w:left="480" w:right="659"/>
        <w:spacing w:after="0" w:line="245" w:lineRule="auto"/>
        <w:rPr>
          <w:sz w:val="20"/>
          <w:szCs w:val="20"/>
          <w:color w:val="auto"/>
        </w:rPr>
      </w:pPr>
      <w:r>
        <w:rPr>
          <w:rFonts w:ascii="Times New Roman" w:cs="Times New Roman" w:eastAsia="Times New Roman" w:hAnsi="Times New Roman"/>
          <w:sz w:val="18"/>
          <w:szCs w:val="18"/>
          <w:color w:val="auto"/>
        </w:rPr>
        <w:t>The proportionally reduced Investment Amount is used as the new Investment Amount for the Term until the Term End Date for this Shield Option (assuming no additional withdrawals).</w:t>
      </w:r>
    </w:p>
    <w:p>
      <w:pPr>
        <w:spacing w:after="0" w:line="6" w:lineRule="exact"/>
        <w:rPr>
          <w:sz w:val="20"/>
          <w:szCs w:val="20"/>
          <w:color w:val="auto"/>
        </w:rPr>
      </w:pPr>
    </w:p>
    <w:p>
      <w:pPr>
        <w:ind w:left="480" w:hanging="368"/>
        <w:spacing w:after="0"/>
        <w:tabs>
          <w:tab w:leader="none" w:pos="48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net amount payable to the Contract Owner is equal to the amount withdrawn, which is $50,000.</w:t>
      </w:r>
    </w:p>
    <w:p>
      <w:pPr>
        <w:spacing w:after="0" w:line="35" w:lineRule="exact"/>
        <w:rPr>
          <w:rFonts w:ascii="Times New Roman" w:cs="Times New Roman" w:eastAsia="Times New Roman" w:hAnsi="Times New Roman"/>
          <w:sz w:val="23"/>
          <w:szCs w:val="23"/>
          <w:color w:val="auto"/>
          <w:vertAlign w:val="superscript"/>
        </w:rPr>
      </w:pPr>
    </w:p>
    <w:p>
      <w:pPr>
        <w:ind w:left="480" w:right="999" w:hanging="368"/>
        <w:spacing w:after="0" w:line="222" w:lineRule="auto"/>
        <w:tabs>
          <w:tab w:leader="none" w:pos="48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Interim Value after Withdrawal is equal to Interim Value ($101,850) minus the amount of the withdrawal ($50,000).</w:t>
      </w:r>
    </w:p>
    <w:p>
      <w:pPr>
        <w:sectPr>
          <w:pgSz w:w="11900" w:h="16838" w:orient="portrait"/>
          <w:cols w:equalWidth="0" w:num="1">
            <w:col w:w="9019"/>
          </w:cols>
          <w:pgMar w:left="1440" w:top="1377" w:right="1440" w:bottom="1440" w:gutter="0" w:footer="0" w:header="0"/>
        </w:sectPr>
      </w:pPr>
    </w:p>
    <w:p>
      <w:pPr>
        <w:spacing w:after="0" w:line="26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9019"/>
          </w:cols>
          <w:pgMar w:left="1440" w:top="1377" w:right="1440" w:bottom="1440" w:gutter="0" w:footer="0" w:header="0"/>
          <w:type w:val="continuous"/>
        </w:sectPr>
      </w:pPr>
    </w:p>
    <w:bookmarkStart w:id="45" w:name="page46"/>
    <w:bookmarkEnd w:id="45"/>
    <w:p>
      <w:pPr>
        <w:ind w:left="1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Example 2.2C—Interim Value with a Locked Index Value After Withdrawal (including Withdrawal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49530</wp:posOffset>
            </wp:positionV>
            <wp:extent cx="5250180" cy="35274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50180" cy="3527425"/>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Borders>
              <w:top w:val="single" w:sz="8" w:color="auto"/>
            </w:tcBorders>
          </w:tcPr>
          <w:p>
            <w:pPr>
              <w:spacing w:after="0"/>
              <w:rPr>
                <w:sz w:val="24"/>
                <w:szCs w:val="24"/>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Interim Value Calculation Halfway Through Term</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Locked 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Accrued Cap Rate</w:t>
            </w:r>
            <w:r>
              <w:rPr>
                <w:rFonts w:ascii="Times New Roman" w:cs="Times New Roman" w:eastAsia="Times New Roman" w:hAnsi="Times New Roman"/>
                <w:sz w:val="23"/>
                <w:szCs w:val="23"/>
                <w:color w:val="auto"/>
                <w:vertAlign w:val="superscript"/>
              </w:rPr>
              <w:t>(2)</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(3)</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Lock Factor</w:t>
            </w:r>
            <w:r>
              <w:rPr>
                <w:rFonts w:ascii="Times New Roman" w:cs="Times New Roman" w:eastAsia="Times New Roman" w:hAnsi="Times New Roman"/>
                <w:sz w:val="23"/>
                <w:szCs w:val="23"/>
                <w:color w:val="auto"/>
                <w:vertAlign w:val="superscript"/>
              </w:rPr>
              <w:t>(5)</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97%</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Interim Value</w:t>
            </w:r>
            <w:r>
              <w:rPr>
                <w:rFonts w:ascii="Times New Roman" w:cs="Times New Roman" w:eastAsia="Times New Roman" w:hAnsi="Times New Roman"/>
                <w:sz w:val="23"/>
                <w:szCs w:val="23"/>
                <w:color w:val="auto"/>
                <w:vertAlign w:val="superscript"/>
              </w:rPr>
              <w:t>(6)</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$101,850</w:t>
            </w:r>
          </w:p>
        </w:tc>
        <w:tc>
          <w:tcPr>
            <w:tcW w:w="20" w:type="dxa"/>
            <w:vAlign w:val="bottom"/>
            <w:tcBorders>
              <w:bottom w:val="single" w:sz="8" w:color="auto"/>
            </w:tcBorders>
          </w:tcPr>
          <w:p>
            <w:pPr>
              <w:spacing w:after="0"/>
              <w:rPr>
                <w:sz w:val="24"/>
                <w:szCs w:val="24"/>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Withdrawal Amount taken</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 adjusted for any Withdrawals</w:t>
            </w:r>
            <w:r>
              <w:rPr>
                <w:rFonts w:ascii="Times New Roman" w:cs="Times New Roman" w:eastAsia="Times New Roman" w:hAnsi="Times New Roman"/>
                <w:sz w:val="23"/>
                <w:szCs w:val="23"/>
                <w:color w:val="auto"/>
                <w:vertAlign w:val="superscript"/>
              </w:rPr>
              <w:t>(7)</w:t>
            </w: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$50,909</w:t>
            </w:r>
          </w:p>
        </w:tc>
        <w:tc>
          <w:tcPr>
            <w:tcW w:w="20" w:type="dxa"/>
            <w:vAlign w:val="bottom"/>
            <w:tcBorders>
              <w:top w:val="single" w:sz="8" w:color="auto"/>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Free Withdrawal Amount</w:t>
            </w:r>
            <w:r>
              <w:rPr>
                <w:rFonts w:ascii="Times New Roman" w:cs="Times New Roman" w:eastAsia="Times New Roman" w:hAnsi="Times New Roman"/>
                <w:sz w:val="23"/>
                <w:szCs w:val="23"/>
                <w:color w:val="auto"/>
                <w:vertAlign w:val="superscript"/>
              </w:rPr>
              <w:t>(8)</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Withdrawal Charge Amount</w:t>
            </w:r>
            <w:r>
              <w:rPr>
                <w:rFonts w:ascii="Times New Roman" w:cs="Times New Roman" w:eastAsia="Times New Roman" w:hAnsi="Times New Roman"/>
                <w:sz w:val="23"/>
                <w:szCs w:val="23"/>
                <w:color w:val="auto"/>
                <w:vertAlign w:val="superscript"/>
              </w:rPr>
              <w:t>(9)</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$2,400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Net Proceeds from Withdrawal paid to Contract Owner</w:t>
            </w:r>
            <w:r>
              <w:rPr>
                <w:rFonts w:ascii="Times New Roman" w:cs="Times New Roman" w:eastAsia="Times New Roman" w:hAnsi="Times New Roman"/>
                <w:sz w:val="23"/>
                <w:szCs w:val="23"/>
                <w:color w:val="auto"/>
                <w:vertAlign w:val="superscript"/>
              </w:rPr>
              <w:t>(10)</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$47,600</w:t>
            </w:r>
          </w:p>
        </w:tc>
        <w:tc>
          <w:tcPr>
            <w:tcW w:w="20" w:type="dxa"/>
            <w:vAlign w:val="bottom"/>
            <w:tcBorders>
              <w:bottom w:val="single" w:sz="8" w:color="auto"/>
            </w:tcBorders>
          </w:tcPr>
          <w:p>
            <w:pPr>
              <w:spacing w:after="0"/>
              <w:rPr>
                <w:sz w:val="24"/>
                <w:szCs w:val="24"/>
                <w:color w:val="auto"/>
              </w:rPr>
            </w:pPr>
          </w:p>
        </w:tc>
      </w:tr>
      <w:tr>
        <w:trPr>
          <w:trHeight w:val="260"/>
        </w:trPr>
        <w:tc>
          <w:tcPr>
            <w:tcW w:w="6420" w:type="dxa"/>
            <w:vAlign w:val="bottom"/>
            <w:tcBorders>
              <w:bottom w:val="single" w:sz="8" w:color="auto"/>
              <w:right w:val="single" w:sz="8" w:color="auto"/>
            </w:tcBorders>
            <w:gridSpan w:val="2"/>
          </w:tcPr>
          <w:p>
            <w:pPr>
              <w:ind w:left="280"/>
              <w:spacing w:after="0" w:line="261" w:lineRule="exact"/>
              <w:rPr>
                <w:sz w:val="20"/>
                <w:szCs w:val="20"/>
                <w:color w:val="auto"/>
              </w:rPr>
            </w:pPr>
            <w:r>
              <w:rPr>
                <w:rFonts w:ascii="Times New Roman" w:cs="Times New Roman" w:eastAsia="Times New Roman" w:hAnsi="Times New Roman"/>
                <w:sz w:val="18"/>
                <w:szCs w:val="18"/>
                <w:b w:val="1"/>
                <w:bCs w:val="1"/>
                <w:color w:val="auto"/>
              </w:rPr>
              <w:t>Interim Value after Withdrawal</w:t>
            </w:r>
            <w:r>
              <w:rPr>
                <w:rFonts w:ascii="Times New Roman" w:cs="Times New Roman" w:eastAsia="Times New Roman" w:hAnsi="Times New Roman"/>
                <w:sz w:val="23"/>
                <w:szCs w:val="23"/>
                <w:color w:val="auto"/>
                <w:vertAlign w:val="superscript"/>
              </w:rPr>
              <w:t>(11)</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$51,850</w:t>
            </w:r>
          </w:p>
        </w:tc>
        <w:tc>
          <w:tcPr>
            <w:tcW w:w="20" w:type="dxa"/>
            <w:vAlign w:val="bottom"/>
            <w:tcBorders>
              <w:bottom w:val="single" w:sz="8" w:color="auto"/>
            </w:tcBorders>
          </w:tcPr>
          <w:p>
            <w:pPr>
              <w:spacing w:after="0"/>
              <w:rPr>
                <w:sz w:val="22"/>
                <w:szCs w:val="22"/>
                <w:color w:val="auto"/>
              </w:rPr>
            </w:pPr>
          </w:p>
        </w:tc>
      </w:tr>
      <w:tr>
        <w:trPr>
          <w:trHeight w:val="98"/>
        </w:trPr>
        <w:tc>
          <w:tcPr>
            <w:tcW w:w="110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ind w:left="120"/>
        <w:spacing w:after="0" w:line="180" w:lineRule="auto"/>
        <w:rPr>
          <w:sz w:val="20"/>
          <w:szCs w:val="20"/>
          <w:color w:val="auto"/>
        </w:rPr>
      </w:pPr>
      <w:r>
        <w:rPr>
          <w:rFonts w:ascii="Times New Roman" w:cs="Times New Roman" w:eastAsia="Times New Roman" w:hAnsi="Times New Roman"/>
          <w:sz w:val="12"/>
          <w:szCs w:val="12"/>
          <w:color w:val="auto"/>
        </w:rPr>
        <w:t>(1)</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Index Value Lock date. Index Performance is calculated as follows:</w:t>
      </w:r>
    </w:p>
    <w:p>
      <w:pPr>
        <w:spacing w:after="0" w:line="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(1,200 [Locked Index Value on the Index Value Lock date] — 1,000 [Index Value at Term Start Date])</w:t>
      </w:r>
    </w:p>
    <w:p>
      <w:pPr>
        <w:spacing w:after="0" w:line="16" w:lineRule="exact"/>
        <w:rPr>
          <w:sz w:val="20"/>
          <w:szCs w:val="20"/>
          <w:color w:val="auto"/>
        </w:rPr>
      </w:pPr>
    </w:p>
    <w:p>
      <w:pPr>
        <w:ind w:left="2660" w:hanging="150"/>
        <w:spacing w:after="0"/>
        <w:tabs>
          <w:tab w:leader="none" w:pos="2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[Index Value at Term Start Date] = 20%</w:t>
      </w:r>
    </w:p>
    <w:p>
      <w:pPr>
        <w:spacing w:after="0" w:line="43" w:lineRule="exact"/>
        <w:rPr>
          <w:rFonts w:ascii="Times New Roman" w:cs="Times New Roman" w:eastAsia="Times New Roman" w:hAnsi="Times New Roman"/>
          <w:sz w:val="18"/>
          <w:szCs w:val="18"/>
          <w:color w:val="auto"/>
        </w:rPr>
      </w:pPr>
    </w:p>
    <w:p>
      <w:pPr>
        <w:ind w:left="480" w:right="739" w:hanging="368"/>
        <w:spacing w:after="0" w:line="222" w:lineRule="auto"/>
        <w:tabs>
          <w:tab w:leader="none" w:pos="48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Accrued Cap Rate is equal to the Cap Rate multiplied by the number of days elapsed since the Term Start Date divided by the total number of days in the Term. The Accrued Cap Rate is calculated as follows:</w:t>
      </w:r>
    </w:p>
    <w:p>
      <w:pPr>
        <w:spacing w:after="0" w:line="63"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10% [Cap Rate] x 183 [number of days elapsed since the Term Start Date]</w:t>
      </w:r>
    </w:p>
    <w:p>
      <w:pPr>
        <w:spacing w:after="0" w:line="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365 [total number of days in the Term] = 5%</w:t>
      </w:r>
    </w:p>
    <w:p>
      <w:pPr>
        <w:ind w:left="120"/>
        <w:spacing w:after="0" w:line="199" w:lineRule="auto"/>
        <w:rPr>
          <w:sz w:val="20"/>
          <w:szCs w:val="20"/>
          <w:color w:val="auto"/>
        </w:rPr>
      </w:pPr>
      <w:r>
        <w:rPr>
          <w:rFonts w:ascii="Times New Roman" w:cs="Times New Roman" w:eastAsia="Times New Roman" w:hAnsi="Times New Roman"/>
          <w:sz w:val="8"/>
          <w:szCs w:val="8"/>
          <w:color w:val="auto"/>
        </w:rPr>
        <w:t>(3)</w:t>
      </w:r>
    </w:p>
    <w:p>
      <w:pPr>
        <w:ind w:left="480" w:right="739"/>
        <w:spacing w:after="0" w:line="241" w:lineRule="auto"/>
        <w:rPr>
          <w:sz w:val="20"/>
          <w:szCs w:val="20"/>
          <w:color w:val="auto"/>
        </w:rPr>
      </w:pPr>
      <w:r>
        <w:rPr>
          <w:rFonts w:ascii="Times New Roman" w:cs="Times New Roman" w:eastAsia="Times New Roman" w:hAnsi="Times New Roman"/>
          <w:sz w:val="18"/>
          <w:szCs w:val="18"/>
          <w:color w:val="auto"/>
        </w:rPr>
        <w:t>The Performance Rate is equal to the Accrued Cap Rate because it cannot exceed the Accrued Cap Rate even though the Index Performance was 20%.</w:t>
      </w:r>
    </w:p>
    <w:p>
      <w:pPr>
        <w:spacing w:after="0" w:line="37" w:lineRule="exact"/>
        <w:rPr>
          <w:sz w:val="20"/>
          <w:szCs w:val="20"/>
          <w:color w:val="auto"/>
        </w:rPr>
      </w:pPr>
    </w:p>
    <w:p>
      <w:pPr>
        <w:jc w:val="both"/>
        <w:ind w:left="480" w:right="739" w:hanging="368"/>
        <w:spacing w:after="0" w:line="221" w:lineRule="auto"/>
        <w:tabs>
          <w:tab w:leader="none" w:pos="48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multiplied by the Performance Rate. The Performance Rate Adjustment is calculated as follows: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$100,000 [Investment Amount at Term Start Date] x 5% [Performance Rate] = $5,000</w:t>
      </w:r>
    </w:p>
    <w:p>
      <w:pPr>
        <w:ind w:left="120"/>
        <w:spacing w:after="0" w:line="183" w:lineRule="auto"/>
        <w:rPr>
          <w:sz w:val="20"/>
          <w:szCs w:val="20"/>
          <w:color w:val="auto"/>
        </w:rPr>
      </w:pPr>
      <w:r>
        <w:rPr>
          <w:rFonts w:ascii="Times New Roman" w:cs="Times New Roman" w:eastAsia="Times New Roman" w:hAnsi="Times New Roman"/>
          <w:sz w:val="11"/>
          <w:szCs w:val="11"/>
          <w:color w:val="auto"/>
        </w:rPr>
        <w:t>(5)</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The Performance Lock Factor is 97% and the remaining percentage (3%) is not included in the Interim Value. 3% is equal to $3,150.</w:t>
      </w:r>
    </w:p>
    <w:p>
      <w:pPr>
        <w:ind w:left="120"/>
        <w:spacing w:after="0" w:line="184" w:lineRule="auto"/>
        <w:rPr>
          <w:sz w:val="20"/>
          <w:szCs w:val="20"/>
          <w:color w:val="auto"/>
        </w:rPr>
      </w:pPr>
      <w:r>
        <w:rPr>
          <w:rFonts w:ascii="Times New Roman" w:cs="Times New Roman" w:eastAsia="Times New Roman" w:hAnsi="Times New Roman"/>
          <w:sz w:val="8"/>
          <w:szCs w:val="8"/>
          <w:color w:val="auto"/>
        </w:rPr>
        <w:t>(6)</w:t>
      </w:r>
    </w:p>
    <w:p>
      <w:pPr>
        <w:ind w:left="480"/>
        <w:spacing w:after="0"/>
        <w:rPr>
          <w:sz w:val="20"/>
          <w:szCs w:val="20"/>
          <w:color w:val="auto"/>
        </w:rPr>
      </w:pPr>
      <w:r>
        <w:rPr>
          <w:rFonts w:ascii="Times New Roman" w:cs="Times New Roman" w:eastAsia="Times New Roman" w:hAnsi="Times New Roman"/>
          <w:sz w:val="18"/>
          <w:szCs w:val="18"/>
          <w:color w:val="auto"/>
        </w:rPr>
        <w:t>The Interim Value is calculated as follows:</w:t>
      </w:r>
    </w:p>
    <w:p>
      <w:pPr>
        <w:spacing w:after="0" w:line="7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The Greater of:</w:t>
      </w:r>
    </w:p>
    <w:p>
      <w:pPr>
        <w:spacing w:after="0" w:line="16" w:lineRule="exact"/>
        <w:rPr>
          <w:sz w:val="20"/>
          <w:szCs w:val="20"/>
          <w:color w:val="auto"/>
        </w:rPr>
      </w:pPr>
    </w:p>
    <w:p>
      <w:pPr>
        <w:ind w:left="1540" w:right="1059" w:hanging="1061"/>
        <w:spacing w:after="0" w:line="242" w:lineRule="auto"/>
        <w:tabs>
          <w:tab w:leader="none" w:pos="6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[Investment Amount at Term Start Date] x (1+5%) [the lesser of Index Performance (20%) or Accrued Cap Rate (5%)] x 97% [Performance Lock Factor] = $101,850</w:t>
      </w:r>
    </w:p>
    <w:p>
      <w:pPr>
        <w:spacing w:after="0" w:line="1" w:lineRule="exact"/>
        <w:rPr>
          <w:rFonts w:ascii="Times New Roman" w:cs="Times New Roman" w:eastAsia="Times New Roman" w:hAnsi="Times New Roman"/>
          <w:sz w:val="18"/>
          <w:szCs w:val="18"/>
          <w:color w:val="auto"/>
        </w:rPr>
      </w:pPr>
    </w:p>
    <w:p>
      <w:pPr>
        <w:ind w:left="2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$100,000 [Investment Amount at Term Start Date]</w:t>
      </w:r>
    </w:p>
    <w:p>
      <w:pPr>
        <w:spacing w:after="0" w:line="43" w:lineRule="exact"/>
        <w:rPr>
          <w:rFonts w:ascii="Times New Roman" w:cs="Times New Roman" w:eastAsia="Times New Roman" w:hAnsi="Times New Roman"/>
          <w:sz w:val="18"/>
          <w:szCs w:val="18"/>
          <w:color w:val="auto"/>
        </w:rPr>
      </w:pPr>
    </w:p>
    <w:p>
      <w:pPr>
        <w:ind w:left="480" w:right="739" w:hanging="368"/>
        <w:spacing w:after="0" w:line="222" w:lineRule="auto"/>
        <w:tabs>
          <w:tab w:leader="none" w:pos="48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Investment Amount is reduced proportionally by the withdrawal taken based on the reduction in Interim Value. Therefore, the Investment Amount adjusted for any withdrawals is calculated as follows: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$100,000 [Investment Amount on Term Start Date] x (1-$50,000 [gross withdrawal amount halfway through the</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Term]</w:t>
      </w:r>
    </w:p>
    <w:p>
      <w:pPr>
        <w:ind w:left="2040"/>
        <w:spacing w:after="0"/>
        <w:rPr>
          <w:sz w:val="20"/>
          <w:szCs w:val="20"/>
          <w:color w:val="auto"/>
        </w:rPr>
      </w:pPr>
      <w:r>
        <w:rPr>
          <w:rFonts w:ascii="Times New Roman" w:cs="Times New Roman" w:eastAsia="Times New Roman" w:hAnsi="Times New Roman"/>
          <w:sz w:val="18"/>
          <w:szCs w:val="18"/>
          <w:color w:val="auto"/>
        </w:rPr>
        <w:t>÷ $101,850 [Interim Value on date of withdrawal]) = $50,909</w:t>
      </w:r>
    </w:p>
    <w:p>
      <w:pPr>
        <w:spacing w:after="0" w:line="43" w:lineRule="exact"/>
        <w:rPr>
          <w:sz w:val="20"/>
          <w:szCs w:val="20"/>
          <w:color w:val="auto"/>
        </w:rPr>
      </w:pPr>
    </w:p>
    <w:p>
      <w:pPr>
        <w:ind w:left="480" w:right="659"/>
        <w:spacing w:after="0" w:line="266" w:lineRule="auto"/>
        <w:rPr>
          <w:sz w:val="20"/>
          <w:szCs w:val="20"/>
          <w:color w:val="auto"/>
        </w:rPr>
      </w:pPr>
      <w:r>
        <w:rPr>
          <w:rFonts w:ascii="Times New Roman" w:cs="Times New Roman" w:eastAsia="Times New Roman" w:hAnsi="Times New Roman"/>
          <w:sz w:val="18"/>
          <w:szCs w:val="18"/>
          <w:color w:val="auto"/>
        </w:rPr>
        <w:t>The proportionally reduced Investment Amount is used as the new Investment Amount for the Term until the Term End Date for this Shield Option (assuming no additional withdrawals).</w:t>
      </w:r>
    </w:p>
    <w:p>
      <w:pPr>
        <w:sectPr>
          <w:pgSz w:w="11900" w:h="16838" w:orient="portrait"/>
          <w:cols w:equalWidth="0" w:num="1">
            <w:col w:w="9019"/>
          </w:cols>
          <w:pgMar w:left="1440" w:top="1377" w:right="1440" w:bottom="1440" w:gutter="0" w:footer="0" w:header="0"/>
        </w:sectPr>
      </w:pPr>
    </w:p>
    <w:p>
      <w:pPr>
        <w:spacing w:after="0" w:line="2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9019"/>
          </w:cols>
          <w:pgMar w:left="1440" w:top="1377" w:right="1440" w:bottom="1440" w:gutter="0" w:footer="0" w:header="0"/>
          <w:type w:val="continuous"/>
        </w:sectPr>
      </w:pPr>
    </w:p>
    <w:bookmarkStart w:id="46" w:name="page47"/>
    <w:bookmarkEnd w:id="46"/>
    <w:p>
      <w:pPr>
        <w:ind w:left="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(8)</w:t>
      </w:r>
    </w:p>
    <w:p>
      <w:pPr>
        <w:ind w:left="480" w:right="739"/>
        <w:spacing w:after="0" w:line="243" w:lineRule="auto"/>
        <w:rPr>
          <w:sz w:val="20"/>
          <w:szCs w:val="20"/>
          <w:color w:val="auto"/>
        </w:rPr>
      </w:pPr>
      <w:r>
        <w:rPr>
          <w:rFonts w:ascii="Times New Roman" w:cs="Times New Roman" w:eastAsia="Times New Roman" w:hAnsi="Times New Roman"/>
          <w:sz w:val="18"/>
          <w:szCs w:val="18"/>
          <w:color w:val="auto"/>
        </w:rPr>
        <w:t>The Free Withdrawal Amount is the value as of the most recent Contract Anniversary multiplied by the Free Withdrawal Amount Percentage. The Free Withdrawal Amount is amount is calculated as follows:</w:t>
      </w:r>
    </w:p>
    <w:p>
      <w:pPr>
        <w:spacing w:after="0" w:line="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$100,000 [value as of most recent Contract Anniversary] x 10% [Free Withdrawal Amount Percentage] = $10,000</w:t>
      </w:r>
    </w:p>
    <w:p>
      <w:pPr>
        <w:ind w:left="120"/>
        <w:spacing w:after="0" w:line="183" w:lineRule="auto"/>
        <w:rPr>
          <w:sz w:val="20"/>
          <w:szCs w:val="20"/>
          <w:color w:val="auto"/>
        </w:rPr>
      </w:pPr>
      <w:r>
        <w:rPr>
          <w:rFonts w:ascii="Times New Roman" w:cs="Times New Roman" w:eastAsia="Times New Roman" w:hAnsi="Times New Roman"/>
          <w:sz w:val="11"/>
          <w:szCs w:val="11"/>
          <w:color w:val="auto"/>
        </w:rPr>
        <w:t>(9)</w:t>
      </w:r>
    </w:p>
    <w:p>
      <w:pPr>
        <w:ind w:left="480" w:right="739"/>
        <w:spacing w:after="0" w:line="243" w:lineRule="auto"/>
        <w:rPr>
          <w:sz w:val="20"/>
          <w:szCs w:val="20"/>
          <w:color w:val="auto"/>
        </w:rPr>
      </w:pPr>
      <w:r>
        <w:rPr>
          <w:rFonts w:ascii="Times New Roman" w:cs="Times New Roman" w:eastAsia="Times New Roman" w:hAnsi="Times New Roman"/>
          <w:sz w:val="18"/>
          <w:szCs w:val="18"/>
          <w:color w:val="auto"/>
        </w:rPr>
        <w:t>The Withdrawal Charge Amount is the gross withdrawal amount minus the Free Withdrawal Amount multiplied by the Withdrawal Charge.</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($50,000 [gross withdrawal amount] - $10,000 [Free Withdrawal Amount] x 6% [Withdrawal Charge] = $2,400</w:t>
      </w:r>
    </w:p>
    <w:p>
      <w:pPr>
        <w:spacing w:after="0" w:line="77" w:lineRule="exact"/>
        <w:rPr>
          <w:sz w:val="20"/>
          <w:szCs w:val="20"/>
          <w:color w:val="auto"/>
        </w:rPr>
      </w:pPr>
    </w:p>
    <w:p>
      <w:pPr>
        <w:ind w:left="480" w:right="739" w:hanging="368"/>
        <w:spacing w:after="0" w:line="222" w:lineRule="auto"/>
        <w:tabs>
          <w:tab w:leader="none" w:pos="48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net amount payable to the Contract Owner is equal to: $50,000 [the amount withdrawn] - $2,400 [Withdrawal Charges] = $47,600.</w:t>
      </w:r>
    </w:p>
    <w:p>
      <w:pPr>
        <w:spacing w:after="0" w:line="36" w:lineRule="exact"/>
        <w:rPr>
          <w:rFonts w:ascii="Times New Roman" w:cs="Times New Roman" w:eastAsia="Times New Roman" w:hAnsi="Times New Roman"/>
          <w:sz w:val="23"/>
          <w:szCs w:val="23"/>
          <w:color w:val="auto"/>
          <w:vertAlign w:val="superscript"/>
        </w:rPr>
      </w:pPr>
    </w:p>
    <w:p>
      <w:pPr>
        <w:ind w:left="480" w:right="999" w:hanging="368"/>
        <w:spacing w:after="0" w:line="222" w:lineRule="auto"/>
        <w:tabs>
          <w:tab w:leader="none" w:pos="48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Interim Value after Withdrawal is equal to Interim Value ($101,850) minus the amount of the withdrawal ($50,000).</w:t>
      </w:r>
    </w:p>
    <w:p>
      <w:pPr>
        <w:spacing w:after="0" w:line="30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WITHDRAWAL PROVISIONS</w:t>
      </w:r>
    </w:p>
    <w:p>
      <w:pPr>
        <w:spacing w:after="0" w:line="135"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Prior to the Annuity Date, you may, upon Notice to us, request a full or a partial withdrawal and we will withdraw that amount from your Account Value (the “Withdrawal Amount”). A withdrawal (including any applicable Withdrawal Charge, RMDs, and systematic withdrawals) will result in a reduction to the Investment Amount in each Shield Option and the Fixed Account in the ratio that each Shield Option and the Fixed Account bears to the total Account Value, unless you instruct us otherwise. If a Withdrawal Charge is applicable, it is applied to the Withdrawal Amount that is in excess of the applicable Free Withdrawal Amount. See “Withdrawal Charge” and “When No Withdrawal Charge Applies” below. For a partial withdrawal, the amount payable to you will be a net amount equal to the Withdrawal Amount reduced by any applicable Withdrawal Charge and Premium Tax and other taxes. Alternatively, you can choose to have the Withdrawal Charge deducted from the remaining Account Value, in which case you would receive the full dollar amount you requested. However, this may result in a higher Withdrawal Charge because the charge would be based on a larger Withdrawal Amount from your Account Value. A withdrawal (including any applicable Withdrawal Charge, RMDs, and systematic withdrawals) will also result in a proportionate reduction to the death benefit under the Contract. If you have the Return of Premium death benefit, your Purchase Payment is reduced proportionally by the percentage reduction in Account Value of the Shield Option(s) and the Fixed Account for each partial withdrawal.</w:t>
      </w:r>
    </w:p>
    <w:p>
      <w:pPr>
        <w:spacing w:after="0" w:line="10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total Withdrawal Amount from the Account Value must not be less than $500, which is the minimum partial withdrawal amount. If the withdrawal would result in the Account Value being less than the Minimum Account Value ($2,000), we will treat the withdrawal request as a request for a full withdrawal. We will not terminate any Contract if at the time the termination would otherwise occur the guaranteed amount under any death benefit is greater than the Account Value.</w:t>
      </w:r>
    </w:p>
    <w:p>
      <w:pPr>
        <w:spacing w:after="0" w:line="75"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If you request a full or partial withdrawal (unless you instruct us otherwise for a partial withdrawal), the Withdrawal Amount after adjustments for any Withdrawal Charge will result in our paying you a net amount. The net amount payable to you is equal to the amount withdrawn (including any applicable Withdrawal Charge, RMDs, and systematic withdrawals) from the Account Value, less Premium Tax and other taxes, if any.</w:t>
      </w:r>
    </w:p>
    <w:p>
      <w:pPr>
        <w:spacing w:after="0" w:line="8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Withdrawals (including any applicable Withdrawal Charge, RMDs, and systematic withdrawals) from the Fixed Account (if available) will reduce the Fixed Account Value dollar for dollar by the portion of the Withdrawal Amount deducted from the Fixed Account. Withdrawals from the Shield Options on the Term End Date will reduce the Investment Amount dollar for dollar by the portion of the Withdrawal Amount deducted from the Shield Options after the application of the Performance Rate.</w:t>
      </w:r>
    </w:p>
    <w:p>
      <w:pPr>
        <w:spacing w:after="0" w:line="7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If the withdrawal is taken during a Term, the Withdrawal Amount (including any applicable Withdrawal Charge, RMDs, and systematic withdrawals) will reduce the Investment Amount for each Shield Option by the percentage reduction in the Interim Value of such Shield Option </w:t>
      </w:r>
      <w:r>
        <w:rPr>
          <w:rFonts w:ascii="Times New Roman" w:cs="Times New Roman" w:eastAsia="Times New Roman" w:hAnsi="Times New Roman"/>
          <w:sz w:val="18"/>
          <w:szCs w:val="18"/>
          <w:b w:val="1"/>
          <w:bCs w:val="1"/>
          <w:i w:val="1"/>
          <w:iCs w:val="1"/>
          <w:color w:val="auto"/>
        </w:rPr>
        <w:t>(i.e.</w:t>
      </w:r>
      <w:r>
        <w:rPr>
          <w:rFonts w:ascii="Times New Roman" w:cs="Times New Roman" w:eastAsia="Times New Roman" w:hAnsi="Times New Roman"/>
          <w:sz w:val="18"/>
          <w:szCs w:val="18"/>
          <w:b w:val="1"/>
          <w:bCs w:val="1"/>
          <w:color w:val="auto"/>
        </w:rPr>
        <w:t xml:space="preserve"> a proportional reduction). Accordingly, when negative performance has caused the Interim Value to be </w:t>
      </w:r>
      <w:r>
        <w:rPr>
          <w:rFonts w:ascii="Times New Roman" w:cs="Times New Roman" w:eastAsia="Times New Roman" w:hAnsi="Times New Roman"/>
          <w:sz w:val="18"/>
          <w:szCs w:val="18"/>
          <w:b w:val="1"/>
          <w:bCs w:val="1"/>
          <w:i w:val="1"/>
          <w:iCs w:val="1"/>
          <w:color w:val="auto"/>
        </w:rPr>
        <w:t>less</w:t>
      </w:r>
      <w:r>
        <w:rPr>
          <w:rFonts w:ascii="Times New Roman" w:cs="Times New Roman" w:eastAsia="Times New Roman" w:hAnsi="Times New Roman"/>
          <w:sz w:val="18"/>
          <w:szCs w:val="18"/>
          <w:b w:val="1"/>
          <w:bCs w:val="1"/>
          <w:color w:val="auto"/>
        </w:rPr>
        <w:t xml:space="preserve"> than the Investment Amount, the reduction to the Shield Option is on more than dollar for dollar basis. On the other hand, when positive performance has caused the Interim Value to be </w:t>
      </w:r>
      <w:r>
        <w:rPr>
          <w:rFonts w:ascii="Times New Roman" w:cs="Times New Roman" w:eastAsia="Times New Roman" w:hAnsi="Times New Roman"/>
          <w:sz w:val="18"/>
          <w:szCs w:val="18"/>
          <w:b w:val="1"/>
          <w:bCs w:val="1"/>
          <w:i w:val="1"/>
          <w:iCs w:val="1"/>
          <w:color w:val="auto"/>
        </w:rPr>
        <w:t>greater</w:t>
      </w:r>
      <w:r>
        <w:rPr>
          <w:rFonts w:ascii="Times New Roman" w:cs="Times New Roman" w:eastAsia="Times New Roman" w:hAnsi="Times New Roman"/>
          <w:sz w:val="18"/>
          <w:szCs w:val="18"/>
          <w:b w:val="1"/>
          <w:bCs w:val="1"/>
          <w:color w:val="auto"/>
        </w:rPr>
        <w:t xml:space="preserve"> than the Investment Amount, the reduction to the Shield Option is on a less than dollar for dollar basis.</w:t>
      </w:r>
    </w:p>
    <w:p>
      <w:pPr>
        <w:spacing w:after="0" w:line="92"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For example, assume the Performance Lock has not been exercised and Owner 1 makes a $100,000 Purchase Payment at Contract issue and allocates the Purchase Payment equally to two Shield Options so that each starts with $50,000. This amount is the initial Investment Amount. Assume in 6 months Shield Option A has an Interim Value of $65,000 and Shield Option B has an Interim Value of $45,000. Assume at this time Owner 1 decides to make a withdrawal of $20,000. If the withdrawal is taken completely from Shield Option A, the reduction in the Interim Value is 30.77% ($20,000 ÷ $65,000). The Investment Amount for Shield Option A would then be reduced to $34,615.38 ($50,000 x (1-30.77%)). The total Investment Amount is then $84,615.38 ($34,615.38 + $50,000). If the entire withdrawal is taken from Shield Option B, the reduction in the Interim Value is 44.44% ($20,000 ÷ $45,000). The Investment Amount for Shield Option B would be reduced to $27,777.78 ($50,000 x (1-44.44%)). The total Investment Amount is then $77,777.78 ($50,000 + $27,777.78).</w:t>
      </w:r>
    </w:p>
    <w:p>
      <w:pPr>
        <w:sectPr>
          <w:pgSz w:w="11900" w:h="16838" w:orient="portrait"/>
          <w:cols w:equalWidth="0" w:num="1">
            <w:col w:w="9019"/>
          </w:cols>
          <w:pgMar w:left="1440" w:top="1245" w:right="1440" w:bottom="825" w:gutter="0" w:footer="0" w:header="0"/>
        </w:sectPr>
      </w:pPr>
    </w:p>
    <w:p>
      <w:pPr>
        <w:spacing w:after="0" w:line="2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9019"/>
          </w:cols>
          <w:pgMar w:left="1440" w:top="1245" w:right="1440" w:bottom="825" w:gutter="0" w:footer="0" w:header="0"/>
          <w:type w:val="continuous"/>
        </w:sectPr>
      </w:pPr>
    </w:p>
    <w:bookmarkStart w:id="47" w:name="page48"/>
    <w:bookmarkEnd w:id="47"/>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remaining Investment Amount after a withdrawal will be used as the new Investment Amount for the Term until the Term End Date or the next Interim Value calculation for that Shield Option. A partial withdrawal from a Shield Option does not affect the Cap Rate, Step Rate, or Edge Rate, as applicable, and the Shield Rate that will apply to the remaining Investment Amounts that are held in the Shield Option through the Term End Date.</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After receipt of a Notice of withdrawal from you, we reserve the right to defer payment for a withdrawal for the period permitted by applicable law but not more than six (6) months.</w:t>
      </w:r>
    </w:p>
    <w:p>
      <w:pPr>
        <w:spacing w:after="0" w:line="50" w:lineRule="exact"/>
        <w:rPr>
          <w:sz w:val="20"/>
          <w:szCs w:val="20"/>
          <w:color w:val="auto"/>
        </w:rPr>
      </w:pPr>
    </w:p>
    <w:p>
      <w:pPr>
        <w:jc w:val="both"/>
        <w:ind w:left="120" w:right="6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Divorce.</w:t>
      </w:r>
      <w:r>
        <w:rPr>
          <w:rFonts w:ascii="Times New Roman" w:cs="Times New Roman" w:eastAsia="Times New Roman" w:hAnsi="Times New Roman"/>
          <w:sz w:val="18"/>
          <w:szCs w:val="18"/>
          <w:color w:val="auto"/>
        </w:rPr>
        <w:t xml:space="preserve">  A withdrawal made pursuant to a divorce or separation agreement is subject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Withdrawal Charge provisions described in this section, if permissible under tax law. In addition, the withdrawal will reduce the Account Value and the death benefit. The withdrawal could have a significant negative impact on the death benefit.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Charge</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We impose a Withdrawal Charge to reimburse us for contract sales expenses, including commissions and other distribution, promotion, and acquisition expenses. During the Accumulation Period, you can make a partial or complete withdrawal from your Contract.</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Withdrawal Charge is a percentage that is applied to any amount that is withdrawn from the Account Value in a Contract Year in excess of the Free Withdrawal Amount.</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Withdrawal Charge is calculated at the time of each withdrawal in accordance with the following:</w:t>
      </w:r>
    </w:p>
    <w:p>
      <w:pPr>
        <w:spacing w:after="0" w:line="219" w:lineRule="exact"/>
        <w:rPr>
          <w:sz w:val="20"/>
          <w:szCs w:val="20"/>
          <w:color w:val="auto"/>
        </w:rPr>
      </w:pPr>
    </w:p>
    <w:tbl>
      <w:tblPr>
        <w:tblLayout w:type="fixed"/>
        <w:tblInd w:w="2080" w:type="dxa"/>
        <w:tblCellMar>
          <w:top w:w="0" w:type="dxa"/>
          <w:left w:w="0" w:type="dxa"/>
          <w:bottom w:w="0" w:type="dxa"/>
          <w:right w:w="0" w:type="dxa"/>
        </w:tblCellMar>
      </w:tblPr>
      <w:tr>
        <w:trPr>
          <w:trHeight w:val="176"/>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Complete Contract</w:t>
            </w: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0"/>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since Issue Date</w:t>
            </w: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Withdrawal Charge percentage</w:t>
            </w:r>
          </w:p>
        </w:tc>
      </w:tr>
      <w:tr>
        <w:trPr>
          <w:trHeight w:val="23"/>
        </w:trPr>
        <w:tc>
          <w:tcPr>
            <w:tcW w:w="168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4"/>
        </w:trPr>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304"/>
        </w:trPr>
        <w:tc>
          <w:tcPr>
            <w:tcW w:w="1680" w:type="dxa"/>
            <w:vAlign w:val="bottom"/>
            <w:tcBorders>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Borders>
              <w:bottom w:val="single" w:sz="8" w:color="F0FFFF"/>
            </w:tcBorders>
            <w:shd w:val="clear" w:color="auto" w:fill="F0FFFF"/>
          </w:tcPr>
          <w:p>
            <w:pPr>
              <w:spacing w:after="0"/>
              <w:rPr>
                <w:sz w:val="24"/>
                <w:szCs w:val="24"/>
                <w:color w:val="auto"/>
              </w:rPr>
            </w:pPr>
          </w:p>
        </w:tc>
        <w:tc>
          <w:tcPr>
            <w:tcW w:w="1780" w:type="dxa"/>
            <w:vAlign w:val="bottom"/>
            <w:tcBorders>
              <w:bottom w:val="single" w:sz="8" w:color="F0FFFF"/>
            </w:tcBorders>
            <w:shd w:val="clear" w:color="auto" w:fill="F0FFFF"/>
          </w:tcPr>
          <w:p>
            <w:pPr>
              <w:jc w:val="right"/>
              <w:ind w:right="674"/>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4"/>
                <w:szCs w:val="24"/>
                <w:color w:val="auto"/>
              </w:rPr>
            </w:pPr>
          </w:p>
        </w:tc>
      </w:tr>
      <w:tr>
        <w:trPr>
          <w:trHeight w:val="270"/>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Pr>
          <w:p>
            <w:pPr>
              <w:spacing w:after="0"/>
              <w:rPr>
                <w:sz w:val="23"/>
                <w:szCs w:val="23"/>
                <w:color w:val="auto"/>
              </w:rPr>
            </w:pPr>
          </w:p>
        </w:tc>
        <w:tc>
          <w:tcPr>
            <w:tcW w:w="178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3"/>
                <w:szCs w:val="23"/>
                <w:color w:val="auto"/>
              </w:rPr>
            </w:pPr>
          </w:p>
        </w:tc>
      </w:tr>
      <w:tr>
        <w:trPr>
          <w:trHeight w:val="54"/>
        </w:trPr>
        <w:tc>
          <w:tcPr>
            <w:tcW w:w="1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1680" w:type="dxa"/>
            <w:vAlign w:val="bottom"/>
            <w:tcBorders>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bottom w:val="single" w:sz="8" w:color="F0FFFF"/>
            </w:tcBorders>
            <w:shd w:val="clear" w:color="auto" w:fill="F0FFFF"/>
          </w:tcPr>
          <w:p>
            <w:pPr>
              <w:spacing w:after="0"/>
              <w:rPr>
                <w:sz w:val="24"/>
                <w:szCs w:val="24"/>
                <w:color w:val="auto"/>
              </w:rPr>
            </w:pPr>
          </w:p>
        </w:tc>
        <w:tc>
          <w:tcPr>
            <w:tcW w:w="1780" w:type="dxa"/>
            <w:vAlign w:val="bottom"/>
            <w:tcBorders>
              <w:bottom w:val="single" w:sz="8" w:color="F0FFFF"/>
            </w:tcBorders>
            <w:shd w:val="clear" w:color="auto" w:fill="F0FFFF"/>
          </w:tcPr>
          <w:p>
            <w:pPr>
              <w:jc w:val="right"/>
              <w:ind w:right="674"/>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4"/>
                <w:szCs w:val="24"/>
                <w:color w:val="auto"/>
              </w:rPr>
            </w:pPr>
          </w:p>
        </w:tc>
      </w:tr>
      <w:tr>
        <w:trPr>
          <w:trHeight w:val="270"/>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 or more</w:t>
            </w:r>
          </w:p>
        </w:tc>
        <w:tc>
          <w:tcPr>
            <w:tcW w:w="178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3"/>
                <w:szCs w:val="23"/>
                <w:color w:val="auto"/>
              </w:rPr>
            </w:pPr>
          </w:p>
        </w:tc>
      </w:tr>
    </w:tbl>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For tax purposes, earnings from Non-Qualified Contracts are generally considered to come out first.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No Withdrawal Charge Applies</w:t>
      </w:r>
    </w:p>
    <w:p>
      <w:pPr>
        <w:spacing w:after="0" w:line="121" w:lineRule="exact"/>
        <w:rPr>
          <w:sz w:val="20"/>
          <w:szCs w:val="20"/>
          <w:color w:val="auto"/>
        </w:rPr>
      </w:pP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In some cases we will not charge you the Withdrawal Charge when you make a withdrawal. We may, however, ask you to prove that you meet any of the following conditions:</w:t>
      </w:r>
    </w:p>
    <w:p>
      <w:pPr>
        <w:spacing w:after="0" w:line="94" w:lineRule="exact"/>
        <w:rPr>
          <w:sz w:val="20"/>
          <w:szCs w:val="20"/>
          <w:color w:val="auto"/>
        </w:rPr>
      </w:pPr>
    </w:p>
    <w:p>
      <w:pPr>
        <w:ind w:left="1180" w:hanging="708"/>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of the Contract;</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death benefit;</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your Account Value to an Annuity Option;</w:t>
      </w:r>
    </w:p>
    <w:p>
      <w:pPr>
        <w:spacing w:after="0" w:line="144" w:lineRule="exact"/>
        <w:rPr>
          <w:rFonts w:ascii="Times New Roman" w:cs="Times New Roman" w:eastAsia="Times New Roman" w:hAnsi="Times New Roman"/>
          <w:sz w:val="18"/>
          <w:szCs w:val="18"/>
          <w:color w:val="auto"/>
        </w:rPr>
      </w:pPr>
    </w:p>
    <w:p>
      <w:pPr>
        <w:ind w:left="1180" w:right="739" w:hanging="708"/>
        <w:spacing w:after="0" w:line="261" w:lineRule="auto"/>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withdrawal is to avoid required Federal income tax penalties or to satisfy Federal income tax rules</w:t>
      </w:r>
    </w:p>
    <w:p>
      <w:pPr>
        <w:ind w:left="480" w:right="739"/>
        <w:spacing w:after="0" w:line="250" w:lineRule="auto"/>
        <w:rPr>
          <w:sz w:val="20"/>
          <w:szCs w:val="20"/>
          <w:color w:val="auto"/>
        </w:rPr>
      </w:pPr>
      <w:r>
        <w:rPr>
          <w:rFonts w:ascii="Times New Roman" w:cs="Times New Roman" w:eastAsia="Times New Roman" w:hAnsi="Times New Roman"/>
          <w:sz w:val="18"/>
          <w:szCs w:val="18"/>
          <w:color w:val="auto"/>
        </w:rPr>
        <w:t>concerning minimum distribution requirements that apply to your Contract, except for RMDs on a decedent Roth IRA. For</w:t>
      </w:r>
    </w:p>
    <w:p>
      <w:pPr>
        <w:spacing w:after="0" w:line="1" w:lineRule="exact"/>
        <w:rPr>
          <w:sz w:val="20"/>
          <w:szCs w:val="20"/>
          <w:color w:val="auto"/>
        </w:rPr>
      </w:pPr>
    </w:p>
    <w:p>
      <w:pPr>
        <w:ind w:left="480" w:right="739"/>
        <w:spacing w:after="0" w:line="250" w:lineRule="auto"/>
        <w:rPr>
          <w:sz w:val="20"/>
          <w:szCs w:val="20"/>
          <w:color w:val="auto"/>
        </w:rPr>
      </w:pPr>
      <w:r>
        <w:rPr>
          <w:rFonts w:ascii="Times New Roman" w:cs="Times New Roman" w:eastAsia="Times New Roman" w:hAnsi="Times New Roman"/>
          <w:sz w:val="18"/>
          <w:szCs w:val="18"/>
          <w:color w:val="auto"/>
        </w:rPr>
        <w:t>purposes of this exception, we assume that the Contract is the only contract or funding vehicle from which distributions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are required to be taken and we will ignore all other Account Values;</w:t>
      </w:r>
    </w:p>
    <w:p>
      <w:pPr>
        <w:spacing w:after="0" w:line="139" w:lineRule="exact"/>
        <w:rPr>
          <w:sz w:val="20"/>
          <w:szCs w:val="20"/>
          <w:color w:val="auto"/>
        </w:rPr>
      </w:pPr>
    </w:p>
    <w:p>
      <w:pPr>
        <w:ind w:left="1180" w:hanging="708"/>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properly “recharacterize” as permitted under Federal tax law your Traditional IRA Contract</w:t>
      </w:r>
    </w:p>
    <w:p>
      <w:pPr>
        <w:spacing w:after="0" w:line="27" w:lineRule="exact"/>
        <w:rPr>
          <w:sz w:val="20"/>
          <w:szCs w:val="20"/>
          <w:color w:val="auto"/>
        </w:rPr>
      </w:pPr>
    </w:p>
    <w:p>
      <w:pPr>
        <w:jc w:val="right"/>
        <w:ind w:right="6939"/>
        <w:spacing w:after="0"/>
        <w:rPr>
          <w:sz w:val="20"/>
          <w:szCs w:val="20"/>
          <w:color w:val="auto"/>
        </w:rPr>
      </w:pPr>
      <w:r>
        <w:rPr>
          <w:rFonts w:ascii="Times New Roman" w:cs="Times New Roman" w:eastAsia="Times New Roman" w:hAnsi="Times New Roman"/>
          <w:sz w:val="18"/>
          <w:szCs w:val="18"/>
          <w:color w:val="auto"/>
        </w:rPr>
        <w:t>or Roth IRA</w:t>
      </w:r>
    </w:p>
    <w:p>
      <w:pPr>
        <w:spacing w:after="0" w:line="9" w:lineRule="exact"/>
        <w:rPr>
          <w:sz w:val="20"/>
          <w:szCs w:val="20"/>
          <w:color w:val="auto"/>
        </w:rPr>
      </w:pPr>
    </w:p>
    <w:p>
      <w:pPr>
        <w:jc w:val="right"/>
        <w:ind w:right="6959"/>
        <w:spacing w:after="0"/>
        <w:rPr>
          <w:sz w:val="20"/>
          <w:szCs w:val="20"/>
          <w:color w:val="auto"/>
        </w:rPr>
      </w:pPr>
      <w:r>
        <w:rPr>
          <w:rFonts w:ascii="Times New Roman" w:cs="Times New Roman" w:eastAsia="Times New Roman" w:hAnsi="Times New Roman"/>
          <w:sz w:val="18"/>
          <w:szCs w:val="18"/>
          <w:color w:val="auto"/>
        </w:rPr>
        <w:t>Contract issued by us;</w:t>
      </w:r>
    </w:p>
    <w:p>
      <w:pPr>
        <w:spacing w:after="0" w:line="139" w:lineRule="exact"/>
        <w:rPr>
          <w:sz w:val="20"/>
          <w:szCs w:val="20"/>
          <w:color w:val="auto"/>
        </w:rPr>
      </w:pPr>
    </w:p>
    <w:p>
      <w:pPr>
        <w:ind w:left="1180" w:hanging="708"/>
        <w:spacing w:after="0"/>
        <w:tabs>
          <w:tab w:leader="none" w:pos="1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agree in writing that none will apply. For example, if you transfer your Account Value to</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another approved</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annuity contract issued by us or one of our affiliates;</w:t>
      </w:r>
    </w:p>
    <w:p>
      <w:pPr>
        <w:spacing w:after="0" w:line="139" w:lineRule="exact"/>
        <w:rPr>
          <w:sz w:val="20"/>
          <w:szCs w:val="20"/>
          <w:color w:val="auto"/>
        </w:rPr>
      </w:pPr>
    </w:p>
    <w:p>
      <w:pPr>
        <w:ind w:left="1180" w:right="1039" w:hanging="708"/>
        <w:spacing w:after="0" w:line="282" w:lineRule="auto"/>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pursuant to either the Nursing Home Exception or the Terminal Illness Exception (see below); or</w:t>
      </w:r>
    </w:p>
    <w:p>
      <w:pPr>
        <w:spacing w:after="0" w:line="94"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up to the Free Withdrawal Amount.</w:t>
      </w:r>
    </w:p>
    <w:p>
      <w:pPr>
        <w:spacing w:after="0" w:line="117"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Nursing Home Exception/Terminal Illness Exception. After the first Contract Year, if approved in your state, and your Contract provides for this, a Withdrawal Charge which would otherwise apply to a withdrawal will be waived, if you, or your Joint Owner:</w:t>
      </w:r>
    </w:p>
    <w:p>
      <w:pPr>
        <w:spacing w:after="0" w:line="68" w:lineRule="exact"/>
        <w:rPr>
          <w:sz w:val="20"/>
          <w:szCs w:val="20"/>
          <w:color w:val="auto"/>
        </w:rPr>
      </w:pPr>
    </w:p>
    <w:p>
      <w:pPr>
        <w:jc w:val="both"/>
        <w:ind w:left="680" w:right="739" w:hanging="208"/>
        <w:spacing w:after="0" w:line="261"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(Nursing Home Exception) Has been a resident of certain nursing home facilities or a hospital for a minimum of 90 consecutive days or for a minimum total of 90 days where there is no more than a 6-month break in that residency and the residencies are for related causes, where you have exercised this right no later than 90 days after exiting the</w:t>
      </w:r>
    </w:p>
    <w:p>
      <w:pPr>
        <w:sectPr>
          <w:pgSz w:w="11900" w:h="16838" w:orient="portrait"/>
          <w:cols w:equalWidth="0" w:num="1">
            <w:col w:w="9019"/>
          </w:cols>
          <w:pgMar w:left="1440" w:top="1377" w:right="1440" w:bottom="0"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9019"/>
          </w:cols>
          <w:pgMar w:left="1440" w:top="1377" w:right="1440" w:bottom="0" w:gutter="0" w:footer="0" w:header="0"/>
          <w:type w:val="continuous"/>
        </w:sectPr>
      </w:pPr>
    </w:p>
    <w:bookmarkStart w:id="48" w:name="page49"/>
    <w:bookmarkEnd w:id="48"/>
    <w:p>
      <w:pPr>
        <w:ind w:left="680" w:right="65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nursing home facility or hospital. The confinement must be prescribed by a physician and be medically necessary. Not available in California, Connecticut, Massachusetts and South Dakota; or</w:t>
      </w:r>
    </w:p>
    <w:p>
      <w:pPr>
        <w:spacing w:after="0" w:line="54" w:lineRule="exact"/>
        <w:rPr>
          <w:sz w:val="20"/>
          <w:szCs w:val="20"/>
          <w:color w:val="auto"/>
        </w:rPr>
      </w:pPr>
    </w:p>
    <w:p>
      <w:pPr>
        <w:jc w:val="both"/>
        <w:ind w:left="680" w:right="739" w:hanging="208"/>
        <w:spacing w:after="0" w:line="261"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(Terminal Illness Exception) Is diagnosed with a terminal illness and not expected to live more than 12 months (a physician certifies to your illness and life expectancy) and you were not diagnosed with the terminal illness as of the date we issued your Contract. Not available in California, Connecticut, Massachusetts, Texas and Washington.</w:t>
      </w:r>
    </w:p>
    <w:p>
      <w:pPr>
        <w:spacing w:after="0" w:line="7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These Contract features are only available if you are less than 80 years old on the Contract Issue Date and terminate on the Annuity Date. These Contract features are free of charge. Additional conditions and requirements apply and are specified in the rider(s) that are part of your Contract.</w:t>
      </w:r>
    </w:p>
    <w:p>
      <w:pPr>
        <w:spacing w:after="0" w:line="64" w:lineRule="exact"/>
        <w:rPr>
          <w:sz w:val="20"/>
          <w:szCs w:val="20"/>
          <w:color w:val="auto"/>
        </w:rPr>
      </w:pPr>
    </w:p>
    <w:p>
      <w:pPr>
        <w:jc w:val="both"/>
        <w:ind w:left="120" w:right="6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Free Withdrawal Amount.</w:t>
      </w:r>
      <w:r>
        <w:rPr>
          <w:rFonts w:ascii="Times New Roman" w:cs="Times New Roman" w:eastAsia="Times New Roman" w:hAnsi="Times New Roman"/>
          <w:sz w:val="18"/>
          <w:szCs w:val="18"/>
          <w:color w:val="auto"/>
        </w:rPr>
        <w:t xml:space="preserve">  After the first Contract Year, you may withdraw a portion of your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free from any Withdrawal Charge. The Free Withdrawal Amount each Contract Year is equal to 10% of your Account Value as of the prior Contract Anniversary, less the total amount withdrawn from the Account Value in the current Contract Year. The Free Withdrawal Amount is non-cumulative and is not carried over to other Contract Years.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Systematic Withdrawal Program</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For automated processing of RMD amounts withdrawn from an IRA Contract or qualified annuity Contract, you may elect this program in any Contract year. However, for automated processing of amounts withdrawn for purposes other than RMDs, you may elect this program after the first Contract Year for up to 10% of your Account Value as of the prior Contract Anniversary. We do not assess a charge for this program. You can receive payments monthly, quarterly, or annually provided that each payment must amount to at least $100 (a minimum of $500 must be distributed per Contract Year). We reserve the right to change the required minimum or the availability of this program. If the New York Stock Exchange is closed on a day when the withdrawal is to be made, we will process the withdrawal on the next Business Day. While the Systematic Withdrawal Program is in effect, you can make additional withdrawals. However, such withdrawals, in addition to the systematic withdrawals, will be considered when determining the applicability of any Withdrawal Charge.</w:t>
      </w:r>
    </w:p>
    <w:p>
      <w:pPr>
        <w:spacing w:after="0" w:line="86"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Withdrawals under the Systematic Withdrawal Program may either be drawn proportionally from all Shield Options and the Fixed Account to which you are allocated, or you can designate specific Shield Option(s) and/or the Fixed Account from which the withdrawal will be drawn.</w:t>
      </w:r>
    </w:p>
    <w:p>
      <w:pPr>
        <w:spacing w:after="0" w:line="64"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Each withdrawal, systematic or otherwise (including any applicable Withdrawal Charge, RMDs, and systematic withdrawals), will reduce the Investment Amount for each Shield Option by the same percentage reduction in the Interim Value of such Shield Option (</w:t>
      </w:r>
      <w:r>
        <w:rPr>
          <w:rFonts w:ascii="Times New Roman" w:cs="Times New Roman" w:eastAsia="Times New Roman" w:hAnsi="Times New Roman"/>
          <w:sz w:val="18"/>
          <w:szCs w:val="18"/>
          <w:b w:val="1"/>
          <w:bCs w:val="1"/>
          <w:i w:val="1"/>
          <w:iCs w:val="1"/>
          <w:color w:val="auto"/>
        </w:rPr>
        <w:t>i.e.</w:t>
      </w:r>
      <w:r>
        <w:rPr>
          <w:rFonts w:ascii="Times New Roman" w:cs="Times New Roman" w:eastAsia="Times New Roman" w:hAnsi="Times New Roman"/>
          <w:sz w:val="18"/>
          <w:szCs w:val="18"/>
          <w:b w:val="1"/>
          <w:bCs w:val="1"/>
          <w:color w:val="auto"/>
        </w:rPr>
        <w:t xml:space="preserve"> a proportional reduction). Therefore, a withdrawal when Index performance is negative will cause a greater percentage reduction in the remaining Investment Amount relative to the percentage reduction for the same Withdrawal Amount when Index Performance is positive. </w:t>
      </w:r>
      <w:r>
        <w:rPr>
          <w:rFonts w:ascii="Times New Roman" w:cs="Times New Roman" w:eastAsia="Times New Roman" w:hAnsi="Times New Roman"/>
          <w:sz w:val="18"/>
          <w:szCs w:val="18"/>
          <w:color w:val="auto"/>
        </w:rPr>
        <w:t>Each withdrawal from the Fixed Account reduces the value of that account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the withdrawal (dollar for dollar).</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If you choose proportional withdrawals, all withdrawals are drawn from the Shield Options and Fixed Account in the ratio that each Shield Option(s) and/or the Fixed Account bears to your Account Value.</w:t>
      </w:r>
    </w:p>
    <w:p>
      <w:pPr>
        <w:spacing w:after="0" w:line="54"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If you choose withdrawals from specific Shield Option(s) and/or the Fixed Account, all withdrawals are drawn from the specified Shield Option(s) and/or Fixed Account in an amount you determine. If there are insufficient funds in the specified Shield Options or the Fixed Account to cover the amount of the withdrawal, the withdrawal will be processed to take the amount in that Shield Option or Fixed Account to $0, and the remaining amount of the withdrawal will default to proportional from all Shield Options and the Fixed Account to which you are allocated. Future withdrawals under the Systematic Withdrawal Program will continue to be drawn proportionally, unless you instruct us otherwise.</w:t>
      </w:r>
    </w:p>
    <w:p>
      <w:pPr>
        <w:spacing w:after="0" w:line="8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You may terminate your participation in the Systematic Withdrawal Program at any time. We will terminate your participation in the Systematic Withdrawal Program when we receive notification of your death.</w:t>
      </w:r>
    </w:p>
    <w:p>
      <w:pPr>
        <w:spacing w:after="0" w:line="50"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Income taxes, tax penalties, and certain restrictions may apply to withdrawals under the Systematic Withdrawal Program. Withdrawals under the Systematic Withdrawal Program are subject to the same Withdrawal Charge provisions and risks as any other withdrawals under the Contract. Among other things, this means that Withdrawal Amounts in excess of the Free Withdrawal Amount are subject to a Withdrawal Charge. Moreover, since Withdrawal Amounts from a Shield Option will reduce the Investment Amount for that Shield Option by the percentage reduction in the Interim Value of that Shield Option, a withdrawal when Index Performance is negative will cause a greater percentage reduction in the Investment Amount relative to the percentage reduction for the same Withdrawal Amount when Index Performance is positive. Since withdrawals under the Systematic Withdrawal Program are automatic, you will have no control over the timing of those withdrawals.</w:t>
      </w:r>
    </w:p>
    <w:p>
      <w:pPr>
        <w:sectPr>
          <w:pgSz w:w="11900" w:h="16838" w:orient="portrait"/>
          <w:cols w:equalWidth="0" w:num="1">
            <w:col w:w="9019"/>
          </w:cols>
          <w:pgMar w:left="1440" w:top="1377" w:right="1440" w:bottom="1001"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9019"/>
          </w:cols>
          <w:pgMar w:left="1440" w:top="1377" w:right="1440" w:bottom="1001" w:gutter="0" w:footer="0" w:header="0"/>
          <w:type w:val="continuous"/>
        </w:sectPr>
      </w:pPr>
    </w:p>
    <w:bookmarkStart w:id="49" w:name="page50"/>
    <w:bookmarkEnd w:id="49"/>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Example 3—Withdrawals</w:t>
      </w:r>
    </w:p>
    <w:p>
      <w:pPr>
        <w:spacing w:after="0" w:line="121" w:lineRule="exact"/>
        <w:rPr>
          <w:sz w:val="20"/>
          <w:szCs w:val="20"/>
          <w:color w:val="auto"/>
        </w:rPr>
      </w:pPr>
    </w:p>
    <w:p>
      <w:pPr>
        <w:jc w:val="both"/>
        <w:ind w:left="120" w:right="639" w:firstLine="360"/>
        <w:spacing w:after="0" w:line="247" w:lineRule="auto"/>
        <w:rPr>
          <w:sz w:val="20"/>
          <w:szCs w:val="20"/>
          <w:color w:val="auto"/>
        </w:rPr>
      </w:pPr>
      <w:r>
        <w:rPr>
          <w:rFonts w:ascii="Times New Roman" w:cs="Times New Roman" w:eastAsia="Times New Roman" w:hAnsi="Times New Roman"/>
          <w:sz w:val="18"/>
          <w:szCs w:val="18"/>
          <w:color w:val="auto"/>
        </w:rPr>
        <w:t>Examples 3A and 3B are intended to show how withdrawals work. In both examples assume that Performance Lock is not available or has not been exercised and that Owner 1 allocates her $50,000 Purchase Payment to the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Example 3A will illustrate a withdrawal when Index Performance is positive and assumes no Withdrawal Charge applies due to a Withdrawal Charge waiver. Example 3B will illustrate a withdrawal when Index Performance is negative and a 6% Withdrawal Charge is applied. In both examples, Owner 1 takes only one $20,000 withdrawal exactly halfway through the Term. The remaining Investment Amount after a withdrawal will be used as the new Investment Amount for the Term until the Term End Date for that Shield Option (assuming no additional withdrawals).</w:t>
      </w:r>
    </w:p>
    <w:p>
      <w:pPr>
        <w:spacing w:after="0" w:line="86"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For a Shield Option with a Locked Index Value, an Interim Value Calculation will be made if you make a withdrawal before the Term End Date. Please see Example 2.2B – Interim Value with a Locked Index Value After Withdrawal (not including Withdrawal Charges) and Example 2.2C – Interim Value with a Locked Index Value After Withdrawal (including Withdrawal Charges) above.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Example 3A—Positive Index Performance and no Withdrawal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49530</wp:posOffset>
            </wp:positionV>
            <wp:extent cx="5250180" cy="3887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50180" cy="3887470"/>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20" w:type="dxa"/>
            <w:vAlign w:val="bottom"/>
            <w:tcBorders>
              <w:top w:val="single" w:sz="8" w:color="auto"/>
            </w:tcBorders>
          </w:tcPr>
          <w:p>
            <w:pPr>
              <w:spacing w:after="0"/>
              <w:rPr>
                <w:sz w:val="24"/>
                <w:szCs w:val="24"/>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Interim Value Calculation Halfway Through Term</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Accrued Cap Rate</w:t>
            </w:r>
            <w:r>
              <w:rPr>
                <w:rFonts w:ascii="Times New Roman" w:cs="Times New Roman" w:eastAsia="Times New Roman" w:hAnsi="Times New Roman"/>
                <w:sz w:val="23"/>
                <w:szCs w:val="23"/>
                <w:color w:val="auto"/>
                <w:vertAlign w:val="superscript"/>
              </w:rPr>
              <w:t>(2)</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(3)</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Interim Value</w:t>
            </w:r>
            <w:r>
              <w:rPr>
                <w:rFonts w:ascii="Times New Roman" w:cs="Times New Roman" w:eastAsia="Times New Roman" w:hAnsi="Times New Roman"/>
                <w:sz w:val="23"/>
                <w:szCs w:val="23"/>
                <w:color w:val="auto"/>
                <w:vertAlign w:val="superscript"/>
              </w:rPr>
              <w:t>(5)</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$52,500</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Withdrawal Amount taken</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 at Term Start Date adjusted for any withdrawals</w:t>
            </w:r>
            <w:r>
              <w:rPr>
                <w:rFonts w:ascii="Times New Roman" w:cs="Times New Roman" w:eastAsia="Times New Roman" w:hAnsi="Times New Roman"/>
                <w:sz w:val="23"/>
                <w:szCs w:val="23"/>
                <w:color w:val="auto"/>
                <w:vertAlign w:val="superscript"/>
              </w:rPr>
              <w:t>(6)</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$30,952</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Net Proceeds from withdrawal paid to Contract Owner</w:t>
            </w:r>
            <w:r>
              <w:rPr>
                <w:rFonts w:ascii="Times New Roman" w:cs="Times New Roman" w:eastAsia="Times New Roman" w:hAnsi="Times New Roman"/>
                <w:sz w:val="23"/>
                <w:szCs w:val="23"/>
                <w:color w:val="auto"/>
                <w:vertAlign w:val="superscript"/>
              </w:rPr>
              <w:t>(7)</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c>
          <w:tcPr>
            <w:tcW w:w="20" w:type="dxa"/>
            <w:vAlign w:val="bottom"/>
            <w:tcBorders>
              <w:bottom w:val="single" w:sz="8" w:color="auto"/>
            </w:tcBorders>
          </w:tcPr>
          <w:p>
            <w:pPr>
              <w:spacing w:after="0"/>
              <w:rPr>
                <w:sz w:val="24"/>
                <w:szCs w:val="24"/>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(8)</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(9)</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(10)</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$3,095</w:t>
            </w:r>
          </w:p>
        </w:tc>
        <w:tc>
          <w:tcPr>
            <w:tcW w:w="20" w:type="dxa"/>
            <w:vAlign w:val="bottom"/>
            <w:tcBorders>
              <w:bottom w:val="single" w:sz="8" w:color="auto"/>
            </w:tcBorders>
          </w:tcPr>
          <w:p>
            <w:pPr>
              <w:spacing w:after="0"/>
              <w:rPr>
                <w:sz w:val="24"/>
                <w:szCs w:val="24"/>
                <w:color w:val="auto"/>
              </w:rPr>
            </w:pPr>
          </w:p>
        </w:tc>
      </w:tr>
      <w:tr>
        <w:trPr>
          <w:trHeight w:val="260"/>
        </w:trPr>
        <w:tc>
          <w:tcPr>
            <w:tcW w:w="6420" w:type="dxa"/>
            <w:vAlign w:val="bottom"/>
            <w:tcBorders>
              <w:bottom w:val="single" w:sz="8" w:color="auto"/>
              <w:right w:val="single" w:sz="8" w:color="auto"/>
            </w:tcBorders>
            <w:gridSpan w:val="2"/>
          </w:tcPr>
          <w:p>
            <w:pPr>
              <w:ind w:left="280"/>
              <w:spacing w:after="0" w:line="261" w:lineRule="exact"/>
              <w:rPr>
                <w:sz w:val="20"/>
                <w:szCs w:val="20"/>
                <w:color w:val="auto"/>
              </w:rPr>
            </w:pPr>
            <w:r>
              <w:rPr>
                <w:rFonts w:ascii="Times New Roman" w:cs="Times New Roman" w:eastAsia="Times New Roman" w:hAnsi="Times New Roman"/>
                <w:sz w:val="18"/>
                <w:szCs w:val="18"/>
                <w:color w:val="auto"/>
              </w:rPr>
              <w:t>Investment Amount</w:t>
            </w:r>
            <w:r>
              <w:rPr>
                <w:rFonts w:ascii="Times New Roman" w:cs="Times New Roman" w:eastAsia="Times New Roman" w:hAnsi="Times New Roman"/>
                <w:sz w:val="23"/>
                <w:szCs w:val="23"/>
                <w:color w:val="auto"/>
                <w:vertAlign w:val="superscript"/>
              </w:rPr>
              <w:t>(11)</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$34,047</w:t>
            </w:r>
          </w:p>
        </w:tc>
        <w:tc>
          <w:tcPr>
            <w:tcW w:w="20" w:type="dxa"/>
            <w:vAlign w:val="bottom"/>
            <w:tcBorders>
              <w:bottom w:val="single" w:sz="8" w:color="auto"/>
            </w:tcBorders>
          </w:tcPr>
          <w:p>
            <w:pPr>
              <w:spacing w:after="0"/>
              <w:rPr>
                <w:sz w:val="22"/>
                <w:szCs w:val="22"/>
                <w:color w:val="auto"/>
              </w:rPr>
            </w:pPr>
          </w:p>
        </w:tc>
      </w:tr>
      <w:tr>
        <w:trPr>
          <w:trHeight w:val="85"/>
        </w:trPr>
        <w:tc>
          <w:tcPr>
            <w:tcW w:w="1100" w:type="dxa"/>
            <w:vAlign w:val="bottom"/>
            <w:tcBorders>
              <w:bottom w:val="single" w:sz="8" w:color="auto"/>
            </w:tcBorders>
          </w:tcPr>
          <w:p>
            <w:pPr>
              <w:spacing w:after="0"/>
              <w:rPr>
                <w:sz w:val="7"/>
                <w:szCs w:val="7"/>
                <w:color w:val="auto"/>
              </w:rPr>
            </w:pPr>
          </w:p>
        </w:tc>
        <w:tc>
          <w:tcPr>
            <w:tcW w:w="53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ind w:left="120"/>
        <w:spacing w:after="0" w:line="208" w:lineRule="auto"/>
        <w:rPr>
          <w:sz w:val="20"/>
          <w:szCs w:val="20"/>
          <w:color w:val="auto"/>
        </w:rPr>
      </w:pPr>
      <w:r>
        <w:rPr>
          <w:rFonts w:ascii="Times New Roman" w:cs="Times New Roman" w:eastAsia="Times New Roman" w:hAnsi="Times New Roman"/>
          <w:sz w:val="9"/>
          <w:szCs w:val="9"/>
          <w:color w:val="auto"/>
        </w:rPr>
        <w:t>(1)</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Interim Value calculation. Index Performance is calculated as follows:</w:t>
      </w:r>
    </w:p>
    <w:p>
      <w:pPr>
        <w:spacing w:after="0" w:line="5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(600 [Index Value on date of Interim Value calculation] - 500 [Index Value at Term Start Date])</w:t>
      </w:r>
    </w:p>
    <w:p>
      <w:pPr>
        <w:spacing w:after="0" w:line="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500 [Index Value at Term Start Date]) = 20%</w:t>
      </w:r>
    </w:p>
    <w:p>
      <w:pPr>
        <w:ind w:left="120"/>
        <w:spacing w:after="0" w:line="194" w:lineRule="auto"/>
        <w:rPr>
          <w:sz w:val="20"/>
          <w:szCs w:val="20"/>
          <w:color w:val="auto"/>
        </w:rPr>
      </w:pPr>
      <w:r>
        <w:rPr>
          <w:rFonts w:ascii="Times New Roman" w:cs="Times New Roman" w:eastAsia="Times New Roman" w:hAnsi="Times New Roman"/>
          <w:sz w:val="7"/>
          <w:szCs w:val="7"/>
          <w:color w:val="auto"/>
        </w:rPr>
        <w:t>(2)</w:t>
      </w:r>
    </w:p>
    <w:p>
      <w:pPr>
        <w:ind w:left="480"/>
        <w:spacing w:after="0" w:line="235" w:lineRule="auto"/>
        <w:rPr>
          <w:sz w:val="20"/>
          <w:szCs w:val="20"/>
          <w:color w:val="auto"/>
        </w:rPr>
      </w:pPr>
      <w:r>
        <w:rPr>
          <w:rFonts w:ascii="Times New Roman" w:cs="Times New Roman" w:eastAsia="Times New Roman" w:hAnsi="Times New Roman"/>
          <w:sz w:val="18"/>
          <w:szCs w:val="18"/>
          <w:color w:val="auto"/>
        </w:rPr>
        <w:t>The Accrued Cap Rate is equal to the Cap Rate multiplied by the number of days elapsed since the Term</w:t>
      </w:r>
    </w:p>
    <w:p>
      <w:pPr>
        <w:ind w:left="480"/>
        <w:spacing w:after="0"/>
        <w:rPr>
          <w:sz w:val="20"/>
          <w:szCs w:val="20"/>
          <w:color w:val="auto"/>
        </w:rPr>
      </w:pPr>
      <w:r>
        <w:rPr>
          <w:rFonts w:ascii="Times New Roman" w:cs="Times New Roman" w:eastAsia="Times New Roman" w:hAnsi="Times New Roman"/>
          <w:sz w:val="18"/>
          <w:szCs w:val="18"/>
          <w:color w:val="auto"/>
        </w:rPr>
        <w:t>Start Date divided by the total number of days in the Term. The Accrued Cap Rate is calculated as follows:</w:t>
      </w:r>
    </w:p>
    <w:p>
      <w:pPr>
        <w:spacing w:after="0" w:line="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10% [Cap rate] x 183 [number of days elapsed since Term Start Date]</w:t>
      </w:r>
    </w:p>
    <w:p>
      <w:pPr>
        <w:spacing w:after="0" w:line="2" w:lineRule="exact"/>
        <w:rPr>
          <w:sz w:val="20"/>
          <w:szCs w:val="20"/>
          <w:color w:val="auto"/>
        </w:rPr>
      </w:pPr>
    </w:p>
    <w:p>
      <w:pPr>
        <w:ind w:left="2700" w:hanging="140"/>
        <w:spacing w:after="0"/>
        <w:tabs>
          <w:tab w:leader="none" w:pos="27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 [total number of days in the Term] = 5%</w:t>
      </w:r>
    </w:p>
    <w:p>
      <w:pPr>
        <w:spacing w:after="0" w:line="43" w:lineRule="exact"/>
        <w:rPr>
          <w:rFonts w:ascii="Times New Roman" w:cs="Times New Roman" w:eastAsia="Times New Roman" w:hAnsi="Times New Roman"/>
          <w:sz w:val="18"/>
          <w:szCs w:val="18"/>
          <w:color w:val="auto"/>
        </w:rPr>
      </w:pPr>
    </w:p>
    <w:p>
      <w:pPr>
        <w:ind w:left="480" w:right="739" w:hanging="368"/>
        <w:spacing w:after="0" w:line="222" w:lineRule="auto"/>
        <w:tabs>
          <w:tab w:leader="none" w:pos="48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Performance Rate is equal to the Accrued Cap Rate because it cannot exceed the Accrued Cap Rate even though Index Performance was at 20%.</w:t>
      </w:r>
    </w:p>
    <w:p>
      <w:pPr>
        <w:sectPr>
          <w:pgSz w:w="11900" w:h="16838" w:orient="portrait"/>
          <w:cols w:equalWidth="0" w:num="1">
            <w:col w:w="9019"/>
          </w:cols>
          <w:pgMar w:left="1440" w:top="1373" w:right="1440" w:bottom="1440" w:gutter="0" w:footer="0" w:header="0"/>
        </w:sectPr>
      </w:pPr>
    </w:p>
    <w:p>
      <w:pPr>
        <w:spacing w:after="0" w:line="26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9019"/>
          </w:cols>
          <w:pgMar w:left="1440" w:top="1373" w:right="1440" w:bottom="1440" w:gutter="0" w:footer="0" w:header="0"/>
          <w:type w:val="continuous"/>
        </w:sectPr>
      </w:pPr>
    </w:p>
    <w:bookmarkStart w:id="50" w:name="page51"/>
    <w:bookmarkEnd w:id="50"/>
    <w:p>
      <w:pPr>
        <w:ind w:left="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(4)</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(no withdrawals have been taken so far) multiplied by the Performance Rate. The Performance Rate Adjustment is calculated as follows:</w:t>
      </w:r>
    </w:p>
    <w:p>
      <w:pPr>
        <w:spacing w:after="0" w:line="3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$50,000 [Investment Amount at Term Start Date] x 5% [Performance Rate] = $2,500</w:t>
      </w:r>
    </w:p>
    <w:p>
      <w:pPr>
        <w:spacing w:after="0" w:line="63" w:lineRule="exact"/>
        <w:rPr>
          <w:sz w:val="20"/>
          <w:szCs w:val="20"/>
          <w:color w:val="auto"/>
        </w:rPr>
      </w:pPr>
    </w:p>
    <w:p>
      <w:pPr>
        <w:jc w:val="both"/>
        <w:ind w:left="480" w:right="739" w:hanging="368"/>
        <w:spacing w:after="0" w:line="224" w:lineRule="auto"/>
        <w:tabs>
          <w:tab w:leader="none" w:pos="48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Interim Value is equal to the Investment Amount at the Term Start Date adjusted for any withdrawals plus the Performance Rate Adjustment. This is the amount in the Shield Option selected that would be available if you annuitize, die, make a withdrawal or Surrender your Contract on that date. The Interim Value is calculated as follows:</w:t>
      </w:r>
    </w:p>
    <w:p>
      <w:pPr>
        <w:spacing w:after="0" w:line="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$50,000 [Investment Amount at Term Start Date] + $2,500 [Performance Rate Adjustment] = $52,500</w:t>
      </w:r>
    </w:p>
    <w:p>
      <w:pPr>
        <w:spacing w:after="0" w:line="63" w:lineRule="exact"/>
        <w:rPr>
          <w:sz w:val="20"/>
          <w:szCs w:val="20"/>
          <w:color w:val="auto"/>
        </w:rPr>
      </w:pPr>
    </w:p>
    <w:p>
      <w:pPr>
        <w:ind w:left="480" w:right="739" w:hanging="368"/>
        <w:spacing w:after="0" w:line="222" w:lineRule="auto"/>
        <w:tabs>
          <w:tab w:leader="none" w:pos="48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Investment Amount is reduced proportionally by the withdrawal taken based on the reduction in Interim Value. Therefore, the Investment Amount adjusted for any withdrawals is calculated as follows:</w:t>
      </w:r>
    </w:p>
    <w:p>
      <w:pPr>
        <w:spacing w:after="0" w:line="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$50,000 [Investment Amount on Term Start Date] x (1-$20,000 [gross withdrawal amount halfway through the</w:t>
      </w:r>
    </w:p>
    <w:p>
      <w:pPr>
        <w:spacing w:after="0" w:line="1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Term]</w:t>
      </w:r>
    </w:p>
    <w:p>
      <w:pPr>
        <w:ind w:left="2080"/>
        <w:spacing w:after="0"/>
        <w:rPr>
          <w:sz w:val="20"/>
          <w:szCs w:val="20"/>
          <w:color w:val="auto"/>
        </w:rPr>
      </w:pPr>
      <w:r>
        <w:rPr>
          <w:rFonts w:ascii="Times New Roman" w:cs="Times New Roman" w:eastAsia="Times New Roman" w:hAnsi="Times New Roman"/>
          <w:sz w:val="18"/>
          <w:szCs w:val="18"/>
          <w:color w:val="auto"/>
        </w:rPr>
        <w:t>÷ $52,500 [Interim Value on date of withdrawal]) = $30,952</w:t>
      </w:r>
    </w:p>
    <w:p>
      <w:pPr>
        <w:spacing w:after="0" w:line="43" w:lineRule="exact"/>
        <w:rPr>
          <w:sz w:val="20"/>
          <w:szCs w:val="20"/>
          <w:color w:val="auto"/>
        </w:rPr>
      </w:pPr>
    </w:p>
    <w:p>
      <w:pPr>
        <w:ind w:left="480" w:right="659"/>
        <w:spacing w:after="0" w:line="247" w:lineRule="auto"/>
        <w:rPr>
          <w:sz w:val="20"/>
          <w:szCs w:val="20"/>
          <w:color w:val="auto"/>
        </w:rPr>
      </w:pPr>
      <w:r>
        <w:rPr>
          <w:rFonts w:ascii="Times New Roman" w:cs="Times New Roman" w:eastAsia="Times New Roman" w:hAnsi="Times New Roman"/>
          <w:sz w:val="18"/>
          <w:szCs w:val="18"/>
          <w:color w:val="auto"/>
        </w:rPr>
        <w:t>The proportionally reduced Investment Amount is used as the new Investment Amount at Term Start Date for the Term until the Term End Date for this Shield Option (assuming no additional withdrawals).</w:t>
      </w:r>
    </w:p>
    <w:p>
      <w:pPr>
        <w:ind w:left="120"/>
        <w:spacing w:after="0" w:line="198" w:lineRule="auto"/>
        <w:rPr>
          <w:sz w:val="20"/>
          <w:szCs w:val="20"/>
          <w:color w:val="auto"/>
        </w:rPr>
      </w:pPr>
      <w:r>
        <w:rPr>
          <w:rFonts w:ascii="Times New Roman" w:cs="Times New Roman" w:eastAsia="Times New Roman" w:hAnsi="Times New Roman"/>
          <w:sz w:val="7"/>
          <w:szCs w:val="7"/>
          <w:color w:val="auto"/>
        </w:rPr>
        <w:t>(7)</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The net amount payable to the Contract Owner is equal to the amount withdrawn minus the Withdrawal Charge. The net amount payable is calculated as follows:</w:t>
      </w:r>
    </w:p>
    <w:p>
      <w:pPr>
        <w:spacing w:after="0" w:line="3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$20,000 [amount withdrawn] - $0 [Withdrawal Charge] = $20,000</w:t>
      </w:r>
    </w:p>
    <w:p>
      <w:pPr>
        <w:spacing w:after="0" w:line="63" w:lineRule="exact"/>
        <w:rPr>
          <w:sz w:val="20"/>
          <w:szCs w:val="20"/>
          <w:color w:val="auto"/>
        </w:rPr>
      </w:pPr>
    </w:p>
    <w:p>
      <w:pPr>
        <w:jc w:val="both"/>
        <w:ind w:left="480" w:right="739" w:hanging="368"/>
        <w:spacing w:after="0" w:line="226" w:lineRule="auto"/>
        <w:tabs>
          <w:tab w:leader="none" w:pos="48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at the Term End Date is equal to the percentage change in the Index Value measured from the Term Start Date to the Term End Date. Index Performance at the Term End Date is calculated as follows:</w:t>
      </w:r>
    </w:p>
    <w:p>
      <w:pPr>
        <w:sectPr>
          <w:pgSz w:w="11900" w:h="16838" w:orient="portrait"/>
          <w:cols w:equalWidth="0" w:num="1">
            <w:col w:w="9019"/>
          </w:cols>
          <w:pgMar w:left="1440" w:top="1245" w:right="1440"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(9)</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(10)</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8"/>
          <w:szCs w:val="18"/>
          <w:color w:val="auto"/>
        </w:rPr>
        <w:t>(700 [Index Value at Term End Date] - 500 [Index Value at Term Start Date])</w:t>
      </w:r>
    </w:p>
    <w:p>
      <w:pPr>
        <w:spacing w:after="0" w:line="2"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color w:val="auto"/>
        </w:rPr>
        <w:t>÷ 500 [Index Value at Term Start Date] = 40%</w:t>
      </w:r>
    </w:p>
    <w:p>
      <w:pPr>
        <w:spacing w:after="0" w:line="43" w:lineRule="exact"/>
        <w:rPr>
          <w:sz w:val="20"/>
          <w:szCs w:val="20"/>
          <w:color w:val="auto"/>
        </w:rPr>
      </w:pPr>
    </w:p>
    <w:p>
      <w:pPr>
        <w:jc w:val="both"/>
        <w:ind w:right="739"/>
        <w:spacing w:after="0" w:line="266" w:lineRule="auto"/>
        <w:rPr>
          <w:sz w:val="20"/>
          <w:szCs w:val="20"/>
          <w:color w:val="auto"/>
        </w:rPr>
      </w:pPr>
      <w:r>
        <w:rPr>
          <w:rFonts w:ascii="Times New Roman" w:cs="Times New Roman" w:eastAsia="Times New Roman" w:hAnsi="Times New Roman"/>
          <w:sz w:val="18"/>
          <w:szCs w:val="18"/>
          <w:color w:val="auto"/>
        </w:rPr>
        <w:t>Index Performance at the Term End Date exceeds the Cap Rate and therefore the Performance Rate at the Term End Date is equal to the Cap Rate.</w:t>
      </w:r>
    </w:p>
    <w:p>
      <w:pPr>
        <w:spacing w:after="0" w:line="14" w:lineRule="exact"/>
        <w:rPr>
          <w:sz w:val="20"/>
          <w:szCs w:val="20"/>
          <w:color w:val="auto"/>
        </w:rPr>
      </w:pPr>
    </w:p>
    <w:p>
      <w:pPr>
        <w:jc w:val="both"/>
        <w:ind w:right="739"/>
        <w:spacing w:after="0" w:line="242" w:lineRule="auto"/>
        <w:rPr>
          <w:sz w:val="20"/>
          <w:szCs w:val="20"/>
          <w:color w:val="auto"/>
        </w:rPr>
      </w:pPr>
      <w:r>
        <w:rPr>
          <w:rFonts w:ascii="Times New Roman" w:cs="Times New Roman" w:eastAsia="Times New Roman" w:hAnsi="Times New Roman"/>
          <w:sz w:val="18"/>
          <w:szCs w:val="18"/>
          <w:color w:val="auto"/>
        </w:rPr>
        <w:t>The Performance Rate Adjustment at the Term End Date is equal to the product of the Investment Amount at the Term Start Date adjusted for any withdrawals multiplied by the Performance Rate at the Term End Date. The Performance Rate Adjustment at the Term End Date is calculated as follows:</w:t>
      </w:r>
    </w:p>
    <w:p>
      <w:pPr>
        <w:spacing w:after="0" w:line="35" w:lineRule="exact"/>
        <w:rPr>
          <w:sz w:val="20"/>
          <w:szCs w:val="20"/>
          <w:color w:val="auto"/>
        </w:rPr>
      </w:pPr>
    </w:p>
    <w:p>
      <w:pPr>
        <w:sectPr>
          <w:pgSz w:w="11900" w:h="16838" w:orient="portrait"/>
          <w:cols w:equalWidth="0" w:num="2">
            <w:col w:w="300" w:space="180"/>
            <w:col w:w="8539"/>
          </w:cols>
          <w:pgMar w:left="1440" w:top="1245" w:right="1440"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8"/>
          <w:szCs w:val="18"/>
          <w:color w:val="auto"/>
        </w:rPr>
        <w:t>$30,952 [Investment Amount adjusted for withdrawal] x 10% [Performance Rate at Term End Date] = $3,095</w:t>
      </w:r>
    </w:p>
    <w:p>
      <w:pPr>
        <w:spacing w:after="0" w:line="63" w:lineRule="exact"/>
        <w:rPr>
          <w:sz w:val="20"/>
          <w:szCs w:val="20"/>
          <w:color w:val="auto"/>
        </w:rPr>
      </w:pPr>
    </w:p>
    <w:p>
      <w:pPr>
        <w:jc w:val="both"/>
        <w:ind w:left="480" w:right="739" w:hanging="368"/>
        <w:spacing w:after="0" w:line="226" w:lineRule="auto"/>
        <w:tabs>
          <w:tab w:leader="none" w:pos="48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Investment Amount at the Term End Date is equal to the Investment Amount one year after the Term Start Date adjusted for any withdrawals plus the Performance Rate Adjustment at Term End Date. The Investment Amount at the Term End Date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$30,952 [Investment Amount adjusted for withdrawal]</w:t>
      </w:r>
    </w:p>
    <w:p>
      <w:pPr>
        <w:spacing w:after="0" w:line="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 $3,095 [Performance Rate Adjustment at Term End Date]= $34,047</w:t>
      </w:r>
    </w:p>
    <w:p>
      <w:pPr>
        <w:sectPr>
          <w:pgSz w:w="11900" w:h="16838" w:orient="portrait"/>
          <w:cols w:equalWidth="0" w:num="1">
            <w:col w:w="9019"/>
          </w:cols>
          <w:pgMar w:left="1440" w:top="124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9019"/>
          </w:cols>
          <w:pgMar w:left="1440" w:top="1245" w:right="1440" w:bottom="1440" w:gutter="0" w:footer="0" w:header="0"/>
          <w:type w:val="continuous"/>
        </w:sectPr>
      </w:pPr>
    </w:p>
    <w:bookmarkStart w:id="51" w:name="page52"/>
    <w:bookmarkEnd w:id="51"/>
    <w:p>
      <w:pPr>
        <w:ind w:left="1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Example 3B—Negative Index Performance and Withdrawal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49530</wp:posOffset>
            </wp:positionV>
            <wp:extent cx="5250180" cy="42646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50180" cy="4264660"/>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20" w:type="dxa"/>
            <w:vAlign w:val="bottom"/>
            <w:tcBorders>
              <w:top w:val="single" w:sz="8" w:color="auto"/>
            </w:tcBorders>
          </w:tcPr>
          <w:p>
            <w:pPr>
              <w:spacing w:after="0"/>
              <w:rPr>
                <w:sz w:val="24"/>
                <w:szCs w:val="24"/>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Interim Value Calculation Halfway Through Term</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Accrued Shield Rate</w:t>
            </w:r>
            <w:r>
              <w:rPr>
                <w:rFonts w:ascii="Times New Roman" w:cs="Times New Roman" w:eastAsia="Times New Roman" w:hAnsi="Times New Roman"/>
                <w:sz w:val="23"/>
                <w:szCs w:val="23"/>
                <w:color w:val="auto"/>
                <w:vertAlign w:val="superscript"/>
              </w:rPr>
              <w:t>(2)</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(3)</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18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–$7,500</w:t>
            </w: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Interim Value Halfway Through Term</w:t>
            </w:r>
            <w:r>
              <w:rPr>
                <w:rFonts w:ascii="Times New Roman" w:cs="Times New Roman" w:eastAsia="Times New Roman" w:hAnsi="Times New Roman"/>
                <w:sz w:val="23"/>
                <w:szCs w:val="23"/>
                <w:color w:val="auto"/>
                <w:vertAlign w:val="superscript"/>
              </w:rPr>
              <w:t>(5)</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$42,500</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Withdrawal Amount taken</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 adjusted for any withdrawals</w:t>
            </w:r>
            <w:r>
              <w:rPr>
                <w:rFonts w:ascii="Times New Roman" w:cs="Times New Roman" w:eastAsia="Times New Roman" w:hAnsi="Times New Roman"/>
                <w:sz w:val="23"/>
                <w:szCs w:val="23"/>
                <w:color w:val="auto"/>
                <w:vertAlign w:val="superscript"/>
              </w:rPr>
              <w:t>(6)</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$26,471</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Free Withdrawal Amount</w:t>
            </w:r>
            <w:r>
              <w:rPr>
                <w:rFonts w:ascii="Times New Roman" w:cs="Times New Roman" w:eastAsia="Times New Roman" w:hAnsi="Times New Roman"/>
                <w:sz w:val="23"/>
                <w:szCs w:val="23"/>
                <w:color w:val="auto"/>
                <w:vertAlign w:val="superscript"/>
              </w:rPr>
              <w:t>(7)</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Withdrawal Charge Amount</w:t>
            </w:r>
            <w:r>
              <w:rPr>
                <w:rFonts w:ascii="Times New Roman" w:cs="Times New Roman" w:eastAsia="Times New Roman" w:hAnsi="Times New Roman"/>
                <w:sz w:val="23"/>
                <w:szCs w:val="23"/>
                <w:color w:val="auto"/>
                <w:vertAlign w:val="superscript"/>
              </w:rPr>
              <w:t>(8)</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$900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Net Proceeds from Withdrawal paid to Contract Owner</w:t>
            </w:r>
            <w:r>
              <w:rPr>
                <w:rFonts w:ascii="Times New Roman" w:cs="Times New Roman" w:eastAsia="Times New Roman" w:hAnsi="Times New Roman"/>
                <w:sz w:val="23"/>
                <w:szCs w:val="23"/>
                <w:color w:val="auto"/>
                <w:vertAlign w:val="superscript"/>
              </w:rPr>
              <w:t>(9)</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$19,100</w:t>
            </w:r>
          </w:p>
        </w:tc>
        <w:tc>
          <w:tcPr>
            <w:tcW w:w="20" w:type="dxa"/>
            <w:vAlign w:val="bottom"/>
            <w:tcBorders>
              <w:bottom w:val="single" w:sz="8" w:color="auto"/>
            </w:tcBorders>
          </w:tcPr>
          <w:p>
            <w:pPr>
              <w:spacing w:after="0"/>
              <w:rPr>
                <w:sz w:val="24"/>
                <w:szCs w:val="24"/>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(10)</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(11)</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(12)</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 w:type="dxa"/>
            <w:vAlign w:val="bottom"/>
            <w:tcBorders>
              <w:bottom w:val="single" w:sz="8" w:color="auto"/>
            </w:tcBorders>
          </w:tcPr>
          <w:p>
            <w:pPr>
              <w:spacing w:after="0"/>
              <w:rPr>
                <w:sz w:val="24"/>
                <w:szCs w:val="24"/>
                <w:color w:val="auto"/>
              </w:rPr>
            </w:pPr>
          </w:p>
        </w:tc>
      </w:tr>
      <w:tr>
        <w:trPr>
          <w:trHeight w:val="260"/>
        </w:trPr>
        <w:tc>
          <w:tcPr>
            <w:tcW w:w="6420" w:type="dxa"/>
            <w:vAlign w:val="bottom"/>
            <w:tcBorders>
              <w:bottom w:val="single" w:sz="8" w:color="auto"/>
              <w:right w:val="single" w:sz="8" w:color="auto"/>
            </w:tcBorders>
            <w:gridSpan w:val="2"/>
          </w:tcPr>
          <w:p>
            <w:pPr>
              <w:ind w:left="280"/>
              <w:spacing w:after="0" w:line="261" w:lineRule="exact"/>
              <w:rPr>
                <w:sz w:val="20"/>
                <w:szCs w:val="20"/>
                <w:color w:val="auto"/>
              </w:rPr>
            </w:pPr>
            <w:r>
              <w:rPr>
                <w:rFonts w:ascii="Times New Roman" w:cs="Times New Roman" w:eastAsia="Times New Roman" w:hAnsi="Times New Roman"/>
                <w:sz w:val="18"/>
                <w:szCs w:val="18"/>
                <w:color w:val="auto"/>
              </w:rPr>
              <w:t>Investment Amount</w:t>
            </w:r>
            <w:r>
              <w:rPr>
                <w:rFonts w:ascii="Times New Roman" w:cs="Times New Roman" w:eastAsia="Times New Roman" w:hAnsi="Times New Roman"/>
                <w:sz w:val="23"/>
                <w:szCs w:val="23"/>
                <w:color w:val="auto"/>
                <w:vertAlign w:val="superscript"/>
              </w:rPr>
              <w:t>(13)</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$26,471</w:t>
            </w:r>
          </w:p>
        </w:tc>
        <w:tc>
          <w:tcPr>
            <w:tcW w:w="20" w:type="dxa"/>
            <w:vAlign w:val="bottom"/>
            <w:tcBorders>
              <w:bottom w:val="single" w:sz="8" w:color="auto"/>
            </w:tcBorders>
          </w:tcPr>
          <w:p>
            <w:pPr>
              <w:spacing w:after="0"/>
              <w:rPr>
                <w:sz w:val="22"/>
                <w:szCs w:val="22"/>
                <w:color w:val="auto"/>
              </w:rPr>
            </w:pPr>
          </w:p>
        </w:tc>
      </w:tr>
      <w:tr>
        <w:trPr>
          <w:trHeight w:val="193"/>
        </w:trPr>
        <w:tc>
          <w:tcPr>
            <w:tcW w:w="1100" w:type="dxa"/>
            <w:vAlign w:val="bottom"/>
            <w:tcBorders>
              <w:bottom w:val="single" w:sz="8" w:color="auto"/>
            </w:tcBorders>
          </w:tcPr>
          <w:p>
            <w:pPr>
              <w:spacing w:after="0"/>
              <w:rPr>
                <w:sz w:val="16"/>
                <w:szCs w:val="16"/>
                <w:color w:val="auto"/>
              </w:rPr>
            </w:pPr>
          </w:p>
        </w:tc>
        <w:tc>
          <w:tcPr>
            <w:tcW w:w="5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66" w:lineRule="exact"/>
        <w:rPr>
          <w:sz w:val="20"/>
          <w:szCs w:val="20"/>
          <w:color w:val="auto"/>
        </w:rPr>
      </w:pPr>
    </w:p>
    <w:p>
      <w:pPr>
        <w:ind w:left="120" w:right="1159"/>
        <w:spacing w:after="0" w:line="263" w:lineRule="auto"/>
        <w:rPr>
          <w:sz w:val="20"/>
          <w:szCs w:val="20"/>
          <w:color w:val="auto"/>
        </w:rPr>
      </w:pPr>
      <w:r>
        <w:rPr>
          <w:rFonts w:ascii="Times New Roman" w:cs="Times New Roman" w:eastAsia="Times New Roman" w:hAnsi="Times New Roman"/>
          <w:sz w:val="18"/>
          <w:szCs w:val="18"/>
          <w:b w:val="1"/>
          <w:bCs w:val="1"/>
          <w:color w:val="auto"/>
        </w:rPr>
        <w:t>The following notes to the table above provide important calculations showing how certain values are determined.</w:t>
      </w:r>
    </w:p>
    <w:p>
      <w:pPr>
        <w:spacing w:after="0" w:line="36" w:lineRule="exact"/>
        <w:rPr>
          <w:sz w:val="20"/>
          <w:szCs w:val="20"/>
          <w:color w:val="auto"/>
        </w:rPr>
      </w:pPr>
    </w:p>
    <w:p>
      <w:pPr>
        <w:ind w:left="480" w:right="739" w:hanging="368"/>
        <w:spacing w:after="0" w:line="222" w:lineRule="auto"/>
        <w:tabs>
          <w:tab w:leader="none" w:pos="480"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Interim Value calculation. Index Performance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(400 [Index Value on date of Interim Value calculation] — 500 [Index Value at Term Start Date])</w:t>
      </w:r>
    </w:p>
    <w:p>
      <w:pPr>
        <w:spacing w:after="0" w:line="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500 [Index Value at Term Start Date]) = –20%</w:t>
      </w:r>
    </w:p>
    <w:p>
      <w:pPr>
        <w:ind w:left="120"/>
        <w:spacing w:after="0" w:line="194" w:lineRule="auto"/>
        <w:rPr>
          <w:sz w:val="20"/>
          <w:szCs w:val="20"/>
          <w:color w:val="auto"/>
        </w:rPr>
      </w:pPr>
      <w:r>
        <w:rPr>
          <w:rFonts w:ascii="Times New Roman" w:cs="Times New Roman" w:eastAsia="Times New Roman" w:hAnsi="Times New Roman"/>
          <w:sz w:val="7"/>
          <w:szCs w:val="7"/>
          <w:color w:val="auto"/>
        </w:rPr>
        <w:t>(2)</w:t>
      </w:r>
    </w:p>
    <w:p>
      <w:pPr>
        <w:ind w:left="480" w:right="739"/>
        <w:spacing w:after="0" w:line="226" w:lineRule="auto"/>
        <w:rPr>
          <w:sz w:val="20"/>
          <w:szCs w:val="20"/>
          <w:color w:val="auto"/>
        </w:rPr>
      </w:pPr>
      <w:r>
        <w:rPr>
          <w:rFonts w:ascii="Times New Roman" w:cs="Times New Roman" w:eastAsia="Times New Roman" w:hAnsi="Times New Roman"/>
          <w:sz w:val="18"/>
          <w:szCs w:val="18"/>
          <w:color w:val="auto"/>
        </w:rPr>
        <w:t>The Accrued Shield Rate is equal to the Shield Rate multiplied by the number of days elapsed since the Term Start Date divided by the total number of days in the Term. The Accrued Shield Rate is calculated as</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follows:</w:t>
      </w:r>
    </w:p>
    <w:p>
      <w:pPr>
        <w:spacing w:after="0" w:line="5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10% [Shield Rate] x 183 [number of days elapsed since Term Start Date]</w:t>
      </w:r>
    </w:p>
    <w:p>
      <w:pPr>
        <w:spacing w:after="0" w:line="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365 [total number of days in the Term] = 5%</w:t>
      </w:r>
    </w:p>
    <w:p>
      <w:pPr>
        <w:ind w:left="120"/>
        <w:spacing w:after="0" w:line="194" w:lineRule="auto"/>
        <w:rPr>
          <w:sz w:val="20"/>
          <w:szCs w:val="20"/>
          <w:color w:val="auto"/>
        </w:rPr>
      </w:pPr>
      <w:r>
        <w:rPr>
          <w:rFonts w:ascii="Times New Roman" w:cs="Times New Roman" w:eastAsia="Times New Roman" w:hAnsi="Times New Roman"/>
          <w:sz w:val="7"/>
          <w:szCs w:val="7"/>
          <w:color w:val="auto"/>
        </w:rPr>
        <w:t>(3)</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The Performance Rate is –15% because the Index Performance is –20% and the Accrued Shield Rate of 5% absorbs up to 5% of the negative Index Performance.</w:t>
      </w:r>
    </w:p>
    <w:p>
      <w:pPr>
        <w:spacing w:after="0" w:line="37" w:lineRule="exact"/>
        <w:rPr>
          <w:sz w:val="20"/>
          <w:szCs w:val="20"/>
          <w:color w:val="auto"/>
        </w:rPr>
      </w:pPr>
    </w:p>
    <w:p>
      <w:pPr>
        <w:jc w:val="both"/>
        <w:ind w:left="480" w:right="739" w:hanging="368"/>
        <w:spacing w:after="0" w:line="221" w:lineRule="auto"/>
        <w:tabs>
          <w:tab w:leader="none" w:pos="480"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(no withdrawals have been taken so far) multiplied by the Performance Rate. The Performance Rate Adjustment is calculated as follows:</w:t>
      </w:r>
    </w:p>
    <w:p>
      <w:pPr>
        <w:spacing w:after="0" w:line="3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$50,000 [Investment Amount at Term Start Date] x –15% [Performance Rate] = –$7,500</w:t>
      </w:r>
    </w:p>
    <w:p>
      <w:pPr>
        <w:spacing w:after="0" w:line="63" w:lineRule="exact"/>
        <w:rPr>
          <w:sz w:val="20"/>
          <w:szCs w:val="20"/>
          <w:color w:val="auto"/>
        </w:rPr>
      </w:pPr>
    </w:p>
    <w:p>
      <w:pPr>
        <w:jc w:val="both"/>
        <w:ind w:left="480" w:right="739" w:hanging="368"/>
        <w:spacing w:after="0" w:line="224" w:lineRule="auto"/>
        <w:tabs>
          <w:tab w:leader="none" w:pos="48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Interim Value is equal to the Investment Amount at the Term Start Date adjusted for any withdrawals plus the Performance Rate Adjustment. This is the amount in the Shield Option selected that would be available if you annuitize, die, make a withdrawal or Surrender your Contract on that date. The Interim Value is calculated as follows:</w:t>
      </w:r>
    </w:p>
    <w:p>
      <w:pPr>
        <w:spacing w:after="0" w:line="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$50,000 [Investment Amount at Term Start Date] + –$7,500 [Performance Rate Adjustment] = $42,500</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9019"/>
          </w:cols>
          <w:pgMar w:left="1440" w:top="1377" w:right="1440" w:bottom="1440" w:gutter="0" w:footer="0" w:header="0"/>
          <w:type w:val="continuous"/>
        </w:sectPr>
      </w:pPr>
    </w:p>
    <w:bookmarkStart w:id="52" w:name="page53"/>
    <w:bookmarkEnd w:id="52"/>
    <w:p>
      <w:pPr>
        <w:ind w:left="120"/>
        <w:spacing w:after="0"/>
        <w:rPr>
          <w:sz w:val="20"/>
          <w:szCs w:val="20"/>
          <w:color w:val="auto"/>
        </w:rPr>
      </w:pPr>
      <w:r>
        <w:rPr>
          <w:rFonts w:ascii="Times New Roman" w:cs="Times New Roman" w:eastAsia="Times New Roman" w:hAnsi="Times New Roman"/>
          <w:sz w:val="9"/>
          <w:szCs w:val="9"/>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(7)</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Amount is reduced proportionally by the withdrawal taken based on the reduction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-466090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Interim Value. Therefore, the Investment Amount adjusted for any withdrawals is calculated as follows:</w:t>
      </w:r>
    </w:p>
    <w:p>
      <w:pPr>
        <w:spacing w:after="0" w:line="57" w:lineRule="exact"/>
        <w:rPr>
          <w:sz w:val="20"/>
          <w:szCs w:val="20"/>
          <w:color w:val="auto"/>
        </w:rPr>
      </w:pPr>
    </w:p>
    <w:p>
      <w:pPr>
        <w:ind w:left="600" w:right="1419" w:hanging="253"/>
        <w:spacing w:after="0" w:line="279" w:lineRule="auto"/>
        <w:rPr>
          <w:sz w:val="20"/>
          <w:szCs w:val="20"/>
          <w:color w:val="auto"/>
        </w:rPr>
      </w:pPr>
      <w:r>
        <w:rPr>
          <w:rFonts w:ascii="Times New Roman" w:cs="Times New Roman" w:eastAsia="Times New Roman" w:hAnsi="Times New Roman"/>
          <w:sz w:val="17"/>
          <w:szCs w:val="17"/>
          <w:color w:val="auto"/>
        </w:rPr>
        <w:t>$50,000 [Investment Amount on the Term Start Date] x (1-$20,000 [gross withdrawal amount halfway through the Term]) ÷ $42,500 [Interim Value on date of withdrawal] = $26,471</w:t>
      </w:r>
    </w:p>
    <w:p>
      <w:pPr>
        <w:spacing w:after="0" w:line="5" w:lineRule="exact"/>
        <w:rPr>
          <w:sz w:val="20"/>
          <w:szCs w:val="20"/>
          <w:color w:val="auto"/>
        </w:rPr>
      </w:pPr>
    </w:p>
    <w:p>
      <w:pPr>
        <w:ind w:right="659"/>
        <w:spacing w:after="0" w:line="266" w:lineRule="auto"/>
        <w:rPr>
          <w:sz w:val="20"/>
          <w:szCs w:val="20"/>
          <w:color w:val="auto"/>
        </w:rPr>
      </w:pPr>
      <w:r>
        <w:rPr>
          <w:rFonts w:ascii="Times New Roman" w:cs="Times New Roman" w:eastAsia="Times New Roman" w:hAnsi="Times New Roman"/>
          <w:sz w:val="18"/>
          <w:szCs w:val="18"/>
          <w:color w:val="auto"/>
        </w:rPr>
        <w:t>The proportionally reduced Investment Amount is used as the new Investment Amount at Term Start Date for the Term until the Term End Date for this Shield Option (assuming no additional withdrawals).</w:t>
      </w:r>
    </w:p>
    <w:p>
      <w:pPr>
        <w:spacing w:after="0" w:line="14" w:lineRule="exact"/>
        <w:rPr>
          <w:sz w:val="20"/>
          <w:szCs w:val="20"/>
          <w:color w:val="auto"/>
        </w:rPr>
      </w:pPr>
    </w:p>
    <w:p>
      <w:pPr>
        <w:ind w:right="739"/>
        <w:spacing w:after="0" w:line="266" w:lineRule="auto"/>
        <w:rPr>
          <w:sz w:val="20"/>
          <w:szCs w:val="20"/>
          <w:color w:val="auto"/>
        </w:rPr>
      </w:pPr>
      <w:r>
        <w:rPr>
          <w:rFonts w:ascii="Times New Roman" w:cs="Times New Roman" w:eastAsia="Times New Roman" w:hAnsi="Times New Roman"/>
          <w:sz w:val="18"/>
          <w:szCs w:val="18"/>
          <w:color w:val="auto"/>
        </w:rPr>
        <w:t>The Free Withdrawal Amount is the value as of the most recent Contract Anniversary multiplied by the Free Withdrawal Amount Percentage. The Free Withdrawal Amount is calculated as follows:</w:t>
      </w:r>
    </w:p>
    <w:p>
      <w:pPr>
        <w:spacing w:after="0" w:line="14" w:lineRule="exact"/>
        <w:rPr>
          <w:sz w:val="20"/>
          <w:szCs w:val="20"/>
          <w:color w:val="auto"/>
        </w:rPr>
      </w:pPr>
    </w:p>
    <w:p>
      <w:pPr>
        <w:sectPr>
          <w:pgSz w:w="11900" w:h="16838" w:orient="portrait"/>
          <w:cols w:equalWidth="0" w:num="2">
            <w:col w:w="240" w:space="240"/>
            <w:col w:w="8539"/>
          </w:cols>
          <w:pgMar w:left="1440" w:top="1306" w:right="1440" w:bottom="1440" w:gutter="0" w:footer="0" w:header="0"/>
        </w:sectPr>
      </w:pPr>
    </w:p>
    <w:p>
      <w:pPr>
        <w:ind w:left="220"/>
        <w:spacing w:after="0"/>
        <w:rPr>
          <w:sz w:val="20"/>
          <w:szCs w:val="20"/>
          <w:color w:val="auto"/>
        </w:rPr>
      </w:pPr>
      <w:r>
        <w:rPr>
          <w:rFonts w:ascii="Times New Roman" w:cs="Times New Roman" w:eastAsia="Times New Roman" w:hAnsi="Times New Roman"/>
          <w:sz w:val="18"/>
          <w:szCs w:val="18"/>
          <w:color w:val="auto"/>
        </w:rPr>
        <w:t>$50,000 [value as of most recent Contract Anniversary] x 10% [Free Withdrawal Amount percentage] = $5,000</w:t>
      </w:r>
    </w:p>
    <w:p>
      <w:pPr>
        <w:ind w:left="120"/>
        <w:spacing w:after="0" w:line="192" w:lineRule="auto"/>
        <w:rPr>
          <w:sz w:val="20"/>
          <w:szCs w:val="20"/>
          <w:color w:val="auto"/>
        </w:rPr>
      </w:pPr>
      <w:r>
        <w:rPr>
          <w:rFonts w:ascii="Times New Roman" w:cs="Times New Roman" w:eastAsia="Times New Roman" w:hAnsi="Times New Roman"/>
          <w:sz w:val="9"/>
          <w:szCs w:val="9"/>
          <w:color w:val="auto"/>
        </w:rPr>
        <w:t>(8)</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The Withdrawal Charge Amount is the gross withdrawal amount minus the Free Withdrawal Amount multiplied by the Withdrawal Charge.</w:t>
      </w:r>
    </w:p>
    <w:p>
      <w:pPr>
        <w:spacing w:after="0" w:line="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($20,000 [gross withdrawal amount] – $5,000 [Free Withdrawal Amount]) x 6% [Withdrawal Charge] = $900</w:t>
      </w:r>
    </w:p>
    <w:p>
      <w:pPr>
        <w:spacing w:after="0" w:line="63" w:lineRule="exact"/>
        <w:rPr>
          <w:sz w:val="20"/>
          <w:szCs w:val="20"/>
          <w:color w:val="auto"/>
        </w:rPr>
      </w:pPr>
    </w:p>
    <w:p>
      <w:pPr>
        <w:ind w:left="480" w:right="739" w:hanging="368"/>
        <w:spacing w:after="0" w:line="222" w:lineRule="auto"/>
        <w:tabs>
          <w:tab w:leader="none" w:pos="480"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net amount payable to the Contract Owner is equal to the amount withdrawn minus the Withdrawal Charge. The net amount payable is calculated as follows:</w:t>
      </w:r>
    </w:p>
    <w:p>
      <w:pPr>
        <w:spacing w:after="0" w:line="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$20,000 [amount withdrawn] – $900 [Withdrawal Charge] = $19,100</w:t>
      </w:r>
    </w:p>
    <w:p>
      <w:pPr>
        <w:spacing w:after="0" w:line="63" w:lineRule="exact"/>
        <w:rPr>
          <w:sz w:val="20"/>
          <w:szCs w:val="20"/>
          <w:color w:val="auto"/>
        </w:rPr>
      </w:pPr>
    </w:p>
    <w:p>
      <w:pPr>
        <w:jc w:val="both"/>
        <w:ind w:left="480" w:right="739" w:hanging="368"/>
        <w:spacing w:after="0" w:line="221" w:lineRule="auto"/>
        <w:tabs>
          <w:tab w:leader="none" w:pos="48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at the Term End Date is equal to the percentage change in the Index Value measured from the Term Start Date to the Term End Date. Index Performance at the Term End Date is calculated as follows:</w:t>
      </w:r>
    </w:p>
    <w:p>
      <w:pPr>
        <w:spacing w:after="0" w:line="5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(450 [Index Value at Term End Date] — 500 [Index Value at Term Start Date])</w:t>
      </w:r>
    </w:p>
    <w:p>
      <w:pPr>
        <w:spacing w:after="0" w:line="13" w:lineRule="exact"/>
        <w:rPr>
          <w:sz w:val="20"/>
          <w:szCs w:val="20"/>
          <w:color w:val="auto"/>
        </w:rPr>
      </w:pPr>
    </w:p>
    <w:p>
      <w:pPr>
        <w:ind w:left="2680" w:hanging="147"/>
        <w:spacing w:after="0"/>
        <w:tabs>
          <w:tab w:leader="none" w:pos="26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[Index Value at Term Start Date] = –10%</w:t>
      </w:r>
    </w:p>
    <w:p>
      <w:pPr>
        <w:spacing w:after="0" w:line="45" w:lineRule="exact"/>
        <w:rPr>
          <w:rFonts w:ascii="Times New Roman" w:cs="Times New Roman" w:eastAsia="Times New Roman" w:hAnsi="Times New Roman"/>
          <w:sz w:val="18"/>
          <w:szCs w:val="18"/>
          <w:color w:val="auto"/>
        </w:rPr>
      </w:pPr>
    </w:p>
    <w:p>
      <w:pPr>
        <w:ind w:left="480" w:right="739" w:hanging="368"/>
        <w:spacing w:after="0" w:line="215" w:lineRule="auto"/>
        <w:tabs>
          <w:tab w:leader="none" w:pos="48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Performance rate at the Term End Date is 0% because the Index Performance at the Term End Date is – 10% and the Shield 10 absorbs up to 10% of the negative Index Performance.</w:t>
      </w:r>
    </w:p>
    <w:p>
      <w:pPr>
        <w:spacing w:after="0" w:line="36" w:lineRule="exact"/>
        <w:rPr>
          <w:rFonts w:ascii="Times New Roman" w:cs="Times New Roman" w:eastAsia="Times New Roman" w:hAnsi="Times New Roman"/>
          <w:sz w:val="23"/>
          <w:szCs w:val="23"/>
          <w:color w:val="auto"/>
          <w:vertAlign w:val="superscript"/>
        </w:rPr>
      </w:pPr>
    </w:p>
    <w:p>
      <w:pPr>
        <w:jc w:val="both"/>
        <w:ind w:left="480" w:right="739" w:hanging="368"/>
        <w:spacing w:after="0" w:line="226" w:lineRule="auto"/>
        <w:tabs>
          <w:tab w:leader="none" w:pos="48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Performance Rate Adjustment at the Term End Date is equal to the product of the Investment Amount at the Term Start Date adjusted for any withdrawals multiplied by the Performance Rate at the Term End Date. The Performance Rate Adjustment at the Term End Date is calculated as follows:</w:t>
      </w:r>
    </w:p>
    <w:p>
      <w:pPr>
        <w:spacing w:after="0" w:line="36" w:lineRule="exact"/>
        <w:rPr>
          <w:rFonts w:ascii="Times New Roman" w:cs="Times New Roman" w:eastAsia="Times New Roman" w:hAnsi="Times New Roman"/>
          <w:sz w:val="23"/>
          <w:szCs w:val="23"/>
          <w:color w:val="auto"/>
          <w:vertAlign w:val="superscript"/>
        </w:rPr>
      </w:pPr>
    </w:p>
    <w:p>
      <w:pPr>
        <w:ind w:left="50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$26,471 [Investment Amount adjusted for withdrawal] x 0% [Performance Rate at Term End Date] = $0</w:t>
      </w:r>
    </w:p>
    <w:p>
      <w:pPr>
        <w:spacing w:after="0" w:line="63" w:lineRule="exact"/>
        <w:rPr>
          <w:rFonts w:ascii="Times New Roman" w:cs="Times New Roman" w:eastAsia="Times New Roman" w:hAnsi="Times New Roman"/>
          <w:sz w:val="23"/>
          <w:szCs w:val="23"/>
          <w:color w:val="auto"/>
          <w:vertAlign w:val="superscript"/>
        </w:rPr>
      </w:pPr>
    </w:p>
    <w:p>
      <w:pPr>
        <w:jc w:val="both"/>
        <w:ind w:left="480" w:right="739" w:hanging="368"/>
        <w:spacing w:after="0" w:line="221" w:lineRule="auto"/>
        <w:tabs>
          <w:tab w:leader="none" w:pos="48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Investment Amount at the Term End Date is equal to the Investment Amount adjusted for any withdrawals plus the Performance Rate Adjustment at Term End Date. The Investment Amount at the Term End Date is calculated as follows:</w:t>
      </w:r>
    </w:p>
    <w:p>
      <w:pPr>
        <w:spacing w:after="0" w:line="5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$26,471 [Investment Amount adjusted for withdrawal]</w:t>
      </w:r>
    </w:p>
    <w:p>
      <w:pPr>
        <w:spacing w:after="0" w:line="1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$0 [Performance Rate Adjustment at Term End Date] = $26,471</w:t>
      </w:r>
    </w:p>
    <w:p>
      <w:pPr>
        <w:spacing w:after="0" w:line="29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TRANSFERS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Transfers without Performance Lock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 or Renewals during Transfer Period following Term End Date</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If you do not have Performance Lock, you may make transfers only during the Transfer Period following the Term End Date. You may transfer all or a portion of the amount in your Shield Option. You may make transfers to or from the Fixed Account and/or to or from the Shield Option(s) subject to the minimum allocation of $500. We must receive notification of your election to transfer, in a form satisfactory to us or by calling us at 1-888-243-1932, no later than five (5) calendar days after the Contract Anniversary on which the transfer will take place. Your financial representative can provide more information or you may contact our Annuity Service Office. You cannot make transfers outside the Transfer Period and transfers may not be made after the Annuity Date. To make a transfer from a Shield Option in which you have an Investment Amount the Shield Option must have reached its Term End Date. The Transfer Period is the five (5) days following the Contract Anniversary coinciding with the Term End Date and Interest Rate Term End Date, as applicable, for the Shield Option(s) and/or the Fixed Account. The effective date of such transfer is the first day of the Interest Rate Term and/or a Term(s) in which the transfer is made.</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 during Term</w:t>
      </w:r>
    </w:p>
    <w:p>
      <w:pPr>
        <w:spacing w:after="0" w:line="121"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If you make a transfer during the Transfer Period, the amount available to transfer is the Interim Value of each Shield Option, which will equal the Investment Amount in that Shield Option at the Term End Date. After the Transfer Period, the Interim Value of that Shield Option is equal to the Investment Amount in the Shield Option, adjusted for the Index Performance of the associated Index and subject to the applicable Accrued Shield Rate, Accrued Cap Rate, Accrued Step Rate, or Accrued Edge Rate.</w:t>
      </w:r>
    </w:p>
    <w:p>
      <w:pPr>
        <w:sectPr>
          <w:pgSz w:w="11900" w:h="16838" w:orient="portrait"/>
          <w:cols w:equalWidth="0" w:num="1">
            <w:col w:w="9019"/>
          </w:cols>
          <w:pgMar w:left="1440" w:top="1306" w:right="1440" w:bottom="1440" w:gutter="0" w:footer="0" w:header="0"/>
          <w:type w:val="continuous"/>
        </w:sectPr>
      </w:pPr>
    </w:p>
    <w:p>
      <w:pPr>
        <w:spacing w:after="0" w:line="26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9019"/>
          </w:cols>
          <w:pgMar w:left="1440" w:top="1306" w:right="1440" w:bottom="1440" w:gutter="0" w:footer="0" w:header="0"/>
          <w:type w:val="continuous"/>
        </w:sectPr>
      </w:pPr>
    </w:p>
    <w:bookmarkStart w:id="53" w:name="page54"/>
    <w:bookmarkEnd w:id="53"/>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If you do not make a transfer during the Transfer Period following the Term End Date, the Investment Amount allocated to the Shield Option that has reached its Term End Date will automatically be renewed into the same Shield Option unless you elect to transfer into a different Shield Option or the Fixed Account.</w:t>
      </w:r>
    </w:p>
    <w:p>
      <w:pPr>
        <w:spacing w:after="0" w:line="68"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There are two ways you may find out what the renewal Cap Rates, Step Rates, and Edge Rates will be for a subsequent Term. Thirty (30) days before the current Term expires, we will send you a notification, written or electronic depending on your selected preference, indicating your maturing Shield Options and how you can obtain the new Cap Rates, Step Rates, and Edge Rates. You may also access our website at [TO BE UPDATED BY AMENDMENT] where at least two months of renewal rates for the Rate Crediting Types and the interest rate for the Fixed Account are posted – i.e., for the current month and the following month. See “RATE CREDITING TYPES.” You have the Transfer Period to notify us if you want to transfer some or all of your Investment Amount to a new Shield Option(s) or the Fixed Account.</w:t>
      </w:r>
    </w:p>
    <w:p>
      <w:pPr>
        <w:spacing w:after="0" w:line="82" w:lineRule="exact"/>
        <w:rPr>
          <w:sz w:val="20"/>
          <w:szCs w:val="20"/>
          <w:color w:val="auto"/>
        </w:rPr>
      </w:pPr>
    </w:p>
    <w:p>
      <w:pPr>
        <w:jc w:val="both"/>
        <w:ind w:left="120" w:right="6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Renewals. </w:t>
      </w:r>
      <w:r>
        <w:rPr>
          <w:rFonts w:ascii="Times New Roman" w:cs="Times New Roman" w:eastAsia="Times New Roman" w:hAnsi="Times New Roman"/>
          <w:sz w:val="18"/>
          <w:szCs w:val="18"/>
          <w:color w:val="auto"/>
        </w:rPr>
        <w:t>For renewals into the same Shield Option, a new Cap Rate or Step Rate, as applicable,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and will go into effect on the Contract Anniversary that coincides with the beginning of the new Shield Option.</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 4—Transfers</w:t>
      </w:r>
    </w:p>
    <w:p>
      <w:pPr>
        <w:spacing w:after="0" w:line="121" w:lineRule="exact"/>
        <w:rPr>
          <w:sz w:val="20"/>
          <w:szCs w:val="20"/>
          <w:color w:val="auto"/>
        </w:rPr>
      </w:pPr>
    </w:p>
    <w:p>
      <w:pPr>
        <w:jc w:val="both"/>
        <w:ind w:left="120" w:right="659" w:firstLine="360"/>
        <w:spacing w:after="0" w:line="226" w:lineRule="auto"/>
        <w:rPr>
          <w:sz w:val="20"/>
          <w:szCs w:val="20"/>
          <w:color w:val="auto"/>
        </w:rPr>
      </w:pPr>
      <w:r>
        <w:rPr>
          <w:rFonts w:ascii="Times New Roman" w:cs="Times New Roman" w:eastAsia="Times New Roman" w:hAnsi="Times New Roman"/>
          <w:sz w:val="18"/>
          <w:szCs w:val="18"/>
          <w:color w:val="auto"/>
        </w:rPr>
        <w:t>Example 4 is intended to show how transfers work. Owner 1 allocates her $50,000 Purchase Payment to the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At the end of the 1-Year Term, she transfers 50% of her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into a 1-Year Term / Shield 10 /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12% and opts to let the remaining 50% of her Investment Amount automatically renew.</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Shield Options prior to Transfer:</w:t>
      </w:r>
    </w:p>
    <w:p>
      <w:pPr>
        <w:spacing w:after="0" w:line="166" w:lineRule="exact"/>
        <w:rPr>
          <w:sz w:val="20"/>
          <w:szCs w:val="20"/>
          <w:color w:val="auto"/>
        </w:rPr>
      </w:pPr>
    </w:p>
    <w:tbl>
      <w:tblPr>
        <w:tblLayout w:type="fixed"/>
        <w:tblInd w:w="130" w:type="dxa"/>
        <w:tblCellMar>
          <w:top w:w="0" w:type="dxa"/>
          <w:left w:w="0" w:type="dxa"/>
          <w:bottom w:w="0" w:type="dxa"/>
          <w:right w:w="0" w:type="dxa"/>
        </w:tblCellMar>
      </w:tblPr>
      <w:tr>
        <w:trPr>
          <w:trHeight w:val="277"/>
        </w:trPr>
        <w:tc>
          <w:tcPr>
            <w:tcW w:w="642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Year</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3"/>
        </w:trPr>
        <w:tc>
          <w:tcPr>
            <w:tcW w:w="1100" w:type="dxa"/>
            <w:vAlign w:val="bottom"/>
            <w:tcBorders>
              <w:left w:val="single" w:sz="8" w:color="auto"/>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68"/>
        </w:trPr>
        <w:tc>
          <w:tcPr>
            <w:tcW w:w="6420" w:type="dxa"/>
            <w:vAlign w:val="bottom"/>
            <w:tcBorders>
              <w:left w:val="single" w:sz="8" w:color="auto"/>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Term Start Date</w:t>
            </w:r>
          </w:p>
        </w:tc>
        <w:tc>
          <w:tcPr>
            <w:tcW w:w="184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37"/>
        </w:trPr>
        <w:tc>
          <w:tcPr>
            <w:tcW w:w="6420" w:type="dxa"/>
            <w:vAlign w:val="bottom"/>
            <w:tcBorders>
              <w:top w:val="single" w:sz="8" w:color="auto"/>
              <w:left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69"/>
        </w:trPr>
        <w:tc>
          <w:tcPr>
            <w:tcW w:w="642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r>
      <w:tr>
        <w:trPr>
          <w:trHeight w:val="237"/>
        </w:trPr>
        <w:tc>
          <w:tcPr>
            <w:tcW w:w="6420" w:type="dxa"/>
            <w:vAlign w:val="bottom"/>
            <w:tcBorders>
              <w:top w:val="single" w:sz="8" w:color="auto"/>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w:t>
            </w:r>
            <w:r>
              <w:rPr>
                <w:rFonts w:ascii="Times New Roman" w:cs="Times New Roman" w:eastAsia="Times New Roman" w:hAnsi="Times New Roman"/>
                <w:sz w:val="18"/>
                <w:szCs w:val="18"/>
                <w:color w:val="auto"/>
              </w:rPr>
              <w:t>e</w:t>
            </w:r>
          </w:p>
        </w:tc>
        <w:tc>
          <w:tcPr>
            <w:tcW w:w="1840" w:type="dxa"/>
            <w:vAlign w:val="bottom"/>
            <w:tcBorders>
              <w:top w:val="single" w:sz="8" w:color="auto"/>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68"/>
        </w:trPr>
        <w:tc>
          <w:tcPr>
            <w:tcW w:w="642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r>
      <w:tr>
        <w:trPr>
          <w:trHeight w:val="277"/>
        </w:trPr>
        <w:tc>
          <w:tcPr>
            <w:tcW w:w="642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68"/>
        </w:trPr>
        <w:tc>
          <w:tcPr>
            <w:tcW w:w="642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37"/>
        </w:trPr>
        <w:tc>
          <w:tcPr>
            <w:tcW w:w="6420" w:type="dxa"/>
            <w:vAlign w:val="bottom"/>
            <w:tcBorders>
              <w:top w:val="single" w:sz="8" w:color="auto"/>
              <w:left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77"/>
        </w:trPr>
        <w:tc>
          <w:tcPr>
            <w:tcW w:w="642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 (one year)</w:t>
            </w:r>
            <w:r>
              <w:rPr>
                <w:rFonts w:ascii="Times New Roman" w:cs="Times New Roman" w:eastAsia="Times New Roman" w:hAnsi="Times New Roman"/>
                <w:sz w:val="23"/>
                <w:szCs w:val="23"/>
                <w:color w:val="auto"/>
                <w:vertAlign w:val="superscript"/>
              </w:rPr>
              <w:t>(2)</w:t>
            </w:r>
          </w:p>
        </w:tc>
        <w:tc>
          <w:tcPr>
            <w:tcW w:w="18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7"/>
        </w:trPr>
        <w:tc>
          <w:tcPr>
            <w:tcW w:w="6420" w:type="dxa"/>
            <w:vAlign w:val="bottom"/>
            <w:tcBorders>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62"/>
        </w:trPr>
        <w:tc>
          <w:tcPr>
            <w:tcW w:w="6420" w:type="dxa"/>
            <w:vAlign w:val="bottom"/>
            <w:tcBorders>
              <w:left w:val="single" w:sz="8" w:color="auto"/>
              <w:bottom w:val="single" w:sz="8" w:color="auto"/>
              <w:right w:val="single" w:sz="8" w:color="auto"/>
            </w:tcBorders>
            <w:gridSpan w:val="2"/>
            <w:shd w:val="clear" w:color="auto" w:fill="F0FFFF"/>
          </w:tcPr>
          <w:p>
            <w:pPr>
              <w:ind w:left="280"/>
              <w:spacing w:after="0" w:line="262" w:lineRule="exact"/>
              <w:rPr>
                <w:sz w:val="20"/>
                <w:szCs w:val="20"/>
                <w:color w:val="auto"/>
              </w:rPr>
            </w:pP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23"/>
                <w:szCs w:val="23"/>
                <w:color w:val="auto"/>
                <w:vertAlign w:val="superscript"/>
              </w:rPr>
              <w:t>(4)</w:t>
            </w:r>
          </w:p>
        </w:tc>
        <w:tc>
          <w:tcPr>
            <w:tcW w:w="18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$55,000</w:t>
            </w:r>
          </w:p>
        </w:tc>
      </w:tr>
      <w:tr>
        <w:trPr>
          <w:trHeight w:val="191"/>
        </w:trPr>
        <w:tc>
          <w:tcPr>
            <w:tcW w:w="1100" w:type="dxa"/>
            <w:vAlign w:val="bottom"/>
            <w:tcBorders>
              <w:bottom w:val="single" w:sz="8" w:color="auto"/>
            </w:tcBorders>
          </w:tcPr>
          <w:p>
            <w:pPr>
              <w:spacing w:after="0"/>
              <w:rPr>
                <w:sz w:val="16"/>
                <w:szCs w:val="16"/>
                <w:color w:val="auto"/>
              </w:rPr>
            </w:pPr>
          </w:p>
        </w:tc>
        <w:tc>
          <w:tcPr>
            <w:tcW w:w="532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-2331085</wp:posOffset>
            </wp:positionV>
            <wp:extent cx="522922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292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-1962150</wp:posOffset>
            </wp:positionV>
            <wp:extent cx="5229225" cy="180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2922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-1602105</wp:posOffset>
            </wp:positionV>
            <wp:extent cx="5229225"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29225"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-1242060</wp:posOffset>
            </wp:positionV>
            <wp:extent cx="5229225"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292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-873760</wp:posOffset>
            </wp:positionV>
            <wp:extent cx="5229225"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29225"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-504825</wp:posOffset>
            </wp:positionV>
            <wp:extent cx="522922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29225" cy="18859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66" w:lineRule="exact"/>
        <w:rPr>
          <w:sz w:val="20"/>
          <w:szCs w:val="20"/>
          <w:color w:val="auto"/>
        </w:rPr>
      </w:pPr>
    </w:p>
    <w:p>
      <w:pPr>
        <w:ind w:left="120" w:right="1159"/>
        <w:spacing w:after="0" w:line="263" w:lineRule="auto"/>
        <w:rPr>
          <w:sz w:val="20"/>
          <w:szCs w:val="20"/>
          <w:color w:val="auto"/>
        </w:rPr>
      </w:pPr>
      <w:r>
        <w:rPr>
          <w:rFonts w:ascii="Times New Roman" w:cs="Times New Roman" w:eastAsia="Times New Roman" w:hAnsi="Times New Roman"/>
          <w:sz w:val="18"/>
          <w:szCs w:val="18"/>
          <w:b w:val="1"/>
          <w:bCs w:val="1"/>
          <w:color w:val="auto"/>
        </w:rPr>
        <w:t>The following notes to the table above provide important calculations showing how certain values are determined.</w:t>
      </w:r>
    </w:p>
    <w:p>
      <w:pPr>
        <w:spacing w:after="0" w:line="36" w:lineRule="exact"/>
        <w:rPr>
          <w:sz w:val="20"/>
          <w:szCs w:val="20"/>
          <w:color w:val="auto"/>
        </w:rPr>
      </w:pPr>
    </w:p>
    <w:p>
      <w:pPr>
        <w:ind w:left="480" w:right="739" w:hanging="368"/>
        <w:spacing w:after="0" w:line="222" w:lineRule="auto"/>
        <w:tabs>
          <w:tab w:leader="none" w:pos="480"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is equal to the percentage change in the Index Value measured from the Term Start Date to the Term End Date. Index Performance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(1,200 [Index Value at Term End Date] - 1,000 [Index Value at Term Start Date])</w:t>
      </w:r>
    </w:p>
    <w:p>
      <w:pPr>
        <w:spacing w:after="0" w:line="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1,000 [Index Value at Term Start Date]) = 20%</w:t>
      </w:r>
    </w:p>
    <w:p>
      <w:pPr>
        <w:ind w:left="120"/>
        <w:spacing w:after="0" w:line="194" w:lineRule="auto"/>
        <w:rPr>
          <w:sz w:val="20"/>
          <w:szCs w:val="20"/>
          <w:color w:val="auto"/>
        </w:rPr>
      </w:pPr>
      <w:r>
        <w:rPr>
          <w:rFonts w:ascii="Times New Roman" w:cs="Times New Roman" w:eastAsia="Times New Roman" w:hAnsi="Times New Roman"/>
          <w:sz w:val="7"/>
          <w:szCs w:val="7"/>
          <w:color w:val="auto"/>
        </w:rPr>
        <w:t>(2)</w:t>
      </w:r>
    </w:p>
    <w:p>
      <w:pPr>
        <w:ind w:left="480" w:right="999"/>
        <w:spacing w:after="0" w:line="233" w:lineRule="auto"/>
        <w:rPr>
          <w:sz w:val="20"/>
          <w:szCs w:val="20"/>
          <w:color w:val="auto"/>
        </w:rPr>
      </w:pPr>
      <w:r>
        <w:rPr>
          <w:rFonts w:ascii="Times New Roman" w:cs="Times New Roman" w:eastAsia="Times New Roman" w:hAnsi="Times New Roman"/>
          <w:sz w:val="18"/>
          <w:szCs w:val="18"/>
          <w:color w:val="auto"/>
        </w:rPr>
        <w:t>Since Index Performance is greater than zero and exceeds the Cap Rate, the Performance Rate equals the Cap Rate.</w:t>
      </w:r>
    </w:p>
    <w:p>
      <w:pPr>
        <w:spacing w:after="0" w:line="37" w:lineRule="exact"/>
        <w:rPr>
          <w:sz w:val="20"/>
          <w:szCs w:val="20"/>
          <w:color w:val="auto"/>
        </w:rPr>
      </w:pPr>
    </w:p>
    <w:p>
      <w:pPr>
        <w:jc w:val="both"/>
        <w:ind w:left="480" w:right="739" w:hanging="368"/>
        <w:spacing w:after="0" w:line="226" w:lineRule="auto"/>
        <w:tabs>
          <w:tab w:leader="none" w:pos="480"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(there are no withdrawals in the example) multiplied by the Performance Rate. The Performance Rate Adjustment is calculated as follows:</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$50,000 [Investment Amount at Term Start Date] x 10% [Performance Rate] = $5,000</w:t>
      </w:r>
    </w:p>
    <w:p>
      <w:pPr>
        <w:ind w:left="120"/>
        <w:spacing w:after="0" w:line="192" w:lineRule="auto"/>
        <w:rPr>
          <w:sz w:val="20"/>
          <w:szCs w:val="20"/>
          <w:color w:val="auto"/>
        </w:rPr>
      </w:pPr>
      <w:r>
        <w:rPr>
          <w:rFonts w:ascii="Times New Roman" w:cs="Times New Roman" w:eastAsia="Times New Roman" w:hAnsi="Times New Roman"/>
          <w:sz w:val="9"/>
          <w:szCs w:val="9"/>
          <w:color w:val="auto"/>
        </w:rPr>
        <w:t>(4)</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The Investment Amount at Term End Date is equal to the Investment Amount at Term Start Date adjusted for any withdrawals (there are no withdrawals in the example) plus the Performance Rate Adjustment. The Investment Amount is calculated as follows:</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$50,000 [Investment Amount at Term Start Date] + $5,000 [Performance Rate Adjustment] = $55,000</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Shield Options after Transfer:</w:t>
      </w:r>
    </w:p>
    <w:p>
      <w:pPr>
        <w:sectPr>
          <w:pgSz w:w="11900" w:h="16838" w:orient="portrait"/>
          <w:cols w:equalWidth="0" w:num="1">
            <w:col w:w="9019"/>
          </w:cols>
          <w:pgMar w:left="1440" w:top="1377" w:right="1440" w:bottom="1122" w:gutter="0" w:footer="0" w:header="0"/>
        </w:sectPr>
      </w:pPr>
    </w:p>
    <w:p>
      <w:pPr>
        <w:spacing w:after="0" w:line="36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9019"/>
          </w:cols>
          <w:pgMar w:left="1440" w:top="1377" w:right="1440" w:bottom="1122" w:gutter="0" w:footer="0" w:header="0"/>
          <w:type w:val="continuous"/>
        </w:sectPr>
      </w:pPr>
    </w:p>
    <w:bookmarkStart w:id="54" w:name="page55"/>
    <w:bookmarkEnd w:id="54"/>
    <w:tbl>
      <w:tblPr>
        <w:tblLayout w:type="fixed"/>
        <w:tblInd w:w="130" w:type="dxa"/>
        <w:tblCellMar>
          <w:top w:w="0" w:type="dxa"/>
          <w:left w:w="0" w:type="dxa"/>
          <w:bottom w:w="0" w:type="dxa"/>
          <w:right w:w="0" w:type="dxa"/>
        </w:tblCellMar>
      </w:tblPr>
      <w:tr>
        <w:trPr>
          <w:trHeight w:val="277"/>
        </w:trPr>
        <w:tc>
          <w:tcPr>
            <w:tcW w:w="3020" w:type="dxa"/>
            <w:vAlign w:val="bottom"/>
            <w:tcBorders>
              <w:top w:val="single" w:sz="8" w:color="auto"/>
              <w:left w:val="single" w:sz="8" w:color="auto"/>
              <w:right w:val="single" w:sz="8" w:color="auto"/>
            </w:tcBorders>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Contract Year</w:t>
            </w:r>
          </w:p>
        </w:tc>
        <w:tc>
          <w:tcPr>
            <w:tcW w:w="2840" w:type="dxa"/>
            <w:vAlign w:val="bottom"/>
            <w:tcBorders>
              <w:top w:val="single" w:sz="8" w:color="auto"/>
            </w:tcBorders>
          </w:tcPr>
          <w:p>
            <w:pPr>
              <w:spacing w:after="0"/>
              <w:rPr>
                <w:sz w:val="24"/>
                <w:szCs w:val="24"/>
                <w:color w:val="auto"/>
              </w:rPr>
            </w:pPr>
          </w:p>
        </w:tc>
        <w:tc>
          <w:tcPr>
            <w:tcW w:w="2880" w:type="dxa"/>
            <w:vAlign w:val="bottom"/>
            <w:tcBorders>
              <w:top w:val="single" w:sz="8" w:color="auto"/>
              <w:right w:val="single" w:sz="8" w:color="auto"/>
            </w:tcBorders>
          </w:tcPr>
          <w:p>
            <w:pPr>
              <w:jc w:val="right"/>
              <w:ind w:right="2738"/>
              <w:spacing w:after="0"/>
              <w:rPr>
                <w:sz w:val="20"/>
                <w:szCs w:val="20"/>
                <w:color w:val="auto"/>
              </w:rPr>
            </w:pPr>
            <w:r>
              <w:rPr>
                <w:rFonts w:ascii="Times New Roman" w:cs="Times New Roman" w:eastAsia="Times New Roman" w:hAnsi="Times New Roman"/>
                <w:sz w:val="11"/>
                <w:szCs w:val="11"/>
                <w:b w:val="1"/>
                <w:bCs w:val="1"/>
                <w:color w:val="auto"/>
                <w:w w:val="71"/>
              </w:rPr>
              <w:t>2</w:t>
            </w:r>
          </w:p>
        </w:tc>
      </w:tr>
      <w:tr>
        <w:trPr>
          <w:trHeight w:val="23"/>
        </w:trPr>
        <w:tc>
          <w:tcPr>
            <w:tcW w:w="1100" w:type="dxa"/>
            <w:vAlign w:val="bottom"/>
            <w:tcBorders>
              <w:left w:val="single" w:sz="8" w:color="auto"/>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42"/>
        </w:trPr>
        <w:tc>
          <w:tcPr>
            <w:tcW w:w="1100" w:type="dxa"/>
            <w:vAlign w:val="bottom"/>
            <w:tcBorders>
              <w:left w:val="single" w:sz="8" w:color="auto"/>
            </w:tcBorders>
            <w:shd w:val="clear" w:color="auto" w:fill="F0FFFF"/>
          </w:tcPr>
          <w:p>
            <w:pPr>
              <w:spacing w:after="0"/>
              <w:rPr>
                <w:sz w:val="21"/>
                <w:szCs w:val="21"/>
                <w:color w:val="auto"/>
              </w:rPr>
            </w:pPr>
          </w:p>
        </w:tc>
        <w:tc>
          <w:tcPr>
            <w:tcW w:w="1920" w:type="dxa"/>
            <w:vAlign w:val="bottom"/>
            <w:tcBorders>
              <w:right w:val="single" w:sz="8" w:color="auto"/>
            </w:tcBorders>
            <w:shd w:val="clear" w:color="auto" w:fill="F0FFFF"/>
          </w:tcPr>
          <w:p>
            <w:pPr>
              <w:spacing w:after="0"/>
              <w:rPr>
                <w:sz w:val="21"/>
                <w:szCs w:val="21"/>
                <w:color w:val="auto"/>
              </w:rPr>
            </w:pPr>
          </w:p>
        </w:tc>
        <w:tc>
          <w:tcPr>
            <w:tcW w:w="2840" w:type="dxa"/>
            <w:vAlign w:val="bottom"/>
            <w:tcBorders>
              <w:right w:val="single" w:sz="8" w:color="auto"/>
            </w:tcBorders>
            <w:shd w:val="clear" w:color="auto" w:fill="F0FFFF"/>
          </w:tcPr>
          <w:p>
            <w:pPr>
              <w:jc w:val="center"/>
              <w:spacing w:after="0" w:line="242" w:lineRule="exact"/>
              <w:rPr>
                <w:sz w:val="20"/>
                <w:szCs w:val="20"/>
                <w:color w:val="auto"/>
              </w:rPr>
            </w:pPr>
            <w:r>
              <w:rPr>
                <w:rFonts w:ascii="Times New Roman" w:cs="Times New Roman" w:eastAsia="Times New Roman" w:hAnsi="Times New Roman"/>
                <w:sz w:val="18"/>
                <w:szCs w:val="18"/>
                <w:color w:val="auto"/>
                <w:w w:val="98"/>
              </w:rPr>
              <w:t>1-Year Term / Shield 10 / S&amp;P 500</w:t>
            </w:r>
            <w:r>
              <w:rPr>
                <w:rFonts w:ascii="Times New Roman" w:cs="Times New Roman" w:eastAsia="Times New Roman" w:hAnsi="Times New Roman"/>
                <w:sz w:val="23"/>
                <w:szCs w:val="23"/>
                <w:color w:val="auto"/>
                <w:w w:val="98"/>
                <w:vertAlign w:val="superscript"/>
              </w:rPr>
              <w:t>®</w:t>
            </w:r>
          </w:p>
        </w:tc>
        <w:tc>
          <w:tcPr>
            <w:tcW w:w="28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1-Year Term / Shield 10 / Russell</w:t>
            </w:r>
          </w:p>
        </w:tc>
      </w:tr>
      <w:tr>
        <w:trPr>
          <w:trHeight w:val="305"/>
        </w:trPr>
        <w:tc>
          <w:tcPr>
            <w:tcW w:w="1100" w:type="dxa"/>
            <w:vAlign w:val="bottom"/>
            <w:tcBorders>
              <w:left w:val="single" w:sz="8" w:color="auto"/>
              <w:bottom w:val="single" w:sz="8" w:color="auto"/>
            </w:tcBorders>
            <w:shd w:val="clear" w:color="auto" w:fill="F0FFFF"/>
          </w:tcPr>
          <w:p>
            <w:pPr>
              <w:spacing w:after="0"/>
              <w:rPr>
                <w:sz w:val="24"/>
                <w:szCs w:val="24"/>
                <w:color w:val="auto"/>
              </w:rPr>
            </w:pPr>
          </w:p>
        </w:tc>
        <w:tc>
          <w:tcPr>
            <w:tcW w:w="1920" w:type="dxa"/>
            <w:vAlign w:val="bottom"/>
            <w:tcBorders>
              <w:bottom w:val="single" w:sz="8" w:color="auto"/>
              <w:right w:val="single" w:sz="8" w:color="auto"/>
            </w:tcBorders>
            <w:shd w:val="clear" w:color="auto" w:fill="F0FFFF"/>
          </w:tcPr>
          <w:p>
            <w:pPr>
              <w:spacing w:after="0"/>
              <w:rPr>
                <w:sz w:val="24"/>
                <w:szCs w:val="24"/>
                <w:color w:val="auto"/>
              </w:rPr>
            </w:pPr>
          </w:p>
        </w:tc>
        <w:tc>
          <w:tcPr>
            <w:tcW w:w="28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Index with a Cap Rate of 10%</w:t>
            </w:r>
          </w:p>
        </w:tc>
        <w:tc>
          <w:tcPr>
            <w:tcW w:w="2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2000</w:t>
            </w:r>
            <w:r>
              <w:rPr>
                <w:rFonts w:ascii="Times New Roman" w:cs="Times New Roman" w:eastAsia="Times New Roman" w:hAnsi="Times New Roman"/>
                <w:sz w:val="23"/>
                <w:szCs w:val="23"/>
                <w:color w:val="auto"/>
                <w:w w:val="99"/>
                <w:vertAlign w:val="superscript"/>
              </w:rPr>
              <w:t>®</w:t>
            </w:r>
            <w:r>
              <w:rPr>
                <w:rFonts w:ascii="Times New Roman" w:cs="Times New Roman" w:eastAsia="Times New Roman" w:hAnsi="Times New Roman"/>
                <w:sz w:val="18"/>
                <w:szCs w:val="18"/>
                <w:color w:val="auto"/>
                <w:w w:val="99"/>
              </w:rPr>
              <w:t xml:space="preserve"> Index with a Cap Rate of 12%</w:t>
            </w:r>
          </w:p>
        </w:tc>
      </w:tr>
      <w:tr>
        <w:trPr>
          <w:trHeight w:val="201"/>
        </w:trPr>
        <w:tc>
          <w:tcPr>
            <w:tcW w:w="3020" w:type="dxa"/>
            <w:vAlign w:val="bottom"/>
            <w:tcBorders>
              <w:left w:val="single" w:sz="8" w:color="auto"/>
              <w:right w:val="single" w:sz="8" w:color="auto"/>
            </w:tcBorders>
            <w:gridSpan w:val="2"/>
          </w:tcPr>
          <w:p>
            <w:pPr>
              <w:ind w:left="100"/>
              <w:spacing w:after="0" w:line="201" w:lineRule="exact"/>
              <w:rPr>
                <w:sz w:val="20"/>
                <w:szCs w:val="20"/>
                <w:color w:val="auto"/>
              </w:rPr>
            </w:pPr>
            <w:r>
              <w:rPr>
                <w:rFonts w:ascii="Times New Roman" w:cs="Times New Roman" w:eastAsia="Times New Roman" w:hAnsi="Times New Roman"/>
                <w:sz w:val="18"/>
                <w:szCs w:val="18"/>
                <w:color w:val="auto"/>
              </w:rPr>
              <w:t>Investment Amount at Term Start Date</w:t>
            </w:r>
          </w:p>
        </w:tc>
        <w:tc>
          <w:tcPr>
            <w:tcW w:w="2840" w:type="dxa"/>
            <w:vAlign w:val="bottom"/>
            <w:tcBorders>
              <w:right w:val="single" w:sz="8" w:color="auto"/>
            </w:tcBorders>
          </w:tcPr>
          <w:p>
            <w:pPr>
              <w:spacing w:after="0"/>
              <w:rPr>
                <w:sz w:val="17"/>
                <w:szCs w:val="17"/>
                <w:color w:val="auto"/>
              </w:rPr>
            </w:pPr>
          </w:p>
        </w:tc>
        <w:tc>
          <w:tcPr>
            <w:tcW w:w="2880" w:type="dxa"/>
            <w:vAlign w:val="bottom"/>
            <w:tcBorders>
              <w:right w:val="single" w:sz="8" w:color="auto"/>
            </w:tcBorders>
          </w:tcPr>
          <w:p>
            <w:pPr>
              <w:spacing w:after="0"/>
              <w:rPr>
                <w:sz w:val="17"/>
                <w:szCs w:val="17"/>
                <w:color w:val="auto"/>
              </w:rPr>
            </w:pPr>
          </w:p>
        </w:tc>
      </w:tr>
      <w:tr>
        <w:trPr>
          <w:trHeight w:val="302"/>
        </w:trPr>
        <w:tc>
          <w:tcPr>
            <w:tcW w:w="302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(second term)</w:t>
            </w:r>
            <w:r>
              <w:rPr>
                <w:rFonts w:ascii="Times New Roman" w:cs="Times New Roman" w:eastAsia="Times New Roman" w:hAnsi="Times New Roman"/>
                <w:sz w:val="23"/>
                <w:szCs w:val="23"/>
                <w:color w:val="auto"/>
                <w:vertAlign w:val="superscript"/>
              </w:rPr>
              <w:t>(1)</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$27,500</w:t>
            </w: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$27,500</w:t>
            </w:r>
          </w:p>
        </w:tc>
      </w:tr>
      <w:tr>
        <w:trPr>
          <w:trHeight w:val="206"/>
        </w:trPr>
        <w:tc>
          <w:tcPr>
            <w:tcW w:w="1100" w:type="dxa"/>
            <w:vAlign w:val="bottom"/>
            <w:tcBorders>
              <w:bottom w:val="single" w:sz="8" w:color="auto"/>
            </w:tcBorders>
          </w:tcPr>
          <w:p>
            <w:pPr>
              <w:spacing w:after="0"/>
              <w:rPr>
                <w:sz w:val="17"/>
                <w:szCs w:val="17"/>
                <w:color w:val="auto"/>
              </w:rPr>
            </w:pPr>
          </w:p>
        </w:tc>
        <w:tc>
          <w:tcPr>
            <w:tcW w:w="19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-1028065</wp:posOffset>
            </wp:positionV>
            <wp:extent cx="5537835"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3783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-479425</wp:posOffset>
            </wp:positionV>
            <wp:extent cx="5537835" cy="3257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37835" cy="32575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table above.</w:t>
      </w:r>
    </w:p>
    <w:p>
      <w:pPr>
        <w:ind w:left="120"/>
        <w:spacing w:after="0" w:line="201" w:lineRule="auto"/>
        <w:rPr>
          <w:sz w:val="20"/>
          <w:szCs w:val="20"/>
          <w:color w:val="auto"/>
        </w:rPr>
      </w:pPr>
      <w:r>
        <w:rPr>
          <w:rFonts w:ascii="Times New Roman" w:cs="Times New Roman" w:eastAsia="Times New Roman" w:hAnsi="Times New Roman"/>
          <w:sz w:val="9"/>
          <w:szCs w:val="9"/>
          <w:color w:val="auto"/>
        </w:rPr>
        <w:t>(1)</w:t>
      </w:r>
    </w:p>
    <w:p>
      <w:pPr>
        <w:ind w:left="480" w:right="739"/>
        <w:spacing w:after="0" w:line="243" w:lineRule="auto"/>
        <w:rPr>
          <w:sz w:val="20"/>
          <w:szCs w:val="20"/>
          <w:color w:val="auto"/>
        </w:rPr>
      </w:pPr>
      <w:r>
        <w:rPr>
          <w:rFonts w:ascii="Times New Roman" w:cs="Times New Roman" w:eastAsia="Times New Roman" w:hAnsi="Times New Roman"/>
          <w:sz w:val="18"/>
          <w:szCs w:val="18"/>
          <w:color w:val="auto"/>
        </w:rPr>
        <w:t>The Investment Amount at Term End Date is reallocated so that 50% is renewed in the same Shield Option and 50% is allocated to a new Shield Option.</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Transfers with Performance Lock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 or Renewals at Term End Date</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You may remain in your current Shield Option until the Term End Date and either (i) transfer the Investment Amount to a new Shield Option or to the Fixed Account (if available) or (ii) renew into the same Shield Option (if available) for a new Term. We must receive notification of your election to transfer in a form satisfactory to us or by calling the Annuity Service Office at (888) 243-1932 no later than five (5) calendar days after the Contract Anniversary on which the transfer will take place. Your financial advisor can provide more information, or you may contact our Annuity Service Office. If you decide to transfer the Investment Amount to a new Shield Option, the Index Value on the Term Start Date of your new Shield Option will be the then-current Index Value for that option, which may be higher or lower than the Locked Index Value from the transferred Shield Option. For renewals into the same Shield Option, a new Cap Rate will be declared and will go into effect on the Contract Anniversary that coincides with the beginning of the new Term in the Shield Option that just ended.</w:t>
      </w:r>
    </w:p>
    <w:p>
      <w:pPr>
        <w:spacing w:after="0" w:line="86"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If you do not notify us to transfer to a new Shield Option or to the Fixed Account, the Investment Amount will automatically be renewed into the same Shield Option, subject to the new Cap Rate, Step Rate, or Edge Rate in effect.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 on a Contract Anniversary before the Term End Date</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Once a Locked Index Value takes effect, you may elect to transfer the Interim Value to a new Shield Option or to the Fixed Account (if available) on any Contract Anniversary prior to the Term End Date (i.e., during the Term). We must receive notification of your election to transfer prior to or on any Contract Anniversary prior to the Term End Date. Notice of election to transfer under such circumstances must be received at our Annuity Service Office using one of the methods of communication identified in “REQUESTS AND ELECTIONS.” A transfer of the Interim Value will only occur on a Contract Anniversary and you may only transfer the entire amount of the Interim Value to a new Shield Option or to the Fixed Account (if available). Partial transfers of Interim Value are not permitted.</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the Performance Lock with a New Shield Option</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Whether you choose to transfer or renew the Investment Amount to a new Shield Option at the Term End Date or transfer the Interim Value to a new Shield Option prior to the Term End Date (or if your Investment Amount is automatically renewed or transferred), you will have the ability to elect a Performance Lock on that new Shield Option, provided the Shield Option is indicated as “Performance Lock Available.” See the Shield Options chart in “</w:t>
      </w:r>
      <w:r>
        <w:rPr>
          <w:rFonts w:ascii="Times New Roman" w:cs="Times New Roman" w:eastAsia="Times New Roman" w:hAnsi="Times New Roman"/>
          <w:sz w:val="18"/>
          <w:szCs w:val="18"/>
          <w:b w:val="1"/>
          <w:bCs w:val="1"/>
          <w:color w:val="auto"/>
        </w:rPr>
        <w:t>SHIELD OPTIONS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Requirements for the Fixed Account</w:t>
      </w:r>
    </w:p>
    <w:p>
      <w:pPr>
        <w:spacing w:after="0" w:line="121"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The amounts transferred to the Fixed Account must remain in the Fixed Account until the Fixed Account Term End Date (which, currently, will not be less than one (1) year). If the Fixed Account is not available, the Investment Amount will automatically transfer into the Shield Option with, in order of priority, the shortest Term, the highest Shield Rate and the lowest Cap Rate from the Shield Options available at the Term End Date, unless you instruct us otherwise.</w:t>
      </w:r>
    </w:p>
    <w:p>
      <w:pPr>
        <w:spacing w:after="0" w:line="28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PERFORMANCE LOCK BENEFIT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Locked Index Value</w:t>
      </w:r>
    </w:p>
    <w:p>
      <w:pPr>
        <w:spacing w:after="0" w:line="80" w:lineRule="exact"/>
        <w:rPr>
          <w:sz w:val="20"/>
          <w:szCs w:val="20"/>
          <w:color w:val="auto"/>
        </w:rPr>
      </w:pPr>
    </w:p>
    <w:p>
      <w:pPr>
        <w:jc w:val="both"/>
        <w:ind w:left="120" w:right="639" w:firstLine="360"/>
        <w:spacing w:after="0" w:line="226" w:lineRule="exact"/>
        <w:rPr>
          <w:sz w:val="20"/>
          <w:szCs w:val="20"/>
          <w:color w:val="auto"/>
        </w:rPr>
      </w:pPr>
      <w:r>
        <w:rPr>
          <w:rFonts w:ascii="Times New Roman" w:cs="Times New Roman" w:eastAsia="Times New Roman" w:hAnsi="Times New Roman"/>
          <w:sz w:val="18"/>
          <w:szCs w:val="18"/>
          <w:color w:val="auto"/>
        </w:rPr>
        <w:t>For any “Performance Lock Available” Shield Option (as identified with a check mark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in the “</w:t>
      </w:r>
      <w:r>
        <w:rPr>
          <w:rFonts w:ascii="Times New Roman" w:cs="Times New Roman" w:eastAsia="Times New Roman" w:hAnsi="Times New Roman"/>
          <w:sz w:val="18"/>
          <w:szCs w:val="18"/>
          <w:b w:val="1"/>
          <w:bCs w:val="1"/>
          <w:color w:val="auto"/>
        </w:rPr>
        <w:t>Performance Lock Available</w:t>
      </w:r>
      <w:r>
        <w:rPr>
          <w:rFonts w:ascii="Times New Roman" w:cs="Times New Roman" w:eastAsia="Times New Roman" w:hAnsi="Times New Roman"/>
          <w:sz w:val="18"/>
          <w:szCs w:val="18"/>
          <w:color w:val="auto"/>
        </w:rPr>
        <w:t>” column of the Shield Options chart in “</w:t>
      </w:r>
      <w:r>
        <w:rPr>
          <w:rFonts w:ascii="Times New Roman" w:cs="Times New Roman" w:eastAsia="Times New Roman" w:hAnsi="Times New Roman"/>
          <w:sz w:val="18"/>
          <w:szCs w:val="18"/>
          <w:b w:val="1"/>
          <w:bCs w:val="1"/>
          <w:color w:val="auto"/>
        </w:rPr>
        <w:t>SHIELD OPTIONS</w:t>
      </w:r>
      <w:r>
        <w:rPr>
          <w:rFonts w:ascii="Times New Roman" w:cs="Times New Roman" w:eastAsia="Times New Roman" w:hAnsi="Times New Roman"/>
          <w:sz w:val="18"/>
          <w:szCs w:val="18"/>
          <w:color w:val="auto"/>
        </w:rPr>
        <w:t xml:space="preserve">”), once during each Term you may elect to lock the Index Value by providing Notice of election to the Annuity Service Office, using one of the methods identified in “REQUESTS AND ELECTIONS.” </w:t>
      </w:r>
      <w:r>
        <w:rPr>
          <w:rFonts w:ascii="Times New Roman" w:cs="Times New Roman" w:eastAsia="Times New Roman" w:hAnsi="Times New Roman"/>
          <w:sz w:val="18"/>
          <w:szCs w:val="18"/>
          <w:b w:val="1"/>
          <w:bCs w:val="1"/>
          <w:color w:val="auto"/>
        </w:rPr>
        <w:t>However, the “locked” Index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(“Locked Index Value”) will take effect only if, on the Business Day on which we receive your Notice of election, the closing Index Value – that is, the published closing value of the Index</w:t>
      </w:r>
    </w:p>
    <w:p>
      <w:pPr>
        <w:sectPr>
          <w:pgSz w:w="11900" w:h="16838" w:orient="portrait"/>
          <w:cols w:equalWidth="0" w:num="1">
            <w:col w:w="9019"/>
          </w:cols>
          <w:pgMar w:left="1440" w:top="1372" w:right="1440" w:bottom="420" w:gutter="0" w:footer="0" w:header="0"/>
        </w:sectPr>
      </w:pPr>
    </w:p>
    <w:p>
      <w:pPr>
        <w:spacing w:after="0" w:line="28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9019"/>
          </w:cols>
          <w:pgMar w:left="1440" w:top="1372" w:right="1440" w:bottom="420" w:gutter="0" w:footer="0" w:header="0"/>
          <w:type w:val="continuous"/>
        </w:sectPr>
      </w:pPr>
    </w:p>
    <w:bookmarkStart w:id="55" w:name="page56"/>
    <w:bookmarkEnd w:id="55"/>
    <w:p>
      <w:pPr>
        <w:jc w:val="both"/>
        <w:ind w:left="120" w:right="639"/>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xml:space="preserve">on the Business Day – is </w:t>
      </w:r>
      <w:r>
        <w:rPr>
          <w:rFonts w:ascii="Times New Roman" w:cs="Times New Roman" w:eastAsia="Times New Roman" w:hAnsi="Times New Roman"/>
          <w:sz w:val="18"/>
          <w:szCs w:val="18"/>
          <w:b w:val="1"/>
          <w:bCs w:val="1"/>
          <w:i w:val="1"/>
          <w:iCs w:val="1"/>
          <w:color w:val="auto"/>
        </w:rPr>
        <w:t>greater</w:t>
      </w:r>
      <w:r>
        <w:rPr>
          <w:rFonts w:ascii="Times New Roman" w:cs="Times New Roman" w:eastAsia="Times New Roman" w:hAnsi="Times New Roman"/>
          <w:sz w:val="18"/>
          <w:szCs w:val="18"/>
          <w:b w:val="1"/>
          <w:bCs w:val="1"/>
          <w:color w:val="auto"/>
        </w:rPr>
        <w:t xml:space="preserve"> than the Index Value at the Term Start Date. </w:t>
      </w:r>
      <w:r>
        <w:rPr>
          <w:rFonts w:ascii="Times New Roman" w:cs="Times New Roman" w:eastAsia="Times New Roman" w:hAnsi="Times New Roman"/>
          <w:sz w:val="18"/>
          <w:szCs w:val="18"/>
          <w:color w:val="auto"/>
        </w:rPr>
        <w:t>If, on the Business Day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we receive your Notice of election, the closing Index Value is </w:t>
      </w:r>
      <w:r>
        <w:rPr>
          <w:rFonts w:ascii="Times New Roman" w:cs="Times New Roman" w:eastAsia="Times New Roman" w:hAnsi="Times New Roman"/>
          <w:sz w:val="18"/>
          <w:szCs w:val="18"/>
          <w:i w:val="1"/>
          <w:iCs w:val="1"/>
          <w:color w:val="auto"/>
        </w:rPr>
        <w:t>equal to</w:t>
      </w:r>
      <w:r>
        <w:rPr>
          <w:rFonts w:ascii="Times New Roman" w:cs="Times New Roman" w:eastAsia="Times New Roman" w:hAnsi="Times New Roman"/>
          <w:sz w:val="18"/>
          <w:szCs w:val="18"/>
          <w:color w:val="auto"/>
        </w:rPr>
        <w:t xml:space="preserve"> or less than the Index Value at the Term Start Date, the Performance Lock will not take effect. This means that the Performance Lock has no impact if the closing Index Value is equal to or less than the Index Value at the Term Start Date. If you submit a Notice of election and the Performance Lock does not take effect, we will notify you in writing. </w:t>
      </w:r>
      <w:r>
        <w:rPr>
          <w:rFonts w:ascii="Times New Roman" w:cs="Times New Roman" w:eastAsia="Times New Roman" w:hAnsi="Times New Roman"/>
          <w:sz w:val="18"/>
          <w:szCs w:val="18"/>
          <w:b w:val="1"/>
          <w:bCs w:val="1"/>
          <w:color w:val="auto"/>
        </w:rPr>
        <w:t>You are also encouraged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to contact the Annuity Service Office by telephone at (888) 243-1932 to find out if the Performance Lock has taken effect – i.e., if the Index Value has been locked. </w:t>
      </w:r>
      <w:r>
        <w:rPr>
          <w:rFonts w:ascii="Times New Roman" w:cs="Times New Roman" w:eastAsia="Times New Roman" w:hAnsi="Times New Roman"/>
          <w:sz w:val="18"/>
          <w:szCs w:val="18"/>
          <w:color w:val="auto"/>
        </w:rPr>
        <w:t>If the Index Value is not locked, you will be treated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having not yet exercised your Performance Lock and can submit a new Notice of election on another Business Day.</w:t>
      </w:r>
    </w:p>
    <w:p>
      <w:pPr>
        <w:spacing w:after="0" w:line="9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If we receive your Notice of election on a day that is not a Business Day, or after 4 PM Eastern Standard Time on a Business Day, the Notice of election will be deemed to have been received on the next Business Day. If multiple Notices of election are submitted during a Business Day, the last Notice received prior to 4 PM Eastern Standard Time will be utilized. If the Performance Lock takes effect, subsequent Notices of election will be disregarded.</w:t>
      </w:r>
    </w:p>
    <w:p>
      <w:pPr>
        <w:spacing w:after="0" w:line="7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Once an Index Value is locked it is irrevocable for the remainder of that Term. The Locked Index Value will be used as the Index Value for the remainder of the Term to determine the Index Performance.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Setting a Target Index Value</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Currently, in lieu of providing Notice of election on a particular Business Day, you may, at any time prior to the Term End Date, set a target Index Value at which you would like the Performance Lock to take effect “automatically” – i.e., without further action on your part provided the Index Value meets or exceeds your target Index Value prior to the Term End Date. Notice of election to set a target Index Value must be received at our Annuity Service Office using one of the methods of communication identified in “REQUESTS AND ELECTIONS.” The target Index Value you specify must be higher than the Index Value at the Term Start Date, cannot be applied retroactively and is available only if a Locked Index Value has not already taken effect for that Shield Option during the Term. </w:t>
      </w:r>
      <w:r>
        <w:rPr>
          <w:rFonts w:ascii="Times New Roman" w:cs="Times New Roman" w:eastAsia="Times New Roman" w:hAnsi="Times New Roman"/>
          <w:sz w:val="18"/>
          <w:szCs w:val="18"/>
          <w:b w:val="1"/>
          <w:bCs w:val="1"/>
          <w:color w:val="auto"/>
        </w:rPr>
        <w:t>The ability to set a target Index Value in advance is an administrative feature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that may not be available in the future for new requests, however any previously received requests will be honored.</w:t>
      </w:r>
    </w:p>
    <w:p>
      <w:pPr>
        <w:spacing w:after="0" w:line="86"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If the closing Index Value at the end of a Business Day equals or exceeds your target Index Value, that Index Value will become a Locked Index Value automatically. Until this occurs, you may change your target Index Value; regardless of whether multiple target Index Values are submitted during a Business Day or over the course of several days, the last request received prior to 4 PM Eastern Standard Time on a Business Day will be utilized as the applicable target Index Value. Any target Index Value submitted after 4 PM Eastern Standard Time will be set as of the following Business Day. However, upon effectiveness of the Performance Lock, subsequent submissions of target Index Values will be disregarded.</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Index Performance with a Locked Index Value</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As described in the prospectus, the Performance Rate of a Shield Option is based in part on the performance of an Index. For any Shield Option with a Locked Index Value, Index Performance is the percentage change in Index Value measured from the Term Start Date to the date on which the Locked Index Value takes effect.</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Since Index Performance is calculated as of the date on which the Locked Index Value takes effect, subsequent changes to an Index – such as substitution of the Index for a Shield Option or changes in the value of an Index – will have no impact on your Index Performance. Index Performance with a Locked Index Value is calculated once – as of the date on which the Locked Index Value takes effect – and does not change under any circumstances for the remainder of the Term.</w:t>
      </w:r>
    </w:p>
    <w:p>
      <w:pPr>
        <w:spacing w:after="0" w:line="7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If you have provided a Notice of election to set a target Index Value on a Shield Option, but a Locked Index Value has not yet taken effect – e.g., because the Index Value has not yet met your pre-set target – the Notice of election will continue to be kept on file. In such circumstances, if the Index associated with your Shield Option is substituted, we will calculate a new target Index Value based on the new Index and will notify you of the change. The new target Index Value will reflect the same amount of growth between the replaced (i.e., old) Index’s value at Term Start Date and the target Index Value you had set on the replaced Index. You will have the opportunity to cancel the Notice of election with the new target Index Value if you choose to do so.</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Performance Lock Factor</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For any Shield Option with a Locked Index Value, we apply a Performance Lock Factor that has the effect of reducing Interim Value or Investment Amount, as the case may be. The percentage that we apply is less than 100% (for example, 97%); the remaining percentage amount not included in the calculation (in this case, 3%) compensates us for the costs and risks that we assume in providing the Performance Lock with your Shield Option. The Performance Lock Factor is built into the formula for determining the value of a Shield Option with a Locked Index Value, and as a result, you will receive a reduced</w:t>
      </w:r>
    </w:p>
    <w:p>
      <w:pPr>
        <w:sectPr>
          <w:pgSz w:w="11900" w:h="16838" w:orient="portrait"/>
          <w:cols w:equalWidth="0" w:num="1">
            <w:col w:w="9019"/>
          </w:cols>
          <w:pgMar w:left="1440" w:top="1373" w:right="1440" w:bottom="569" w:gutter="0" w:footer="0" w:header="0"/>
        </w:sectPr>
      </w:pPr>
    </w:p>
    <w:p>
      <w:pPr>
        <w:spacing w:after="0" w:line="25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9019"/>
          </w:cols>
          <w:pgMar w:left="1440" w:top="1373" w:right="1440" w:bottom="569" w:gutter="0" w:footer="0" w:header="0"/>
          <w:type w:val="continuous"/>
        </w:sectPr>
      </w:pPr>
    </w:p>
    <w:bookmarkStart w:id="56" w:name="page57"/>
    <w:bookmarkEnd w:id="56"/>
    <w:p>
      <w:pPr>
        <w:jc w:val="both"/>
        <w:ind w:left="120" w:right="65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Interim Value prior to the end of the Term or Investment Amount at the end of the Term. The Performance Lock Factor is based on the Term of your Shield Option with a Locked Index Value and the number of completed Contract Year(s) since the Term Start Date as shown in the table below.</w:t>
      </w:r>
    </w:p>
    <w:p>
      <w:pPr>
        <w:spacing w:after="0" w:line="117" w:lineRule="exact"/>
        <w:rPr>
          <w:sz w:val="20"/>
          <w:szCs w:val="20"/>
          <w:color w:val="auto"/>
        </w:rPr>
      </w:pPr>
    </w:p>
    <w:tbl>
      <w:tblPr>
        <w:tblLayout w:type="fixed"/>
        <w:tblInd w:w="130" w:type="dxa"/>
        <w:tblCellMar>
          <w:top w:w="0" w:type="dxa"/>
          <w:left w:w="0" w:type="dxa"/>
          <w:bottom w:w="0" w:type="dxa"/>
          <w:right w:w="0" w:type="dxa"/>
        </w:tblCellMar>
      </w:tblPr>
      <w:tr>
        <w:trPr>
          <w:trHeight w:val="277"/>
        </w:trPr>
        <w:tc>
          <w:tcPr>
            <w:tcW w:w="46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Complete Contract Years Since Term Start Date</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3-Year Terms</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1-Year Terms</w:t>
            </w:r>
          </w:p>
        </w:tc>
      </w:tr>
      <w:tr>
        <w:trPr>
          <w:trHeight w:val="2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69"/>
        </w:trPr>
        <w:tc>
          <w:tcPr>
            <w:tcW w:w="4600" w:type="dxa"/>
            <w:vAlign w:val="bottom"/>
            <w:tcBorders>
              <w:left w:val="single" w:sz="8" w:color="auto"/>
              <w:bottom w:val="single" w:sz="8" w:color="F0FFFF"/>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Less than 1 Year</w:t>
            </w:r>
          </w:p>
        </w:tc>
        <w:tc>
          <w:tcPr>
            <w:tcW w:w="18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96%</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97%</w:t>
            </w:r>
          </w:p>
        </w:tc>
      </w:tr>
      <w:tr>
        <w:trPr>
          <w:trHeight w:val="237"/>
        </w:trPr>
        <w:tc>
          <w:tcPr>
            <w:tcW w:w="460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 Year</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96%</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97%</w:t>
            </w: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68"/>
        </w:trPr>
        <w:tc>
          <w:tcPr>
            <w:tcW w:w="4600" w:type="dxa"/>
            <w:vAlign w:val="bottom"/>
            <w:tcBorders>
              <w:left w:val="single" w:sz="8" w:color="auto"/>
              <w:bottom w:val="single" w:sz="8" w:color="F0FFFF"/>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2 Years</w:t>
            </w:r>
          </w:p>
        </w:tc>
        <w:tc>
          <w:tcPr>
            <w:tcW w:w="18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96%</w:t>
            </w:r>
          </w:p>
        </w:tc>
        <w:tc>
          <w:tcPr>
            <w:tcW w:w="182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47"/>
        </w:trPr>
        <w:tc>
          <w:tcPr>
            <w:tcW w:w="4600" w:type="dxa"/>
            <w:vAlign w:val="bottom"/>
            <w:tcBorders>
              <w:top w:val="single" w:sz="8" w:color="auto"/>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3 Years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96%</w:t>
            </w:r>
          </w:p>
        </w:tc>
        <w:tc>
          <w:tcPr>
            <w:tcW w:w="182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-901700</wp:posOffset>
            </wp:positionV>
            <wp:extent cx="522922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292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-532765</wp:posOffset>
            </wp:positionV>
            <wp:extent cx="5229225"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29225"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-172720</wp:posOffset>
            </wp:positionV>
            <wp:extent cx="5229225"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29225" cy="163195"/>
                    </a:xfrm>
                    <a:prstGeom prst="rect">
                      <a:avLst/>
                    </a:prstGeom>
                    <a:noFill/>
                  </pic:spPr>
                </pic:pic>
              </a:graphicData>
            </a:graphic>
          </wp:anchor>
        </w:drawing>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the Performance Lock</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currently offer Performance Lock with (i) Shield Option Terms of 1 year or 3 years, (ii) Shield Rates of</w:t>
      </w:r>
    </w:p>
    <w:p>
      <w:pPr>
        <w:spacing w:after="0" w:line="4" w:lineRule="exact"/>
        <w:rPr>
          <w:sz w:val="20"/>
          <w:szCs w:val="20"/>
          <w:color w:val="auto"/>
        </w:rPr>
      </w:pPr>
    </w:p>
    <w:p>
      <w:pPr>
        <w:jc w:val="both"/>
        <w:ind w:left="120" w:right="639"/>
        <w:spacing w:after="0" w:line="243" w:lineRule="auto"/>
        <w:rPr>
          <w:sz w:val="20"/>
          <w:szCs w:val="20"/>
          <w:color w:val="auto"/>
        </w:rPr>
      </w:pPr>
      <w:r>
        <w:rPr>
          <w:rFonts w:ascii="Times New Roman" w:cs="Times New Roman" w:eastAsia="Times New Roman" w:hAnsi="Times New Roman"/>
          <w:sz w:val="18"/>
          <w:szCs w:val="18"/>
          <w:color w:val="auto"/>
        </w:rPr>
        <w:t>10% and 15%, (iii)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and the MSCI EAFE Index, and (iv) a Cap Rate as the Rate Crediting Type. (The Performance Lock is not offered together with a Step Rate or Edge Rate.) See the Shield Options chart in “SHIELD OPTIONS.”</w:t>
      </w:r>
    </w:p>
    <w:p>
      <w:pPr>
        <w:spacing w:after="0" w:line="29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DEATH BENEFIT</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you die during the Accumulation Period, we will pay a death benefit to your Beneficiary (or Beneficiaries).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standard death benefit for your Contract is described below.</w:t>
      </w:r>
    </w:p>
    <w:p>
      <w:pPr>
        <w:spacing w:after="0" w:line="112"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Please check your Contract and riders for the specific provisions applicable to you. We will require both due proof of death and an acceptable election for the payment method before any death benefit is paid. Our obligations are subject to all payments made and actions taken by us before our receipt of Notice of due proof of death. Any death benefit will be paid in accordance with applicable law or regulations governing death benefit payments. (See “General Death Benefit Provisions” below.)</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Standard Death Benefit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you are age 81 or older at the Issue Date of your Contract, the standard death benefit is the Account Value.</w:t>
      </w:r>
    </w:p>
    <w:p>
      <w:pPr>
        <w:spacing w:after="0" w:line="117"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If you are age 80 or younger at the Issue Date of your Contract, the standard death benefit will be the Return of Premium death benefit which is the greater of:</w:t>
      </w:r>
    </w:p>
    <w:p>
      <w:pPr>
        <w:spacing w:after="0" w:line="81" w:lineRule="exact"/>
        <w:rPr>
          <w:sz w:val="20"/>
          <w:szCs w:val="20"/>
          <w:color w:val="auto"/>
        </w:rPr>
      </w:pPr>
    </w:p>
    <w:p>
      <w:pPr>
        <w:ind w:left="1180" w:hanging="708"/>
        <w:spacing w:after="0"/>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Account Value; or</w:t>
      </w:r>
    </w:p>
    <w:p>
      <w:pPr>
        <w:spacing w:after="0" w:line="157" w:lineRule="exact"/>
        <w:rPr>
          <w:rFonts w:ascii="Times New Roman" w:cs="Times New Roman" w:eastAsia="Times New Roman" w:hAnsi="Times New Roman"/>
          <w:sz w:val="18"/>
          <w:szCs w:val="18"/>
          <w:color w:val="auto"/>
        </w:rPr>
      </w:pPr>
    </w:p>
    <w:p>
      <w:pPr>
        <w:ind w:left="1180" w:right="739" w:hanging="708"/>
        <w:spacing w:after="0" w:line="261" w:lineRule="auto"/>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Purchase Payment, reduced proportionally by the percentage reduction in Account Value of the Shield</w:t>
      </w:r>
    </w:p>
    <w:p>
      <w:pPr>
        <w:ind w:left="480"/>
        <w:spacing w:after="0"/>
        <w:rPr>
          <w:sz w:val="20"/>
          <w:szCs w:val="20"/>
          <w:color w:val="auto"/>
        </w:rPr>
      </w:pPr>
      <w:r>
        <w:rPr>
          <w:rFonts w:ascii="Times New Roman" w:cs="Times New Roman" w:eastAsia="Times New Roman" w:hAnsi="Times New Roman"/>
          <w:sz w:val="18"/>
          <w:szCs w:val="18"/>
          <w:color w:val="auto"/>
        </w:rPr>
        <w:t>Option(s) and the Fixed Account for each partial withdrawal (including any applicable Withdrawal Charge).</w:t>
      </w:r>
    </w:p>
    <w:p>
      <w:pPr>
        <w:spacing w:after="0" w:line="99"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If a non-natural person owns the Contract, then the Annuitant will be deemed to be the Owner for purposes of determining the Death Benefit Amount. If Joint Owners are named, the age of the oldest Joint Owner will be used to determine the Death Benefit Amount.</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If the Owner is a natural person and the Owner is changed to someone other than a spouse, the Death Benefit Amount will be determined as defined above; however, for the Return of Premium death benefit, subsection (2) will be changed to provide as follows: “the Account Value as of the effective date of the change of Owner, reduced proportionally by the percentage reduction in Account Value of the Shield Option(s) and the Fixed Account for each partial withdrawal (including any applicable Withdrawal Charge) made after such date.”</w:t>
      </w:r>
    </w:p>
    <w:p>
      <w:pPr>
        <w:spacing w:after="0" w:line="7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In the event that a Beneficiary who is the spouse of the Owner elects to continue the Contract in his or her name after the Owner dies, the Death Benefit Amount for the Return of Premium death benefit, will be determined in accordance with (1) or (2) above.</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Death Benefit Amount cannot be withdrawn as a lump sum prior to the death of the Owner (or Annuitant where the Owner is a non-natural person).</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current Death Benefit Amount will appear on any reports that are sent to you.</w:t>
      </w:r>
    </w:p>
    <w:p>
      <w:pPr>
        <w:spacing w:after="0" w:line="117"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death benefit terminates (a) upon termination of the Contract; (b) when the entire Account Value is applied to an Annuity Option; or (c) when the Account Value is reduced to zero.</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Appendix C for examples of the Return of Premium death benefit.</w:t>
      </w:r>
    </w:p>
    <w:p>
      <w:pPr>
        <w:sectPr>
          <w:pgSz w:w="11900" w:h="16838" w:orient="portrait"/>
          <w:cols w:equalWidth="0" w:num="1">
            <w:col w:w="9019"/>
          </w:cols>
          <w:pgMar w:left="1440" w:top="1377" w:right="1440" w:bottom="1440" w:gutter="0" w:footer="0" w:header="0"/>
        </w:sectPr>
      </w:pPr>
    </w:p>
    <w:p>
      <w:pPr>
        <w:spacing w:after="0" w:line="3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9019"/>
          </w:cols>
          <w:pgMar w:left="1440" w:top="1377" w:right="1440" w:bottom="1440" w:gutter="0" w:footer="0" w:header="0"/>
          <w:type w:val="continuous"/>
        </w:sectPr>
      </w:pPr>
    </w:p>
    <w:bookmarkStart w:id="57" w:name="page58"/>
    <w:bookmarkEnd w:id="57"/>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General Death Benefit Provisions</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If the Beneficiary under a Qualified Contract is the Annuitant’s spouse, the tax law generally allows distributions to begin by the year in which the Annuitant would have been required to begin taking distributions (which may be more or less than ten years after the Annuitant’s death). (See “FEDERAL TAX CONSIDERATIONS” for a discussion of the tax law requirements applicable to distributions from Qualified Contracts).</w:t>
      </w:r>
    </w:p>
    <w:p>
      <w:pPr>
        <w:spacing w:after="0" w:line="7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Death Benefit Amount is determined as of the end of the Business Day on which we receive both due proof of death and an acceptable election for the payment method. Where there are multiple Beneficiaries, the death benefit will be determined as of the time the first Beneficiary submits the necessary documentation in Good Order. The Death Benefit Amount remains in the Contract until each of the other Beneficiaries submits the necessary documentation in Good Order to claim his/her death benefit. Any Death Benefit Amounts held in the Contract on behalf of the remaining Beneficiaries will remain in the existing Shield Options and/or the Fixed Account and are subject to fluctuation in value. This risk is borne by the Beneficiaries. There is no additional death benefit guarantee.</w:t>
      </w:r>
    </w:p>
    <w:p>
      <w:pPr>
        <w:spacing w:after="0" w:line="97"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For the Return of Premium death benefit, if the Beneficiary chooses to continue the Contract, any excess of the Death Benefit Amount over the Account Value will be allocated to the Fixed Account. If the Fixed Account is not available, any excess amount of the Death Benefit Amount over the Account Value will be allocated into the Shield Option with, in order of priority, the shortest Term, the highest Shield Rate, and the lowest Cap Rate from the Shield Options available at the next Contract Anniversary, unless otherwise instructed by the Beneficiary.</w:t>
      </w:r>
    </w:p>
    <w:p>
      <w:pPr>
        <w:spacing w:after="0" w:line="89"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Upon the death of either Owner, the surviving Joint Owner will be the primary Beneficiary. Any other Beneficiary designation will be treated as a contingent Beneficiary, unless instructed otherwise.</w:t>
      </w:r>
    </w:p>
    <w:p>
      <w:pPr>
        <w:spacing w:after="0" w:line="5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If we are presented with notification of your death before any requested transaction is completed, we will cancel the request. As described above, the death benefit will be determined when we receive both due proof of death and an election for the payment method.</w:t>
      </w:r>
    </w:p>
    <w:p>
      <w:pPr>
        <w:spacing w:after="0" w:line="8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pay interest on any delayed death benefit payments in accordance with the laws and regulations in effect under the applicable state law.</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Payout</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You may elect to have the death benefit proceeds paid to your Beneficiary in the form of Income Payments for life or over a period of time that does not exceed your Beneficiary’s life expectancy, subject to applicable tax law requirements. This election must be in writing in a form acceptable to us. You may revoke the election only in writing and only in a form acceptable to us. Upon your death, the Beneficiary cannot revoke or modify your election. The Controlled Payout is only available to Non-Qualified Contracts.</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of Owner During the Accumulation Period</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death benefit will be paid to your Beneficiary(ies) upon your death, or the first death of a Joint Owner. If the Contract is owned by a non-natural person, the Annuitant will be deemed the Owner in determining the death benefit. If there are Joint Owners, the age of the older Owner will be used to determine the death benefit.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of Annuitant During the Accumulation Period</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Upon the death of an Annuitant, who is not the Owner or Joint Owner, the Owner (or Oldest Joint Owner) automatically becomes the Annuitant, unless the Owner, subject to our underwriting requirements in effect at the time of the request, chooses a new Annuitant. If the Owner is a non-natural person, the death of the Annuitant will be treated as the death of an Owner, and a new Annuitant may not be named. (See “Death of Owner During the Accumulation Period” above).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Benefit Options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the event an Owner (or the Annuitant, where the Owner is not an individual) dies during the Accumulation Period, a Beneficiary must choose payment of the death benefit under one of the options below (unless the Owner has previously made the election or due to the requirements of the Code). The death benefit options available under the Contract include the following and any other options acceptable to you and us:</w:t>
      </w:r>
    </w:p>
    <w:p>
      <w:pPr>
        <w:spacing w:after="0" w:line="112" w:lineRule="exact"/>
        <w:rPr>
          <w:sz w:val="20"/>
          <w:szCs w:val="20"/>
          <w:color w:val="auto"/>
        </w:rPr>
      </w:pPr>
    </w:p>
    <w:p>
      <w:pPr>
        <w:ind w:left="1180" w:hanging="708"/>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1—lump sum payment in cash; or</w:t>
      </w:r>
    </w:p>
    <w:p>
      <w:pPr>
        <w:spacing w:after="0" w:line="157" w:lineRule="exact"/>
        <w:rPr>
          <w:rFonts w:ascii="Times New Roman" w:cs="Times New Roman" w:eastAsia="Times New Roman" w:hAnsi="Times New Roman"/>
          <w:sz w:val="18"/>
          <w:szCs w:val="18"/>
          <w:color w:val="auto"/>
        </w:rPr>
      </w:pPr>
    </w:p>
    <w:p>
      <w:pPr>
        <w:jc w:val="both"/>
        <w:ind w:left="1180" w:right="739" w:hanging="708"/>
        <w:spacing w:after="0" w:line="266" w:lineRule="auto"/>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2—payment of the entire death benefit under a Non-Qualified Contract within five (5) years (or under a Qualified Contract generally within ten (10) years) of the date of death of the Owner or the first Joint Owner to die; or</w:t>
      </w:r>
    </w:p>
    <w:p>
      <w:pPr>
        <w:sectPr>
          <w:pgSz w:w="11900" w:h="16838" w:orient="portrait"/>
          <w:cols w:equalWidth="0" w:num="1">
            <w:col w:w="9019"/>
          </w:cols>
          <w:pgMar w:left="1440" w:top="1373" w:right="1440" w:bottom="1041" w:gutter="0" w:footer="0" w:header="0"/>
        </w:sectPr>
      </w:pPr>
    </w:p>
    <w:p>
      <w:pPr>
        <w:spacing w:after="0" w:line="2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9019"/>
          </w:cols>
          <w:pgMar w:left="1440" w:top="1373" w:right="1440" w:bottom="1041" w:gutter="0" w:footer="0" w:header="0"/>
          <w:type w:val="continuous"/>
        </w:sectPr>
      </w:pPr>
    </w:p>
    <w:bookmarkStart w:id="58" w:name="page59"/>
    <w:bookmarkEnd w:id="58"/>
    <w:p>
      <w:pPr>
        <w:ind w:left="1180" w:right="739" w:hanging="708"/>
        <w:spacing w:after="0" w:line="261" w:lineRule="auto"/>
        <w:tabs>
          <w:tab w:leader="none" w:pos="1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Option 3—payment of the death benefit under an Annuity Option or other periodic payment option acceptable</w:t>
      </w:r>
    </w:p>
    <w:p>
      <w:pPr>
        <w:jc w:val="both"/>
        <w:ind w:left="480" w:right="739"/>
        <w:spacing w:after="0" w:line="250" w:lineRule="auto"/>
        <w:rPr>
          <w:sz w:val="20"/>
          <w:szCs w:val="20"/>
          <w:color w:val="auto"/>
        </w:rPr>
      </w:pPr>
      <w:r>
        <w:rPr>
          <w:rFonts w:ascii="Times New Roman" w:cs="Times New Roman" w:eastAsia="Times New Roman" w:hAnsi="Times New Roman"/>
          <w:sz w:val="18"/>
          <w:szCs w:val="18"/>
          <w:color w:val="auto"/>
        </w:rPr>
        <w:t>to us (if permitted by the Code) in substantially equal periodic payments (made at least annually) over the lifetime of the</w:t>
      </w:r>
    </w:p>
    <w:p>
      <w:pPr>
        <w:spacing w:after="0" w:line="1" w:lineRule="exact"/>
        <w:rPr>
          <w:sz w:val="20"/>
          <w:szCs w:val="20"/>
          <w:color w:val="auto"/>
        </w:rPr>
      </w:pPr>
    </w:p>
    <w:p>
      <w:pPr>
        <w:jc w:val="both"/>
        <w:ind w:left="480" w:right="739"/>
        <w:spacing w:after="0" w:line="250" w:lineRule="auto"/>
        <w:rPr>
          <w:sz w:val="20"/>
          <w:szCs w:val="20"/>
          <w:color w:val="auto"/>
        </w:rPr>
      </w:pPr>
      <w:r>
        <w:rPr>
          <w:rFonts w:ascii="Times New Roman" w:cs="Times New Roman" w:eastAsia="Times New Roman" w:hAnsi="Times New Roman"/>
          <w:sz w:val="18"/>
          <w:szCs w:val="18"/>
          <w:color w:val="auto"/>
        </w:rPr>
        <w:t>Beneficiary or over a period not extending beyond the life expectancy of the Beneficiary with distribution beginning</w:t>
      </w:r>
    </w:p>
    <w:p>
      <w:pPr>
        <w:spacing w:after="0" w:line="1" w:lineRule="exact"/>
        <w:rPr>
          <w:sz w:val="20"/>
          <w:szCs w:val="20"/>
          <w:color w:val="auto"/>
        </w:rPr>
      </w:pPr>
    </w:p>
    <w:p>
      <w:pPr>
        <w:jc w:val="both"/>
        <w:ind w:left="480" w:right="739"/>
        <w:spacing w:after="0" w:line="255" w:lineRule="auto"/>
        <w:rPr>
          <w:sz w:val="20"/>
          <w:szCs w:val="20"/>
          <w:color w:val="auto"/>
        </w:rPr>
      </w:pPr>
      <w:r>
        <w:rPr>
          <w:rFonts w:ascii="Times New Roman" w:cs="Times New Roman" w:eastAsia="Times New Roman" w:hAnsi="Times New Roman"/>
          <w:sz w:val="18"/>
          <w:szCs w:val="18"/>
          <w:color w:val="auto"/>
        </w:rPr>
        <w:t>within one (1) year of the date of death of the Owner or the first Joint Owner to die. Any portion of the death benefit not applied within one (1) year of the date of the Owner’s or Joint Owner’s death must be distributed within five (5) years of the date of death.</w:t>
      </w:r>
    </w:p>
    <w:p>
      <w:pPr>
        <w:spacing w:after="0" w:line="7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For Non-Qualified Contracts, payment must begin within one year of the date of death. For Qualified Contracts, payment must begin no later than the end of the calendar year immediately following the year of death.</w:t>
      </w:r>
    </w:p>
    <w:p>
      <w:pPr>
        <w:spacing w:after="0" w:line="5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may also offer a payment option, for both Non-Qualified Contracts and certain Qualified Contracts, under which your Beneficiary may receive payments, over a period not extending beyond his or her life expectancy, under a method of distribution similar to the distribution of RMDs that are taken as withdrawals from Individual Retirement Accounts. Such payment option may be limited to certain categories of beneficiaries. If this option is elected, we will issue a new contract to your Beneficiary in order to facilitate the distribution of payments. Upon the death of your Beneficiary, the death benefit would be required to be distributed in accordance with applicable tax law requirements. In some cases, this will require that the proceeds be distributed more rapidly than the method of distribution in effect at the time of your Beneficiary’s death. (See “FEDERAL TAX CONSIDERATIONS.”)</w:t>
      </w:r>
    </w:p>
    <w:p>
      <w:pPr>
        <w:spacing w:after="0" w:line="80"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If a lump sum payment is elected and all the necessary requirements are met, the payment will be made within seven (7) days.</w:t>
      </w:r>
    </w:p>
    <w:p>
      <w:pPr>
        <w:spacing w:after="0" w:line="5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All options must comply with applicable federal income tax rules. The tax rules are complex and differ for Non-Qualified Contracts and Qualified Contracts. As a general matter, the entire death benefit must be paid within five years (or in some cases 10 years for Qualified Contracts) of the Owner’s date of death unless an exception applies. You should consult your tax adviser about the tax rules applicable to your situation.</w:t>
      </w:r>
    </w:p>
    <w:p>
      <w:pPr>
        <w:spacing w:after="0" w:line="68"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Beneficiary Continuation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two types of Beneficiary Continuation Options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Accumulation Period: the Spousal Continuation and Non-Spousal Beneficiary Continuation Options described below. We must receive Notice of the election of one of these Beneficiary Continuation Options by the end of the 90th day after we receive Notice of due proof of death. If the surviving spouse qualifies for Spousal Continuation and has not chosen one of the death benefit options above by the end of the 90 day period, the Spousal Continuation Option will be automatically applied on the 90th day. If a Non-Spousal Beneficiary qualifies for Non-Spousal Beneficiary Continuation and has not chosen one of the death benefit options above by the end of the 90 day period, the Non-Spousal Beneficiary Continuation Option will be automatically applied on the 90th day.</w:t>
      </w:r>
    </w:p>
    <w:p>
      <w:pPr>
        <w:spacing w:after="0" w:line="80"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Spousal Continuation.  </w:t>
      </w:r>
      <w:r>
        <w:rPr>
          <w:rFonts w:ascii="Times New Roman" w:cs="Times New Roman" w:eastAsia="Times New Roman" w:hAnsi="Times New Roman"/>
          <w:sz w:val="18"/>
          <w:szCs w:val="18"/>
          <w:color w:val="auto"/>
        </w:rPr>
        <w:t>If the Owner dies during the Accumulation Period, the spouse may choose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the Contract in his or her own name, to the extent permitted by law, and exercise all of the Owner’s rights under the Contract. Upon such election the Account Value will be adjusted to an amount equal to the Death Benefit Amount determined upon such election and receipt of due proof of death of the Owner. Any excess of the Death Benefit Amount over the Account Value will be allocated to the Fixed Account. If the Fixed Account is not available, any excess amount of the Death Benefit Amount over the Account Value will be allocated into the Shield Option with, in order of priority, the shortest Term, the highest Shield Rate and the lowest Cap Rate from the Shield Options available at the next Contract Anniversary, unless otherwise elected by the spouse.</w:t>
      </w:r>
    </w:p>
    <w:p>
      <w:pPr>
        <w:spacing w:after="0" w:line="8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Spousal continuation will not satisfy minimum required distribution rules for Qualified Contracts other than IRAs (see “FEDERAL TAX CONSIDERATIONS.”)</w:t>
      </w:r>
    </w:p>
    <w:p>
      <w:pPr>
        <w:spacing w:after="0" w:line="50"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Non-Spousal Beneficiary Continuation.  </w:t>
      </w:r>
      <w:r>
        <w:rPr>
          <w:rFonts w:ascii="Times New Roman" w:cs="Times New Roman" w:eastAsia="Times New Roman" w:hAnsi="Times New Roman"/>
          <w:sz w:val="18"/>
          <w:szCs w:val="18"/>
          <w:color w:val="auto"/>
        </w:rPr>
        <w:t>A Beneficiary who is not a spouse generally can choose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a Non-Qualified Contract until the fifth anniversary of the Owner’s death, and a Qualified Contract generally until the tenth anniversary of the Owner’s death. The Contract can be continued by a Beneficiary only if his or her share of the death benefit is at least equal to the Minimum Account Value. If the Beneficiary continues the Contract under this provision his or her share will not be paid. It will instead be continued in the Contract on the date we determine the Death Benefit Amount. Such Beneficiary will have the right to make partial and full withdrawals of his/her share of the Contract, not subject to Withdrawal Charges. Such Beneficiary will also have the right to make transfers at the Term End Date or the Interest Rate Term End Date.</w:t>
      </w:r>
    </w:p>
    <w:p>
      <w:pPr>
        <w:spacing w:after="0" w:line="8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During the continuation period the Beneficiary can choose to receive his/her share of the Contract in a single lump sum payment or, to the extent permitted by the Code, apply it to an Annuity Option or other option acceptable to us that must be payable for the life of the Beneficiary or for a term no longer than the life expectancy of the Beneficiary starting within one (1) year after the death of the Owner.</w:t>
      </w:r>
    </w:p>
    <w:p>
      <w:pPr>
        <w:sectPr>
          <w:pgSz w:w="11900" w:h="16838" w:orient="portrait"/>
          <w:cols w:equalWidth="0" w:num="1">
            <w:col w:w="9019"/>
          </w:cols>
          <w:pgMar w:left="1440" w:top="1377" w:right="1440" w:bottom="1109"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9019"/>
          </w:cols>
          <w:pgMar w:left="1440" w:top="1377" w:right="1440" w:bottom="1109" w:gutter="0" w:footer="0" w:header="0"/>
          <w:type w:val="continuous"/>
        </w:sectPr>
      </w:pPr>
    </w:p>
    <w:bookmarkStart w:id="59" w:name="page60"/>
    <w:bookmarkEnd w:id="59"/>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On the fifth anniversary of the death of a Non-Qualified Contract Owner, (or generally the tenth anniversary of the death of a Qualified Contract Owner), any Beneficiary will be paid his/her share of the Account Value that has not been applied to an Annuity Option or other settlement option permissible under the Code, in a single lump sum payment and the Contract will terminate.</w:t>
      </w:r>
    </w:p>
    <w:p>
      <w:pPr>
        <w:spacing w:after="0" w:line="29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INCOME PAYMENTS (THE INCOME PERIOD)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Annuity Date</w:t>
      </w:r>
    </w:p>
    <w:p>
      <w:pPr>
        <w:spacing w:after="0" w:line="135"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Under the Contract you can receive regular Income Payments. You can choose the month and year in which those payments begin (the “Annuity Date”). The Annuity Date must not be less than thirteen (13) months from the Issue Date and will be the first day of the calendar month unless, subject to our current established administrative procedures, we allow you to select another day of the month as your Annuity Date. You can change the Annuity Date at any time before the Annuity Date, subject to certain limitations and restrictions that may apply in your state. Income Payments must begin on, or before, the Maturity Date. Please note that in the Contract, the Annuity Date and Maturity Date are the same date.</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21" w:lineRule="exact"/>
        <w:rPr>
          <w:sz w:val="20"/>
          <w:szCs w:val="20"/>
          <w:color w:val="auto"/>
        </w:rPr>
      </w:pPr>
    </w:p>
    <w:p>
      <w:pPr>
        <w:jc w:val="both"/>
        <w:ind w:left="120" w:right="639" w:firstLine="360"/>
        <w:spacing w:after="0" w:line="281" w:lineRule="auto"/>
        <w:rPr>
          <w:sz w:val="20"/>
          <w:szCs w:val="20"/>
          <w:color w:val="auto"/>
        </w:rPr>
      </w:pPr>
      <w:r>
        <w:rPr>
          <w:rFonts w:ascii="Times New Roman" w:cs="Times New Roman" w:eastAsia="Times New Roman" w:hAnsi="Times New Roman"/>
          <w:sz w:val="17"/>
          <w:szCs w:val="17"/>
          <w:color w:val="auto"/>
        </w:rPr>
        <w:t>The Maturity Date is specified in your Contract at purchase and is the first day of the calendar month following the Annuitant’s 90th birthday or 10 years from the date we issue your Contract, whichever is later. If Income Payments don’t begin on, or before, the Maturity Date, the Contract will be annuitized at the Maturity Date under the Contract’s default Annuity Option, or you can make a complete withdrawal of your Account Value.</w:t>
      </w:r>
    </w:p>
    <w:p>
      <w:pPr>
        <w:spacing w:after="0" w:line="70"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You can change or extend your Maturity Date at any time before the Maturity Date with thirty (30) days prior notice to us (subject to restrictions that may apply in your state, restrictions imposed by your selling firm and our current established administrative procedures.) The latest date we will allow you to extend to must be based on the Owner’s age and not the Annuitant’s age. You must contact us at our Annuity Service Office to make this election. This requirement may be changed by us. </w:t>
      </w:r>
      <w:r>
        <w:rPr>
          <w:rFonts w:ascii="Times New Roman" w:cs="Times New Roman" w:eastAsia="Times New Roman" w:hAnsi="Times New Roman"/>
          <w:sz w:val="18"/>
          <w:szCs w:val="18"/>
          <w:b w:val="1"/>
          <w:bCs w:val="1"/>
          <w:color w:val="auto"/>
        </w:rPr>
        <w:t>Please be aware that once your Contract is annuitized,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beneficiaries are ineligible to receive any death benefit.</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Payments</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You (unless another payee is named) will receive Income Payments during the Income Period. The Annuitant is the natural person(s) whose life we look to in the determination of Income Payments. All Income Payments are fixed as to amount.</w:t>
      </w:r>
    </w:p>
    <w:p>
      <w:pPr>
        <w:spacing w:after="0" w:line="8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Account Value, less any applicable Premium Taxes on the day immediately preceding the Annuity Date will be used to determine the Income Payment amount. The amount of each Income Payment will be based upon the Annuity Option elected, the Annuitant’s age, the Annuitant’s sex (where permitted by law), and the appropriate Annuity Option table. Your annuity rates will not be less than those guaranteed in your Contract at the time of purchase. If, as of the annuity calculation date, the then current Annuity Option rates applicable to this class of contracts provide an Income Payment greater than that which is guaranteed under the same Annuity Option under the Contract, the greater payment will be made.</w:t>
      </w:r>
    </w:p>
    <w:p>
      <w:pPr>
        <w:spacing w:after="0" w:line="9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Income Payments will be paid as monthly installments or at any frequency acceptable to you and us. If the amount of the Account Value to be applied under an Annuity Option is less than $5,000, we reserve the right to make one lump sum payment equal to the then current Account Value in lieu of Income Payments. If the amount of the Income Payment would be less than $100, we may reduce the frequency of payments to an interval which will result in the payment being at least $100, but with a frequency of no less than annually.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Annuity Options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You can choose among income plans (the “Annuity Options”). You can change it at any time before the death benefit becomes payable or the Annuity Date.</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If you do not choose an Annuity Option at the time you purchase the Contract, Option 2, which provides a life annuity with 10 years of guaranteed Income Payments, will automatically be applied.</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You can choose one of the following Annuity Options or any other Annuity Option acceptable to us. After Income Payments begin, you cannot change the Annuity Option, subject to the requirements of the Code.</w:t>
      </w:r>
    </w:p>
    <w:p>
      <w:pPr>
        <w:spacing w:after="0" w:line="5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If more than one frequency is permitted under your Contract, choosing less frequent payments will result in each Income Payment being larger. Annuity Options that guarantee that payments will be made for a certain number of years regardless of whether the Annuitant or joint Annuitant are alive (such as Options 2 and 4 below) result in Income Payments that are smaller</w:t>
      </w:r>
    </w:p>
    <w:p>
      <w:pPr>
        <w:sectPr>
          <w:pgSz w:w="11900" w:h="16838" w:orient="portrait"/>
          <w:cols w:equalWidth="0" w:num="1">
            <w:col w:w="9019"/>
          </w:cols>
          <w:pgMar w:left="1440" w:top="1377" w:right="1440" w:bottom="1136" w:gutter="0" w:footer="0" w:header="0"/>
        </w:sectPr>
      </w:pP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9019"/>
          </w:cols>
          <w:pgMar w:left="1440" w:top="1377" w:right="1440" w:bottom="1136" w:gutter="0" w:footer="0" w:header="0"/>
          <w:type w:val="continuous"/>
        </w:sectPr>
      </w:pPr>
    </w:p>
    <w:bookmarkStart w:id="60" w:name="page61"/>
    <w:bookmarkEnd w:id="60"/>
    <w:p>
      <w:pPr>
        <w:jc w:val="both"/>
        <w:ind w:left="120" w:right="63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than Annuity Options without such a guarantee (such as Options 1 and 3 below). For Annuity Options with a designated period, choosing a shorter designated period will result in each Income Payment being larger.</w:t>
      </w:r>
    </w:p>
    <w:p>
      <w:pPr>
        <w:spacing w:after="0" w:line="63" w:lineRule="exact"/>
        <w:rPr>
          <w:sz w:val="20"/>
          <w:szCs w:val="20"/>
          <w:color w:val="auto"/>
        </w:rPr>
      </w:pPr>
    </w:p>
    <w:p>
      <w:pPr>
        <w:jc w:val="both"/>
        <w:ind w:left="120" w:right="6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Option 1. Life Annuity.  </w:t>
      </w:r>
      <w:r>
        <w:rPr>
          <w:rFonts w:ascii="Times New Roman" w:cs="Times New Roman" w:eastAsia="Times New Roman" w:hAnsi="Times New Roman"/>
          <w:sz w:val="18"/>
          <w:szCs w:val="18"/>
          <w:color w:val="auto"/>
        </w:rPr>
        <w:t>Under this option, we will make Income Payments so long as the Annuitant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alive. We stop making Income Payments after the Annuitant’s death. It is possible under this option to receive only one Income Payment if the Annuitant dies before the due date of the second payment or to receive only two Income Payments if the Annuitant dies before the due date of the third payment, and so on.</w:t>
      </w:r>
    </w:p>
    <w:p>
      <w:pPr>
        <w:spacing w:after="0" w:line="68" w:lineRule="exact"/>
        <w:rPr>
          <w:sz w:val="20"/>
          <w:szCs w:val="20"/>
          <w:color w:val="auto"/>
        </w:rPr>
      </w:pPr>
    </w:p>
    <w:p>
      <w:pPr>
        <w:jc w:val="both"/>
        <w:ind w:left="12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Option 2. Life Annuity With 10 Years of Income Payments Guaranteed.  </w:t>
      </w:r>
      <w:r>
        <w:rPr>
          <w:rFonts w:ascii="Times New Roman" w:cs="Times New Roman" w:eastAsia="Times New Roman" w:hAnsi="Times New Roman"/>
          <w:sz w:val="18"/>
          <w:szCs w:val="18"/>
          <w:color w:val="auto"/>
        </w:rPr>
        <w:t>Under this option, we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Income Payments so long as the Annuitant is alive. If, when the Annuitant dies, we have made Income Payments for less than ten years, we will then continue to make Income Payments to the Beneficiary for the rest of the 10 year period.</w:t>
      </w:r>
    </w:p>
    <w:p>
      <w:pPr>
        <w:spacing w:after="0" w:line="82" w:lineRule="exact"/>
        <w:rPr>
          <w:sz w:val="20"/>
          <w:szCs w:val="20"/>
          <w:color w:val="auto"/>
        </w:rPr>
      </w:pPr>
    </w:p>
    <w:p>
      <w:pPr>
        <w:jc w:val="both"/>
        <w:ind w:left="12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Option 3. Joint and Last Survivor Annuity.  </w:t>
      </w:r>
      <w:r>
        <w:rPr>
          <w:rFonts w:ascii="Times New Roman" w:cs="Times New Roman" w:eastAsia="Times New Roman" w:hAnsi="Times New Roman"/>
          <w:sz w:val="18"/>
          <w:szCs w:val="18"/>
          <w:color w:val="auto"/>
        </w:rPr>
        <w:t>Under this option, we will make Income Payments so long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Annuitant and a second person (joint Annuitant) are both alive. When either Annuitant dies, we will continue to make Income Payments, so long as the survivor continues to live. We will stop making Income Payments after the last survivor’s death.</w:t>
      </w:r>
    </w:p>
    <w:p>
      <w:pPr>
        <w:spacing w:after="0" w:line="82"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Option 4. Joint and Last Survivor Annuity with 10 Years of Income Payments Guaranteed.  </w:t>
      </w:r>
      <w:r>
        <w:rPr>
          <w:rFonts w:ascii="Times New Roman" w:cs="Times New Roman" w:eastAsia="Times New Roman" w:hAnsi="Times New Roman"/>
          <w:sz w:val="18"/>
          <w:szCs w:val="18"/>
          <w:color w:val="auto"/>
        </w:rPr>
        <w:t>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we will make Income Payments so long as the Annuitant and a second person (joint Annuitant) are both alive. When either Annuitant dies, we will continue to make Income Payments, so long as the survivor continues to live. If, at the last death of the Annuitant and the joint Annuitant, we have made Income Payments for less than ten years, we will then continue to make Income Payments to the Beneficiary for the rest of the 10 year period.</w:t>
      </w:r>
    </w:p>
    <w:p>
      <w:pPr>
        <w:spacing w:after="0" w:line="78"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We may require proof of the age or sex of an Annuitant before making any Income Payments under the Contract that are measured by the Annuitant’s life. If the age or sex of the Annuitant has been misstated, the amount payable will be the amount that the Account Value would have provided at the correct age or sex. Once Income Payments have begun, any underpayments will be made up in one sum with the next Income Payment or in any other manner agreed to by us. Any overpayments will be deducted first from future Income Payments. No interest will be credited or charged in the event of an underpayment or overpayment.</w:t>
      </w:r>
    </w:p>
    <w:p>
      <w:pPr>
        <w:spacing w:after="0" w:line="93"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Upon the death of the last surviving Annuitant, the Beneficiary may choose to continue receiving income payments (if permitted by the Code) or to receive the commuted value of the remaining guaranteed payments. The calculation of the commuted value will be done using the then current Annuity Option rates.</w:t>
      </w:r>
    </w:p>
    <w:p>
      <w:pPr>
        <w:spacing w:after="0" w:line="8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Due to underwriting, administrative or Code considerations, there may be limitations on payments to the survivor under Options 3 and 4 and/or the duration of the guarantee period under Options 2 and 4.</w:t>
      </w:r>
    </w:p>
    <w:p>
      <w:pPr>
        <w:spacing w:after="0" w:line="5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Tax rules with respect to decedent contracts may prohibit the election of Joint and Last Survivor Annuity Options (or income types) and may also prohibit payments for as long as the Owner’s life in certain circumstances.</w:t>
      </w:r>
    </w:p>
    <w:p>
      <w:pPr>
        <w:spacing w:after="0" w:line="8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In addition to the Annuity Options described above, we may offer an additional payment option that would allow your Beneficiary to take distribution of the Account Value over a period not extending beyond his or her life expectancy. Under this option, annual distributions would not be made in the form of an annuity, but would be calculated in a manner similar to the calculation of RMDs from IRAs. (See “FEDERAL TAX CONSIDERATIONS.”) We generally intend to make this payment option available to both Qualified Contracts and Non-Qualified Contracts, to the extent allowed under the Code; however, such payment option may be limited to certain categories of beneficiaries. In the event that you purchased the Contract as a Qualified Contract, you must take distribution of the Account Value in accordance with the minimum required distribution rules set forth in applicable tax law. (See “FEDERAL TAX CONSIDERATIONS.”) Under certain circumstances, you may satisfy those requirements by electing an Annuity Option. Upon your death, if Income Payments have already begun under a Qualified Contract, applicable tax law may require that any remaining Income Payments be paid over a shorter period than originally elected or otherwise adjusted to comply with the tax law. If you purchased the Contract as a Non-Qualified Contract, the tax rules that apply upon your death are similar to the tax rules for Qualified Contracts, but differ in some material respects. For example, if you die after Income Payments have already begun under a Non-Qualified Contract, any remaining Income Payments can continue to be paid, provided that they are paid at least as rapidly as under the method of distribution in effect at the time of your death.</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of Owner During the Income Period</w:t>
      </w:r>
    </w:p>
    <w:p>
      <w:pPr>
        <w:spacing w:after="0" w:line="121"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If the Owner (or a Joint Owner), is not the Annuitant, and dies during the Income Period, any remaining guaranteed payments under the Annuity Option elected will continue at least as rapidly as under the method of distribution in effect at the time of the Owner’s (or Joint Owner’s) death, but in all events in accordance with applicable tax law requirements. Upon the death of the Owner (or a Joint Owner) during the Income Period, the Beneficiary becomes entitled to exercise the rights of the Owner. If an Owner (or Joint Owner) is the Annuitant and dies during the Income Period, any remaining Income Payments</w:t>
      </w:r>
    </w:p>
    <w:p>
      <w:pPr>
        <w:sectPr>
          <w:pgSz w:w="11900" w:h="16838" w:orient="portrait"/>
          <w:cols w:equalWidth="0" w:num="1">
            <w:col w:w="9019"/>
          </w:cols>
          <w:pgMar w:left="1440" w:top="1377" w:right="1440" w:bottom="704" w:gutter="0" w:footer="0" w:header="0"/>
        </w:sectPr>
      </w:pPr>
    </w:p>
    <w:p>
      <w:pPr>
        <w:spacing w:after="0" w:line="2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9019"/>
          </w:cols>
          <w:pgMar w:left="1440" w:top="1377" w:right="1440" w:bottom="704" w:gutter="0" w:footer="0" w:header="0"/>
          <w:type w:val="continuous"/>
        </w:sectPr>
      </w:pPr>
    </w:p>
    <w:bookmarkStart w:id="61" w:name="page62"/>
    <w:bookmarkEnd w:id="61"/>
    <w:p>
      <w:pPr>
        <w:jc w:val="both"/>
        <w:ind w:left="120" w:right="65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(except under Option 1 or Option 3) will be as specified in the Annuity Option chosen and will continue at least as rapidly as under the method of distribution in effect at the time of the Owner’s (or Joint Owner’s) death, but in all events in accordance with applicable tax law requirements.</w:t>
      </w:r>
    </w:p>
    <w:p>
      <w:pPr>
        <w:spacing w:after="0" w:line="28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PREMIUM AND OTHER TAXES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We reserve the right to deduct from the Purchase Payment or Account Value any taxes relating to the Contract paid by us to any government entity (including, but not limited to, Premium Taxes, Federal, state and local withholding of income, estate, inheritance, other taxes required by law and any new or increased state income taxes that may be enacted into law). Premium taxes generally range from 0.5% to 3.5%. We will determine when taxes relate to the Contract.</w:t>
      </w:r>
    </w:p>
    <w:p>
      <w:pPr>
        <w:spacing w:after="0" w:line="7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may pay taxes when due and deduct that amount from the Account Value at a later date. Payment at an earlier date does not waive any right we may have to deduct amounts at a later date. Generally, it is our practice not to charge Premium Taxes until Income Payments begin.</w:t>
      </w:r>
    </w:p>
    <w:p>
      <w:pPr>
        <w:spacing w:after="0" w:line="28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reserve the right to deduct from the Contract for any income taxes which we incur because of the Contract. At the present time, however, we are not incurring any such income tax or making any such deductions.</w:t>
      </w: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FEDERAL 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following information on taxes is a general discussion of the subject. It is not intended as tax advice. The provisions of the Code that govern the Contract are complex and subject to change. The applicability of Federal income tax rules may vary with your particular circumstances. This discussion does not include all the Federal income tax rules that may affect you and your Contract. Nor does this discussion address other Federal tax consequences (such as estate and gift taxes, sales to foreign individuals or entities), or state or local tax consequences, which may affect your investment in the Contract. As a result, you should always consult a tax adviser for complete information and advice applicable to your individual situation.</w:t>
      </w:r>
    </w:p>
    <w:p>
      <w:pPr>
        <w:spacing w:after="0" w:line="8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You are responsible for determining whether your purchase of a Contract, withdrawals, Income Payments and any other transactions under your Contract satisfy applicable tax law.</w:t>
      </w:r>
    </w:p>
    <w:p>
      <w:pPr>
        <w:spacing w:after="0" w:line="5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For Federal tax purposes, the term “spouse” refers to the person to whom you are lawfully married, regardless of sex. The term “spouse” generally will not include individuals who are in a registered domestic partnership or civil union not denominated as marriage under state or other applicable law.</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Annuity Contracts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This discussion assumes the Contract is a “non-qualified” annuity Contract for Federal income tax purposes, that is not held in a tax qualified “plan.” Tax qualified plans include arrangements described in Code Sections 401(a), 401(k), 403(a), 403(b) or tax sheltered annuities (“TSA”), 408 or “IRAs” (including SEP and SIMPLE IRAs), 408A or “Roth IRAs” and 457(b) plans. Contracts owned through such plans are referred to below as “qualified” contracts.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Annuity Contracts Owned by Corporations and Other Legal Entities</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Taxes on earnings are deferred until you take money out. Non-qualified annuity Contracts owned by a non-natural person, such as corporations or certain other legal entities (other than a trust that holds the Contract as an agent for a natural person), do not receive tax deferral on earnings.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Accumulation</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Generally, an owner of a non-qualified annuity Contract is not taxed on increases in the value of the Contract until there is a distribution from the Contract, i.e. Surrender, partial withdrawal Income Payments or commutation. This deferral of taxation on accumulated value in the Contract is limited to Contracts owned by or held for the benefit of “natural persons.” A Contract will be treated as held by a natural person even if the nominal owner is a trust or other entity which holds the Contract as an agent for the exclusive benefit of a natural person.</w:t>
      </w:r>
    </w:p>
    <w:p>
      <w:pPr>
        <w:sectPr>
          <w:pgSz w:w="11900" w:h="16838" w:orient="portrait"/>
          <w:cols w:equalWidth="0" w:num="1">
            <w:col w:w="9019"/>
          </w:cols>
          <w:pgMar w:left="1440" w:top="1377" w:right="1440" w:bottom="1440" w:gutter="0" w:footer="0" w:header="0"/>
        </w:sectPr>
      </w:pPr>
    </w:p>
    <w:p>
      <w:pPr>
        <w:spacing w:after="0" w:line="26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9019"/>
          </w:cols>
          <w:pgMar w:left="1440" w:top="1377" w:right="1440" w:bottom="1440" w:gutter="0" w:footer="0" w:header="0"/>
          <w:type w:val="continuous"/>
        </w:sectPr>
      </w:pPr>
    </w:p>
    <w:bookmarkStart w:id="62" w:name="page63"/>
    <w:bookmarkEnd w:id="62"/>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 contrast, a Contract owned by other than a “natural person,” such as a corporation, partnership, trust or other entity (other than a trust holding the Contract as an agent for a natural person), will be taxed currently on the increase in accumulated value in the Contract in the year earned.</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Surrenders or Withdrawals—Early Distribution</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If you take a withdrawal from your Contract, or Surrender your Contract prior to the date you commence taking annuity or “income” payments (the “Annuity Starting Date”), the amount you receive will generally be treated first as coming from earnings, if any, (and thus subject to income tax) and then from your purchase payments (which are not subject to income tax). If the accumulated value is less than your purchase payments upon Surrender of your Contract, your ability to claim any unrecovered purchase payments on your Federal income tax return as a miscellaneous itemized deduction is suspended under the 2017 Tax Cuts and Job Act effective for tax years beginning after December 31, 2017 and before January 1, 2026.</w:t>
      </w:r>
    </w:p>
    <w:p>
      <w:pPr>
        <w:spacing w:after="0" w:line="8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portion of any withdrawal from an annuity Contract that is subject to income tax (including to pay fees and expenses associated with a fee-based program) may also be subject to a 10% Federal income tax penalty for “early” distribution if such withdrawal is taken prior to you reaching age 59½, unless an exception applies. Exceptions include distributions made:</w:t>
      </w:r>
    </w:p>
    <w:p>
      <w:pPr>
        <w:spacing w:after="0" w:line="112" w:lineRule="exact"/>
        <w:rPr>
          <w:sz w:val="20"/>
          <w:szCs w:val="20"/>
          <w:color w:val="auto"/>
        </w:rPr>
      </w:pPr>
    </w:p>
    <w:p>
      <w:pPr>
        <w:ind w:left="1180" w:hanging="708"/>
        <w:spacing w:after="0"/>
        <w:tabs>
          <w:tab w:leader="none" w:pos="1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your death or disability;</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series of substantially equal periodic payments made at least annually payable for your</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life (or life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expectancy) or joint lives (or joint life expectancies) of you and your designated beneficiary; or</w:t>
      </w:r>
    </w:p>
    <w:p>
      <w:pPr>
        <w:spacing w:after="0" w:line="139" w:lineRule="exact"/>
        <w:rPr>
          <w:sz w:val="20"/>
          <w:szCs w:val="20"/>
          <w:color w:val="auto"/>
        </w:rPr>
      </w:pPr>
    </w:p>
    <w:p>
      <w:pPr>
        <w:ind w:left="1180" w:hanging="708"/>
        <w:spacing w:after="0"/>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immediate income annuities.</w:t>
      </w:r>
    </w:p>
    <w:p>
      <w:pPr>
        <w:spacing w:after="0" w:line="117"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If you receive systematic payments that you intend to qualify for the “substantially equal periodic payments” exception noted above, any modifications (except due to death or disability) to your payment before age 59½ or within five years after beginning these payments, whichever is later, will result in the retroactive imposition of the 10% Federal income tax penalty with interest. Such modifications may include but are not limited to additional purchase payments to the Contract (including tax-free transfers or rollovers) or additional withdrawals from the Contract.</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Amounts received as a partial withdrawal may be fully includable in taxable income to the extent of gain in the Contract.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Aggregation</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If you purchase two or more deferred annuity Contracts after October 21, 1988, from BLIC (or its affiliates) during the same calendar year, the law requires that all such Contracts must be treated as a single Contract for purposes of determining whether any payments not received as an annuity (e.g., withdrawals) will be includible in income. Aggregation could affect the amount of a withdrawal that is taxable and subject to the 10% Federal income tax penalty described above. Since the IRS may require aggregation in other circumstances as well, you should consult a tax adviser if you are purchasing more than one annuity Contract from the same insurance company in a single calendar year. Aggregation does not affect distributions paid in the form of an annuity (See “Taxation of Payments in Annuity Form” below).</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Exchanges/Transfers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annuity Contract may be exchanged in whole or in part for another annuity contract or a long-term care insurance policy. An exchange in whole of an annuity for another annuity or for a qualified long-term care insurance policy will generally be a tax-free transaction under Section 1035 of the Code. The partial exchange of an annuity contract may be a tax-free transaction provided that, among other prescribed IRS conditions, no amounts are distributed from either contract involved in the exchange for 180 days following the date of the exchange—other than annuity payments made for life, joint lives, or for a term of 10 years or more. If a distribution is made from either contract within the 180-day period after the exchange or the exchange otherwise fails to satisfy other IRS prescriptions, the IRS reserves the right to characterize the exchange in a manner consistent with its substance, based on general tax principles and all the facts and circumstances. For instance, such distribution from either contract may be taxable to the extent of the combined gain attributable to both contracts, or only to the extent of your gain in the contract from which the distribution is paid. Some of the ramifications of a partial exchange remain unclear. You should consult your tax adviser concerning potential tax consequences prior to any partial exchange or split of annuity contracts.</w:t>
      </w:r>
    </w:p>
    <w:p>
      <w:pPr>
        <w:spacing w:after="0" w:line="79"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 transfer of ownership of the Contract, or the designation of an annuitant or other beneficiary who is not also the Contract owner, may result in income or gift tax consequences to the Contract owner. You should consult your tax adviser if you are considering such a transfer or assignment.</w:t>
      </w:r>
    </w:p>
    <w:p>
      <w:pPr>
        <w:sectPr>
          <w:pgSz w:w="11900" w:h="16838" w:orient="portrait"/>
          <w:cols w:equalWidth="0" w:num="1">
            <w:col w:w="9019"/>
          </w:cols>
          <w:pgMar w:left="1440" w:top="1377" w:right="1440" w:bottom="893" w:gutter="0" w:footer="0" w:header="0"/>
        </w:sectPr>
      </w:pPr>
    </w:p>
    <w:p>
      <w:pPr>
        <w:spacing w:after="0" w:line="2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9019"/>
          </w:cols>
          <w:pgMar w:left="1440" w:top="1377" w:right="1440" w:bottom="893" w:gutter="0" w:footer="0" w:header="0"/>
          <w:type w:val="continuous"/>
        </w:sectPr>
      </w:pPr>
    </w:p>
    <w:bookmarkStart w:id="63" w:name="page64"/>
    <w:bookmarkEnd w:id="63"/>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Death Benefit</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For non-qualified Contracts, the death benefit is taxable to the recipient in the same manner as if paid to the Contract owner (under the rules for withdrawals or Income Payments, whichever is applicable). After your death, any death benefit determined under the Contract must be distributed according to certain rules. The method of distribution that is required depends on whether you die before or after the Annuity Starting Date. If you die on or after the Annuity Starting Date, the remaining portion of the interest in the Contract must be distributed at least as rapidly as under the method of distribution being used as of the date of death. If you die before the Annuity Starting Date, the entire interest in the Contract must be distributed within five (5) years after the date of death, or as periodic payments over a period not extending beyond the life or life expectancy of the designated beneficiary (provided such payments begin within one year of your death) and the beneficiary must be a natural person. Additionally, if the annuity is payable to (or for the benefit of) your surviving spouse, that portion of the Contract may be continued with your spouse as the owner. For Contracts owned by a non-natural person, the required distribution rules apply upon the death of the annuitant. If there is more than one annuitant of a Contract held by a non-natural person, then such required distributions will be triggered by the death of the first co-annuitant.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Payments in Annuity Form</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Payments received from the Contract in the form of an annuity, are taxable as ordinary income to the extent they exceed the portion of the payment determined by applying the exclusion ratio to the entire payment. The exclusion ratio is determined at the time the Contract is annuitized (i.e. accumulated value is converted to an annuity form of distribution). Generally, the applicable exclusion ratio is your investment in the Contract divided by the total payments you expect to receive based on IRS factors, such as the form of annuity and mortality. The excludable portion of each annuity payment is the return of investment in the Contract and it is excludable from your taxable income until your investment in the Contract is fully recovered. We will make this calculation for you. However, it is possible that the IRS could conclude that the taxable portion of Income Payments under a non-qualified Contract is an amount greater—or less—than the taxable amount determined by us and reported by us to you and the IRS.</w:t>
      </w:r>
    </w:p>
    <w:p>
      <w:pPr>
        <w:spacing w:after="0" w:line="86"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Once you have recovered the investment in the Contract, further annuity payments are fully taxable. If you die before your investment in the Contract is fully recovered, the balance may be deducted on your last tax return, or if annuity payments continue after your death, the balance may be deducted by your beneficiary.</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IRS has not furnished explicit guidance as to how the excludable amount is to be determined each year under variable income annuities that permit transfers between a fixed annuity option and variable investment options, as well as transfers between investment options after the Annuity Starting Date. Once annuity payments have commenced, you may not be able to transfer to another non-qualified annuity contract or a long-term care contract as part of a tax-free exchange.</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If you receive payments that you intend to qualify for the “substantially equal periodic payments” exception noted above, any modifications (except due to death or disability) to your payment before age 59½ or within five</w:t>
      </w:r>
    </w:p>
    <w:p>
      <w:pPr>
        <w:jc w:val="both"/>
        <w:ind w:left="120" w:right="659" w:hanging="8"/>
        <w:spacing w:after="0" w:line="255" w:lineRule="auto"/>
        <w:tabs>
          <w:tab w:leader="none" w:pos="3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after beginning these payments, whichever is later, will result in the retroactive imposition of the 10% Federal income tax penalty with interest. Such modifications may include additional purchase payments or withdrawals (including tax-free transfers or rollovers of Income Payments) from the Contract.</w:t>
      </w:r>
    </w:p>
    <w:p>
      <w:pPr>
        <w:spacing w:after="0" w:line="7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If the Contract allows, you may elect to convert less than the full value of your Contract to an annuity form of pay-out (i.e., “partial annuitization.”) In this case, your investment in the Contract will be pro-rated between the annuitized portion of the Contract and the deferred portion. An exclusion ratio will apply to the annuity payments as described above, provided the annuity form you elect is payable for at least 10 years or for the life of one or more individuals.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3.8% Tax on Net Investment Income</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Federal tax law imposes a 3.8% Net Investment Income tax on the lesser of:</w:t>
      </w:r>
    </w:p>
    <w:p>
      <w:pPr>
        <w:spacing w:after="0" w:line="158" w:lineRule="exact"/>
        <w:rPr>
          <w:sz w:val="20"/>
          <w:szCs w:val="20"/>
          <w:color w:val="auto"/>
        </w:rPr>
      </w:pPr>
    </w:p>
    <w:p>
      <w:pPr>
        <w:ind w:left="1180" w:hanging="708"/>
        <w:spacing w:after="0"/>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taxpayer’s “net investment income,” (from non-qualified annuities, interest, dividends, and</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investments, offset by specified allowable deductions); or</w:t>
      </w:r>
    </w:p>
    <w:p>
      <w:pPr>
        <w:spacing w:after="0" w:line="139" w:lineRule="exact"/>
        <w:rPr>
          <w:sz w:val="20"/>
          <w:szCs w:val="20"/>
          <w:color w:val="auto"/>
        </w:rPr>
      </w:pPr>
    </w:p>
    <w:p>
      <w:pPr>
        <w:ind w:left="1180" w:hanging="708"/>
        <w:spacing w:after="0"/>
        <w:tabs>
          <w:tab w:leader="none" w:pos="1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taxpayer’s modified adjusted gross income in excess of a specified income threshold</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($250,000 for</w:t>
      </w:r>
    </w:p>
    <w:p>
      <w:pPr>
        <w:spacing w:after="0" w:line="9" w:lineRule="exact"/>
        <w:rPr>
          <w:sz w:val="20"/>
          <w:szCs w:val="20"/>
          <w:color w:val="auto"/>
        </w:rPr>
      </w:pPr>
    </w:p>
    <w:p>
      <w:pPr>
        <w:ind w:left="480" w:right="739"/>
        <w:spacing w:after="0" w:line="250" w:lineRule="auto"/>
        <w:rPr>
          <w:sz w:val="20"/>
          <w:szCs w:val="20"/>
          <w:color w:val="auto"/>
        </w:rPr>
      </w:pPr>
      <w:r>
        <w:rPr>
          <w:rFonts w:ascii="Times New Roman" w:cs="Times New Roman" w:eastAsia="Times New Roman" w:hAnsi="Times New Roman"/>
          <w:sz w:val="18"/>
          <w:szCs w:val="18"/>
          <w:color w:val="auto"/>
        </w:rPr>
        <w:t>married couples filing jointly and qualifying surviving spouses, $125,000 for married couples filing separately, and</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$200,000 for single filers).</w:t>
      </w:r>
    </w:p>
    <w:p>
      <w:pPr>
        <w:spacing w:after="0" w:line="99"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“Net investment income” in Item 1 above does not include distributions from tax qualified plans, (i.e., arrangements described in Code Sections 401(a), 403(a), 403(b), 408, 408A or 457(b)), but such income will increase modified adjusted gross income in Item 2 above.</w:t>
      </w:r>
    </w:p>
    <w:p>
      <w:pPr>
        <w:spacing w:after="0" w:line="68"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You should consult your tax adviser regarding the applicability of this tax to income under your annuity Contract.</w:t>
      </w:r>
    </w:p>
    <w:p>
      <w:pPr>
        <w:sectPr>
          <w:pgSz w:w="11900" w:h="16838" w:orient="portrait"/>
          <w:cols w:equalWidth="0" w:num="1">
            <w:col w:w="9019"/>
          </w:cols>
          <w:pgMar w:left="1440" w:top="1373" w:right="1440" w:bottom="150" w:gutter="0" w:footer="0" w:header="0"/>
        </w:sectPr>
      </w:pPr>
    </w:p>
    <w:p>
      <w:pPr>
        <w:spacing w:after="0" w:line="2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9019"/>
          </w:cols>
          <w:pgMar w:left="1440" w:top="1373" w:right="1440" w:bottom="150" w:gutter="0" w:footer="0" w:header="0"/>
          <w:type w:val="continuous"/>
        </w:sectPr>
      </w:pPr>
    </w:p>
    <w:bookmarkStart w:id="64" w:name="page65"/>
    <w:bookmarkEnd w:id="64"/>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Qualified Annuity Contracts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Currently, the Contract is available for use in connection with Non-Qualified Plans, Traditional IRAs and Roth IRAs. In general, annuity contracts purchased through certain types of retirement plans receive favorable treatment under the Code (“tax qualified plans” or “qualified plans”). Tax-qualified plans include arrangements described in Code Sections 401(a), 401(k), 403(a), 403(b) or tax sheltered annuities (“TSA”), 408 or “IRAs” (including SEP and SIMPLE IRAs), 408A or “Roth IRAs” and 457(b) plans. Extensive special tax rules apply to qualified plans and to the annuity Contracts used in connection with these plans. Therefore, the following discussion provides only general information about the use of the Contract with the various types of qualified plans. Adverse tax consequences may result if you do not ensure that contributions, distributions and other transactions with respect to the Contract comply with the law.</w:t>
      </w:r>
    </w:p>
    <w:p>
      <w:pPr>
        <w:spacing w:after="0" w:line="80"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rights to any benefit under the plan will be subject to the terms and conditions of the plan itself as well as the terms and conditions of the Contract.</w:t>
      </w:r>
    </w:p>
    <w:p>
      <w:pPr>
        <w:spacing w:after="0" w:line="5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exercise no control over whether a particular retirement plan or a particular contribution to the plan satisfies the applicable requirements of the Code, or whether a particular individual is entitled to participate or benefit under a plan.</w:t>
      </w:r>
    </w:p>
    <w:p>
      <w:pPr>
        <w:spacing w:after="0" w:line="68"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All qualified plans and arrangements receive tax deferral under the Code. Since there are no additional tax benefits in funding such retirement arrangements with an annuity, there should be reasons other than tax deferral for acquiring the annuity within the plan. Such non-tax benefits may include additional insurance benefits, such as the availability of a guaranteed income for life.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Accumulation</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tax rules applicable to qualified plans vary according to the type of plan and the terms and conditions of the plan itself. Both the amount of the contribution that may be made and the tax deduction or exclusion that you may claim for that contribution under qualified plans are limited under the Code.</w:t>
      </w:r>
    </w:p>
    <w:p>
      <w:pPr>
        <w:spacing w:after="0" w:line="68"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Purchase payments or contributions to IRAs or tax qualified retirement plans of an employer may be taken from current income on a before tax basis or after tax basis. Purchase payments made on a “before tax” basis entitle you to a tax deduction or are not subject to current income tax. Purchase payments made on an “after tax” basis do not reduce your taxable income or give you a tax deduction. Contributions may also consist of transfers or rollovers as described below and are not subject to the annual limitations on contributions.</w:t>
      </w:r>
    </w:p>
    <w:p>
      <w:pPr>
        <w:spacing w:after="0" w:line="7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An IRA Contract will accept as a single purchase payment a transfer or rollover from another IRA (including a SEP or SIMPLE IRA) or rollover from an eligible retirement plan of an employer (i.e., 401(a), 401(k), 403(a), 403(b) or governmental 457(b) plans.) A rollover or transfer from a SIMPLE IRA is allowed provided that the taxpayer has participated in such arrangement for at least two years. As part of the single purchase payment, the IRA Contract will also accept an IRA contribution subject to the Code limits for the year of purchase.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Annuity Distributions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If contributions are made on a “before tax” basis, you generally pay income taxes on the full amount of money you receive under the Contract. Withdrawals attributable to any after-tax contributions are your basis in the Contract and not subject to income tax (except for the portion of the withdrawal allocable to earnings if any). Under current Federal income tax rules, the taxable portion of distributions under annuity contracts and qualified plans (including IRAs) is not eligible for the reduced tax rate applicable to long-term capital gains and qualifying dividends.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you meet certain requirements, your Roth IRA earnings can be received free of Federal income taxes.</w:t>
      </w:r>
    </w:p>
    <w:p>
      <w:pPr>
        <w:spacing w:after="0" w:line="117"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With respect to IRA Contracts, we will withhold a portion of the taxable amount of your withdrawal for income taxes, unless you elect otherwise. The amount we will withhold is determined by the Code.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Withdrawals Prior to Age 59½</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 taxable withdrawal from a qualified Contract which is subject to income tax may also be subject to a 10% Federal income tax penalty for “early” distribution if taken prior to age 59½, unless an exception described below applies.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Exceptions to the early distribution penalty for qualified plans include withdrawals or distributions made:</w:t>
      </w:r>
    </w:p>
    <w:p>
      <w:pPr>
        <w:spacing w:after="0" w:line="158" w:lineRule="exact"/>
        <w:rPr>
          <w:sz w:val="20"/>
          <w:szCs w:val="20"/>
          <w:color w:val="auto"/>
        </w:rPr>
      </w:pPr>
    </w:p>
    <w:p>
      <w:pPr>
        <w:ind w:left="1180" w:hanging="708"/>
        <w:spacing w:after="0"/>
        <w:tabs>
          <w:tab w:leader="none" w:pos="1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your death or disability,</w:t>
      </w:r>
    </w:p>
    <w:p>
      <w:pPr>
        <w:sectPr>
          <w:pgSz w:w="11900" w:h="16838" w:orient="portrait"/>
          <w:cols w:equalWidth="0" w:num="1">
            <w:col w:w="9019"/>
          </w:cols>
          <w:pgMar w:left="1440" w:top="1373" w:right="1440" w:bottom="1440" w:gutter="0" w:footer="0" w:header="0"/>
        </w:sectPr>
      </w:pPr>
    </w:p>
    <w:p>
      <w:pPr>
        <w:spacing w:after="0" w:line="3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9019"/>
          </w:cols>
          <w:pgMar w:left="1440" w:top="1373" w:right="1440" w:bottom="1440" w:gutter="0" w:footer="0" w:header="0"/>
          <w:type w:val="continuous"/>
        </w:sectPr>
      </w:pPr>
    </w:p>
    <w:bookmarkStart w:id="65" w:name="page66"/>
    <w:bookmarkEnd w:id="65"/>
    <w:p>
      <w:pPr>
        <w:ind w:left="1180" w:right="739" w:hanging="708"/>
        <w:spacing w:after="0" w:line="261" w:lineRule="auto"/>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as part of a series of substantially equal periodic payments payable for your life (or life expectancy) or joint</w:t>
      </w:r>
    </w:p>
    <w:p>
      <w:pPr>
        <w:ind w:left="480" w:right="739"/>
        <w:spacing w:after="0" w:line="250" w:lineRule="auto"/>
        <w:rPr>
          <w:sz w:val="20"/>
          <w:szCs w:val="20"/>
          <w:color w:val="auto"/>
        </w:rPr>
      </w:pPr>
      <w:r>
        <w:rPr>
          <w:rFonts w:ascii="Times New Roman" w:cs="Times New Roman" w:eastAsia="Times New Roman" w:hAnsi="Times New Roman"/>
          <w:sz w:val="18"/>
          <w:szCs w:val="18"/>
          <w:color w:val="auto"/>
        </w:rPr>
        <w:t>lives (or joint life expectancies) of you and your designated beneficiary and (in the case of certain employer-sponsored</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qualified plans) you are separated from employment,</w:t>
      </w:r>
    </w:p>
    <w:p>
      <w:pPr>
        <w:spacing w:after="0" w:line="139" w:lineRule="exact"/>
        <w:rPr>
          <w:sz w:val="20"/>
          <w:szCs w:val="20"/>
          <w:color w:val="auto"/>
        </w:rPr>
      </w:pPr>
    </w:p>
    <w:p>
      <w:pPr>
        <w:ind w:left="1180" w:right="1079" w:hanging="708"/>
        <w:spacing w:after="0" w:line="282" w:lineRule="auto"/>
        <w:tabs>
          <w:tab w:leader="none" w:pos="1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separation from service after age 55. This rule does not apply to IRAs (including SEPs and SIMPLE IRAs),</w:t>
      </w:r>
    </w:p>
    <w:p>
      <w:pPr>
        <w:spacing w:after="0" w:line="94" w:lineRule="exact"/>
        <w:rPr>
          <w:rFonts w:ascii="Times New Roman" w:cs="Times New Roman" w:eastAsia="Times New Roman" w:hAnsi="Times New Roman"/>
          <w:sz w:val="18"/>
          <w:szCs w:val="18"/>
          <w:color w:val="auto"/>
        </w:rPr>
      </w:pPr>
    </w:p>
    <w:p>
      <w:pPr>
        <w:ind w:left="1180" w:right="739" w:hanging="708"/>
        <w:spacing w:after="0" w:line="261" w:lineRule="auto"/>
        <w:tabs>
          <w:tab w:leader="none" w:pos="1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(“QDRO”). This rule does not apply to IRAs (including SEPs</w:t>
      </w:r>
    </w:p>
    <w:p>
      <w:pPr>
        <w:ind w:left="480"/>
        <w:spacing w:after="0"/>
        <w:rPr>
          <w:sz w:val="20"/>
          <w:szCs w:val="20"/>
          <w:color w:val="auto"/>
        </w:rPr>
      </w:pPr>
      <w:r>
        <w:rPr>
          <w:rFonts w:ascii="Times New Roman" w:cs="Times New Roman" w:eastAsia="Times New Roman" w:hAnsi="Times New Roman"/>
          <w:sz w:val="18"/>
          <w:szCs w:val="18"/>
          <w:color w:val="auto"/>
        </w:rPr>
        <w:t>and SIMPLE IRAs),</w:t>
      </w:r>
    </w:p>
    <w:p>
      <w:pPr>
        <w:spacing w:after="0" w:line="139" w:lineRule="exact"/>
        <w:rPr>
          <w:sz w:val="20"/>
          <w:szCs w:val="20"/>
          <w:color w:val="auto"/>
        </w:rPr>
      </w:pPr>
    </w:p>
    <w:p>
      <w:pPr>
        <w:ind w:left="1180" w:hanging="708"/>
        <w:spacing w:after="0"/>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IRS levies (and made after December 31, 1999),</w:t>
      </w:r>
    </w:p>
    <w:p>
      <w:pPr>
        <w:spacing w:after="0" w:line="144"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deductible medical expenses, or</w:t>
      </w:r>
    </w:p>
    <w:p>
      <w:pPr>
        <w:spacing w:after="0" w:line="157" w:lineRule="exact"/>
        <w:rPr>
          <w:rFonts w:ascii="Times New Roman" w:cs="Times New Roman" w:eastAsia="Times New Roman" w:hAnsi="Times New Roman"/>
          <w:sz w:val="18"/>
          <w:szCs w:val="18"/>
          <w:color w:val="auto"/>
        </w:rPr>
      </w:pPr>
    </w:p>
    <w:p>
      <w:pPr>
        <w:ind w:left="1180" w:right="739" w:hanging="708"/>
        <w:spacing w:after="0" w:line="261" w:lineRule="auto"/>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IRAs only, to pay for medical insurance (if you are unemployed), qualified higher education</w:t>
      </w:r>
    </w:p>
    <w:p>
      <w:pPr>
        <w:ind w:left="480"/>
        <w:spacing w:after="0"/>
        <w:rPr>
          <w:sz w:val="20"/>
          <w:szCs w:val="20"/>
          <w:color w:val="auto"/>
        </w:rPr>
      </w:pPr>
      <w:r>
        <w:rPr>
          <w:rFonts w:ascii="Times New Roman" w:cs="Times New Roman" w:eastAsia="Times New Roman" w:hAnsi="Times New Roman"/>
          <w:sz w:val="18"/>
          <w:szCs w:val="18"/>
          <w:color w:val="auto"/>
        </w:rPr>
        <w:t>expenses, or for a qualified first time home purchase up to $10,000.</w:t>
      </w:r>
    </w:p>
    <w:p>
      <w:pPr>
        <w:spacing w:after="0" w:line="112"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Other exceptions may be applicable under certain circumstances and special rules apply or may become applicable in connection with the exceptions enumerated above. Other exceptions include certain provisions under the SECURE 2.0 Act of 2022 which may provide the ability to recontribute an “early” distribution to an IRA or employer sponsored qualified plan (subject to the provisions of the Code, the qualified plan/IRA, the Contract and our administrative rules.) You should consult your tax adviser to confirm whether an exception applies.</w:t>
      </w:r>
    </w:p>
    <w:p>
      <w:pPr>
        <w:spacing w:after="0" w:line="8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If you receive systematic payments or any other payments that you intend to qualify for the “substantially equal periodic payments” exception noted above, any modifications (except due to death or disability) to your payment before age 59½ or within five years after beginning these payments, whichever is later, will result in the retroactive imposition of the 10% Federal income tax penalty with interest. Such modifications may include but are not limited to additional purchase payments to the Contract (including tax-free transfers or rollovers) and additional withdrawals from the Contract.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Rollovers and Transfers</w:t>
      </w:r>
    </w:p>
    <w:p>
      <w:pPr>
        <w:spacing w:after="0" w:line="135"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Your Contract is non-forfeitable (i.e., not subject to the claims of your creditors) and non-transferable (i.e., you may not transfer it to someone else).</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Under certain circumstances, you may be able to transfer amounts distributed from your Contract to another eligible retirement plan or IRA.</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Generally, a distribution may be eligible for rollover. Certain types of distributions cannot be rolled over, such as distributions received on account of:</w:t>
      </w:r>
    </w:p>
    <w:p>
      <w:pPr>
        <w:spacing w:after="0" w:line="94" w:lineRule="exact"/>
        <w:rPr>
          <w:sz w:val="20"/>
          <w:szCs w:val="20"/>
          <w:color w:val="auto"/>
        </w:rPr>
      </w:pPr>
    </w:p>
    <w:p>
      <w:pPr>
        <w:ind w:left="1180" w:hanging="708"/>
        <w:spacing w:after="0"/>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distribution requirements, or</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hardship; or</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ten or more years or for life.</w:t>
      </w:r>
    </w:p>
    <w:p>
      <w:pPr>
        <w:spacing w:after="0" w:line="11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Federal income tax law allows you to make only one rollover from an IRA to another (or the same) IRA in any 12-month period, regardless of the number of IRAs you own. Generally, this limit does not apply to trustee-to-trustee transfers between IRAs. Because the rollover rules are complex, please consult with your tax adviser before making an IRA rollover.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Withholding on Eligible Rollover Distributions</w:t>
      </w:r>
    </w:p>
    <w:p>
      <w:pPr>
        <w:spacing w:after="0" w:line="121"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For certain qualified employer plans, we are required to withhold 20% of the taxable portion of your withdrawal that constitutes an “eligible rollover distribution” for Federal income taxes. The amount we withhold is determined by the Code. You may avoid withholding if you directly transfer a withdrawal from this Contract to another IRA or other qualified plan. Similarly, you may be able to avoid withholding on a transfer into this Contract from an existing qualified plan you may have with another provider by arranging to have the transfer made directly to us. For taxable withdrawals that are not “eligible rollover distributions,” the Code imposes different withholding rules to determine the withholding percentages.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Benefit</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death benefit in a qualified Contract is taxable to the recipient in the same manner as if paid to the Contract owner or plan participant (under the rules for withdrawals or Income Payments, whichever is applicable).</w:t>
      </w:r>
    </w:p>
    <w:p>
      <w:pPr>
        <w:spacing w:after="0" w:line="5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RMD amounts are required to be distributed from a Qualified annuity Contract (including a contract issued as a Roth IRA) following your death. Congress recently changed the RMD rules for individuals who die after 2019. The after-death RMD rules are complex, and you should consult your tax adviser about how they may apply to your situation.</w:t>
      </w:r>
    </w:p>
    <w:p>
      <w:pPr>
        <w:sectPr>
          <w:pgSz w:w="11900" w:h="16838" w:orient="portrait"/>
          <w:cols w:equalWidth="0" w:num="1">
            <w:col w:w="9019"/>
          </w:cols>
          <w:pgMar w:left="1440" w:top="1377" w:right="1440" w:bottom="0" w:gutter="0" w:footer="0" w:header="0"/>
        </w:sectPr>
      </w:pP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9019"/>
          </w:cols>
          <w:pgMar w:left="1440" w:top="1377" w:right="1440" w:bottom="0" w:gutter="0" w:footer="0" w:header="0"/>
          <w:type w:val="continuous"/>
        </w:sectPr>
      </w:pPr>
    </w:p>
    <w:bookmarkStart w:id="66" w:name="page67"/>
    <w:bookmarkEnd w:id="66"/>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Effective January 1, 2020, when an IRA owner or participant in a defined contribution plan dies, any remaining interest generally must be distributed within 10 years (or in some cases five years) after his or her death, unless an exception applies. An exception permits an “eligible designated beneficiary” to take distributions over life or a period not exceeding life expectancy, subject to special rules and limitations. An “eligible designated beneficiary” includes: the IRA owner/participant’s spouse or minor child (until the child reaches age of majority), certain disabled or chronically ill individuals, and an individual who is not more than 10 years younger than the IRA owner/participant. We may limit available payment options, including limiting any payment option over life, or a period not exceeding life expectancy, to certain categories of eligible designated beneficiary.</w:t>
      </w:r>
    </w:p>
    <w:p>
      <w:pPr>
        <w:spacing w:after="0" w:line="97"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Generally, distributions under this exception must start by the end of the year following your death. However, if your surviving spouse is the sole designated beneficiary, distributions may generally be delayed until December 31 of the year you would have attained the Applicable Age (as defined in the chart below), if your Contract permits.</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If you die after annuity payments have already begun under a Qualified Contract, any remaining payments under the contract also must be made in accordance with the RMD rules. In some cases, those rules may require that the remaining payments be made over a shorter period than originally elected or otherwise adjusted to comply with the tax law.</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If your surviving spouse is the sole designated beneficiary of your Traditional or Roth IRA, then your surviving spouse may elect to treat the Traditional or Roth IRA as his or her own.</w:t>
      </w:r>
    </w:p>
    <w:p>
      <w:pPr>
        <w:spacing w:after="0" w:line="5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Your designated beneficiary is the person to whom benefit rights under the Contract pass by reason of death. The beneficiary generally must be a natural person in order to elect a periodic payment option based on life expectancy or a period exceeding five years. Different tax rules may apply if your Beneficiary is not a natural person, such as your estate.</w:t>
      </w:r>
    </w:p>
    <w:p>
      <w:pPr>
        <w:spacing w:after="0" w:line="7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Alternatively, your spouse may be able to roll over the death proceeds into another eligible retirement plan in which he or she participates, if permitted under the receiving plan, or he or she may elect to rollover the death proceeds into his or her own IRA, or he or she may elect to transfer the death proceeds into an inherited IRA.</w:t>
      </w:r>
    </w:p>
    <w:p>
      <w:pPr>
        <w:spacing w:after="0" w:line="68"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If your beneficiary is not your spouse and your plan and Contract permit, your beneficiary may be able to rollover the death proceeds via a direct trustee-to-trustee transfer into an inherited IRA. However, a non-spouse beneficiary may not treat the inherited IRA as his or her own IRA.</w:t>
      </w:r>
    </w:p>
    <w:p>
      <w:pPr>
        <w:spacing w:after="0" w:line="68"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Additionally, for contracts issued in connection with qualified plans subject to ERISA, the spouse or ex-spouse of the participant may have rights in the contract. In such a case, the participant may need the consent of the spouse or ex-spouse to change annuity options or make a withdrawal from the contract.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Applicable Age for Required Minimum Distributions (RMD)</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used in this prospectus, “Applicable Age” means the following:</w:t>
      </w:r>
    </w:p>
    <w:p>
      <w:pPr>
        <w:spacing w:after="0" w:line="58" w:lineRule="exact"/>
        <w:rPr>
          <w:sz w:val="20"/>
          <w:szCs w:val="20"/>
          <w:color w:val="auto"/>
        </w:rPr>
      </w:pPr>
    </w:p>
    <w:tbl>
      <w:tblPr>
        <w:tblLayout w:type="fixed"/>
        <w:tblInd w:w="130" w:type="dxa"/>
        <w:tblCellMar>
          <w:top w:w="0" w:type="dxa"/>
          <w:left w:w="0" w:type="dxa"/>
          <w:bottom w:w="0" w:type="dxa"/>
          <w:right w:w="0" w:type="dxa"/>
        </w:tblCellMar>
      </w:tblPr>
      <w:tr>
        <w:trPr>
          <w:trHeight w:val="237"/>
        </w:trPr>
        <w:tc>
          <w:tcPr>
            <w:tcW w:w="49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If you…</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Your “Applicable Age”</w:t>
            </w:r>
          </w:p>
        </w:tc>
      </w:tr>
      <w:tr>
        <w:trPr>
          <w:trHeight w:val="238"/>
        </w:trPr>
        <w:tc>
          <w:tcPr>
            <w:tcW w:w="4940" w:type="dxa"/>
            <w:vAlign w:val="bottom"/>
            <w:tcBorders>
              <w:left w:val="single" w:sz="8" w:color="auto"/>
              <w:right w:val="single" w:sz="8" w:color="auto"/>
            </w:tcBorders>
          </w:tcPr>
          <w:p>
            <w:pPr>
              <w:spacing w:after="0"/>
              <w:rPr>
                <w:sz w:val="20"/>
                <w:szCs w:val="20"/>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69"/>
        </w:trPr>
        <w:tc>
          <w:tcPr>
            <w:tcW w:w="49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Were born on or before June 30, 1949</w:t>
            </w:r>
          </w:p>
        </w:tc>
        <w:tc>
          <w:tcPr>
            <w:tcW w:w="19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70½</w:t>
            </w:r>
          </w:p>
        </w:tc>
      </w:tr>
      <w:tr>
        <w:trPr>
          <w:trHeight w:val="218"/>
        </w:trPr>
        <w:tc>
          <w:tcPr>
            <w:tcW w:w="49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Were born on or after July 1, 1949 (and attain age 72 prior to</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34"/>
        </w:trPr>
        <w:tc>
          <w:tcPr>
            <w:tcW w:w="4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January 1, 2023)</w:t>
            </w:r>
          </w:p>
        </w:tc>
        <w:tc>
          <w:tcPr>
            <w:tcW w:w="1980" w:type="dxa"/>
            <w:vAlign w:val="bottom"/>
            <w:tcBorders>
              <w:right w:val="single" w:sz="8" w:color="auto"/>
            </w:tcBorders>
          </w:tcPr>
          <w:p>
            <w:pPr>
              <w:spacing w:after="0"/>
              <w:rPr>
                <w:sz w:val="20"/>
                <w:szCs w:val="20"/>
                <w:color w:val="auto"/>
              </w:rPr>
            </w:pP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18"/>
        </w:trPr>
        <w:tc>
          <w:tcPr>
            <w:tcW w:w="494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Attain age 72 on or after January 1, 2023 (and attain age 73 on or</w:t>
            </w:r>
          </w:p>
        </w:tc>
        <w:tc>
          <w:tcPr>
            <w:tcW w:w="19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r>
      <w:tr>
        <w:trPr>
          <w:trHeight w:val="266"/>
        </w:trPr>
        <w:tc>
          <w:tcPr>
            <w:tcW w:w="49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before December 31, 2032)</w:t>
            </w:r>
          </w:p>
        </w:tc>
        <w:tc>
          <w:tcPr>
            <w:tcW w:w="198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47"/>
        </w:trPr>
        <w:tc>
          <w:tcPr>
            <w:tcW w:w="49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Attain age 73 on or after January 1, 2033</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234"/>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-1453515</wp:posOffset>
            </wp:positionV>
            <wp:extent cx="4380230" cy="3175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80230" cy="31750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-956310</wp:posOffset>
            </wp:positionV>
            <wp:extent cx="4380230" cy="3175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80230" cy="31750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-321945</wp:posOffset>
            </wp:positionV>
            <wp:extent cx="4380230" cy="16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80230" cy="162560"/>
                    </a:xfrm>
                    <a:prstGeom prst="rect">
                      <a:avLst/>
                    </a:prstGeom>
                    <a:noFill/>
                  </pic:spPr>
                </pic:pic>
              </a:graphicData>
            </a:graphic>
          </wp:anchor>
        </w:drawing>
      </w: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Minimum Distributions During the Owner’s Life</w:t>
      </w:r>
    </w:p>
    <w:p>
      <w:pPr>
        <w:spacing w:after="0" w:line="121"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Generally, you must begin receiving RMD amounts from your qualified Contract by the Required Beginning Date. Generally, for retirement plans, the “Required Beginning Date” is April 1 following the latter of:</w:t>
      </w:r>
    </w:p>
    <w:p>
      <w:pPr>
        <w:spacing w:after="0" w:line="94" w:lineRule="exact"/>
        <w:rPr>
          <w:sz w:val="20"/>
          <w:szCs w:val="20"/>
          <w:color w:val="auto"/>
        </w:rPr>
      </w:pPr>
    </w:p>
    <w:p>
      <w:pPr>
        <w:ind w:left="1180" w:hanging="708"/>
        <w:spacing w:after="0"/>
        <w:tabs>
          <w:tab w:leader="none" w:pos="1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calendar year in which you reach the Applicable Age; or</w:t>
      </w:r>
    </w:p>
    <w:p>
      <w:pPr>
        <w:spacing w:after="0" w:line="144" w:lineRule="exact"/>
        <w:rPr>
          <w:rFonts w:ascii="Times New Roman" w:cs="Times New Roman" w:eastAsia="Times New Roman" w:hAnsi="Times New Roman"/>
          <w:sz w:val="18"/>
          <w:szCs w:val="18"/>
          <w:color w:val="auto"/>
        </w:rPr>
      </w:pPr>
    </w:p>
    <w:p>
      <w:pPr>
        <w:ind w:left="1180" w:right="739" w:hanging="708"/>
        <w:spacing w:after="0" w:line="261" w:lineRule="auto"/>
        <w:tabs>
          <w:tab w:leader="none" w:pos="1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calendar year you retire, provided you do not own more than 5% of the outstanding stock, capital, or</w:t>
      </w:r>
    </w:p>
    <w:p>
      <w:pPr>
        <w:ind w:left="480"/>
        <w:spacing w:after="0"/>
        <w:rPr>
          <w:sz w:val="20"/>
          <w:szCs w:val="20"/>
          <w:color w:val="auto"/>
        </w:rPr>
      </w:pPr>
      <w:r>
        <w:rPr>
          <w:rFonts w:ascii="Times New Roman" w:cs="Times New Roman" w:eastAsia="Times New Roman" w:hAnsi="Times New Roman"/>
          <w:sz w:val="18"/>
          <w:szCs w:val="18"/>
          <w:color w:val="auto"/>
        </w:rPr>
        <w:t>profits of your employer.</w:t>
      </w:r>
    </w:p>
    <w:p>
      <w:pPr>
        <w:spacing w:after="0" w:line="99"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For IRAs (including SEPs and SIMPLEs) the Required Beginning Date by which you must begin receiving withdrawals is the year in which you attain the Applicable Age even if you have not retired, taking your first distribution no later than April 1 of the year after you reach the Applicable Age.</w:t>
      </w:r>
    </w:p>
    <w:p>
      <w:pPr>
        <w:sectPr>
          <w:pgSz w:w="11900" w:h="16838" w:orient="portrait"/>
          <w:cols w:equalWidth="0" w:num="1">
            <w:col w:w="9019"/>
          </w:cols>
          <w:pgMar w:left="1440" w:top="1377" w:right="1440" w:bottom="852" w:gutter="0" w:footer="0" w:header="0"/>
        </w:sectPr>
      </w:pPr>
    </w:p>
    <w:p>
      <w:pPr>
        <w:spacing w:after="0" w:line="2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9019"/>
          </w:cols>
          <w:pgMar w:left="1440" w:top="1377" w:right="1440" w:bottom="852" w:gutter="0" w:footer="0" w:header="0"/>
          <w:type w:val="continuous"/>
        </w:sectPr>
      </w:pPr>
    </w:p>
    <w:bookmarkStart w:id="67" w:name="page68"/>
    <w:bookmarkEnd w:id="67"/>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For all subsequent years, including the first year in which you took your RMD by April 1, you must take the required minimum distribution for the year by December 31st. This will require you to take two distributions in the same calendar year if you wait to take your first distribution until April 1 of the year after attaining the Applicable Age.</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 tax penalty (an excise tax) of up to 25% applies to the shortfall of any required minimum distributions you fail to receive.</w:t>
      </w:r>
    </w:p>
    <w:p>
      <w:pPr>
        <w:spacing w:after="0" w:line="54"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minimum required distribution is calculated with respect to each IRA, but the aggregate distribution may be taken from any one or more of your IRAs.</w:t>
      </w:r>
    </w:p>
    <w:p>
      <w:pPr>
        <w:spacing w:after="0" w:line="5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regulations also require that the value of benefits under a deferred annuity including certain death benefits in excess of Contract value must be added to the amount credited to your account in computing the amount required to be distributed over the applicable period. We will provide you with additional information regarding the amount that is subject to minimum distribution under this rule. You should consult your own tax adviser as to how these rules affect your own distribution under this rule.</w:t>
      </w:r>
    </w:p>
    <w:p>
      <w:pPr>
        <w:spacing w:after="0" w:line="75"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If you intend to receive your minimum distributions in the form of Income Payments that are payable over the joint lives of you and a beneficiary or over a guaranteed duration of more than 10 years, be advised that Federal tax law rules may require that, after your death, any remaining payments be made over a shorter period or be reduced after your death to satisfy the RMD rules and avoid the up to 25% excise tax. Other complex rules also apply to RMDs taken in the form of Income Payments. You should consult your own tax adviser as to how these rules affect your own Contract.</w:t>
      </w:r>
    </w:p>
    <w:p>
      <w:pPr>
        <w:spacing w:after="0" w:line="79"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Required minimum distribution rules that apply to other types of IRAs while you are alive do not apply to Roth IRAs. However, in general, the IRA post-death rules with respect to minimum distributions do apply to beneficiaries of Roth IRAs. Effective in 2024, similar rules apply to Roth account balances maintained in employer-sponsored qualified plans. As a result, required minimum distribution rules that generally apply under an employer-sponsored qualified plan once you attain your Applicable Age, will not apply to any Roth account balance while you are alive. However, in general, post-death rules with respect to minimum distributions do apply to beneficiaries upon your death.</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Information regarding IRAs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payments</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Traditional IRA purchase payments (except for permissible rollovers and direct transfers) are limited in the aggregate to the lesser of 100% of compensation or the deductible amount established each year under the Code. A purchase payment up to the deductible amount can also be made for a non-working spouse provided the couple’s compensation is at least equal to their aggregate contributions. Individuals age 50 and older are permitted to make additional “catch-up” contributions if they have sufficient compensation. If you or your spouse are an active participant in a retirement plan of an employer, your deductible contributions may be limited. If you exceed purchase payment limits you may be subject to a tax penalty.</w:t>
      </w:r>
    </w:p>
    <w:p>
      <w:pPr>
        <w:spacing w:after="0" w:line="81" w:lineRule="exact"/>
        <w:rPr>
          <w:sz w:val="20"/>
          <w:szCs w:val="20"/>
          <w:color w:val="auto"/>
        </w:rPr>
      </w:pPr>
    </w:p>
    <w:p>
      <w:pPr>
        <w:jc w:val="both"/>
        <w:ind w:left="120" w:right="639" w:firstLine="360"/>
        <w:spacing w:after="0" w:line="277" w:lineRule="auto"/>
        <w:rPr>
          <w:sz w:val="20"/>
          <w:szCs w:val="20"/>
          <w:color w:val="auto"/>
        </w:rPr>
      </w:pPr>
      <w:r>
        <w:rPr>
          <w:rFonts w:ascii="Times New Roman" w:cs="Times New Roman" w:eastAsia="Times New Roman" w:hAnsi="Times New Roman"/>
          <w:sz w:val="17"/>
          <w:szCs w:val="17"/>
          <w:color w:val="auto"/>
        </w:rPr>
        <w:t>Roth IRA purchase payments for individuals are non-deductible (made on an “after tax” basis) and are limited to the lesser of 100% of compensation or the annual deductible IRA amount. Individuals age 50 and older can make an additional “catch-up” purchase payment each year (assuming the individual has sufficient compensation). You may contribute up to the annual purchase payment limit if your modified adjusted gross income does not exceed certain limits. If you exceed purchase payment limits, you may be subject to a tax penalty.</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If and to the extent that Traditional IRA purchase payments are made on an “after tax” basis, withdrawals would be included in income except for the portion that represents a return of non-deductible purchase payments. This portion is generally determined based upon the ratio of all non-deductible purchase payments to the total value of all your Traditional IRAs (including SEP IRAs and SIMPLE IRAs). We withhold a portion of the amount of your withdrawal for income taxes, unless you elect otherwise. The amount we withhold is determined by the Code.</w:t>
      </w:r>
    </w:p>
    <w:p>
      <w:pPr>
        <w:spacing w:after="0" w:line="79"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Generally, withdrawal of earnings from Roth IRAs are free from Federal income tax if (1) they are made at least five taxable years after the tax year for which you made your first purchase payment to a Roth IRA; and (2) they are made on or after the date you reach age 59½ or upon your death, disability or for a qualified first-home purchase (up to $10,000). Withdrawals from a Roth IRA are made first from purchase payments and then from earnings. We may be required to withhold a portion of your withdrawal for income taxes, unless you elect otherwise. The amount will be determined by the Code.</w:t>
      </w:r>
    </w:p>
    <w:p>
      <w:pPr>
        <w:sectPr>
          <w:pgSz w:w="11900" w:h="16838" w:orient="portrait"/>
          <w:cols w:equalWidth="0" w:num="1">
            <w:col w:w="9019"/>
          </w:cols>
          <w:pgMar w:left="1440" w:top="1377" w:right="1440" w:bottom="1440" w:gutter="0" w:footer="0" w:header="0"/>
        </w:sectPr>
      </w:pPr>
    </w:p>
    <w:p>
      <w:pPr>
        <w:spacing w:after="0" w:line="2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9019"/>
          </w:cols>
          <w:pgMar w:left="1440" w:top="1377" w:right="1440" w:bottom="1440" w:gutter="0" w:footer="0" w:header="0"/>
          <w:type w:val="continuous"/>
        </w:sectPr>
      </w:pPr>
    </w:p>
    <w:bookmarkStart w:id="68" w:name="page69"/>
    <w:bookmarkEnd w:id="68"/>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Conversion</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Traditional IRAs may be converted to Roth IRAs. Except to the extent you have non-deductible contributions, the amount converted from an existing Traditional IRA into a Roth IRA is taxable. Generally, the 10% Federal income tax penalty does not apply. However, the taxable amount to be converted must be based on the fair market value of the entire annuity contract being converted into a Roth IRA. Such fair market value, in general, is to be determined by taking into account the value of all benefits (both living benefits and death benefits) in addition to the account balance; as well as adding back certain loads and charges incurred during the prior twelve month period. Your Contract may include such benefits and applicable charges. Accordingly, if you are considering such conversion of your annuity Contract, please consult your tax adviser. The taxable amount may exceed the account balance at the date of conversion.</w:t>
      </w:r>
    </w:p>
    <w:p>
      <w:pPr>
        <w:spacing w:after="0" w:line="80"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Prior to 2018, contributions made to a Traditional IRA that were converted to a Roth IRA could be recharacterized as made back to the Traditional IRA, if certain conditions were met. Under a provision of the Tax Cuts and Jobs Act, recharacterization cannot be used to unwind a conversion from a Traditional IRA to a Roth IRA for taxable years beginning after December 31, 2017. For conversions made to a Roth IRA in 2017, the IRS has issued guidance allowing recharacterizations to be made in 2018. Please consult your tax adviser.</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Federal Tax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Annuity Contracts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to Tax Rules and Interpretations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Changes to applicable tax rules and interpretations can adversely affect the tax treatment of your Contract.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changes may take effect retroactively.</w:t>
      </w:r>
    </w:p>
    <w:p>
      <w:pPr>
        <w:spacing w:after="0" w:line="9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reserve the right to amend your Contract where necessary to maintain its status as an Annuity Contract under Federal tax law and to protect you and other Contract owners from adverse tax consequences.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Qualified Annuity Contracts</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Annuity contracts purchased through tax qualified plans are subject to limitations imposed by the Code and regulations as a condition of tax qualification. There are various types of tax qualified plans which have certain beneficial tax consequences for Contract owners and plan participants.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Types of Qualified Plans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following includes individual account-type plans which may hold an annuity Contract as described in the Prospectus.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IRA</w:t>
      </w:r>
    </w:p>
    <w:p>
      <w:pPr>
        <w:spacing w:after="0" w:line="11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 traditional IRA is established by an individual, under Section 408(a) or 408(b) of the Code. See also Roth IRAs below.</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Roth Account</w:t>
      </w:r>
    </w:p>
    <w:p>
      <w:pPr>
        <w:spacing w:after="0" w:line="119"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Individual or employee plan contributions made to certain plans on an after-tax basis. An IRA may be established as a Roth IRA under Section 408A, and 401(k), 403(b) and 457(b) plans may provide for Roth accounts. Contributions to a Roth IRA are limited based on the level of your modified adjusted gross income.</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Comparison of Plan Limits for Individual Contributions:</w:t>
      </w:r>
    </w:p>
    <w:p>
      <w:pPr>
        <w:spacing w:after="0" w:line="166" w:lineRule="exact"/>
        <w:rPr>
          <w:sz w:val="20"/>
          <w:szCs w:val="20"/>
          <w:color w:val="auto"/>
        </w:rPr>
      </w:pPr>
    </w:p>
    <w:tbl>
      <w:tblPr>
        <w:tblLayout w:type="fixed"/>
        <w:tblInd w:w="130" w:type="dxa"/>
        <w:tblCellMar>
          <w:top w:w="0" w:type="dxa"/>
          <w:left w:w="0" w:type="dxa"/>
          <w:bottom w:w="0" w:type="dxa"/>
          <w:right w:w="0" w:type="dxa"/>
        </w:tblCellMar>
      </w:tblPr>
      <w:tr>
        <w:trPr>
          <w:trHeight w:val="208"/>
        </w:trPr>
        <w:tc>
          <w:tcPr>
            <w:tcW w:w="2040" w:type="dxa"/>
            <w:vAlign w:val="bottom"/>
            <w:tcBorders>
              <w:top w:val="single" w:sz="8" w:color="auto"/>
              <w:left w:val="single" w:sz="8" w:color="auto"/>
              <w:right w:val="single" w:sz="8" w:color="auto"/>
            </w:tcBorders>
          </w:tcPr>
          <w:p>
            <w:pPr>
              <w:spacing w:after="0"/>
              <w:rPr>
                <w:sz w:val="18"/>
                <w:szCs w:val="18"/>
                <w:color w:val="auto"/>
              </w:rPr>
            </w:pPr>
          </w:p>
        </w:tc>
        <w:tc>
          <w:tcPr>
            <w:tcW w:w="2100" w:type="dxa"/>
            <w:vAlign w:val="bottom"/>
            <w:tcBorders>
              <w:top w:val="single" w:sz="8" w:color="auto"/>
              <w:right w:val="single" w:sz="8" w:color="auto"/>
            </w:tcBorders>
          </w:tcPr>
          <w:p>
            <w:pPr>
              <w:spacing w:after="0"/>
              <w:rPr>
                <w:sz w:val="18"/>
                <w:szCs w:val="18"/>
                <w:color w:val="auto"/>
              </w:rPr>
            </w:pP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Catch-up</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Catch-Up</w:t>
            </w:r>
          </w:p>
        </w:tc>
      </w:tr>
      <w:tr>
        <w:trPr>
          <w:trHeight w:val="177"/>
        </w:trPr>
        <w:tc>
          <w:tcPr>
            <w:tcW w:w="2040" w:type="dxa"/>
            <w:vAlign w:val="bottom"/>
            <w:tcBorders>
              <w:left w:val="single" w:sz="8" w:color="auto"/>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w:t>
            </w:r>
          </w:p>
        </w:tc>
      </w:tr>
      <w:tr>
        <w:trPr>
          <w:trHeight w:val="202"/>
        </w:trPr>
        <w:tc>
          <w:tcPr>
            <w:tcW w:w="20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Plan Type</w:t>
            </w:r>
          </w:p>
        </w:tc>
        <w:tc>
          <w:tcPr>
            <w:tcW w:w="210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Elective Contribution</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(ages 50-59)</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(ages 60-63)</w:t>
            </w:r>
          </w:p>
        </w:tc>
      </w:tr>
      <w:tr>
        <w:trPr>
          <w:trHeight w:val="24"/>
        </w:trPr>
        <w:tc>
          <w:tcPr>
            <w:tcW w:w="20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68"/>
        </w:trPr>
        <w:tc>
          <w:tcPr>
            <w:tcW w:w="20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IRA</w:t>
            </w:r>
          </w:p>
        </w:tc>
        <w:tc>
          <w:tcPr>
            <w:tcW w:w="21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$7,000</w:t>
            </w:r>
          </w:p>
        </w:tc>
        <w:tc>
          <w:tcPr>
            <w:tcW w:w="208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$1,000</w:t>
            </w:r>
          </w:p>
        </w:tc>
        <w:tc>
          <w:tcPr>
            <w:tcW w:w="204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$1,000</w:t>
            </w:r>
          </w:p>
        </w:tc>
      </w:tr>
      <w:tr>
        <w:trPr>
          <w:trHeight w:val="218"/>
        </w:trPr>
        <w:tc>
          <w:tcPr>
            <w:tcW w:w="20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SIMPLE IRA</w:t>
            </w:r>
          </w:p>
        </w:tc>
        <w:tc>
          <w:tcPr>
            <w:tcW w:w="21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$16,500</w:t>
            </w:r>
          </w:p>
        </w:tc>
        <w:tc>
          <w:tcPr>
            <w:tcW w:w="20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$3,500</w:t>
            </w:r>
          </w:p>
        </w:tc>
        <w:tc>
          <w:tcPr>
            <w:tcW w:w="20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$5,250</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($17,600 for certain small</w:t>
            </w: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($3,850 for certain small</w:t>
            </w:r>
          </w:p>
        </w:tc>
        <w:tc>
          <w:tcPr>
            <w:tcW w:w="2040" w:type="dxa"/>
            <w:vAlign w:val="bottom"/>
            <w:tcBorders>
              <w:right w:val="single" w:sz="8" w:color="auto"/>
            </w:tcBorders>
          </w:tcPr>
          <w:p>
            <w:pPr>
              <w:spacing w:after="0"/>
              <w:rPr>
                <w:sz w:val="18"/>
                <w:szCs w:val="18"/>
                <w:color w:val="auto"/>
              </w:rPr>
            </w:pPr>
          </w:p>
        </w:tc>
      </w:tr>
      <w:tr>
        <w:trPr>
          <w:trHeight w:val="234"/>
        </w:trPr>
        <w:tc>
          <w:tcPr>
            <w:tcW w:w="2040" w:type="dxa"/>
            <w:vAlign w:val="bottom"/>
            <w:tcBorders>
              <w:left w:val="single" w:sz="8" w:color="auto"/>
              <w:right w:val="single" w:sz="8" w:color="auto"/>
            </w:tcBorders>
          </w:tcPr>
          <w:p>
            <w:pPr>
              <w:spacing w:after="0"/>
              <w:rPr>
                <w:sz w:val="20"/>
                <w:szCs w:val="20"/>
                <w:color w:val="auto"/>
              </w:rPr>
            </w:pPr>
          </w:p>
        </w:tc>
        <w:tc>
          <w:tcPr>
            <w:tcW w:w="2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employer plans)</w:t>
            </w: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employer plans)</w:t>
            </w:r>
          </w:p>
        </w:tc>
        <w:tc>
          <w:tcPr>
            <w:tcW w:w="2040" w:type="dxa"/>
            <w:vAlign w:val="bottom"/>
            <w:tcBorders>
              <w:right w:val="single" w:sz="8" w:color="auto"/>
            </w:tcBorders>
          </w:tcPr>
          <w:p>
            <w:pPr>
              <w:spacing w:after="0"/>
              <w:rPr>
                <w:sz w:val="20"/>
                <w:szCs w:val="20"/>
                <w:color w:val="auto"/>
              </w:rPr>
            </w:pPr>
          </w:p>
        </w:tc>
      </w:tr>
      <w:tr>
        <w:trPr>
          <w:trHeight w:val="27"/>
        </w:trPr>
        <w:tc>
          <w:tcPr>
            <w:tcW w:w="20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68"/>
        </w:trPr>
        <w:tc>
          <w:tcPr>
            <w:tcW w:w="20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401(k)</w:t>
            </w:r>
          </w:p>
        </w:tc>
        <w:tc>
          <w:tcPr>
            <w:tcW w:w="21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$23,500</w:t>
            </w:r>
          </w:p>
        </w:tc>
        <w:tc>
          <w:tcPr>
            <w:tcW w:w="208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$7,500</w:t>
            </w:r>
          </w:p>
        </w:tc>
        <w:tc>
          <w:tcPr>
            <w:tcW w:w="204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$11,250</w:t>
            </w:r>
          </w:p>
        </w:tc>
      </w:tr>
      <w:tr>
        <w:trPr>
          <w:trHeight w:val="218"/>
        </w:trPr>
        <w:tc>
          <w:tcPr>
            <w:tcW w:w="20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SEP/401(a)</w:t>
            </w:r>
          </w:p>
        </w:tc>
        <w:tc>
          <w:tcPr>
            <w:tcW w:w="21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(Employer contributions</w:t>
            </w:r>
          </w:p>
        </w:tc>
        <w:tc>
          <w:tcPr>
            <w:tcW w:w="2080" w:type="dxa"/>
            <w:vAlign w:val="bottom"/>
            <w:tcBorders>
              <w:top w:val="single" w:sz="8" w:color="auto"/>
              <w:right w:val="single" w:sz="8" w:color="auto"/>
            </w:tcBorders>
          </w:tcPr>
          <w:p>
            <w:pPr>
              <w:spacing w:after="0"/>
              <w:rPr>
                <w:sz w:val="18"/>
                <w:szCs w:val="18"/>
                <w:color w:val="auto"/>
              </w:rPr>
            </w:pPr>
          </w:p>
        </w:tc>
        <w:tc>
          <w:tcPr>
            <w:tcW w:w="2040" w:type="dxa"/>
            <w:vAlign w:val="bottom"/>
            <w:tcBorders>
              <w:top w:val="single" w:sz="8" w:color="auto"/>
              <w:right w:val="single" w:sz="8" w:color="auto"/>
            </w:tcBorders>
          </w:tcPr>
          <w:p>
            <w:pPr>
              <w:spacing w:after="0"/>
              <w:rPr>
                <w:sz w:val="18"/>
                <w:szCs w:val="18"/>
                <w:color w:val="auto"/>
              </w:rPr>
            </w:pPr>
          </w:p>
        </w:tc>
      </w:tr>
      <w:tr>
        <w:trPr>
          <w:trHeight w:val="234"/>
        </w:trPr>
        <w:tc>
          <w:tcPr>
            <w:tcW w:w="2040" w:type="dxa"/>
            <w:vAlign w:val="bottom"/>
            <w:tcBorders>
              <w:left w:val="single" w:sz="8" w:color="auto"/>
              <w:right w:val="single" w:sz="8" w:color="auto"/>
            </w:tcBorders>
          </w:tcPr>
          <w:p>
            <w:pPr>
              <w:spacing w:after="0"/>
              <w:rPr>
                <w:sz w:val="20"/>
                <w:szCs w:val="20"/>
                <w:color w:val="auto"/>
              </w:rPr>
            </w:pPr>
          </w:p>
        </w:tc>
        <w:tc>
          <w:tcPr>
            <w:tcW w:w="2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only)</w:t>
            </w:r>
          </w:p>
        </w:tc>
        <w:tc>
          <w:tcPr>
            <w:tcW w:w="208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7"/>
        </w:trPr>
        <w:tc>
          <w:tcPr>
            <w:tcW w:w="20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30"/>
        </w:trPr>
        <w:tc>
          <w:tcPr>
            <w:tcW w:w="20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403(b) [TSA]</w:t>
            </w:r>
          </w:p>
        </w:tc>
        <w:tc>
          <w:tcPr>
            <w:tcW w:w="21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$23,500</w:t>
            </w:r>
          </w:p>
        </w:tc>
        <w:tc>
          <w:tcPr>
            <w:tcW w:w="208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$7,500</w:t>
            </w:r>
          </w:p>
        </w:tc>
        <w:tc>
          <w:tcPr>
            <w:tcW w:w="204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$11,250</w:t>
            </w:r>
          </w:p>
        </w:tc>
      </w:tr>
      <w:tr>
        <w:trPr>
          <w:trHeight w:val="20"/>
        </w:trPr>
        <w:tc>
          <w:tcPr>
            <w:tcW w:w="20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100" w:type="dxa"/>
            <w:vAlign w:val="bottom"/>
            <w:tcBorders>
              <w:right w:val="single" w:sz="8" w:color="auto"/>
            </w:tcBorders>
            <w:shd w:val="clear" w:color="auto" w:fill="000000"/>
          </w:tcPr>
          <w:p>
            <w:pPr>
              <w:spacing w:after="0" w:line="20" w:lineRule="exact"/>
              <w:rPr>
                <w:sz w:val="1"/>
                <w:szCs w:val="1"/>
                <w:color w:val="auto"/>
              </w:rPr>
            </w:pPr>
          </w:p>
        </w:tc>
        <w:tc>
          <w:tcPr>
            <w:tcW w:w="208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-1690370</wp:posOffset>
            </wp:positionV>
            <wp:extent cx="5229225" cy="3860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29225" cy="38608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-1124585</wp:posOffset>
            </wp:positionV>
            <wp:extent cx="5229225" cy="4540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29225" cy="45402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-490220</wp:posOffset>
            </wp:positionV>
            <wp:extent cx="5229225" cy="316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29225" cy="316865"/>
                    </a:xfrm>
                    <a:prstGeom prst="rect">
                      <a:avLst/>
                    </a:prstGeom>
                    <a:noFill/>
                  </pic:spPr>
                </pic:pic>
              </a:graphicData>
            </a:graphic>
          </wp:anchor>
        </w:drawing>
      </w:r>
    </w:p>
    <w:p>
      <w:pPr>
        <w:sectPr>
          <w:pgSz w:w="11900" w:h="16838" w:orient="portrait"/>
          <w:cols w:equalWidth="0" w:num="1">
            <w:col w:w="9019"/>
          </w:cols>
          <w:pgMar w:left="1440" w:top="1373" w:right="1440" w:bottom="1440" w:gutter="0" w:footer="0" w:header="0"/>
        </w:sectPr>
      </w:pPr>
    </w:p>
    <w:p>
      <w:pPr>
        <w:spacing w:after="0" w:line="26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9019"/>
          </w:cols>
          <w:pgMar w:left="1440" w:top="1373" w:right="1440" w:bottom="1440" w:gutter="0" w:footer="0" w:header="0"/>
          <w:type w:val="continuous"/>
        </w:sectPr>
      </w:pPr>
    </w:p>
    <w:bookmarkStart w:id="69" w:name="page70"/>
    <w:bookmarkEnd w:id="69"/>
    <w:tbl>
      <w:tblPr>
        <w:tblLayout w:type="fixed"/>
        <w:tblInd w:w="130" w:type="dxa"/>
        <w:tblCellMar>
          <w:top w:w="0" w:type="dxa"/>
          <w:left w:w="0" w:type="dxa"/>
          <w:bottom w:w="0" w:type="dxa"/>
          <w:right w:w="0" w:type="dxa"/>
        </w:tblCellMar>
      </w:tblPr>
      <w:tr>
        <w:trPr>
          <w:trHeight w:val="208"/>
        </w:trPr>
        <w:tc>
          <w:tcPr>
            <w:tcW w:w="2040" w:type="dxa"/>
            <w:vAlign w:val="bottom"/>
            <w:tcBorders>
              <w:top w:val="single" w:sz="8" w:color="auto"/>
              <w:left w:val="single" w:sz="8" w:color="auto"/>
              <w:right w:val="single" w:sz="8" w:color="auto"/>
            </w:tcBorders>
          </w:tcPr>
          <w:p>
            <w:pPr>
              <w:spacing w:after="0"/>
              <w:rPr>
                <w:sz w:val="18"/>
                <w:szCs w:val="18"/>
                <w:color w:val="auto"/>
              </w:rPr>
            </w:pPr>
          </w:p>
        </w:tc>
        <w:tc>
          <w:tcPr>
            <w:tcW w:w="2080" w:type="dxa"/>
            <w:vAlign w:val="bottom"/>
            <w:tcBorders>
              <w:top w:val="single" w:sz="8" w:color="auto"/>
              <w:right w:val="single" w:sz="8" w:color="auto"/>
            </w:tcBorders>
          </w:tcPr>
          <w:p>
            <w:pPr>
              <w:spacing w:after="0"/>
              <w:rPr>
                <w:sz w:val="18"/>
                <w:szCs w:val="18"/>
                <w:color w:val="auto"/>
              </w:rPr>
            </w:pP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Catch-up</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Catch-Up</w:t>
            </w:r>
          </w:p>
        </w:tc>
        <w:tc>
          <w:tcPr>
            <w:tcW w:w="0" w:type="dxa"/>
            <w:vAlign w:val="bottom"/>
          </w:tcPr>
          <w:p>
            <w:pPr>
              <w:spacing w:after="0"/>
              <w:rPr>
                <w:sz w:val="1"/>
                <w:szCs w:val="1"/>
                <w:color w:val="auto"/>
              </w:rPr>
            </w:pPr>
          </w:p>
        </w:tc>
      </w:tr>
      <w:tr>
        <w:trPr>
          <w:trHeight w:val="190"/>
        </w:trPr>
        <w:tc>
          <w:tcPr>
            <w:tcW w:w="20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Plan Type</w:t>
            </w:r>
          </w:p>
        </w:tc>
        <w:tc>
          <w:tcPr>
            <w:tcW w:w="2080" w:type="dxa"/>
            <w:vAlign w:val="bottom"/>
            <w:tcBorders>
              <w:right w:val="single" w:sz="8" w:color="auto"/>
            </w:tcBorders>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Elective Contribution</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vMerge w:val="continue"/>
          </w:tcPr>
          <w:p>
            <w:pPr>
              <w:spacing w:after="0"/>
              <w:rPr>
                <w:sz w:val="16"/>
                <w:szCs w:val="16"/>
                <w:color w:val="auto"/>
              </w:rPr>
            </w:pPr>
          </w:p>
        </w:tc>
        <w:tc>
          <w:tcPr>
            <w:tcW w:w="2080" w:type="dxa"/>
            <w:vAlign w:val="bottom"/>
            <w:tcBorders>
              <w:right w:val="single" w:sz="8" w:color="auto"/>
            </w:tcBorders>
            <w:vMerge w:val="continue"/>
          </w:tcPr>
          <w:p>
            <w:pPr>
              <w:spacing w:after="0"/>
              <w:rPr>
                <w:sz w:val="16"/>
                <w:szCs w:val="16"/>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(ages 50-59)</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(ages 60-63)</w:t>
            </w:r>
          </w:p>
        </w:tc>
        <w:tc>
          <w:tcPr>
            <w:tcW w:w="0" w:type="dxa"/>
            <w:vAlign w:val="bottom"/>
          </w:tcPr>
          <w:p>
            <w:pPr>
              <w:spacing w:after="0"/>
              <w:rPr>
                <w:sz w:val="1"/>
                <w:szCs w:val="1"/>
                <w:color w:val="auto"/>
              </w:rPr>
            </w:pPr>
          </w:p>
        </w:tc>
      </w:tr>
      <w:tr>
        <w:trPr>
          <w:trHeight w:val="23"/>
        </w:trPr>
        <w:tc>
          <w:tcPr>
            <w:tcW w:w="204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457(b)</w:t>
            </w:r>
          </w:p>
        </w:tc>
        <w:tc>
          <w:tcPr>
            <w:tcW w:w="2080" w:type="dxa"/>
            <w:vAlign w:val="bottom"/>
            <w:tcBorders>
              <w:bottom w:val="single" w:sz="8" w:color="F0FFFF"/>
              <w:right w:val="single" w:sz="8" w:color="auto"/>
            </w:tcBorders>
            <w:shd w:val="clear" w:color="auto" w:fill="F0FFFF"/>
          </w:tcPr>
          <w:p>
            <w:pPr>
              <w:jc w:val="right"/>
              <w:ind w:right="1319"/>
              <w:spacing w:after="0"/>
              <w:rPr>
                <w:sz w:val="20"/>
                <w:szCs w:val="20"/>
                <w:color w:val="auto"/>
              </w:rPr>
            </w:pPr>
            <w:r>
              <w:rPr>
                <w:rFonts w:ascii="Times New Roman" w:cs="Times New Roman" w:eastAsia="Times New Roman" w:hAnsi="Times New Roman"/>
                <w:sz w:val="18"/>
                <w:szCs w:val="18"/>
                <w:color w:val="auto"/>
              </w:rPr>
              <w:t>$23,500</w:t>
            </w:r>
          </w:p>
        </w:tc>
        <w:tc>
          <w:tcPr>
            <w:tcW w:w="2080" w:type="dxa"/>
            <w:vAlign w:val="bottom"/>
            <w:tcBorders>
              <w:bottom w:val="single" w:sz="8" w:color="F0FFFF"/>
              <w:right w:val="single" w:sz="8" w:color="auto"/>
            </w:tcBorders>
            <w:shd w:val="clear" w:color="auto" w:fill="F0FFFF"/>
          </w:tcPr>
          <w:p>
            <w:pPr>
              <w:jc w:val="right"/>
              <w:ind w:right="1424"/>
              <w:spacing w:after="0"/>
              <w:rPr>
                <w:sz w:val="20"/>
                <w:szCs w:val="20"/>
                <w:color w:val="auto"/>
              </w:rPr>
            </w:pPr>
            <w:r>
              <w:rPr>
                <w:rFonts w:ascii="Times New Roman" w:cs="Times New Roman" w:eastAsia="Times New Roman" w:hAnsi="Times New Roman"/>
                <w:sz w:val="18"/>
                <w:szCs w:val="18"/>
                <w:color w:val="auto"/>
              </w:rPr>
              <w:t>$7,500</w:t>
            </w:r>
          </w:p>
        </w:tc>
        <w:tc>
          <w:tcPr>
            <w:tcW w:w="2060" w:type="dxa"/>
            <w:vAlign w:val="bottom"/>
            <w:tcBorders>
              <w:bottom w:val="single" w:sz="8" w:color="F0FFFF"/>
              <w:right w:val="single" w:sz="8" w:color="auto"/>
            </w:tcBorders>
            <w:shd w:val="clear" w:color="auto" w:fill="F0FFFF"/>
          </w:tcPr>
          <w:p>
            <w:pPr>
              <w:jc w:val="right"/>
              <w:ind w:right="1324"/>
              <w:spacing w:after="0"/>
              <w:rPr>
                <w:sz w:val="20"/>
                <w:szCs w:val="20"/>
                <w:color w:val="auto"/>
              </w:rPr>
            </w:pPr>
            <w:r>
              <w:rPr>
                <w:rFonts w:ascii="Times New Roman" w:cs="Times New Roman" w:eastAsia="Times New Roman" w:hAnsi="Times New Roman"/>
                <w:sz w:val="18"/>
                <w:szCs w:val="18"/>
                <w:color w:val="auto"/>
              </w:rPr>
              <w:t>$11,250</w:t>
            </w:r>
          </w:p>
        </w:tc>
        <w:tc>
          <w:tcPr>
            <w:tcW w:w="0" w:type="dxa"/>
            <w:vAlign w:val="bottom"/>
          </w:tcPr>
          <w:p>
            <w:pPr>
              <w:spacing w:after="0"/>
              <w:rPr>
                <w:sz w:val="1"/>
                <w:szCs w:val="1"/>
                <w:color w:val="auto"/>
              </w:rPr>
            </w:pPr>
          </w:p>
        </w:tc>
      </w:tr>
      <w:tr>
        <w:trPr>
          <w:trHeight w:val="20"/>
        </w:trPr>
        <w:tc>
          <w:tcPr>
            <w:tcW w:w="20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80" w:type="dxa"/>
            <w:vAlign w:val="bottom"/>
            <w:tcBorders>
              <w:right w:val="single" w:sz="8" w:color="auto"/>
            </w:tcBorders>
            <w:shd w:val="clear" w:color="auto" w:fill="000000"/>
          </w:tcPr>
          <w:p>
            <w:pPr>
              <w:spacing w:after="0" w:line="20" w:lineRule="exact"/>
              <w:rPr>
                <w:sz w:val="1"/>
                <w:szCs w:val="1"/>
                <w:color w:val="auto"/>
              </w:rPr>
            </w:pPr>
          </w:p>
        </w:tc>
        <w:tc>
          <w:tcPr>
            <w:tcW w:w="2080" w:type="dxa"/>
            <w:vAlign w:val="bottom"/>
            <w:tcBorders>
              <w:right w:val="single" w:sz="8" w:color="auto"/>
            </w:tcBorders>
            <w:shd w:val="clear" w:color="auto" w:fill="000000"/>
          </w:tcPr>
          <w:p>
            <w:pPr>
              <w:spacing w:after="0" w:line="20" w:lineRule="exact"/>
              <w:rPr>
                <w:sz w:val="1"/>
                <w:szCs w:val="1"/>
                <w:color w:val="auto"/>
              </w:rPr>
            </w:pPr>
          </w:p>
        </w:tc>
        <w:tc>
          <w:tcPr>
            <w:tcW w:w="20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-558800</wp:posOffset>
            </wp:positionV>
            <wp:extent cx="5229225" cy="3860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29225" cy="386080"/>
                    </a:xfrm>
                    <a:prstGeom prst="rect">
                      <a:avLst/>
                    </a:prstGeom>
                    <a:noFill/>
                  </pic:spPr>
                </pic:pic>
              </a:graphicData>
            </a:graphic>
          </wp:anchor>
        </w:drawing>
      </w:r>
    </w:p>
    <w:p>
      <w:pPr>
        <w:spacing w:after="0" w:line="17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Dollar limits are for 2025 and subject to cost-of-living adjustments in future years. Employer-sponsored individual account plans (other than 457(b) plans) may provide for additional employer contributions not to exceed the lesser of $70,000 and 100% of an employee’s compensation for 2025 (reduced by any employee elective contributions). If allowed by the plan, special catch-up provisions may increase the catch-up contribution limit starting in 2025 for participants in 401(k), 403(b), SIMPLE and governmental 457(b) plans who are age 60-</w:t>
      </w:r>
    </w:p>
    <w:p>
      <w:pPr>
        <w:spacing w:after="0" w:line="3" w:lineRule="exact"/>
        <w:rPr>
          <w:sz w:val="20"/>
          <w:szCs w:val="20"/>
          <w:color w:val="auto"/>
        </w:rPr>
      </w:pPr>
    </w:p>
    <w:p>
      <w:pPr>
        <w:jc w:val="both"/>
        <w:ind w:left="120" w:right="639" w:hanging="8"/>
        <w:spacing w:after="0" w:line="252" w:lineRule="auto"/>
        <w:tabs>
          <w:tab w:leader="none" w:pos="39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grandfathered SARSEP plans may also allow for employee contributions, catch-up contributions and, starting in 2025, enhanced catch-up contributions for employees aged 60-63. If allowed under the plan, the elective contribution and the catchup contribution for ages 50-59 (and ages 64 and older) may be increased for certain small employer SIMPLE plans (generally employers with 25 or fewer employees) if certain conditions are met. Consult a tax adviser and consult your plan administrator if you participate in one of these employer-sponsored retirement plans.</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Estate Taxes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While no attempt is being made to discuss the Federal estate tax implications of the Contract, you should bear in mind that the value of an annuity contract owned by a decedent and payable to a beneficiary by virtue of surviving the decedent is included in the decedent’s gross estate. Depending on the terms of the annuity contract, the value of the annuity included in the gross estate may be the value of the lump sum payment payable to the designated beneficiary or the actuarial value of the payments to be received by the beneficiary. Consult an estate planning adviser for more information.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Generation-Skipping Transfer Tax</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Under certain circumstances, the Code may impose a “generation-skipping transfer tax” when all or part of an annuity contract is transferred to, or a death benefit is paid to, an individual two or more generations younger than the contract owner. Regulations issued under the Code may require us to deduct the tax from your contract, or from any applicable payment, and pay it directly to the IRS.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SECURE 2.0 Act Considerations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As part of the Consolidated Appropriations Act, 2023, Congress passed the SECURE 2.0 Act of 2022 (the “Act”) which was signed into law on December 29, 2022. The Act includes many provisions updating the Code affecting employer sponsored qualified plans and IRAs, including provisions that become effective immediately and provisions which become effective in later years through 2033. For example, the Act includes provisions affecting required minimum distributions (RMD), certain contribution and other limits affecting IRAs and qualified plans, as well as provisions providing new exceptions to the 10% federal income tax penalty for “early” distributions which may also provide for the ability to recontribute such early distributions to an IRA or qualified plan (subject to the provisions of the Code, the qualified plan/IRA, the Contract and our administrative rules.) This prospectus does not attempt to provide a complete discussion of the Act and its provisions. Individuals should consult with a qualified tax adviser.</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Annuity Purchase Payments by Nonresident Aliens and Foreign Entities</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discussion above provides general information regarding U.S. Federal income tax consequences to annuity purchasers that are U.S. citizens or residents. Purchasers that are not U.S. citizens or residents will generally be subject to U.S. Federal withholding tax on taxable distributions from annuity contracts at a 30% rate, unless a lower treaty rate applies. In addition, purchasers may be subject to state and/or municipal taxes and taxes that may be imposed by the purchaser’s country of citizenship or residence. Prospective purchasers are advised to consult with a qualified tax adviser regarding U.S., state and foreign taxation with respect to an annuity contract purchase.</w:t>
      </w:r>
    </w:p>
    <w:p>
      <w:pPr>
        <w:spacing w:after="0" w:line="29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YOUR RIGHT TO CANCEL (FREE LOOK)</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If you change your mind about owning the Contract, you can cancel it within a certain time period after receiving it. This is known as a “Free Look.” We ask that you submit your request to cancel in writing, signed by you, to us (e.g., the Annuity Service Office) or to the financial representative who sold it. When you cancel the Contract within this Free Look period, we will not assess a Withdrawal Charge. Unless otherwise required by state law, you will receive whatever your Contract is worth on the day that we receive your cancellation request. The amount you receive for a cancellation request submitted to your financial representative will depend on the day that such request is, in turn, provided to us. The amount you receive may be</w:t>
      </w:r>
    </w:p>
    <w:p>
      <w:pPr>
        <w:sectPr>
          <w:pgSz w:w="11900" w:h="16838" w:orient="portrait"/>
          <w:cols w:equalWidth="0" w:num="1">
            <w:col w:w="9019"/>
          </w:cols>
          <w:pgMar w:left="1440" w:top="1372" w:right="1440" w:bottom="744"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9019"/>
          </w:cols>
          <w:pgMar w:left="1440" w:top="1372" w:right="1440" w:bottom="744" w:gutter="0" w:footer="0" w:header="0"/>
          <w:type w:val="continuous"/>
        </w:sectPr>
      </w:pPr>
    </w:p>
    <w:bookmarkStart w:id="70" w:name="page71"/>
    <w:bookmarkEnd w:id="70"/>
    <w:p>
      <w:pPr>
        <w:jc w:val="both"/>
        <w:ind w:left="120" w:right="639"/>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more or less than your Purchase Payment depending upon the Shield Options you allocated your Purchase Payment to during the Free Look period. This means that you bear the risk of any decline in the Account Value of your Contract during the Free Look period. We do not refund any charges or deductions assessed during the Free Look period. In certain states, we are required to give back your Purchase Payment if you decide to cancel your Contract during the Free Look period.</w:t>
      </w:r>
    </w:p>
    <w:p>
      <w:pPr>
        <w:spacing w:after="0" w:line="30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OWNERSHIP PROVISIONS</w:t>
      </w:r>
    </w:p>
    <w:p>
      <w:pPr>
        <w:spacing w:after="0" w:line="117" w:lineRule="exact"/>
        <w:rPr>
          <w:sz w:val="20"/>
          <w:szCs w:val="20"/>
          <w:color w:val="auto"/>
        </w:rPr>
      </w:pPr>
    </w:p>
    <w:p>
      <w:pPr>
        <w:jc w:val="both"/>
        <w:ind w:left="120" w:right="6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xml:space="preserve">  You, as the Owner, have all the interest and rights under the Contract. Subject to our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we may also permit ownership by a corporation (a type of non-natural person) or other legal entity.</w:t>
      </w:r>
    </w:p>
    <w:p>
      <w:pPr>
        <w:spacing w:after="0" w:line="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These rights include the right to:</w:t>
      </w:r>
    </w:p>
    <w:p>
      <w:pPr>
        <w:spacing w:after="0" w:line="158" w:lineRule="exact"/>
        <w:rPr>
          <w:sz w:val="20"/>
          <w:szCs w:val="20"/>
          <w:color w:val="auto"/>
        </w:rPr>
      </w:pPr>
    </w:p>
    <w:p>
      <w:pPr>
        <w:ind w:left="1180" w:hanging="708"/>
        <w:spacing w:after="0"/>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Beneficiary.</w:t>
      </w:r>
    </w:p>
    <w:p>
      <w:pPr>
        <w:spacing w:after="0" w:line="157" w:lineRule="exact"/>
        <w:rPr>
          <w:rFonts w:ascii="Times New Roman" w:cs="Times New Roman" w:eastAsia="Times New Roman" w:hAnsi="Times New Roman"/>
          <w:sz w:val="18"/>
          <w:szCs w:val="18"/>
          <w:color w:val="auto"/>
        </w:rPr>
      </w:pPr>
    </w:p>
    <w:p>
      <w:pPr>
        <w:ind w:left="1180" w:right="1079" w:hanging="708"/>
        <w:spacing w:after="0" w:line="282" w:lineRule="auto"/>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Annuitant before the Annuity Date (subject to our underwriting and administrative rules).</w:t>
      </w:r>
    </w:p>
    <w:p>
      <w:pPr>
        <w:spacing w:after="0" w:line="94"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the Contract (subject to limitation).</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Income Payments option before the Annuity Date.</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other rights, benefits, options and privileges permitted by the Contract or us.</w:t>
      </w:r>
    </w:p>
    <w:p>
      <w:pPr>
        <w:spacing w:after="0" w:line="117"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Owner is as designated at the time the Contract is issued, unless changed. You may change the Owner at any time. Any change of Owner is subject to our underwriting requirements in effect at the time of the request. A change of Owner will automatically revoke any prior designation of the Owner.</w:t>
      </w:r>
    </w:p>
    <w:p>
      <w:pPr>
        <w:spacing w:after="0" w:line="77" w:lineRule="exact"/>
        <w:rPr>
          <w:sz w:val="20"/>
          <w:szCs w:val="20"/>
          <w:color w:val="auto"/>
        </w:rPr>
      </w:pPr>
    </w:p>
    <w:p>
      <w:pPr>
        <w:jc w:val="both"/>
        <w:ind w:left="120" w:right="6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Joint Owner.</w:t>
      </w:r>
      <w:r>
        <w:rPr>
          <w:rFonts w:ascii="Times New Roman" w:cs="Times New Roman" w:eastAsia="Times New Roman" w:hAnsi="Times New Roman"/>
          <w:sz w:val="18"/>
          <w:szCs w:val="18"/>
          <w:color w:val="auto"/>
        </w:rPr>
        <w:t xml:space="preserve">  The Contract can be owned by Joint Owners, limited to natural persons. Either Joint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 exercise all rights under the Contract unless you inform us otherwise as indicated on the Contract Schedule or in a Notice to us. Upon the death of either Owner, the surviving Joint Owner will be the primary Beneficiary, unless you inform us otherwise. Any other Beneficiary designation will be treated as a contingent Beneficiary unless otherwise indicated on the Contract Schedule or in a Notice to us.</w:t>
      </w:r>
    </w:p>
    <w:p>
      <w:pPr>
        <w:spacing w:after="0" w:line="85"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Annuitant.</w:t>
      </w:r>
      <w:r>
        <w:rPr>
          <w:rFonts w:ascii="Times New Roman" w:cs="Times New Roman" w:eastAsia="Times New Roman" w:hAnsi="Times New Roman"/>
          <w:sz w:val="18"/>
          <w:szCs w:val="18"/>
          <w:color w:val="auto"/>
        </w:rPr>
        <w:t xml:space="preserve">  The Annuitant is the natural person(s) on whose life we base Income Payments. The Annuitant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the person designated by you on the Issue Date. You can change the Annuitant at any time prior to the Annuity Date, unless an Owner is not a natural person. Any reference to Annuitant includes any joint Annuitant under an Annuity Option. The Owner and the Annuitant do not have to be the same person except as required under certain sections of the Code. Any change of the Annuitant is subject to our underwriting requirements in effect at the time of the request.</w:t>
      </w:r>
    </w:p>
    <w:p>
      <w:pPr>
        <w:spacing w:after="0" w:line="74"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 xml:space="preserve">  The person(s) or entity(ies) you name to receive a death benefit payable under the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death of the Owner or a Joint Owner, or in certain circumstances, an Annuitant. The Beneficiary is named at the time the Contract is issued unless changed at a later date. Unless an irrevocable Beneficiary has been named, you can change the Beneficiary at any time before you die by filing a Notice with us. If Joint Owners are named, and unless you tell us otherwise, the surviving Joint Owner will be the primary Beneficiary. Any other primary Beneficiary designation will be treated as the contingent Beneficiary.</w:t>
      </w:r>
    </w:p>
    <w:p>
      <w:pPr>
        <w:spacing w:after="0" w:line="7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xml:space="preserve">  Our rights as evidenced by a Contract may not be assigned without our written consent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subject to our approval and underwriting requirements. You may not assign your rights under the Contract after the start of Income Payments. In certain tax markets, assignment of the Contract is prohibited by the Code. If the Contract is assigned absolutely, we will treat it as a change of ownership and all rights will be transferred. We are not bound by any assignment request unless it is in writing and until it is received at our Annuity Service Office. We assume no responsibility for the validity or effect of any assignment. We will not be liable for any payment or other action we take in accordance with the Contract before we record the assignment. Assignments will be effective as of the date the written notice of assignment was signed, subject to all payments made and actions taken by us before a copy of the signed assignment form is received by us at our Annuity Service Office. You should consult your tax adviser regarding the tax consequences of an assignment. </w:t>
      </w:r>
      <w:r>
        <w:rPr>
          <w:rFonts w:ascii="Times New Roman" w:cs="Times New Roman" w:eastAsia="Times New Roman" w:hAnsi="Times New Roman"/>
          <w:sz w:val="18"/>
          <w:szCs w:val="18"/>
          <w:b w:val="1"/>
          <w:bCs w:val="1"/>
          <w:color w:val="auto"/>
        </w:rPr>
        <w:t>An assignment may be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taxable event.</w:t>
      </w:r>
    </w:p>
    <w:p>
      <w:pPr>
        <w:spacing w:after="0" w:line="29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ABANDONED PROPERTY REQUIREMENTS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Every state has unclaimed property laws that generally declare non-ERISA annuity contracts to be abandoned after a period of inactivity of three to five years from the contract’s maturity date, the date the death benefit is due and payable, or such other date as required by state law. Contracts purchased through certain qualified plans, including IRAs and Roth IRAs, may be subject to special or additional abandoned property rules under state law. For example, if the payment of a death benefit has been triggered, but, if after a thorough search, we are still unable to locate the Beneficiary of the death benefit, or</w:t>
      </w:r>
    </w:p>
    <w:p>
      <w:pPr>
        <w:sectPr>
          <w:pgSz w:w="11900" w:h="16838" w:orient="portrait"/>
          <w:cols w:equalWidth="0" w:num="1">
            <w:col w:w="9019"/>
          </w:cols>
          <w:pgMar w:left="1440" w:top="1377" w:right="1440" w:bottom="663" w:gutter="0" w:footer="0" w:header="0"/>
        </w:sectPr>
      </w:pPr>
    </w:p>
    <w:p>
      <w:pPr>
        <w:spacing w:after="0" w:line="25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9019"/>
          </w:cols>
          <w:pgMar w:left="1440" w:top="1377" w:right="1440" w:bottom="663" w:gutter="0" w:footer="0" w:header="0"/>
          <w:type w:val="continuous"/>
        </w:sectPr>
      </w:pPr>
    </w:p>
    <w:bookmarkStart w:id="71" w:name="page72"/>
    <w:bookmarkEnd w:id="71"/>
    <w:p>
      <w:pPr>
        <w:jc w:val="both"/>
        <w:ind w:left="120" w:right="63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Beneficiary does not come forward to claim the death benefit in a timely manner, the death benefit will be paid to the abandoned property division or unclaimed property office of the state in which the Beneficiary or you last resided, as shown on our books and records, or to our state of domicile. (Escheatment is the formal, legal name for this process.) However, the state is obligated to pay the death benefit (without interest) if your Beneficiary steps forward to claim it with the proper documentation. To prevent your Contract’s proceeds from being paid to the state abandoned or unclaimed property office, it is important that you update your Beneficiary designations, including addresses, if and as they change. Please call 1-888-243-1932 to make such changes.</w:t>
      </w:r>
    </w:p>
    <w:p>
      <w:pPr>
        <w:spacing w:after="0" w:line="30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SUSPENSION OF PAYMENTS OR TRANSFERS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may be required to suspend or delay the payment of death benefits, the calculation of income payments, withdrawals and transfers when we cannot obtain an Index Value under the following circumstances:</w:t>
      </w:r>
    </w:p>
    <w:p>
      <w:pPr>
        <w:spacing w:after="0" w:line="94" w:lineRule="exact"/>
        <w:rPr>
          <w:sz w:val="20"/>
          <w:szCs w:val="20"/>
          <w:color w:val="auto"/>
        </w:rPr>
      </w:pPr>
    </w:p>
    <w:p>
      <w:pPr>
        <w:ind w:left="1180" w:hanging="708"/>
        <w:spacing w:after="0"/>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NYSE is closed (other than customary weekend and holiday closings);</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on the NYSE is restricted;</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emergency exists such that we cannot value Investment Amounts; or</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other period when a regulator by order, so permits.</w:t>
      </w:r>
    </w:p>
    <w:p>
      <w:pPr>
        <w:spacing w:after="0" w:line="32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WHEN WE CAN CANCEL YOUR CONTRACT</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may terminate your Contract by paying you the Account Value in one sum if, prior to the Annuity Date the Minimum Account Value after any partial withdrawal is less than $2,000 or any lower amount required by Federal tax laws. Accordingly, no Contract will be terminated due solely to negative Index Performance. We will only do so to the extent allowed by law. If we do so, we will return the full Account Value. Federal tax law may impose additional restrictions on our right to cancel your Traditional IRA or Roth IRA Contract. We will not terminate any Contract if at the time the termination would otherwise occur the guaranteed amount under any death benefit is greater than the Account Value. For all other Contracts, we reserve the right to exercise this termination provision, subject to obtaining any required regulatory approvals. State variations may apply.</w:t>
      </w:r>
    </w:p>
    <w:p>
      <w:pPr>
        <w:spacing w:after="0" w:line="30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THE INSURANCE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Brighthouse Life Insurance Company (“BLIC”)</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BLIC is a Delaware stock insurance company originally incorporated in Connecticut in 1863. BLIC is licensed to conduct business in all states of the United States (except New York), the District of Columbia, the Bahamas, Guam, Puerto Rico, the British Virgin Islands and the U.S. Virgin Islands. BLIC is an indirect wholly-owned subsidiary of, and ultimately controlled by, Brighthouse Financial, Inc. (“BHF”), a publicly-traded company. BHF, through its subsidiaries and affiliates, is one of the largest providers of annuities and life insurance in the U.S.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BLIC’s executive offices are located at 11225 North Community House Road, Charlotte, NC 28277.</w:t>
      </w:r>
    </w:p>
    <w:p>
      <w:pPr>
        <w:spacing w:after="0" w:line="32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THE SEPARATE ACCOUNT</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assets of the Separate Account are held in our name on behalf of the Separate Account and legally belong to us. We are obligated to pay all money we owe under the Contracts—such as death benefits and Income Payments—and these obligations are subject to our claims-paying ability. These amounts are not guaranteed by any other party. If the obligation exceeds the assets of the Separate Account, amounts will be transferred to the Separate Account from the General Account. We guarantee all benefits relating to your value in the Shield Option, regardless of whether assets supporting the Shield Option are held in a separate account or our General Account. An owner should look to the financial strength of BLIC for its claims-paying ability. We issue other annuity contracts and life insurance policies where we pay all money we owe under those contracts and policies from our General Account. The Separate Account is non-insulated, meaning that all of the assets of the Separate Account are chargeable with the claims of any of our contract owners and are subject to the liabilities arising from any of our other business. BLIC is regulated as an insurance company under state law, which includes, generally, limits on the amount and type of investments in its General Account. However, there is no guarantee that we will be able to meet our claims paying obligations; there are risks to purchasing any insurance product.</w:t>
      </w:r>
    </w:p>
    <w:p>
      <w:pPr>
        <w:spacing w:after="0" w:line="79"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 Purchase Payment made to the Shield Options of the Contract is allocated to the Separate Account. We have exclusive and absolute ownership and control of the assets of the Separate Account. It is a non-unitized separate account. You do not share in the investment performance of assets allocated to the Separate Account. All investment income, gains and losses,</w:t>
      </w:r>
    </w:p>
    <w:p>
      <w:pPr>
        <w:sectPr>
          <w:pgSz w:w="11900" w:h="16838" w:orient="portrait"/>
          <w:cols w:equalWidth="0" w:num="1">
            <w:col w:w="9019"/>
          </w:cols>
          <w:pgMar w:left="1440" w:top="1377" w:right="1440" w:bottom="920" w:gutter="0" w:footer="0" w:header="0"/>
        </w:sectPr>
      </w:pP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9019"/>
          </w:cols>
          <w:pgMar w:left="1440" w:top="1377" w:right="1440" w:bottom="920" w:gutter="0" w:footer="0" w:header="0"/>
          <w:type w:val="continuous"/>
        </w:sectPr>
      </w:pPr>
    </w:p>
    <w:bookmarkStart w:id="72" w:name="page73"/>
    <w:bookmarkEnd w:id="72"/>
    <w:p>
      <w:pPr>
        <w:jc w:val="both"/>
        <w:ind w:left="120" w:right="63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whether or not realized, from assets allocated to the Separate Account are borne by BLIC. The obligations under the Contract are independent of the investment performance of the Separate Account and are our obligations.</w:t>
      </w:r>
    </w:p>
    <w:p>
      <w:pPr>
        <w:spacing w:after="0" w:line="67"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maintain in the Separate Account assets with an aggregate value at least equal to the reserves for all contracts allocated under the Separate Account.</w:t>
      </w:r>
    </w:p>
    <w:p>
      <w:pPr>
        <w:spacing w:after="0" w:line="54"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If the aggregate value of such assets in the Separate Account should fall below such amount, we will transfer assets into the Separate Account so that the value of the Separate Account’s assets is at least equal to such amount. Assets supporting reserves for annuity benefits under such contracts, in the course of payment, are supported by BLIC’s General Account and will not be maintained in the Separate Account.</w:t>
      </w:r>
    </w:p>
    <w:p>
      <w:pPr>
        <w:spacing w:after="0" w:line="29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INVESTMENTS BY BLIC</w:t>
      </w:r>
    </w:p>
    <w:p>
      <w:pPr>
        <w:spacing w:after="0" w:line="135"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We must invest our assets, including those in the Separate Account, according to applicable state laws regarding the nature, quality and diversification of investments that may be made by life insurance companies. In general, these laws permit investments, within specified limits and subject to certain qualifications, in Federal, state and municipal obligations, corporate bonds, preferred and common stocks, real estate mortgages, real estate and certain other investments.</w:t>
      </w:r>
    </w:p>
    <w:p>
      <w:pPr>
        <w:spacing w:after="0" w:line="28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ANNUAL STATEMENT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least once each calendar year, we will send you a statement that will show:</w:t>
      </w:r>
    </w:p>
    <w:p>
      <w:pPr>
        <w:spacing w:after="0" w:line="144" w:lineRule="exact"/>
        <w:rPr>
          <w:sz w:val="20"/>
          <w:szCs w:val="20"/>
          <w:color w:val="auto"/>
        </w:rPr>
      </w:pPr>
    </w:p>
    <w:p>
      <w:pPr>
        <w:ind w:left="1180" w:hanging="708"/>
        <w:spacing w:after="0"/>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Account Value;</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regarding your Contract during the year; and</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Amount and interest credited to your Contract.</w:t>
      </w:r>
    </w:p>
    <w:p>
      <w:pPr>
        <w:spacing w:after="0" w:line="117"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Such statements will be sent to your last known address on our records. You will have sixty (60) days from the date you receive such statement to inform us of any errors, otherwise such statement will be deemed final and correct.</w:t>
      </w:r>
    </w:p>
    <w:p>
      <w:pPr>
        <w:spacing w:after="0" w:line="28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DISTRIBUTION OF THE CONTRACTS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Brighthouse Securities, LLC (“Brighthouse Securities”) is the principal underwriter and distributor of the securities offered through this prospectus. Brighthouse Securities is our affiliate and its principal executive offices are located at 11225 North Community House Road, Charlotte, NC 28277. Both we and Brighthouse Securities are indirect, wholly owned subsidiaries of BHF. Brighthouse Securities is a member of the Financial Industry Regulatory Authority (FINRA). FINRA provides background information about broker-dealers and their registered representatives through FINRA BrokerCheck. You may contact the FINRA BrokerCheck Hotline at 1-800-289-9999, or log on to </w:t>
      </w:r>
      <w:r>
        <w:rPr>
          <w:rFonts w:ascii="Times New Roman" w:cs="Times New Roman" w:eastAsia="Times New Roman" w:hAnsi="Times New Roman"/>
          <w:sz w:val="18"/>
          <w:szCs w:val="18"/>
          <w:u w:val="single" w:color="auto"/>
          <w:color w:val="auto"/>
        </w:rPr>
        <w:t>www.finra.org</w:t>
      </w:r>
      <w:r>
        <w:rPr>
          <w:rFonts w:ascii="Times New Roman" w:cs="Times New Roman" w:eastAsia="Times New Roman" w:hAnsi="Times New Roman"/>
          <w:sz w:val="18"/>
          <w:szCs w:val="18"/>
          <w:color w:val="auto"/>
        </w:rPr>
        <w:t>. An investor brochure that includes information describing FINRA BrokerCheck is available through the Hotline or on-line.</w:t>
      </w:r>
    </w:p>
    <w:p>
      <w:pPr>
        <w:spacing w:after="0" w:line="84"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Brighthouse Securities is not obligated to take and pay for, and is not required to sell, any specific number or dollar amount of Contracts. Brighthouse Securities, and in certain cases, we, have entered into selling agreements with unaffiliated selling firms for the sale of the Contracts. No selling firms are affiliated with us or Brighthouse Securities. We pay compensation to Brighthouse Securities for sales of the Contracts by selling firms. We also pay amounts to Brighthouse Securities that may be used for its operating and other expenses, including the following sales expenses: compensation and bonuses for Brighthouse Securities’ management team, advertising expenses and other expenses of distributing the Contracts. Brighthouse Securities’ management team and registered representatives also may be eligible for non-cash compensation items that we may provide jointly with Brighthouse Securities. Non-cash items include conferences, seminars and trips (including travel, lodging and meals in connection therewith), entertainment, merchandise and other similar items.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Firms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As noted above, Brighthouse Securities, and in certain cases, we, have entered into selling agreements with selling firms for the sale of the Contracts. Selling firms receive commissions, and may receive some form of non-cash compensation. Certain selected selling firms receive additional compensation (described below under “Additional Compensation for Selected Selling Firms”). These commissions and other incentives or payments are not charged directly to Owners. We intend to recoup commissions and other sales expenses through the charges and deductions under the Contract. A portion of the payments made to selling firms may be passed on to their financial professionals in accordance with the selling firms’ internal compensation programs. Those programs may also include other types of cash and non-cash compensation and other benefits. Financial professionals of the selling firms may also receive non-cash compensation, pursuant to their firm’s guidelines, directly from us or Brighthouse Securities.</w:t>
      </w:r>
    </w:p>
    <w:p>
      <w:pPr>
        <w:sectPr>
          <w:pgSz w:w="11900" w:h="16838" w:orient="portrait"/>
          <w:cols w:equalWidth="0" w:num="1">
            <w:col w:w="9019"/>
          </w:cols>
          <w:pgMar w:left="1440" w:top="1377" w:right="1440" w:bottom="636" w:gutter="0" w:footer="0" w:header="0"/>
        </w:sectPr>
      </w:pPr>
    </w:p>
    <w:p>
      <w:pPr>
        <w:spacing w:after="0" w:line="2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9019"/>
          </w:cols>
          <w:pgMar w:left="1440" w:top="1377" w:right="1440" w:bottom="636" w:gutter="0" w:footer="0" w:header="0"/>
          <w:type w:val="continuous"/>
        </w:sectPr>
      </w:pPr>
    </w:p>
    <w:bookmarkStart w:id="73" w:name="page74"/>
    <w:bookmarkEnd w:id="73"/>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xml:space="preserve">Compensation Paid to Selling Firms.  </w:t>
      </w:r>
      <w:r>
        <w:rPr>
          <w:rFonts w:ascii="Times New Roman" w:cs="Times New Roman" w:eastAsia="Times New Roman" w:hAnsi="Times New Roman"/>
          <w:sz w:val="18"/>
          <w:szCs w:val="18"/>
          <w:color w:val="auto"/>
        </w:rPr>
        <w:t>Brighthouse Securities pays compensation to all selling firms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of commissions and may also provide certain types of non-cash compensation. The maximum commission payable is 4% of the Purchase Payment. Some selling firms may elect to receive a lower commission when the Purchase Payment is made, along with annual trail commissions up to 1% of Account Value for so long as the Contract remains in effect or as agreed in the selling agreement. We also pay commissions when an Owner elects to begin receiving regular Income Payments. (See “INCOME PAYMENTS—(THE INCOME PERIOD).”) Brighthouse Securities may also provide non-cash compensation items that we may provide jointly with Brighthouse Securities. Non-cash items may include expenses for conference or seminar trips, certain gifts, prizes and awards.</w:t>
      </w:r>
    </w:p>
    <w:p>
      <w:pPr>
        <w:spacing w:after="0" w:line="9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Ask your financial professional for further information about what payments your financial professional and the selling firm for which he or she works may receive in connection with your purchase of a Contract.</w:t>
      </w:r>
    </w:p>
    <w:p>
      <w:pPr>
        <w:spacing w:after="0" w:line="50"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Additional Compensation for Selected Selling Firms.  </w:t>
      </w:r>
      <w:r>
        <w:rPr>
          <w:rFonts w:ascii="Times New Roman" w:cs="Times New Roman" w:eastAsia="Times New Roman" w:hAnsi="Times New Roman"/>
          <w:sz w:val="18"/>
          <w:szCs w:val="18"/>
          <w:color w:val="auto"/>
        </w:rPr>
        <w:t>Brighthouse Securities has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arrangements with certain selected unaffiliated selling firms. Under these arrangements Brighthouse Securities may pay additional compensation to selected selling firms, including marketing allowances, introduction fees, persistency payments, preferred status fees and industry conference fees. Marketing allowances are periodic payments to certain selling firms, the amount of which may be an annual flat fee, or in some cases depends on cumulative periodic (usually quarterly) sales of our insurance contracts (including the Contracts) and may also depend on meeting thresholds in the sale of certain of our insurance contracts (other than the Contracts). They may also include payments we make to cover the cost of marketing or other support services provided for or by registered representatives who may sell our products. Introduction fees are payments to selling firms in connection with the addition of our products to the selling firm’s line of investment products, including expenses relating to establishing the data communications systems necessary for the selling firm to offer, sell and administer our products. Persistency payments are periodic payments based on account values of our insurance contracts (including Account Values of the Contracts) or other persistency standards. Preferred status fees are paid to obtain preferred treatment in selling firms’ marketing programs, which may include marketing services, participation in marketing meetings, listings in data resources and increased access to their financial professionals. Industry conference fees are amounts paid to cover in part the costs associated with sales conferences and educational seminars for selling firms’ financial professionals.</w:t>
      </w:r>
    </w:p>
    <w:p>
      <w:pPr>
        <w:spacing w:after="0" w:line="8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additional types of compensation discussed above are not offered to all selling firms. The terms of any particular agreement governing compensation may vary among selling firms and the amounts may be significant. The prospect of receiving, or the receipt of, additional compensation as described above may provide selling firms and/or their financial professionals with an incentive to favor sales of the Contracts over other annuity contracts (or other investments) with respect to which selling firm does not receive additional compensation, or lower levels of additional compensation. You may wish to take such payment arrangements into account when considering and evaluating any recommendation relating to the Contracts. For more information about any such additional compensation arrangements, ask your financial professional.</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Wholesaling Firms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In addition to the distribution arrangements discussed above, Brighthouse Securities has entered into wholesaling agreements with wholesaling firms to provide marketing and training support services to selling firms and the registered representatives of selling firms. These services may include, but not be limited to, training and promotional support for the solicitation, sale and on-going servicing of the Contracts by the selling firms. Brighthouse Securities pays compensation to wholesaling firms in connection with these services.</w:t>
      </w:r>
    </w:p>
    <w:p>
      <w:pPr>
        <w:spacing w:after="0" w:line="28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THE FIXED ACCOUNT</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may offer our Fixed Account as a funding option. Please refer to your Contract and Appendix D for more information.</w:t>
      </w:r>
    </w:p>
    <w:p>
      <w:pPr>
        <w:spacing w:after="0" w:line="26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RESTRICTIONS ON FINANCIAL TRANSACTIONS</w:t>
      </w:r>
    </w:p>
    <w:p>
      <w:pPr>
        <w:spacing w:after="0" w:line="121" w:lineRule="exact"/>
        <w:rPr>
          <w:sz w:val="20"/>
          <w:szCs w:val="20"/>
          <w:color w:val="auto"/>
        </w:rPr>
      </w:pPr>
    </w:p>
    <w:p>
      <w:pPr>
        <w:jc w:val="both"/>
        <w:ind w:left="120" w:right="659" w:firstLine="360"/>
        <w:spacing w:after="0" w:line="281" w:lineRule="auto"/>
        <w:rPr>
          <w:sz w:val="20"/>
          <w:szCs w:val="20"/>
          <w:color w:val="auto"/>
        </w:rPr>
      </w:pPr>
      <w:r>
        <w:rPr>
          <w:rFonts w:ascii="Times New Roman" w:cs="Times New Roman" w:eastAsia="Times New Roman" w:hAnsi="Times New Roman"/>
          <w:sz w:val="17"/>
          <w:szCs w:val="17"/>
          <w:color w:val="auto"/>
        </w:rPr>
        <w:t>Federal laws designed to counter terrorism and prevent money laundering might, in certain circumstances, require us to block an Owner’s ability to make certain transactions and thereby refuse to accept any request for transfers, withdrawals, Surrenders, or death benefits, until instructions are received from the appropriate regulator. We may also be required to provide additional information about you and your Contract to government regulators.</w:t>
      </w:r>
    </w:p>
    <w:p>
      <w:pPr>
        <w:spacing w:after="0" w:line="26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REQUESTS AND ELECTIONS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We will treat your request for a Contract transaction, or your submission of the Purchase Payment, as received by us if we receive a request conforming to our administrative procedures or the Purchase Payment at our Annuity Service Office on any Business Day before 4:00 PM Eastern Standard Time or when the NYSE closes, whichever is earlier. We will treat your</w:t>
      </w:r>
    </w:p>
    <w:p>
      <w:pPr>
        <w:sectPr>
          <w:pgSz w:w="11900" w:h="16838" w:orient="portrait"/>
          <w:cols w:equalWidth="0" w:num="1">
            <w:col w:w="9019"/>
          </w:cols>
          <w:pgMar w:left="1440" w:top="1373" w:right="1440" w:bottom="555"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9019"/>
          </w:cols>
          <w:pgMar w:left="1440" w:top="1373" w:right="1440" w:bottom="555" w:gutter="0" w:footer="0" w:header="0"/>
          <w:type w:val="continuous"/>
        </w:sectPr>
      </w:pPr>
    </w:p>
    <w:bookmarkStart w:id="74" w:name="page75"/>
    <w:bookmarkEnd w:id="74"/>
    <w:p>
      <w:pPr>
        <w:jc w:val="both"/>
        <w:ind w:left="120" w:right="639"/>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submission of the Purchase Payment as received by us if we receive it at our Annuity Service Office (or a designee receives it in accordance with the designee’s administrative procedures) on any Business Day before 4:00 PM Eastern Standard Time or when the NYSE closes, whichever is earlier. If we receive the request, or if we (or our designee) receive the Purchase Payment, on any Business Day on or after 4:00 PM Eastern Standard Time or when the NYSE closes, whichever is earlier, then the request or payment will be treated as received on the next day. If you send your Purchase Payment or transaction requests to an address other than the one we have designated for receipt of such Purchase Payment or requests, as indicated in the chart below, we may return the Purchase Payment to you, or there may be a delay in applying the Purchase Payment or processing the transaction.</w:t>
      </w:r>
    </w:p>
    <w:p>
      <w:pPr>
        <w:spacing w:after="0" w:line="9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Specific to the Performance Lock Benefit, all notifications to or other communication with us concerning the Performance Lock—including, to submit a Notice of election to lock the Index Value for your Shield Option, to set a Target Index Value, to transfer or renew the Investment Amount at Term End Date, or to transfer the Interim Value after a Locked Index Value takes effect—may be made by you or through your financial representative.</w:t>
      </w:r>
    </w:p>
    <w:p>
      <w:pPr>
        <w:spacing w:after="0" w:line="7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Note that any notification of your election to transfer Interim Value after a Locked Index Value takes effect must be received prior to or on any Contract Anniversary by 4 PM Eastern Standard Time. Please direct your requests and elections under your Contract, and inquiries about your Contract, to us as directed below.</w:t>
      </w:r>
    </w:p>
    <w:p>
      <w:pPr>
        <w:spacing w:after="0" w:line="9" w:lineRule="exact"/>
        <w:rPr>
          <w:sz w:val="20"/>
          <w:szCs w:val="20"/>
          <w:color w:val="auto"/>
        </w:rPr>
      </w:pPr>
    </w:p>
    <w:tbl>
      <w:tblPr>
        <w:tblLayout w:type="fixed"/>
        <w:tblInd w:w="130" w:type="dxa"/>
        <w:tblCellMar>
          <w:top w:w="0" w:type="dxa"/>
          <w:left w:w="0" w:type="dxa"/>
          <w:bottom w:w="0" w:type="dxa"/>
          <w:right w:w="0" w:type="dxa"/>
        </w:tblCellMar>
      </w:tblPr>
      <w:tr>
        <w:trPr>
          <w:trHeight w:val="300"/>
        </w:trPr>
        <w:tc>
          <w:tcPr>
            <w:tcW w:w="4160" w:type="dxa"/>
            <w:vAlign w:val="bottom"/>
            <w:tcBorders>
              <w:top w:val="single" w:sz="8" w:color="auto"/>
              <w:lef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Applications when purchasing the Contract, including</w:t>
            </w:r>
          </w:p>
        </w:tc>
        <w:tc>
          <w:tcPr>
            <w:tcW w:w="410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P.O. Box 4365</w:t>
            </w:r>
          </w:p>
        </w:tc>
      </w:tr>
      <w:tr>
        <w:trPr>
          <w:trHeight w:val="238"/>
        </w:trPr>
        <w:tc>
          <w:tcPr>
            <w:tcW w:w="4160" w:type="dxa"/>
            <w:vAlign w:val="bottom"/>
            <w:tcBorders>
              <w:lef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initial Purchase Payment</w:t>
            </w:r>
          </w:p>
        </w:tc>
        <w:tc>
          <w:tcPr>
            <w:tcW w:w="41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Clinton, IA 52733-4365</w:t>
            </w:r>
          </w:p>
        </w:tc>
      </w:tr>
      <w:tr>
        <w:trPr>
          <w:trHeight w:val="216"/>
        </w:trPr>
        <w:tc>
          <w:tcPr>
            <w:tcW w:w="420" w:type="dxa"/>
            <w:vAlign w:val="bottom"/>
            <w:tcBorders>
              <w:left w:val="single" w:sz="8" w:color="auto"/>
            </w:tcBorders>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Fax: (877) 245-2964</w:t>
            </w:r>
          </w:p>
        </w:tc>
      </w:tr>
      <w:tr>
        <w:trPr>
          <w:trHeight w:val="229"/>
        </w:trPr>
        <w:tc>
          <w:tcPr>
            <w:tcW w:w="420" w:type="dxa"/>
            <w:vAlign w:val="bottom"/>
            <w:tcBorders>
              <w:left w:val="single" w:sz="8" w:color="auto"/>
            </w:tcBorders>
          </w:tcPr>
          <w:p>
            <w:pPr>
              <w:spacing w:after="0"/>
              <w:rPr>
                <w:sz w:val="19"/>
                <w:szCs w:val="19"/>
                <w:color w:val="auto"/>
              </w:rPr>
            </w:pPr>
          </w:p>
        </w:tc>
        <w:tc>
          <w:tcPr>
            <w:tcW w:w="3740" w:type="dxa"/>
            <w:vAlign w:val="bottom"/>
          </w:tcPr>
          <w:p>
            <w:pPr>
              <w:spacing w:after="0"/>
              <w:rPr>
                <w:sz w:val="19"/>
                <w:szCs w:val="19"/>
                <w:color w:val="auto"/>
              </w:rPr>
            </w:pPr>
          </w:p>
        </w:tc>
        <w:tc>
          <w:tcPr>
            <w:tcW w:w="41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20" w:type="dxa"/>
            <w:vAlign w:val="bottom"/>
            <w:tcBorders>
              <w:left w:val="single" w:sz="8" w:color="auto"/>
            </w:tcBorders>
          </w:tcPr>
          <w:p>
            <w:pPr>
              <w:spacing w:after="0"/>
              <w:rPr>
                <w:sz w:val="20"/>
                <w:szCs w:val="20"/>
                <w:color w:val="auto"/>
              </w:rPr>
            </w:pPr>
          </w:p>
        </w:tc>
        <w:tc>
          <w:tcPr>
            <w:tcW w:w="3740" w:type="dxa"/>
            <w:vAlign w:val="bottom"/>
          </w:tcPr>
          <w:p>
            <w:pPr>
              <w:spacing w:after="0"/>
              <w:rPr>
                <w:sz w:val="20"/>
                <w:szCs w:val="20"/>
                <w:color w:val="auto"/>
              </w:rPr>
            </w:pPr>
          </w:p>
        </w:tc>
        <w:tc>
          <w:tcPr>
            <w:tcW w:w="41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Or through your financial representative</w:t>
            </w:r>
          </w:p>
        </w:tc>
      </w:tr>
      <w:tr>
        <w:trPr>
          <w:trHeight w:val="54"/>
        </w:trPr>
        <w:tc>
          <w:tcPr>
            <w:tcW w:w="4160" w:type="dxa"/>
            <w:vAlign w:val="bottom"/>
            <w:tcBorders>
              <w:left w:val="single" w:sz="8" w:color="auto"/>
              <w:bottom w:val="single" w:sz="8" w:color="auto"/>
            </w:tcBorders>
            <w:gridSpan w:val="2"/>
          </w:tcPr>
          <w:p>
            <w:pPr>
              <w:spacing w:after="0"/>
              <w:rPr>
                <w:sz w:val="4"/>
                <w:szCs w:val="4"/>
                <w:color w:val="auto"/>
              </w:rPr>
            </w:pPr>
          </w:p>
        </w:tc>
        <w:tc>
          <w:tcPr>
            <w:tcW w:w="4100" w:type="dxa"/>
            <w:vAlign w:val="bottom"/>
            <w:tcBorders>
              <w:bottom w:val="single" w:sz="8" w:color="auto"/>
              <w:right w:val="single" w:sz="8" w:color="auto"/>
            </w:tcBorders>
          </w:tcPr>
          <w:p>
            <w:pPr>
              <w:spacing w:after="0"/>
              <w:rPr>
                <w:sz w:val="4"/>
                <w:szCs w:val="4"/>
                <w:color w:val="auto"/>
              </w:rPr>
            </w:pPr>
          </w:p>
        </w:tc>
      </w:tr>
      <w:tr>
        <w:trPr>
          <w:trHeight w:val="277"/>
        </w:trPr>
        <w:tc>
          <w:tcPr>
            <w:tcW w:w="4160" w:type="dxa"/>
            <w:vAlign w:val="bottom"/>
            <w:tcBorders>
              <w:left w:val="single" w:sz="8" w:color="auto"/>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Death Claims</w:t>
            </w:r>
          </w:p>
        </w:tc>
        <w:tc>
          <w:tcPr>
            <w:tcW w:w="410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P.O. Box 4330</w:t>
            </w:r>
          </w:p>
        </w:tc>
      </w:tr>
      <w:tr>
        <w:trPr>
          <w:trHeight w:val="238"/>
        </w:trPr>
        <w:tc>
          <w:tcPr>
            <w:tcW w:w="420" w:type="dxa"/>
            <w:vAlign w:val="bottom"/>
            <w:tcBorders>
              <w:left w:val="single" w:sz="8" w:color="auto"/>
            </w:tcBorders>
            <w:shd w:val="clear" w:color="auto" w:fill="F0FFFF"/>
          </w:tcPr>
          <w:p>
            <w:pPr>
              <w:spacing w:after="0"/>
              <w:rPr>
                <w:sz w:val="20"/>
                <w:szCs w:val="20"/>
                <w:color w:val="auto"/>
              </w:rPr>
            </w:pPr>
          </w:p>
        </w:tc>
        <w:tc>
          <w:tcPr>
            <w:tcW w:w="3740" w:type="dxa"/>
            <w:vAlign w:val="bottom"/>
            <w:shd w:val="clear" w:color="auto" w:fill="F0FFFF"/>
          </w:tcPr>
          <w:p>
            <w:pPr>
              <w:spacing w:after="0"/>
              <w:rPr>
                <w:sz w:val="20"/>
                <w:szCs w:val="20"/>
                <w:color w:val="auto"/>
              </w:rPr>
            </w:pPr>
          </w:p>
        </w:tc>
        <w:tc>
          <w:tcPr>
            <w:tcW w:w="410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Clinton, IA 52733-4330</w:t>
            </w:r>
          </w:p>
        </w:tc>
      </w:tr>
      <w:tr>
        <w:trPr>
          <w:trHeight w:val="293"/>
        </w:trPr>
        <w:tc>
          <w:tcPr>
            <w:tcW w:w="420" w:type="dxa"/>
            <w:vAlign w:val="bottom"/>
            <w:tcBorders>
              <w:left w:val="single" w:sz="8" w:color="auto"/>
              <w:bottom w:val="single" w:sz="8" w:color="F0FFFF"/>
            </w:tcBorders>
            <w:shd w:val="clear" w:color="auto" w:fill="F0FFFF"/>
          </w:tcPr>
          <w:p>
            <w:pPr>
              <w:spacing w:after="0"/>
              <w:rPr>
                <w:sz w:val="24"/>
                <w:szCs w:val="24"/>
                <w:color w:val="auto"/>
              </w:rPr>
            </w:pPr>
          </w:p>
        </w:tc>
        <w:tc>
          <w:tcPr>
            <w:tcW w:w="3740" w:type="dxa"/>
            <w:vAlign w:val="bottom"/>
            <w:tcBorders>
              <w:bottom w:val="single" w:sz="8" w:color="F0FFFF"/>
            </w:tcBorders>
            <w:shd w:val="clear" w:color="auto" w:fill="F0FFFF"/>
          </w:tcPr>
          <w:p>
            <w:pPr>
              <w:spacing w:after="0"/>
              <w:rPr>
                <w:sz w:val="24"/>
                <w:szCs w:val="24"/>
                <w:color w:val="auto"/>
              </w:rPr>
            </w:pPr>
          </w:p>
        </w:tc>
        <w:tc>
          <w:tcPr>
            <w:tcW w:w="4100" w:type="dxa"/>
            <w:vAlign w:val="bottom"/>
            <w:tcBorders>
              <w:bottom w:val="single" w:sz="8" w:color="F0FFFF"/>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Fax: (877) 245-8163</w:t>
            </w:r>
          </w:p>
        </w:tc>
      </w:tr>
      <w:tr>
        <w:trPr>
          <w:trHeight w:val="264"/>
        </w:trPr>
        <w:tc>
          <w:tcPr>
            <w:tcW w:w="4160" w:type="dxa"/>
            <w:vAlign w:val="bottom"/>
            <w:tcBorders>
              <w:top w:val="single" w:sz="8" w:color="auto"/>
              <w:lef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Income Payments</w:t>
            </w:r>
          </w:p>
        </w:tc>
        <w:tc>
          <w:tcPr>
            <w:tcW w:w="4100" w:type="dxa"/>
            <w:vAlign w:val="bottom"/>
            <w:tcBorders>
              <w:top w:val="single" w:sz="8" w:color="auto"/>
              <w:right w:val="single" w:sz="8" w:color="auto"/>
            </w:tcBorders>
          </w:tcPr>
          <w:p>
            <w:pPr>
              <w:spacing w:after="0"/>
              <w:rPr>
                <w:sz w:val="22"/>
                <w:szCs w:val="22"/>
                <w:color w:val="auto"/>
              </w:rPr>
            </w:pPr>
          </w:p>
        </w:tc>
      </w:tr>
      <w:tr>
        <w:trPr>
          <w:trHeight w:val="108"/>
        </w:trPr>
        <w:tc>
          <w:tcPr>
            <w:tcW w:w="420" w:type="dxa"/>
            <w:vAlign w:val="bottom"/>
            <w:tcBorders>
              <w:left w:val="single" w:sz="8" w:color="auto"/>
            </w:tcBorders>
          </w:tcPr>
          <w:p>
            <w:pPr>
              <w:spacing w:after="0"/>
              <w:rPr>
                <w:sz w:val="9"/>
                <w:szCs w:val="9"/>
                <w:color w:val="auto"/>
              </w:rPr>
            </w:pPr>
          </w:p>
        </w:tc>
        <w:tc>
          <w:tcPr>
            <w:tcW w:w="3740" w:type="dxa"/>
            <w:vAlign w:val="bottom"/>
          </w:tcPr>
          <w:p>
            <w:pPr>
              <w:spacing w:after="0"/>
              <w:rPr>
                <w:sz w:val="9"/>
                <w:szCs w:val="9"/>
                <w:color w:val="auto"/>
              </w:rPr>
            </w:pPr>
          </w:p>
        </w:tc>
        <w:tc>
          <w:tcPr>
            <w:tcW w:w="4100" w:type="dxa"/>
            <w:vAlign w:val="bottom"/>
            <w:tcBorders>
              <w:right w:val="single" w:sz="8" w:color="auto"/>
            </w:tcBorders>
          </w:tcPr>
          <w:p>
            <w:pPr>
              <w:spacing w:after="0"/>
              <w:rPr>
                <w:sz w:val="9"/>
                <w:szCs w:val="9"/>
                <w:color w:val="auto"/>
              </w:rPr>
            </w:pPr>
          </w:p>
        </w:tc>
      </w:tr>
      <w:tr>
        <w:trPr>
          <w:trHeight w:val="252"/>
        </w:trPr>
        <w:tc>
          <w:tcPr>
            <w:tcW w:w="420" w:type="dxa"/>
            <w:vAlign w:val="bottom"/>
            <w:tcBorders>
              <w:lef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Requests to receive regular Income Payments</w:t>
            </w:r>
          </w:p>
        </w:tc>
        <w:tc>
          <w:tcPr>
            <w:tcW w:w="410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P.O. Box 4365</w:t>
            </w:r>
          </w:p>
        </w:tc>
      </w:tr>
      <w:tr>
        <w:trPr>
          <w:trHeight w:val="216"/>
        </w:trPr>
        <w:tc>
          <w:tcPr>
            <w:tcW w:w="420" w:type="dxa"/>
            <w:vAlign w:val="bottom"/>
            <w:tcBorders>
              <w:left w:val="single" w:sz="8" w:color="auto"/>
            </w:tcBorders>
            <w:shd w:val="clear" w:color="auto" w:fill="F0FFFF"/>
          </w:tcPr>
          <w:p>
            <w:pPr>
              <w:spacing w:after="0"/>
              <w:rPr>
                <w:sz w:val="18"/>
                <w:szCs w:val="18"/>
                <w:color w:val="auto"/>
              </w:rPr>
            </w:pPr>
          </w:p>
        </w:tc>
        <w:tc>
          <w:tcPr>
            <w:tcW w:w="3740" w:type="dxa"/>
            <w:vAlign w:val="bottom"/>
            <w:shd w:val="clear" w:color="auto" w:fill="F0FFFF"/>
          </w:tcPr>
          <w:p>
            <w:pPr>
              <w:spacing w:after="0"/>
              <w:rPr>
                <w:sz w:val="18"/>
                <w:szCs w:val="18"/>
                <w:color w:val="auto"/>
              </w:rPr>
            </w:pPr>
          </w:p>
        </w:tc>
        <w:tc>
          <w:tcPr>
            <w:tcW w:w="410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Clinton, IA 52733-4365</w:t>
            </w:r>
          </w:p>
        </w:tc>
      </w:tr>
      <w:tr>
        <w:trPr>
          <w:trHeight w:val="216"/>
        </w:trPr>
        <w:tc>
          <w:tcPr>
            <w:tcW w:w="420" w:type="dxa"/>
            <w:vAlign w:val="bottom"/>
            <w:tcBorders>
              <w:left w:val="single" w:sz="8" w:color="auto"/>
            </w:tcBorders>
            <w:shd w:val="clear" w:color="auto" w:fill="F0FFFF"/>
          </w:tcPr>
          <w:p>
            <w:pPr>
              <w:spacing w:after="0"/>
              <w:rPr>
                <w:sz w:val="18"/>
                <w:szCs w:val="18"/>
                <w:color w:val="auto"/>
              </w:rPr>
            </w:pPr>
          </w:p>
        </w:tc>
        <w:tc>
          <w:tcPr>
            <w:tcW w:w="3740" w:type="dxa"/>
            <w:vAlign w:val="bottom"/>
            <w:shd w:val="clear" w:color="auto" w:fill="F0FFFF"/>
          </w:tcPr>
          <w:p>
            <w:pPr>
              <w:spacing w:after="0"/>
              <w:rPr>
                <w:sz w:val="18"/>
                <w:szCs w:val="18"/>
                <w:color w:val="auto"/>
              </w:rPr>
            </w:pPr>
          </w:p>
        </w:tc>
        <w:tc>
          <w:tcPr>
            <w:tcW w:w="410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Telephone: (800) 882-1292</w:t>
            </w:r>
          </w:p>
        </w:tc>
      </w:tr>
      <w:tr>
        <w:trPr>
          <w:trHeight w:val="234"/>
        </w:trPr>
        <w:tc>
          <w:tcPr>
            <w:tcW w:w="420" w:type="dxa"/>
            <w:vAlign w:val="bottom"/>
            <w:tcBorders>
              <w:left w:val="single" w:sz="8" w:color="auto"/>
            </w:tcBorders>
            <w:shd w:val="clear" w:color="auto" w:fill="F0FFFF"/>
          </w:tcPr>
          <w:p>
            <w:pPr>
              <w:spacing w:after="0"/>
              <w:rPr>
                <w:sz w:val="20"/>
                <w:szCs w:val="20"/>
                <w:color w:val="auto"/>
              </w:rPr>
            </w:pPr>
          </w:p>
        </w:tc>
        <w:tc>
          <w:tcPr>
            <w:tcW w:w="3740" w:type="dxa"/>
            <w:vAlign w:val="bottom"/>
            <w:shd w:val="clear" w:color="auto" w:fill="F0FFFF"/>
          </w:tcPr>
          <w:p>
            <w:pPr>
              <w:spacing w:after="0"/>
              <w:rPr>
                <w:sz w:val="20"/>
                <w:szCs w:val="20"/>
                <w:color w:val="auto"/>
              </w:rPr>
            </w:pPr>
          </w:p>
        </w:tc>
        <w:tc>
          <w:tcPr>
            <w:tcW w:w="410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Fax: (877) 246-8424</w:t>
            </w:r>
          </w:p>
        </w:tc>
      </w:tr>
      <w:tr>
        <w:trPr>
          <w:trHeight w:val="108"/>
        </w:trPr>
        <w:tc>
          <w:tcPr>
            <w:tcW w:w="420" w:type="dxa"/>
            <w:vAlign w:val="bottom"/>
            <w:tcBorders>
              <w:left w:val="single" w:sz="8" w:color="auto"/>
            </w:tcBorders>
            <w:shd w:val="clear" w:color="auto" w:fill="F0FFFF"/>
          </w:tcPr>
          <w:p>
            <w:pPr>
              <w:spacing w:after="0"/>
              <w:rPr>
                <w:sz w:val="9"/>
                <w:szCs w:val="9"/>
                <w:color w:val="auto"/>
              </w:rPr>
            </w:pPr>
          </w:p>
        </w:tc>
        <w:tc>
          <w:tcPr>
            <w:tcW w:w="3740" w:type="dxa"/>
            <w:vAlign w:val="bottom"/>
            <w:shd w:val="clear" w:color="auto" w:fill="F0FFFF"/>
          </w:tcPr>
          <w:p>
            <w:pPr>
              <w:spacing w:after="0"/>
              <w:rPr>
                <w:sz w:val="9"/>
                <w:szCs w:val="9"/>
                <w:color w:val="auto"/>
              </w:rPr>
            </w:pPr>
          </w:p>
        </w:tc>
        <w:tc>
          <w:tcPr>
            <w:tcW w:w="4100" w:type="dxa"/>
            <w:vAlign w:val="bottom"/>
            <w:tcBorders>
              <w:right w:val="single" w:sz="8" w:color="auto"/>
            </w:tcBorders>
            <w:shd w:val="clear" w:color="auto" w:fill="F0FFFF"/>
          </w:tcPr>
          <w:p>
            <w:pPr>
              <w:spacing w:after="0"/>
              <w:rPr>
                <w:sz w:val="9"/>
                <w:szCs w:val="9"/>
                <w:color w:val="auto"/>
              </w:rPr>
            </w:pPr>
          </w:p>
        </w:tc>
      </w:tr>
      <w:tr>
        <w:trPr>
          <w:trHeight w:val="283"/>
        </w:trPr>
        <w:tc>
          <w:tcPr>
            <w:tcW w:w="42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Death Claims for Contracts receiving Income</w:t>
            </w:r>
          </w:p>
        </w:tc>
        <w:tc>
          <w:tcPr>
            <w:tcW w:w="41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P.O. Box 4364</w:t>
            </w:r>
          </w:p>
        </w:tc>
      </w:tr>
      <w:tr>
        <w:trPr>
          <w:trHeight w:val="238"/>
        </w:trPr>
        <w:tc>
          <w:tcPr>
            <w:tcW w:w="420" w:type="dxa"/>
            <w:vAlign w:val="bottom"/>
            <w:tcBorders>
              <w:left w:val="single" w:sz="8" w:color="auto"/>
            </w:tcBorders>
          </w:tcPr>
          <w:p>
            <w:pPr>
              <w:spacing w:after="0"/>
              <w:rPr>
                <w:sz w:val="20"/>
                <w:szCs w:val="20"/>
                <w:color w:val="auto"/>
              </w:rPr>
            </w:pPr>
          </w:p>
        </w:tc>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w:t>
            </w:r>
          </w:p>
        </w:tc>
        <w:tc>
          <w:tcPr>
            <w:tcW w:w="41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Clinton, IA 52733-4364</w:t>
            </w:r>
          </w:p>
        </w:tc>
      </w:tr>
      <w:tr>
        <w:trPr>
          <w:trHeight w:val="229"/>
        </w:trPr>
        <w:tc>
          <w:tcPr>
            <w:tcW w:w="420" w:type="dxa"/>
            <w:vAlign w:val="bottom"/>
            <w:tcBorders>
              <w:left w:val="single" w:sz="8" w:color="auto"/>
            </w:tcBorders>
          </w:tcPr>
          <w:p>
            <w:pPr>
              <w:spacing w:after="0"/>
              <w:rPr>
                <w:sz w:val="19"/>
                <w:szCs w:val="19"/>
                <w:color w:val="auto"/>
              </w:rPr>
            </w:pPr>
          </w:p>
        </w:tc>
        <w:tc>
          <w:tcPr>
            <w:tcW w:w="3740" w:type="dxa"/>
            <w:vAlign w:val="bottom"/>
          </w:tcPr>
          <w:p>
            <w:pPr>
              <w:spacing w:after="0"/>
              <w:rPr>
                <w:sz w:val="19"/>
                <w:szCs w:val="19"/>
                <w:color w:val="auto"/>
              </w:rPr>
            </w:pPr>
          </w:p>
        </w:tc>
        <w:tc>
          <w:tcPr>
            <w:tcW w:w="41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Telephone: (800) 882-1292</w:t>
            </w:r>
          </w:p>
        </w:tc>
      </w:tr>
      <w:tr>
        <w:trPr>
          <w:trHeight w:val="234"/>
        </w:trPr>
        <w:tc>
          <w:tcPr>
            <w:tcW w:w="420" w:type="dxa"/>
            <w:vAlign w:val="bottom"/>
            <w:tcBorders>
              <w:left w:val="single" w:sz="8" w:color="auto"/>
            </w:tcBorders>
          </w:tcPr>
          <w:p>
            <w:pPr>
              <w:spacing w:after="0"/>
              <w:rPr>
                <w:sz w:val="20"/>
                <w:szCs w:val="20"/>
                <w:color w:val="auto"/>
              </w:rPr>
            </w:pPr>
          </w:p>
        </w:tc>
        <w:tc>
          <w:tcPr>
            <w:tcW w:w="3740" w:type="dxa"/>
            <w:vAlign w:val="bottom"/>
          </w:tcPr>
          <w:p>
            <w:pPr>
              <w:spacing w:after="0"/>
              <w:rPr>
                <w:sz w:val="20"/>
                <w:szCs w:val="20"/>
                <w:color w:val="auto"/>
              </w:rPr>
            </w:pPr>
          </w:p>
        </w:tc>
        <w:tc>
          <w:tcPr>
            <w:tcW w:w="41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Fax: (877) 245-8163</w:t>
            </w:r>
          </w:p>
        </w:tc>
      </w:tr>
      <w:tr>
        <w:trPr>
          <w:trHeight w:val="54"/>
        </w:trPr>
        <w:tc>
          <w:tcPr>
            <w:tcW w:w="420" w:type="dxa"/>
            <w:vAlign w:val="bottom"/>
            <w:tcBorders>
              <w:left w:val="single" w:sz="8" w:color="auto"/>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4100" w:type="dxa"/>
            <w:vAlign w:val="bottom"/>
            <w:tcBorders>
              <w:bottom w:val="single" w:sz="8" w:color="auto"/>
              <w:right w:val="single" w:sz="8" w:color="auto"/>
            </w:tcBorders>
          </w:tcPr>
          <w:p>
            <w:pPr>
              <w:spacing w:after="0"/>
              <w:rPr>
                <w:sz w:val="4"/>
                <w:szCs w:val="4"/>
                <w:color w:val="auto"/>
              </w:rPr>
            </w:pPr>
          </w:p>
        </w:tc>
      </w:tr>
      <w:tr>
        <w:trPr>
          <w:trHeight w:val="277"/>
        </w:trPr>
        <w:tc>
          <w:tcPr>
            <w:tcW w:w="420" w:type="dxa"/>
            <w:vAlign w:val="bottom"/>
            <w:tcBorders>
              <w:lef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General requests and elections for Contracts</w:t>
            </w:r>
          </w:p>
        </w:tc>
        <w:tc>
          <w:tcPr>
            <w:tcW w:w="410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P.O. Box 4363</w:t>
            </w:r>
          </w:p>
        </w:tc>
      </w:tr>
      <w:tr>
        <w:trPr>
          <w:trHeight w:val="238"/>
        </w:trPr>
        <w:tc>
          <w:tcPr>
            <w:tcW w:w="420" w:type="dxa"/>
            <w:vAlign w:val="bottom"/>
            <w:tcBorders>
              <w:left w:val="single" w:sz="8" w:color="auto"/>
            </w:tcBorders>
            <w:shd w:val="clear" w:color="auto" w:fill="F0FFFF"/>
          </w:tcPr>
          <w:p>
            <w:pPr>
              <w:spacing w:after="0"/>
              <w:rPr>
                <w:sz w:val="20"/>
                <w:szCs w:val="20"/>
                <w:color w:val="auto"/>
              </w:rPr>
            </w:pPr>
          </w:p>
        </w:tc>
        <w:tc>
          <w:tcPr>
            <w:tcW w:w="374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receiving Income Payments</w:t>
            </w:r>
          </w:p>
        </w:tc>
        <w:tc>
          <w:tcPr>
            <w:tcW w:w="410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Clinton, IA 52733-4363</w:t>
            </w:r>
          </w:p>
        </w:tc>
      </w:tr>
      <w:tr>
        <w:trPr>
          <w:trHeight w:val="229"/>
        </w:trPr>
        <w:tc>
          <w:tcPr>
            <w:tcW w:w="420" w:type="dxa"/>
            <w:vAlign w:val="bottom"/>
            <w:tcBorders>
              <w:left w:val="single" w:sz="8" w:color="auto"/>
            </w:tcBorders>
            <w:shd w:val="clear" w:color="auto" w:fill="F0FFFF"/>
          </w:tcPr>
          <w:p>
            <w:pPr>
              <w:spacing w:after="0"/>
              <w:rPr>
                <w:sz w:val="19"/>
                <w:szCs w:val="19"/>
                <w:color w:val="auto"/>
              </w:rPr>
            </w:pPr>
          </w:p>
        </w:tc>
        <w:tc>
          <w:tcPr>
            <w:tcW w:w="3740" w:type="dxa"/>
            <w:vAlign w:val="bottom"/>
            <w:shd w:val="clear" w:color="auto" w:fill="F0FFFF"/>
          </w:tcPr>
          <w:p>
            <w:pPr>
              <w:spacing w:after="0"/>
              <w:rPr>
                <w:sz w:val="19"/>
                <w:szCs w:val="19"/>
                <w:color w:val="auto"/>
              </w:rPr>
            </w:pPr>
          </w:p>
        </w:tc>
        <w:tc>
          <w:tcPr>
            <w:tcW w:w="410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Telephone: (800) 882-1292</w:t>
            </w:r>
          </w:p>
        </w:tc>
      </w:tr>
      <w:tr>
        <w:trPr>
          <w:trHeight w:val="293"/>
        </w:trPr>
        <w:tc>
          <w:tcPr>
            <w:tcW w:w="420" w:type="dxa"/>
            <w:vAlign w:val="bottom"/>
            <w:tcBorders>
              <w:left w:val="single" w:sz="8" w:color="auto"/>
              <w:bottom w:val="single" w:sz="8" w:color="F0FFFF"/>
            </w:tcBorders>
            <w:shd w:val="clear" w:color="auto" w:fill="F0FFFF"/>
          </w:tcPr>
          <w:p>
            <w:pPr>
              <w:spacing w:after="0"/>
              <w:rPr>
                <w:sz w:val="24"/>
                <w:szCs w:val="24"/>
                <w:color w:val="auto"/>
              </w:rPr>
            </w:pPr>
          </w:p>
        </w:tc>
        <w:tc>
          <w:tcPr>
            <w:tcW w:w="3740" w:type="dxa"/>
            <w:vAlign w:val="bottom"/>
            <w:tcBorders>
              <w:bottom w:val="single" w:sz="8" w:color="F0FFFF"/>
            </w:tcBorders>
            <w:shd w:val="clear" w:color="auto" w:fill="F0FFFF"/>
          </w:tcPr>
          <w:p>
            <w:pPr>
              <w:spacing w:after="0"/>
              <w:rPr>
                <w:sz w:val="24"/>
                <w:szCs w:val="24"/>
                <w:color w:val="auto"/>
              </w:rPr>
            </w:pPr>
          </w:p>
        </w:tc>
        <w:tc>
          <w:tcPr>
            <w:tcW w:w="4100" w:type="dxa"/>
            <w:vAlign w:val="bottom"/>
            <w:tcBorders>
              <w:bottom w:val="single" w:sz="8" w:color="F0FFFF"/>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Fax: (877) 246-8424</w:t>
            </w:r>
          </w:p>
        </w:tc>
      </w:tr>
      <w:tr>
        <w:trPr>
          <w:trHeight w:val="245"/>
        </w:trPr>
        <w:tc>
          <w:tcPr>
            <w:tcW w:w="4160" w:type="dxa"/>
            <w:vAlign w:val="bottom"/>
            <w:tcBorders>
              <w:top w:val="single" w:sz="8" w:color="auto"/>
              <w:lef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All other requests and elections and general inquiries</w:t>
            </w:r>
          </w:p>
        </w:tc>
        <w:tc>
          <w:tcPr>
            <w:tcW w:w="410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P.O. Box 4301</w:t>
            </w:r>
          </w:p>
        </w:tc>
      </w:tr>
      <w:tr>
        <w:trPr>
          <w:trHeight w:val="216"/>
        </w:trPr>
        <w:tc>
          <w:tcPr>
            <w:tcW w:w="4160" w:type="dxa"/>
            <w:vAlign w:val="bottom"/>
            <w:tcBorders>
              <w:lef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(except requests for a transaction or other notification</w:t>
            </w:r>
          </w:p>
        </w:tc>
        <w:tc>
          <w:tcPr>
            <w:tcW w:w="41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Clinton, IA 52733-4301</w:t>
            </w:r>
          </w:p>
        </w:tc>
      </w:tr>
      <w:tr>
        <w:trPr>
          <w:trHeight w:val="216"/>
        </w:trPr>
        <w:tc>
          <w:tcPr>
            <w:tcW w:w="4160" w:type="dxa"/>
            <w:vAlign w:val="bottom"/>
            <w:tcBorders>
              <w:lef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related to the Performance Lock Benefit must be</w:t>
            </w:r>
          </w:p>
        </w:tc>
        <w:tc>
          <w:tcPr>
            <w:tcW w:w="41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Telephone: (888) 243-1932</w:t>
            </w:r>
          </w:p>
        </w:tc>
      </w:tr>
      <w:tr>
        <w:trPr>
          <w:trHeight w:val="234"/>
        </w:trPr>
        <w:tc>
          <w:tcPr>
            <w:tcW w:w="4160" w:type="dxa"/>
            <w:vAlign w:val="bottom"/>
            <w:tcBorders>
              <w:lef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submitted in writing, by telephone or by fax)</w:t>
            </w:r>
          </w:p>
        </w:tc>
        <w:tc>
          <w:tcPr>
            <w:tcW w:w="41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Fax: (877) 246-8424</w:t>
            </w:r>
          </w:p>
        </w:tc>
      </w:tr>
      <w:tr>
        <w:trPr>
          <w:trHeight w:val="51"/>
        </w:trPr>
        <w:tc>
          <w:tcPr>
            <w:tcW w:w="420" w:type="dxa"/>
            <w:vAlign w:val="bottom"/>
            <w:tcBorders>
              <w:left w:val="single" w:sz="8" w:color="auto"/>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410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-4184650</wp:posOffset>
            </wp:positionV>
            <wp:extent cx="5229225" cy="8058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29225" cy="80581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-2856230</wp:posOffset>
            </wp:positionV>
            <wp:extent cx="5229225" cy="2400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29225" cy="24003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-1964690</wp:posOffset>
            </wp:positionV>
            <wp:extent cx="5229225" cy="6686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29225" cy="66865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-627380</wp:posOffset>
            </wp:positionV>
            <wp:extent cx="5229225" cy="6172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29225" cy="617220"/>
                    </a:xfrm>
                    <a:prstGeom prst="rect">
                      <a:avLst/>
                    </a:prstGeom>
                    <a:noFill/>
                  </pic:spPr>
                </pic:pic>
              </a:graphicData>
            </a:graphic>
          </wp:anchor>
        </w:drawing>
      </w:r>
    </w:p>
    <w:p>
      <w:pPr>
        <w:spacing w:after="0" w:line="66"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Some of the requests for service that may be made by telephone or Internet (www.brighthousefinancial.com) include transfers of your Account Value into Shield Option(s) or the Fixed Account. We may from time to time permit requests for other types of transactions to be made by telephone or Internet. All transaction requests must be in a form satisfactory to us. Contact us for further information. Some selling firms may restrict the ability of their financial professionals to convey transaction requests by telephone or Internet on your behalf.</w:t>
      </w:r>
    </w:p>
    <w:p>
      <w:pPr>
        <w:spacing w:after="0" w:line="75"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We are not a fiduciary and do not provide investment advice or make recommendations regarding insurance or investment products. Ask your financial professional for guidance regarding any requests or elections and for information about your particular investment needs. Please bear in mind that your financial professional, or any financial firm or financial professional with whom you consult for advice, acts on your behalf, not ours. We are not party to any agreement between you and your financial professional. We do not recommend and are not responsible for any securities transactions or investment strategies involving securities.</w:t>
      </w:r>
    </w:p>
    <w:p>
      <w:pPr>
        <w:sectPr>
          <w:pgSz w:w="11900" w:h="16838" w:orient="portrait"/>
          <w:cols w:equalWidth="0" w:num="1">
            <w:col w:w="9019"/>
          </w:cols>
          <w:pgMar w:left="1440" w:top="1377" w:right="1440" w:bottom="1440" w:gutter="0" w:footer="0" w:header="0"/>
        </w:sectPr>
      </w:pPr>
    </w:p>
    <w:p>
      <w:pPr>
        <w:spacing w:after="0" w:line="2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9019"/>
          </w:cols>
          <w:pgMar w:left="1440" w:top="1377" w:right="1440" w:bottom="1440" w:gutter="0" w:footer="0" w:header="0"/>
          <w:type w:val="continuous"/>
        </w:sectPr>
      </w:pPr>
    </w:p>
    <w:bookmarkStart w:id="75" w:name="page76"/>
    <w:bookmarkEnd w:id="75"/>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 request or transaction generally is considered in Good Order if it complies with our administrative procedures and the required information is complete and accurate. A request or transaction may be rejected or delayed if not in Good Order. If you have any questions, you should contact us or your financial professional before submitting the form or request.</w:t>
      </w:r>
    </w:p>
    <w:p>
      <w:pPr>
        <w:spacing w:after="0" w:line="72"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will use reasonable procedures such as requiring certain identifying information, recording the telephone instructions, and providing written confirmation of the transaction, in order to confirm that instructions communicated by telephone, fax, Internet or other means are genuine. Any telephone, fax or Internet instructions reasonably believed by us to be genuine will be your responsibility, including losses arising from any errors in the communication of instructions. As a result of this policy, you will bear the risk of loss. If we do not employ reasonable procedures to confirm that instructions communicated by telephone, fax or Internet are genuine, we may be liable for any losses due to unauthorized or fraudulent transactions. All other requests and elections under your Contract must be in writing signed by the proper party, must include any necessary documentation and must be received at our Annuity Service Office to be effective. If acceptable to us, requests or elections relating to Beneficiaries and Ownership will take effect as of the date signed unless we have already acted in reliance on the prior status. We are not responsible for the validity of any written request or action.</w:t>
      </w:r>
    </w:p>
    <w:p>
      <w:pPr>
        <w:spacing w:after="0" w:line="84"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Telephone and computer systems may not always be available. Any telephone or computer system, whether it is yours, your service provider’s, your financial representative’s, or ours, can experience outages or slowdowns for a variety of reasons. These outages or slowdowns may delay or prevent our processing of your request. Although we have taken precautions to help our systems handle heavy use, we cannot promise complete reliability under all circumstances. If you experience technical difficulties or problems, you should make your transaction request in writing to our Annuity Service Office.</w:t>
      </w:r>
    </w:p>
    <w:p>
      <w:pPr>
        <w:spacing w:after="0" w:line="29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CONFIRMING TRANSACTIONS</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We will send out written statements confirming that a transaction was recently completed. Unless you inform us of any errors within 60 days of receipt, we will consider these communications to be accurate and complete.</w:t>
      </w:r>
    </w:p>
    <w:p>
      <w:pPr>
        <w:spacing w:after="0" w:line="2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BLIC, similar to other life insurance companies, is involved in lawsuits (including class action lawsuits), arbitrations and other legal proceedings. Also, from time to time, state and Federal regulators or other officials conduct formal and informal examinations or undertake other actions dealing with various aspects of the financial services and insurance industries. In some legal proceedings involving insurers, substantial damages have been sought and/or material settlement payments have been made.</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It is not possible to predict with certainty the ultimate outcome of any pending legal proceeding or regulatory action. However, BLIC does not believe any such action or proceeding will have a material adverse effect upon the ability of Brighthouse Securities to perform its contract with BLIC or of BLIC to meet its obligations under the contracts.</w:t>
      </w:r>
    </w:p>
    <w:p>
      <w:pPr>
        <w:spacing w:after="0" w:line="28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Legal matters in connection with Federal laws and regulations affecting the issue and sale of the Contracts described in this prospectus and the organization of BLIC, its authority to issue such Contracts under Delaware law and the validity of the forms of the Contracts under Delaware law have been passed on by legal counsel for BLIC.</w:t>
      </w:r>
    </w:p>
    <w:p>
      <w:pPr>
        <w:spacing w:after="0" w:line="28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[TO BE UPDATED BY AMENDMENT] The financial statements of Brighthouse Life Insurance Company incorporated by reference in this Prospectus, have been audited by [ ], an independent registered public accounting firm, as stated in their report. Such financial statements are incorporated by reference in reliance upon the report of such firm, given their authority as experts in accounting and auditing.</w:t>
      </w:r>
    </w:p>
    <w:p>
      <w:pPr>
        <w:spacing w:after="0" w:line="28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STATE VARIATIONS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Contracts issued in your state may provide different features and benefits from, and impose different costs than, those described in this prospectus because of state law variations. These differences include, among other things, Free Look rights, age issuance limitations, transfer rights and limitations, the right to reject a Purchase Payment, the requirements for unisex annuity rates and the general availability of certain features. This prospectus describes all the material features of the Contract. If you would like to review a copy of the Contract and any endorsements, contact our Annuity Service Office.</w:t>
      </w:r>
    </w:p>
    <w:p>
      <w:pPr>
        <w:sectPr>
          <w:pgSz w:w="11900" w:h="16838" w:orient="portrait"/>
          <w:cols w:equalWidth="0" w:num="1">
            <w:col w:w="9019"/>
          </w:cols>
          <w:pgMar w:left="1440" w:top="1377" w:right="1440" w:bottom="893" w:gutter="0" w:footer="0" w:header="0"/>
        </w:sectPr>
      </w:pPr>
    </w:p>
    <w:p>
      <w:pPr>
        <w:spacing w:after="0" w:line="2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9019"/>
          </w:cols>
          <w:pgMar w:left="1440" w:top="1377" w:right="1440" w:bottom="893" w:gutter="0" w:footer="0" w:header="0"/>
          <w:type w:val="continuous"/>
        </w:sectPr>
      </w:pPr>
    </w:p>
    <w:bookmarkStart w:id="76" w:name="page77"/>
    <w:bookmarkEnd w:id="76"/>
    <w:p>
      <w:pPr>
        <w:ind w:left="3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ELECTRONIC DELIVERY</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As Owner you may elect to receive electronic delivery of current prospectuses related to the Contract and other Contract related documents. Contact us at our website at www.brighthousefinancial.com for more information and to enroll.</w:t>
      </w:r>
    </w:p>
    <w:p>
      <w:pPr>
        <w:spacing w:after="0" w:line="28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AMENDMENT OF THE CONTRACT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reserve the right to amend the Contracts to comply with applicable Federal or state laws or regulations.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notify you in writing of any such amendments.</w:t>
      </w:r>
    </w:p>
    <w:p>
      <w:pPr>
        <w:spacing w:after="0" w:line="31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MISSTATEMENT</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We may require proof of the age or sex (where permitted) of the Annuitant, Owner and/or the Beneficiary before making any payments under the Contract that are measured by the Annuitant’s, Owner’s or Beneficiary’s life. If the age or sex of the measuring life has been misstated, the amount payable will be the amount that would have been provided at the correct age and sex.</w:t>
      </w:r>
    </w:p>
    <w:p>
      <w:pPr>
        <w:spacing w:after="0" w:line="28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[TO BE UPDATED BY AMENDMENT]Under the Securities Act of 1933, BLIC has filed with the SEC a registration statement (the “Registration Statement”) relating to the Contracts offered by this prospectus. This prospectus has been filed as a part of the Registration Statement and does not contain all of the information set forth in the Registration Statement and the exhibits and reference is hereby made to such Registration Statement and exhibits for further information relating to BLIC and the Contracts.</w:t>
      </w:r>
    </w:p>
    <w:p>
      <w:pPr>
        <w:spacing w:after="0" w:line="7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incorporate by reference BLIC’s Annual Report on Form 10-K for the year ended December [ ], as filed with the SEC on [ ] via EDGAR File No. [ ] and Quarterly Report on Form 10-Q for the quarter ended on March 31, 2025, as filed with the SEC on [ ] via EDGAR File No. [ ]. The Annual Report contains additional information about BLIC, including audited financial statements for BLIC’s latest fiscal year. In addition, all documents subsequently filed by BLIC pursuant to Sections 13(a), 13(c), 14 or 15(d) of the Securities Exchange Act of 1934, as amended (the “Exchange Act”) prior to the termination of the offering, are also incorporated by reference into this prospectus. We are not incorporating by reference any documents or information deemed to have been furnished instead of filed under SEC rules, such as current reports on Form 8-K furnished under Item 2.02 or Item 7.01.</w:t>
      </w:r>
    </w:p>
    <w:p>
      <w:pPr>
        <w:spacing w:after="0" w:line="80"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If requested, BLIC will furnish, without charge, a copy of any and all of the reports or documents that have been incorporated by reference into this prospectus. You may direct your requests to BLIC at 11225 North Community House Road, Charlotte, NC 28277. The telephone number is 1-888-243-1932. You may also access the incorporated reports and other documents at www.brighthousefinancial.com.</w:t>
      </w:r>
    </w:p>
    <w:p>
      <w:pPr>
        <w:spacing w:after="0" w:line="72"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BLIC files periodic reports as required under the Exchange Act (including Form 10-K, 10-Q and 8-K). You may also read and copy any materials that BLIC files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http://www.sec.gov.</w:t>
      </w:r>
    </w:p>
    <w:p>
      <w:pPr>
        <w:spacing w:after="0" w:line="30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 INDEMNIFICATION</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SECURITIES ACT LIABILITIES</w:t>
      </w:r>
    </w:p>
    <w:p>
      <w:pPr>
        <w:spacing w:after="0" w:line="9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Pursuant to applicable provisions of BLIC’s by-laws or internal corporate policies adopted by BLIC or its ultimate parent, the directors, officers and other controlling persons of BLIC and of BLIC’s affiliate and principal underwriter, Brighthouse Securities, who are made or threatened to be made a party to an action or proceeding, may be eligible to obtain indemnification against judgments, fines, amounts paid in settlement and reasonable expenses, including attorneys’ fees, incurred as a result of such action or proceeding. Under the principal underwriting agreement between BLIC and Brighthouse Securities, the parties have agreed to indemnify each other against certain liabilities and expenses from legal proceedings arising out of Brighthouse Securities’ distribution of the Contracts.</w:t>
      </w:r>
    </w:p>
    <w:p>
      <w:pPr>
        <w:spacing w:after="0" w:line="84"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or persons controlling BLIC pursuant to the foregoing provisions, BLIC has been informed that in the opinion of the Securities and Exchange Commission such indemnification is against public policy as expressed in the Securities Act of 1933 and is therefore unenforceable.</w:t>
      </w:r>
    </w:p>
    <w:p>
      <w:pPr>
        <w:sectPr>
          <w:pgSz w:w="11900" w:h="16838" w:orient="portrait"/>
          <w:cols w:equalWidth="0" w:num="1">
            <w:col w:w="9019"/>
          </w:cols>
          <w:pgMar w:left="1440" w:top="1373" w:right="1440" w:bottom="1095"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9019"/>
          </w:cols>
          <w:pgMar w:left="1440" w:top="1373" w:right="1440" w:bottom="1095" w:gutter="0" w:footer="0" w:header="0"/>
          <w:type w:val="continuous"/>
        </w:sectPr>
      </w:pPr>
    </w:p>
    <w:bookmarkStart w:id="77" w:name="page78"/>
    <w:bookmarkEnd w:id="77"/>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APPENDIX A</w:t>
      </w:r>
    </w:p>
    <w:p>
      <w:pPr>
        <w:spacing w:after="0" w:line="1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INDEX PUBLISHERS</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BLIC uses the Indices under license from the Indices’ respective publishers. The following information about the Indices is included in this prospectus in accordance with BLIC’s license agreements with the publishers of the Indices:</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S&amp;P Opco, LLC requires that the following disclaimer be included in this prospectus:</w:t>
      </w:r>
    </w:p>
    <w:p>
      <w:pPr>
        <w:spacing w:after="0" w:line="114" w:lineRule="exact"/>
        <w:rPr>
          <w:sz w:val="20"/>
          <w:szCs w:val="20"/>
          <w:color w:val="auto"/>
        </w:rPr>
      </w:pPr>
    </w:p>
    <w:p>
      <w:pPr>
        <w:jc w:val="both"/>
        <w:ind w:left="120" w:right="639" w:firstLine="360"/>
        <w:spacing w:after="0" w:line="228" w:lineRule="auto"/>
        <w:rPr>
          <w:sz w:val="20"/>
          <w:szCs w:val="20"/>
          <w:color w:val="auto"/>
        </w:rPr>
      </w:pPr>
      <w:r>
        <w:rPr>
          <w:rFonts w:ascii="Times New Roman" w:cs="Times New Roman" w:eastAsia="Times New Roman" w:hAnsi="Times New Roman"/>
          <w:sz w:val="18"/>
          <w:szCs w:val="18"/>
          <w:color w:val="auto"/>
        </w:rPr>
        <w:t>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product of S&amp;P Dow Jones Indices LLC or its affiliates (“SPDJI”) and has been licensed for use by affiliates of Brighthouse Financial, Inc., including Brighthouse Services, LLC and Brighthouse Life Insurance Company (collectively, “Brighthouse Financial”). S&amp;P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US 500, The 500, iBoxx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iTraxx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CDX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trademarks of S&amp;P Global, Inc. or its affiliates (“S&amp;P”); Dow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registered trademark of Dow Jones Trademark Holdings LLC (“Dow Jones”); and these trademarks have been licensed for use by SPDJI and sublicensed for certain purposes by Brighthouse Financial. It is not possible to invest directly in an index.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is not sponsored, endorsed, sold or promoted by SPDJI, Dow Jones, S&amp;P, any of their respective affiliates (collectively, “S&amp;P Dow Jones Indices”). S&amp;P Dow Jones Indices makes no representation or warranty, express or implied, to the owners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or any member of the public regarding the advisability of investing in securities generally or in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particularly or the ability of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track general market performance. Past performance of an index is not an indication or guarantee of future results. S&amp;P Dow Jones Indices’ only relationship to Brighthouse Financial with respect to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the licensing of the Index and certain trademarks, service marks and/or trade names of S&amp;P Dow Jones Indices and/or its licensors.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determined, composed and calculated by S&amp;P Dow Jones Indices without regard to Brighthouse Financial or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S&amp;P Dow Jones Indices have no obligation to take the needs of Brighthouse Financial or the owners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into consideration in determining, composing or calculating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S&amp;P Dow Jones Indices have no obligation or liability in connection with the administration, marketing or trading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There is no assurance that investment products based on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will accurately track index performance or provide positive investment returns. S&amp;P Dow Jones Indices LLC is not an investment adviser, commodity trading advisory, commodity pool operator, broker dealer, fiduciary, promoter” (as defined in the Investment Company Act of 1940, as amended), “expert” as enumerated within 15 U.S.C. § 77k(a) or tax advisor. Inclusion of a security, commodity, crypto currency or other asset within an index is not a recommendation by S&amp;P Dow Jones Indices to buy, sell, or hold such security, commodity, crypto currency or other asset, nor is it considered to be investment advice or commodity trading advice.</w:t>
      </w:r>
    </w:p>
    <w:p>
      <w:pPr>
        <w:spacing w:after="0" w:line="94"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7"/>
          <w:szCs w:val="17"/>
          <w:color w:val="auto"/>
        </w:rPr>
        <w:t>NEITHER S&amp;P DOW JONES INDICES NOR THIRD PARTY LICENSOR GUARANTEES THE ADEQUACY, ACCURACY, TIMELINESS AND/OR THE COMPLETENESS OF THE S&amp;P 500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OR ANY DATA RELATED THERETO OR ANY COMMUNICATION, INCLUDING BUT NOT LIMITED TO, ORAL OR WRITTEN COMMUNICATION (INCLUDING ELECTRONIC COMMUNICATIONS) WITH RESPECT THERETO. S&amp;P DOW JONES INDICES SHALL NOT BE SUBJECT TO ANY DAMAGES OR LIABILITY FOR ANY ERRORS, OMISSIONS, OR DELAYS THEREIN. S&amp;P DOW JONES INDICES MAKES NO EXPRESS OR IMPLIED WARRANTIES, AND EXPRESSLY DISCLAIMS ALL WARRANTIES, OF MERCHANTABILITY OR FITNESS FOR A PARTICULAR PURPOSE OR USE OR AS TO RESULTS TO BE OBTAINED BY BRIGHTHOUSE FINANCIAL, OWNERS OF BRIGHTHOUSE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LEVEL SELECT 3-YEAR ANNUITY, OR ANY OTHER PERSON OR ENTITY FROM THE USE OF THE S&amp;P 500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OR WITH RESPECT TO ANY DATA RELATED THERETO. WITHOUT LIMITING ANY OF THE FOREGOING, IN NO EVENT WHATSOEVER SHALL S&amp;P DOW JONES INDICES BE LIABLE FOR ANY INDIRECT, SPECIAL, INCIDENTAL, PUNITIVE, OR CONSEQUENTIAL DAMAGES INCLUDING BUT NOT LIMITED TO, LOSS OF PROFITS, TRADING LOSSES, LOST TIME OR GOODWILL, EVEN IF THEY HAVE BEEN ADVISED OF THE POSSIBILITY OF SUCH DAMAGES, WHETHER IN CONTRACT, TORT, STRICT LIABILITY, OR OTHERWISE. S&amp;P DOW JONES INDICES HAS NOT REVIEWED, PREPARED AND/OR CERTIFIED ANY PORTION OF, NOR DOES S&amp;P DOW JONES INDICES HAVE ANY CONTROL OVER, THE LICENSEE BRIGHTHOUSE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LEVEL SELECT 3-YEAR ANNUITY REGISTRATION STATEMENT, PROSPECTUS OR OTHER OFFERING MATERIALS. THERE ARE NO THIRD-PARTY BENEFICIARIES OF ANY AGREEMENTS OR ARRANGEMENTS BETWEEN S&amp;P DOW JONES INDICES AND BRIGHTHOUSE FINANCIAL, OTHER THAN THE LICENSORS OF S&amp;P DOW JONES INDICES.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Frank Russell Company requires that the following disclaimer be included in this prospectus:</w:t>
      </w:r>
    </w:p>
    <w:p>
      <w:pPr>
        <w:spacing w:after="0" w:line="100" w:lineRule="exact"/>
        <w:rPr>
          <w:sz w:val="20"/>
          <w:szCs w:val="20"/>
          <w:color w:val="auto"/>
        </w:rPr>
      </w:pPr>
    </w:p>
    <w:p>
      <w:pPr>
        <w:jc w:val="both"/>
        <w:ind w:left="120" w:right="639" w:firstLine="360"/>
        <w:spacing w:after="0" w:line="226" w:lineRule="auto"/>
        <w:rPr>
          <w:sz w:val="20"/>
          <w:szCs w:val="20"/>
          <w:color w:val="auto"/>
        </w:rPr>
      </w:pPr>
      <w:r>
        <w:rPr>
          <w:rFonts w:ascii="Times New Roman" w:cs="Times New Roman" w:eastAsia="Times New Roman" w:hAnsi="Times New Roman"/>
          <w:sz w:val="18"/>
          <w:szCs w:val="18"/>
          <w:color w:val="auto"/>
        </w:rPr>
        <w:t>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is not sponsored, endorsed, sold or promoted by Frank Russell Company (“Russell”). Russell makes no representation or warranty, express or implied, to the owners of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or any member of the public regarding the advisability of investing in securities generally or in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particularly or the ability of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to track general stock market performance or a segment of the same. Russell’s publication of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in no way suggests or implies an opinion by Russell as to the advisability of investment in any or all of the securities upon which the Russell 2000® Index is based. Russell’s only relationship to affiliates of Brighthouse Financial, Inc., including Brighthouse Services, LLC and</w:t>
      </w:r>
    </w:p>
    <w:p>
      <w:pPr>
        <w:spacing w:after="0" w:line="25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019"/>
          </w:cols>
          <w:pgMar w:left="1440" w:top="1373" w:right="1440" w:bottom="0" w:gutter="0" w:footer="0" w:header="0"/>
        </w:sectPr>
      </w:pPr>
    </w:p>
    <w:bookmarkStart w:id="78" w:name="page79"/>
    <w:bookmarkEnd w:id="78"/>
    <w:p>
      <w:pPr>
        <w:jc w:val="both"/>
        <w:ind w:left="120" w:right="63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(collectively, “Brighthouse Financial”) is the licensing of certain trademarks and trade names of Russell and of the Russell 2000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which is determined, composed and calculated by Russell without regard to Brighthouse Financial or the Brighthouse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Level Select 3-Year Annuity. Russell is not responsible for and has not reviewed the Brighthouse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Level Select 3-Year Annuity nor any associated literature or publications and Russell makes no representation or warranty express or implied as to their accuracy or completeness, or otherwise. Russell reserves the right, at any time and without notice, to alter, amend, terminate or in any way change the Russell 2000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Russell has no obligation or liability in connection with the administration, marketing or trading of the Brighthouse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Level Select 3-Year Annuity.</w:t>
      </w:r>
    </w:p>
    <w:p>
      <w:pPr>
        <w:spacing w:after="0" w:line="66" w:lineRule="exact"/>
        <w:rPr>
          <w:sz w:val="20"/>
          <w:szCs w:val="20"/>
          <w:color w:val="auto"/>
        </w:rPr>
      </w:pPr>
    </w:p>
    <w:p>
      <w:pPr>
        <w:jc w:val="both"/>
        <w:ind w:left="120" w:right="639" w:firstLine="360"/>
        <w:spacing w:after="0" w:line="236" w:lineRule="auto"/>
        <w:rPr>
          <w:sz w:val="20"/>
          <w:szCs w:val="20"/>
          <w:color w:val="auto"/>
        </w:rPr>
      </w:pPr>
      <w:r>
        <w:rPr>
          <w:rFonts w:ascii="Times New Roman" w:cs="Times New Roman" w:eastAsia="Times New Roman" w:hAnsi="Times New Roman"/>
          <w:sz w:val="18"/>
          <w:szCs w:val="18"/>
          <w:color w:val="auto"/>
        </w:rPr>
        <w:t>RUSSELL DOES NOT GUARANTEE THE ACCURACY AND/OR THE COMPLETENESS OF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OR ANY DATA INCLUDED THEREIN AND RUSSELL SHALL HAVE NO LIABILITY FOR ANY ERRORS, OMISSIONS, OR INTERRUPTIONS THEREIN. RUSSELL MAKES NO WARRANTY, EXPRESS OR IMPLIED, AS TO RESULTS TO BE OBTAINED BY BRIGHTHOUSE FINANCIAL, INVESTORS, OWNERS OF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OR ANY OTHER PERSON OR ENTITY FROM THE USE OF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OR ANY DATA INCLUDED THEREIN. RUSSELL MAKES NO EXPRESS OR IMPLIED WARRANTIES, AND EXPRESSLY DISCLAIMS ALL WARRANTIES OF MERCHANTABILITY OR FITNESS FOR A PARTICULAR PURPOSE OR USE WITH RESPECT TO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OR ANY DATA INCLUDED THEREIN. WITHOUT LIMITING ANY OF THE FOREGOING, IN NO EVENT SHALL RUSSELL HAVE ANY LIABILITY FOR ANY SPECIAL, PUNITIVE, INDIRECT, OR CONSEQUENTIAL DAMAGES (INCLUDING LOST PROFITS), EVEN IF NOTIFIED OF THE POSSIBILITY OF SUCH DAMAGES.</w:t>
      </w:r>
    </w:p>
    <w:p>
      <w:pPr>
        <w:spacing w:after="0" w:line="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MSCI Inc. requires that the following disclaimer be included in this prospectus:</w:t>
      </w:r>
    </w:p>
    <w:p>
      <w:pPr>
        <w:spacing w:after="0" w:line="114" w:lineRule="exact"/>
        <w:rPr>
          <w:sz w:val="20"/>
          <w:szCs w:val="20"/>
          <w:color w:val="auto"/>
        </w:rPr>
      </w:pPr>
    </w:p>
    <w:p>
      <w:pPr>
        <w:jc w:val="both"/>
        <w:ind w:left="120" w:right="639" w:firstLine="360"/>
        <w:spacing w:after="0" w:line="265" w:lineRule="auto"/>
        <w:rPr>
          <w:sz w:val="20"/>
          <w:szCs w:val="20"/>
          <w:color w:val="auto"/>
        </w:rPr>
      </w:pPr>
      <w:r>
        <w:rPr>
          <w:rFonts w:ascii="Times New Roman" w:cs="Times New Roman" w:eastAsia="Times New Roman" w:hAnsi="Times New Roman"/>
          <w:sz w:val="17"/>
          <w:szCs w:val="17"/>
          <w:color w:val="auto"/>
        </w:rPr>
        <w:t>THE BRIGHTHOUSE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LEVEL SELECT 3-YEAR ANNUITY IS NOT SPONSORED, ENDORSED, SOLD OR PROMOTED BY MSCI INC. (“MSCI”), ANY OF ITS AFFILIATES, ANY OF ITS INFORMATION PROVIDERS OR ANY OTHER THIRD PARTY INVOLVED IN, OR RELATED TO, COMPILING, COMPUTING OR CREATING ANY MSCI INDEX (COLLECTIVELY, THE “MSCI PARTIES”). THE MSCI INDEXES ARE THE EXCLUSIVE PROPERTY OF MSCI. MSCI AND THE MSCI INDEX NAMES ARE SERVICE MARK(S) OF MSCI OR ITS AFFILIATES AND HAVE BEEN LICENSED FOR USE FOR CERTAIN PURPOSES BY AFFILIATES OF BRIGHTHOUSE FINANCIAL, INC. INCLUDING BRIGHTHOUSE SERVICES, LLC, BRIGHTHOUSE LIFE INSURANCE COMPANY, AND BRIGHTHOUSE LIFE INSURANCE COMPANY OF NY (COLLECTIVELY, “BRIGHTHOUSE FINANCIAL”). NONE OF THE MSCI PARTIES MAKES ANY REPRESENTATION OR WARRANTY, EXPRESS OR IMPLIED, TO THE ISSUER OR OWNERS OF THIS PRODUCT OR ANY OTHER PERSON OR ENTITY REGARDING THE ADVISABILITY OF INVESTING IN PRODUCTS GENERALLY OR IN THIS PRODUCT PARTICULARLY OR THE ABILITY OF ANY MSCI INDEX TO TRACK CORRESPONDING STOCK MARKET PERFORMANCE. MSCI OR ITS AFFILIATES ARE THE LICENSORS OF CERTAIN TRADEMARKS, SERVICE MARKS AND TRADE NAMES AND OF THE MSCI INDEXES WHICH ARE DETERMINED, COMPOSED AND CALCULATED BY MSCI WITHOUT REGARD TO THIS PRODUCT OR THE ISSUER OR OWNERS OF THIS PRODUCT OR ANY OTHER PERSON OR ENTITY. NONE OF THE MSCI PARTIES HAS ANY OBLIGATION TO TAKE THE NEEDS OF THE ISSUER OR OWNERS OF THIS PRODUCT OR ANY OTHER PERSON OR ENTITY INTO CONSIDERATION IN DETERMINING, COMPOSING OR CALCULATING THE MSCI INDEXES. NONE OF THE MSCI PARTIES IS RESPONSIBLE FOR OR HAS PARTICIPATED IN THE DETERMINATION OF THE TIMING OF, PRICES AT, OR QUANTITIES OF THIS PRODUCT TO BE ISSUED OR IN THE DETERMINATION OR CALCULATION OF THE EQUATION BY OR THE CONSIDERATION INTO WHICH THIS PRODUCT IS REDEEMABLE. FURTHER, NONE OF THE MSCI PARTIES HAS ANY OBLIGATION OR LIABILITY TO THE ISSUER OR OWNERS OF THIS PRODUCT OR ANY OTHER PERSON OR ENTITY IN CONNECTION WITH THE ADMINISTRATION, MARKETING OR OFFERING OF THIS PRODUCT.</w:t>
      </w:r>
    </w:p>
    <w:p>
      <w:pPr>
        <w:spacing w:after="0" w:line="308"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ALTHOUGH MSCI SHALL OBTAIN INFORMATION FOR INCLUSION IN OR FOR USE IN THE CALCULATION OF THE MSCI INDEXES FROM SOURCES THAT MSCI CONSIDERS RELIABLE, NONE OF THE MSCI PARTIES WARRANTS OR GUARANTEES THE ORIGINALITY, ACCURACY AND/OR THE COMPLETENESS OF ANY MSCI INDEX OR ANY DATA INCLUDED THEREIN. NONE OF THE MSCI PARTIES MAKES ANY WARRANTY, EXPRESS OR IMPLIED, AS TO RESULTS TO BE OBTAINED BY THE ISSUER OF THE PRODUCT, OWNERS OF THE PRODUCT, OR ANY OTHER PERSON OR ENTITY, FROM THE USE OF ANY MSCI INDEX OR ANY DATA INCLUDED THEREIN. NONE OF THE MSCI PARTIES SHALL HAVE ANY LIABILITY FOR ANY ERRORS, OMISSIONS OR INTERRUPTIONS OF OR IN CONNECTION WITH ANY MSCI INDEX OR ANY DATA INCLUDED THEREIN. FURTHER, NONE OF THE MSCI PARTIES MAKES ANY EXPRESS OR IMPLIED WARRANTIES OF ANY KIND, AND THE MSCI PARTIES HEREBY EXPRESSLY DISCLAIM ALL WARRANTIES OF MERCHANTABILITY AND FITNESS FOR A PARTICULAR PURPOSE, WITH RESPECT TO EACH MSCI INDEX AND ANY DATA INCLUDED THEREIN. WITHOUT LIMITING ANY OF THE FOREGOING, IN NO EVENT SHALL ANY OF THE MSCI PARTIES HAVE ANY LIABILITY FOR ANY DIRECT, INDIRECT, SPECIAL, PUNITIVE, CONSEQUENTIAL OR ANY OTHER DAMAGES (INCLUDING LOST PROFITS) EVEN IF NOTIFIED OF THE POSSIBILITY OF SUCH DAMAGES.</w:t>
      </w:r>
    </w:p>
    <w:p>
      <w:pPr>
        <w:spacing w:after="0" w:line="70" w:lineRule="exact"/>
        <w:rPr>
          <w:sz w:val="20"/>
          <w:szCs w:val="20"/>
          <w:color w:val="auto"/>
        </w:rPr>
      </w:pPr>
    </w:p>
    <w:p>
      <w:pPr>
        <w:jc w:val="both"/>
        <w:ind w:left="120" w:right="639" w:firstLine="360"/>
        <w:spacing w:after="0" w:line="249" w:lineRule="auto"/>
        <w:rPr>
          <w:sz w:val="20"/>
          <w:szCs w:val="20"/>
          <w:color w:val="auto"/>
        </w:rPr>
      </w:pPr>
      <w:r>
        <w:rPr>
          <w:rFonts w:ascii="Times New Roman" w:cs="Times New Roman" w:eastAsia="Times New Roman" w:hAnsi="Times New Roman"/>
          <w:sz w:val="18"/>
          <w:szCs w:val="18"/>
          <w:color w:val="auto"/>
        </w:rPr>
        <w:t>No purchaser, seller or holder of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or any other person or entity, should use or refer to any MSCI trade name, trademark or service mark to sponsor, endorse, market or promote this security without first contacting MSCI to determine whether MSCI’s permission is required. Under</w:t>
      </w:r>
    </w:p>
    <w:p>
      <w:pPr>
        <w:sectPr>
          <w:pgSz w:w="11900" w:h="16838" w:orient="portrait"/>
          <w:cols w:equalWidth="0" w:num="1">
            <w:col w:w="9019"/>
          </w:cols>
          <w:pgMar w:left="1440" w:top="1377" w:right="1440" w:bottom="0" w:gutter="0" w:footer="0" w:header="0"/>
        </w:sectPr>
      </w:pPr>
    </w:p>
    <w:bookmarkStart w:id="79" w:name="page80"/>
    <w:bookmarkEnd w:id="79"/>
    <w:p>
      <w:pPr>
        <w:ind w:left="120" w:right="639"/>
        <w:spacing w:after="0" w:line="282" w:lineRule="auto"/>
        <w:rPr>
          <w:sz w:val="20"/>
          <w:szCs w:val="20"/>
          <w:color w:val="auto"/>
        </w:rPr>
      </w:pPr>
      <w:r>
        <w:rPr>
          <w:rFonts w:ascii="Times New Roman" w:cs="Times New Roman" w:eastAsia="Times New Roman" w:hAnsi="Times New Roman"/>
          <w:sz w:val="18"/>
          <w:szCs w:val="18"/>
          <w:color w:val="auto"/>
        </w:rPr>
        <w:t>no circumstances may any person or entity claim any affiliation with MSCI without the prior written permission of MSCI.</w:t>
      </w:r>
    </w:p>
    <w:p>
      <w:pPr>
        <w:spacing w:after="0" w:line="21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9019"/>
          </w:cols>
          <w:pgMar w:left="1440" w:top="121" w:right="1440" w:bottom="1440" w:gutter="0" w:footer="0" w:header="0"/>
        </w:sectPr>
      </w:pPr>
    </w:p>
    <w:bookmarkStart w:id="80" w:name="page81"/>
    <w:bookmarkEnd w:id="80"/>
    <w:p>
      <w:pPr>
        <w:ind w:left="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Nasdaq, Inc. requires that the following disclaimer be included in this prospectus:</w:t>
      </w:r>
    </w:p>
    <w:p>
      <w:pPr>
        <w:spacing w:after="0" w:line="100" w:lineRule="exact"/>
        <w:rPr>
          <w:sz w:val="20"/>
          <w:szCs w:val="20"/>
          <w:color w:val="auto"/>
        </w:rPr>
      </w:pPr>
    </w:p>
    <w:p>
      <w:pPr>
        <w:jc w:val="both"/>
        <w:ind w:left="120" w:right="639" w:firstLine="360"/>
        <w:spacing w:after="0" w:line="220" w:lineRule="auto"/>
        <w:rPr>
          <w:sz w:val="20"/>
          <w:szCs w:val="20"/>
          <w:color w:val="auto"/>
        </w:rPr>
      </w:pPr>
      <w:r>
        <w:rPr>
          <w:rFonts w:ascii="Times New Roman" w:cs="Times New Roman" w:eastAsia="Times New Roman" w:hAnsi="Times New Roman"/>
          <w:sz w:val="18"/>
          <w:szCs w:val="18"/>
          <w:color w:val="auto"/>
        </w:rPr>
        <w:t>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is not sponsored, endorsed, sold or promoted by Nasdaq, Inc. or its affiliates (Nasdaq, Inc. with its affiliates, are referred to as the “Corporations”). The Corporations have not passed on the legality or suitability of, or the accuracy or adequacy of descriptions and disclosures relating to,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The Corporations make no representation or warranty, express or implied to the owners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or any member of the public regarding the advisability of investing in securities generally or in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particularly, or the ability of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track general stock market performance. The Corporations' only relationship to Brighthouse Life Insurance Company (“Licensee”) is in the licensing of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certain trade names of the Corporations and the use of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which is determined, composed and calculated by Nasdaq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without regard to Licensee or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Nasdaq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has no obligation to take the needs of the Licensee or the owners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into consideration in determining, composing or calculating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Corporations are not responsible for and have not participated in the determination of the timing of, prices at, or quantities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to be issued or in the determination or calculation of the equation by which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 is to be converted into cash. The Corporations have no liability in connection with the administration, marketing or trading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Select 3-Year Annuity.</w:t>
      </w:r>
    </w:p>
    <w:p>
      <w:pPr>
        <w:spacing w:after="0" w:line="48" w:lineRule="exact"/>
        <w:rPr>
          <w:sz w:val="20"/>
          <w:szCs w:val="20"/>
          <w:color w:val="auto"/>
        </w:rPr>
      </w:pPr>
    </w:p>
    <w:p>
      <w:pPr>
        <w:jc w:val="both"/>
        <w:ind w:left="120" w:right="659" w:firstLine="360"/>
        <w:spacing w:after="0" w:line="247" w:lineRule="auto"/>
        <w:rPr>
          <w:sz w:val="20"/>
          <w:szCs w:val="20"/>
          <w:color w:val="auto"/>
        </w:rPr>
      </w:pPr>
      <w:r>
        <w:rPr>
          <w:rFonts w:ascii="Times New Roman" w:cs="Times New Roman" w:eastAsia="Times New Roman" w:hAnsi="Times New Roman"/>
          <w:sz w:val="17"/>
          <w:szCs w:val="17"/>
          <w:color w:val="auto"/>
        </w:rPr>
        <w:t>THE CORPORATIONS DO NOT GUARANTEE THE ACCURACY AND/OR UNINTERRUPTED CALCULATION OF NASDAQ-100 INDEX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OR ANY DATA INCLUDED THEREIN. THE CORPORATIONS MAKE NO WARRANTY, EXPRESS OR IMPLIED, AS TO RESULTS TO BE OBTAINED BY LICENSEE, OWNERS OF BRIGHTHOUSE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LEVEL SELECT 3-YEAR ANNUITY, OR ANY OTHER PERSON OR ENTITY FROM THE USE OF THE NASDAQ-100 INDEX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OR ANY DATA INCLUDED THEREIN. THE CORPORATIONS MAKE NO EXPRESS OR IMPLIED WARRANTIES, AND EXPRESSLY DISCLAIM ALL WARRANTIES OF MERCHANTABILITY OR FITNESS FOR A PARTICULAR PURPOSE OR USE WITH RESPECT TO THE NASDAQ-100 INDEX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OR ANY DATA INCLUDED THEREIN. WITHOUT LIMITING ANY OF THE FOREGOING, IN NO EVENT SHALL THE CORPORATIONS HAVE ANY LIABILITY FOR ANY LOST PROFITS OR SPECIAL, INCIDENTAL, PUNITIVE, INDIRECT, OR CONSEQUENTIAL DAMAGES, EVEN IF NOTIFIED OF THE POSSIBILITY OF SUCH DAMAGES.</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A-3</w:t>
      </w:r>
    </w:p>
    <w:p>
      <w:pPr>
        <w:sectPr>
          <w:pgSz w:w="11900" w:h="16838" w:orient="portrait"/>
          <w:cols w:equalWidth="0" w:num="1">
            <w:col w:w="9019"/>
          </w:cols>
          <w:pgMar w:left="1440" w:top="1377" w:right="1440" w:bottom="1440" w:gutter="0" w:footer="0" w:header="0"/>
          <w:type w:val="continuous"/>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20" w:type="dxa"/>
        <w:tblCellMar>
          <w:top w:w="0" w:type="dxa"/>
          <w:left w:w="0" w:type="dxa"/>
          <w:bottom w:w="0" w:type="dxa"/>
          <w:right w:w="0" w:type="dxa"/>
        </w:tblCellMar>
      </w:tblPr>
      <w:tr>
        <w:trPr>
          <w:trHeight w:val="305"/>
        </w:trPr>
        <w:tc>
          <w:tcPr>
            <w:tcW w:w="1160" w:type="dxa"/>
            <w:vAlign w:val="bottom"/>
          </w:tcPr>
          <w:p>
            <w:pPr>
              <w:spacing w:after="0"/>
              <w:rPr>
                <w:sz w:val="20"/>
                <w:szCs w:val="20"/>
                <w:color w:val="auto"/>
              </w:rPr>
            </w:pPr>
            <w:r>
              <w:rPr>
                <w:rFonts w:ascii="Times New Roman" w:cs="Times New Roman" w:eastAsia="Times New Roman" w:hAnsi="Times New Roman"/>
                <w:sz w:val="23"/>
                <w:szCs w:val="23"/>
                <w:color w:val="auto"/>
              </w:rPr>
              <w:t> </w:t>
            </w:r>
          </w:p>
        </w:tc>
        <w:tc>
          <w:tcPr>
            <w:tcW w:w="480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color w:val="auto"/>
                <w:w w:val="98"/>
              </w:rPr>
              <w:t>(THIS PAGE INTENTIONALLY LEFT BLANK.)</w:t>
            </w:r>
          </w:p>
        </w:tc>
        <w:tc>
          <w:tcPr>
            <w:tcW w:w="0" w:type="dxa"/>
            <w:vAlign w:val="bottom"/>
          </w:tcPr>
          <w:p>
            <w:pPr>
              <w:spacing w:after="0"/>
              <w:rPr>
                <w:sz w:val="1"/>
                <w:szCs w:val="1"/>
                <w:color w:val="auto"/>
              </w:rPr>
            </w:pPr>
          </w:p>
        </w:tc>
      </w:tr>
      <w:tr>
        <w:trPr>
          <w:trHeight w:val="92"/>
        </w:trPr>
        <w:tc>
          <w:tcPr>
            <w:tcW w:w="1160" w:type="dxa"/>
            <w:vAlign w:val="bottom"/>
          </w:tcPr>
          <w:p>
            <w:pPr>
              <w:spacing w:after="0"/>
              <w:rPr>
                <w:sz w:val="8"/>
                <w:szCs w:val="8"/>
                <w:color w:val="auto"/>
              </w:rPr>
            </w:pPr>
          </w:p>
        </w:tc>
        <w:tc>
          <w:tcPr>
            <w:tcW w:w="4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82" w:name="page83"/>
    <w:bookmarkEnd w:id="82"/>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APPENDIX B</w:t>
      </w:r>
    </w:p>
    <w:p>
      <w:pPr>
        <w:spacing w:after="0" w:line="11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INDEX SUBSTITUTION INVESTMENT AMOUNT EXAMPLE</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following example illustrates how we would calculate your Investment Amount on a Term End Date when there is an Index substitution. We assume no withdrawals and a $100,000 Purchase Payment into a Shield Option with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Initial Account Value:</w:t>
      </w:r>
    </w:p>
    <w:p>
      <w:pPr>
        <w:spacing w:after="0" w:line="62" w:lineRule="exact"/>
        <w:rPr>
          <w:sz w:val="20"/>
          <w:szCs w:val="20"/>
          <w:color w:val="auto"/>
        </w:rPr>
      </w:pPr>
    </w:p>
    <w:tbl>
      <w:tblPr>
        <w:tblLayout w:type="fixed"/>
        <w:tblInd w:w="130" w:type="dxa"/>
        <w:tblCellMar>
          <w:top w:w="0" w:type="dxa"/>
          <w:left w:w="0" w:type="dxa"/>
          <w:bottom w:w="0" w:type="dxa"/>
          <w:right w:w="0" w:type="dxa"/>
        </w:tblCellMar>
      </w:tblPr>
      <w:tr>
        <w:trPr>
          <w:trHeight w:val="260"/>
        </w:trPr>
        <w:tc>
          <w:tcPr>
            <w:tcW w:w="474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Investment Amount at Term Start Date</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68"/>
        </w:trPr>
        <w:tc>
          <w:tcPr>
            <w:tcW w:w="4740" w:type="dxa"/>
            <w:vAlign w:val="bottom"/>
            <w:tcBorders>
              <w:left w:val="single" w:sz="8" w:color="auto"/>
              <w:bottom w:val="single" w:sz="8" w:color="F0FFFF"/>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Term</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5"/>
              </w:rPr>
              <w:t>1-Year</w:t>
            </w:r>
          </w:p>
        </w:tc>
      </w:tr>
      <w:tr>
        <w:trPr>
          <w:trHeight w:val="277"/>
        </w:trPr>
        <w:tc>
          <w:tcPr>
            <w:tcW w:w="4740" w:type="dxa"/>
            <w:vAlign w:val="bottom"/>
            <w:tcBorders>
              <w:top w:val="single" w:sz="8" w:color="auto"/>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Initial Index</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77"/>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Index Value on Term Start Date</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1,400</w:t>
            </w:r>
          </w:p>
        </w:tc>
      </w:tr>
      <w:tr>
        <w:trPr>
          <w:trHeight w:val="237"/>
        </w:trPr>
        <w:tc>
          <w:tcPr>
            <w:tcW w:w="47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55"/>
        </w:trPr>
        <w:tc>
          <w:tcPr>
            <w:tcW w:w="4740" w:type="dxa"/>
            <w:vAlign w:val="bottom"/>
            <w:tcBorders>
              <w:left w:val="single" w:sz="8" w:color="auto"/>
              <w:bottom w:val="single" w:sz="8" w:color="F0FFFF"/>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Shield Rate</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533"/>
        </w:trPr>
        <w:tc>
          <w:tcPr>
            <w:tcW w:w="4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On date of Index Substitution halfway through the Term:</w:t>
            </w:r>
          </w:p>
        </w:tc>
        <w:tc>
          <w:tcPr>
            <w:tcW w:w="1820" w:type="dxa"/>
            <w:vAlign w:val="bottom"/>
            <w:tcBorders>
              <w:top w:val="single" w:sz="8" w:color="auto"/>
            </w:tcBorders>
          </w:tcPr>
          <w:p>
            <w:pPr>
              <w:spacing w:after="0"/>
              <w:rPr>
                <w:sz w:val="24"/>
                <w:szCs w:val="24"/>
                <w:color w:val="auto"/>
              </w:rPr>
            </w:pPr>
          </w:p>
        </w:tc>
      </w:tr>
      <w:tr>
        <w:trPr>
          <w:trHeight w:val="51"/>
        </w:trPr>
        <w:tc>
          <w:tcPr>
            <w:tcW w:w="110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40"/>
        </w:trPr>
        <w:tc>
          <w:tcPr>
            <w:tcW w:w="47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Index substitution</w:t>
            </w:r>
          </w:p>
        </w:tc>
        <w:tc>
          <w:tcPr>
            <w:tcW w:w="1820" w:type="dxa"/>
            <w:vAlign w:val="bottom"/>
            <w:tcBorders>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68"/>
        </w:trPr>
        <w:tc>
          <w:tcPr>
            <w:tcW w:w="4740" w:type="dxa"/>
            <w:vAlign w:val="bottom"/>
            <w:tcBorders>
              <w:left w:val="single" w:sz="8" w:color="auto"/>
              <w:bottom w:val="single" w:sz="8" w:color="F0FFFF"/>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Number of days since Term Start Date</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183</w:t>
            </w:r>
          </w:p>
        </w:tc>
      </w:tr>
      <w:tr>
        <w:trPr>
          <w:trHeight w:val="277"/>
        </w:trPr>
        <w:tc>
          <w:tcPr>
            <w:tcW w:w="4740" w:type="dxa"/>
            <w:vAlign w:val="bottom"/>
            <w:tcBorders>
              <w:top w:val="single" w:sz="8" w:color="auto"/>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Index Value for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1,330</w:t>
            </w:r>
          </w:p>
        </w:tc>
      </w:tr>
      <w:tr>
        <w:trPr>
          <w:trHeight w:val="277"/>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Index Performance for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–5%</w:t>
            </w:r>
          </w:p>
        </w:tc>
      </w:tr>
      <w:tr>
        <w:trPr>
          <w:trHeight w:val="277"/>
        </w:trPr>
        <w:tc>
          <w:tcPr>
            <w:tcW w:w="474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Substituted Index</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262"/>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line="262" w:lineRule="exact"/>
              <w:rPr>
                <w:sz w:val="20"/>
                <w:szCs w:val="20"/>
                <w:color w:val="auto"/>
              </w:rPr>
            </w:pPr>
            <w:r>
              <w:rPr>
                <w:rFonts w:ascii="Times New Roman" w:cs="Times New Roman" w:eastAsia="Times New Roman" w:hAnsi="Times New Roman"/>
                <w:sz w:val="18"/>
                <w:szCs w:val="18"/>
                <w:color w:val="auto"/>
              </w:rPr>
              <w:t>Index Value for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on substitution date</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1,250</w:t>
            </w:r>
          </w:p>
        </w:tc>
      </w:tr>
      <w:tr>
        <w:trPr>
          <w:trHeight w:val="53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Calculation of Investment Amount at Term End Date:</w:t>
            </w:r>
          </w:p>
        </w:tc>
        <w:tc>
          <w:tcPr>
            <w:tcW w:w="1820" w:type="dxa"/>
            <w:vAlign w:val="bottom"/>
          </w:tcPr>
          <w:p>
            <w:pPr>
              <w:spacing w:after="0"/>
              <w:rPr>
                <w:sz w:val="24"/>
                <w:szCs w:val="24"/>
                <w:color w:val="auto"/>
              </w:rPr>
            </w:pPr>
          </w:p>
        </w:tc>
      </w:tr>
      <w:tr>
        <w:trPr>
          <w:trHeight w:val="51"/>
        </w:trPr>
        <w:tc>
          <w:tcPr>
            <w:tcW w:w="110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80"/>
        </w:trPr>
        <w:tc>
          <w:tcPr>
            <w:tcW w:w="474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Index Value for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1,375</w:t>
            </w:r>
          </w:p>
        </w:tc>
      </w:tr>
      <w:tr>
        <w:trPr>
          <w:trHeight w:val="277"/>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Index Performance for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–5%</w:t>
            </w:r>
          </w:p>
        </w:tc>
      </w:tr>
      <w:tr>
        <w:trPr>
          <w:trHeight w:val="277"/>
        </w:trPr>
        <w:tc>
          <w:tcPr>
            <w:tcW w:w="474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Index Performance for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r>
              <w:rPr>
                <w:rFonts w:ascii="Times New Roman" w:cs="Times New Roman" w:eastAsia="Times New Roman" w:hAnsi="Times New Roman"/>
                <w:sz w:val="23"/>
                <w:szCs w:val="23"/>
                <w:color w:val="auto"/>
                <w:vertAlign w:val="superscript"/>
              </w:rPr>
              <w:t>(2)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7"/>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Total Index Performance for the Term</w:t>
            </w:r>
            <w:r>
              <w:rPr>
                <w:rFonts w:ascii="Times New Roman" w:cs="Times New Roman" w:eastAsia="Times New Roman" w:hAnsi="Times New Roman"/>
                <w:sz w:val="23"/>
                <w:szCs w:val="23"/>
                <w:color w:val="auto"/>
                <w:vertAlign w:val="superscript"/>
              </w:rPr>
              <w:t>(3)</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5"/>
              </w:rPr>
              <w:t>4.5%</w:t>
            </w:r>
          </w:p>
        </w:tc>
      </w:tr>
      <w:tr>
        <w:trPr>
          <w:trHeight w:val="237"/>
        </w:trPr>
        <w:tc>
          <w:tcPr>
            <w:tcW w:w="47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68"/>
        </w:trPr>
        <w:tc>
          <w:tcPr>
            <w:tcW w:w="4740" w:type="dxa"/>
            <w:vAlign w:val="bottom"/>
            <w:tcBorders>
              <w:left w:val="single" w:sz="8" w:color="auto"/>
              <w:bottom w:val="single" w:sz="8" w:color="F0FFFF"/>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Shield Rate</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7"/>
        </w:trPr>
        <w:tc>
          <w:tcPr>
            <w:tcW w:w="4740" w:type="dxa"/>
            <w:vAlign w:val="bottom"/>
            <w:tcBorders>
              <w:top w:val="single" w:sz="8" w:color="auto"/>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(4)</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4.5%</w:t>
            </w:r>
          </w:p>
        </w:tc>
      </w:tr>
      <w:tr>
        <w:trPr>
          <w:trHeight w:val="277"/>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(5)</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$4,500</w:t>
            </w:r>
          </w:p>
        </w:tc>
      </w:tr>
      <w:tr>
        <w:trPr>
          <w:trHeight w:val="260"/>
        </w:trPr>
        <w:tc>
          <w:tcPr>
            <w:tcW w:w="4740" w:type="dxa"/>
            <w:vAlign w:val="bottom"/>
            <w:tcBorders>
              <w:left w:val="single" w:sz="8" w:color="auto"/>
              <w:bottom w:val="single" w:sz="8" w:color="auto"/>
              <w:right w:val="single" w:sz="8" w:color="auto"/>
            </w:tcBorders>
            <w:gridSpan w:val="2"/>
          </w:tcPr>
          <w:p>
            <w:pPr>
              <w:ind w:left="100"/>
              <w:spacing w:after="0" w:line="261" w:lineRule="exact"/>
              <w:rPr>
                <w:sz w:val="20"/>
                <w:szCs w:val="20"/>
                <w:color w:val="auto"/>
              </w:rPr>
            </w:pPr>
            <w:r>
              <w:rPr>
                <w:rFonts w:ascii="Times New Roman" w:cs="Times New Roman" w:eastAsia="Times New Roman" w:hAnsi="Times New Roman"/>
                <w:sz w:val="18"/>
                <w:szCs w:val="18"/>
                <w:color w:val="auto"/>
              </w:rPr>
              <w:t>Investment Amount at Term End Date</w:t>
            </w:r>
            <w:r>
              <w:rPr>
                <w:rFonts w:ascii="Times New Roman" w:cs="Times New Roman" w:eastAsia="Times New Roman" w:hAnsi="Times New Roman"/>
                <w:sz w:val="23"/>
                <w:szCs w:val="23"/>
                <w:color w:val="auto"/>
                <w:vertAlign w:val="superscript"/>
              </w:rPr>
              <w:t>(6)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$104,500</w:t>
            </w:r>
          </w:p>
        </w:tc>
      </w:tr>
      <w:tr>
        <w:trPr>
          <w:trHeight w:val="193"/>
        </w:trPr>
        <w:tc>
          <w:tcPr>
            <w:tcW w:w="1100" w:type="dxa"/>
            <w:vAlign w:val="bottom"/>
            <w:tcBorders>
              <w:bottom w:val="single" w:sz="8" w:color="auto"/>
            </w:tcBorders>
          </w:tcPr>
          <w:p>
            <w:pPr>
              <w:spacing w:after="0"/>
              <w:rPr>
                <w:sz w:val="16"/>
                <w:szCs w:val="16"/>
                <w:color w:val="auto"/>
              </w:rPr>
            </w:pPr>
          </w:p>
        </w:tc>
        <w:tc>
          <w:tcPr>
            <w:tcW w:w="3640" w:type="dxa"/>
            <w:vAlign w:val="bottom"/>
          </w:tcPr>
          <w:p>
            <w:pPr>
              <w:spacing w:after="0"/>
              <w:rPr>
                <w:sz w:val="16"/>
                <w:szCs w:val="16"/>
                <w:color w:val="auto"/>
              </w:rPr>
            </w:pPr>
          </w:p>
        </w:tc>
        <w:tc>
          <w:tcPr>
            <w:tcW w:w="18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-4773930</wp:posOffset>
            </wp:positionV>
            <wp:extent cx="4149090"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4909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-4413885</wp:posOffset>
            </wp:positionV>
            <wp:extent cx="414909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-4036695</wp:posOffset>
            </wp:positionV>
            <wp:extent cx="4149090"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14909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-3299460</wp:posOffset>
            </wp:positionV>
            <wp:extent cx="414909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14909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-2939415</wp:posOffset>
            </wp:positionV>
            <wp:extent cx="414909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-2562225</wp:posOffset>
            </wp:positionV>
            <wp:extent cx="414909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-1807845</wp:posOffset>
            </wp:positionV>
            <wp:extent cx="414909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-1431290</wp:posOffset>
            </wp:positionV>
            <wp:extent cx="414909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-1053465</wp:posOffset>
            </wp:positionV>
            <wp:extent cx="414909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14909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-693420</wp:posOffset>
            </wp:positionV>
            <wp:extent cx="414909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-316865</wp:posOffset>
            </wp:positionV>
            <wp:extent cx="414909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149090" cy="171450"/>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66" w:lineRule="exact"/>
        <w:rPr>
          <w:sz w:val="20"/>
          <w:szCs w:val="20"/>
          <w:color w:val="auto"/>
        </w:rPr>
      </w:pPr>
    </w:p>
    <w:p>
      <w:pPr>
        <w:ind w:left="120" w:right="1079"/>
        <w:spacing w:after="0" w:line="263" w:lineRule="auto"/>
        <w:rPr>
          <w:sz w:val="20"/>
          <w:szCs w:val="20"/>
          <w:color w:val="auto"/>
        </w:rPr>
      </w:pPr>
      <w:r>
        <w:rPr>
          <w:rFonts w:ascii="Times New Roman" w:cs="Times New Roman" w:eastAsia="Times New Roman" w:hAnsi="Times New Roman"/>
          <w:sz w:val="18"/>
          <w:szCs w:val="18"/>
          <w:b w:val="1"/>
          <w:bCs w:val="1"/>
          <w:color w:val="auto"/>
        </w:rPr>
        <w:t>The following notes to the tables above provide important calculations showing how certain values are determined.</w:t>
      </w:r>
    </w:p>
    <w:p>
      <w:pPr>
        <w:spacing w:after="0" w:line="36" w:lineRule="exact"/>
        <w:rPr>
          <w:sz w:val="20"/>
          <w:szCs w:val="20"/>
          <w:color w:val="auto"/>
        </w:rPr>
      </w:pPr>
    </w:p>
    <w:p>
      <w:pPr>
        <w:ind w:left="480" w:right="739" w:hanging="368"/>
        <w:spacing w:after="0" w:line="222" w:lineRule="auto"/>
        <w:tabs>
          <w:tab w:leader="none" w:pos="480" w:val="left"/>
        </w:tabs>
        <w:numPr>
          <w:ilvl w:val="0"/>
          <w:numId w:val="7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Index substitution. Index Performance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(1330 [Index Value at date of substitution] — 1400 [Index Value at Term Start Date])</w:t>
      </w:r>
    </w:p>
    <w:p>
      <w:pPr>
        <w:spacing w:after="0" w:line="1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 1400 [Index Value at Term Start Date]) = –5%</w:t>
      </w:r>
    </w:p>
    <w:p>
      <w:pPr>
        <w:ind w:left="120"/>
        <w:spacing w:after="0" w:line="194" w:lineRule="auto"/>
        <w:rPr>
          <w:sz w:val="20"/>
          <w:szCs w:val="20"/>
          <w:color w:val="auto"/>
        </w:rPr>
      </w:pPr>
      <w:r>
        <w:rPr>
          <w:rFonts w:ascii="Times New Roman" w:cs="Times New Roman" w:eastAsia="Times New Roman" w:hAnsi="Times New Roman"/>
          <w:sz w:val="7"/>
          <w:szCs w:val="7"/>
          <w:color w:val="auto"/>
        </w:rPr>
        <w:t>(2)</w:t>
      </w:r>
    </w:p>
    <w:p>
      <w:pPr>
        <w:ind w:left="480"/>
        <w:spacing w:after="0" w:line="219"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date of the</w:t>
      </w:r>
    </w:p>
    <w:p>
      <w:pPr>
        <w:ind w:left="480"/>
        <w:spacing w:after="0"/>
        <w:rPr>
          <w:sz w:val="20"/>
          <w:szCs w:val="20"/>
          <w:color w:val="auto"/>
        </w:rPr>
      </w:pPr>
      <w:r>
        <w:rPr>
          <w:rFonts w:ascii="Times New Roman" w:cs="Times New Roman" w:eastAsia="Times New Roman" w:hAnsi="Times New Roman"/>
          <w:sz w:val="18"/>
          <w:szCs w:val="18"/>
          <w:color w:val="auto"/>
        </w:rPr>
        <w:t>Index substitution to the Term End Date. Index Performance is calculated as follows:</w:t>
      </w:r>
    </w:p>
    <w:p>
      <w:pPr>
        <w:spacing w:after="0" w:line="5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(1375 [Index Value at Term End Date] — 1250 [Index Value at date of the substitution])</w:t>
      </w:r>
    </w:p>
    <w:p>
      <w:pPr>
        <w:spacing w:after="0" w:line="16" w:lineRule="exact"/>
        <w:rPr>
          <w:sz w:val="20"/>
          <w:szCs w:val="20"/>
          <w:color w:val="auto"/>
        </w:rPr>
      </w:pPr>
    </w:p>
    <w:p>
      <w:pPr>
        <w:ind w:left="2540" w:hanging="154"/>
        <w:spacing w:after="0"/>
        <w:tabs>
          <w:tab w:leader="none" w:pos="2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 [Index Value at date of substitution]) = 10%</w:t>
      </w:r>
    </w:p>
    <w:p>
      <w:pPr>
        <w:spacing w:after="0" w:line="26" w:lineRule="exact"/>
        <w:rPr>
          <w:rFonts w:ascii="Times New Roman" w:cs="Times New Roman" w:eastAsia="Times New Roman" w:hAnsi="Times New Roman"/>
          <w:sz w:val="18"/>
          <w:szCs w:val="18"/>
          <w:color w:val="auto"/>
        </w:rPr>
      </w:pPr>
    </w:p>
    <w:p>
      <w:pPr>
        <w:jc w:val="both"/>
        <w:ind w:left="480" w:right="739" w:hanging="368"/>
        <w:spacing w:after="0" w:line="218" w:lineRule="auto"/>
        <w:tabs>
          <w:tab w:leader="none" w:pos="480" w:val="left"/>
        </w:tabs>
        <w:numPr>
          <w:ilvl w:val="0"/>
          <w:numId w:val="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Since there was an Index substitution from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(initial Index) to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(substituted Index), the Total Index Performance for the Term is equal to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Value at the Index substitution date</w:t>
      </w:r>
    </w:p>
    <w:p>
      <w:pPr>
        <w:spacing w:after="0" w:line="3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1373" w:right="1440" w:bottom="1440" w:gutter="0" w:footer="0" w:header="0"/>
        </w:sectPr>
      </w:pPr>
    </w:p>
    <w:bookmarkStart w:id="83" w:name="page84"/>
    <w:bookmarkEnd w:id="83"/>
    <w:p>
      <w:pPr>
        <w:jc w:val="both"/>
        <w:ind w:left="480" w:right="659"/>
        <w:spacing w:after="0" w:line="21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divided by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Value at the Term Start Date multiplied by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Value at the Term End Date divided by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Value at the substitution date –1. Total Index Performance for the Term is calculated as follows:</w:t>
      </w:r>
    </w:p>
    <w:p>
      <w:pPr>
        <w:spacing w:after="0" w:line="5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(initial Index at Index substitution date ÷ initial Index at Term Start Date)</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x (substituted Index at Term End Date ÷ substituted Index at substitution date) –1</w:t>
      </w:r>
    </w:p>
    <w:p>
      <w:pPr>
        <w:ind w:left="2840"/>
        <w:spacing w:after="0" w:line="237" w:lineRule="auto"/>
        <w:rPr>
          <w:sz w:val="20"/>
          <w:szCs w:val="20"/>
          <w:color w:val="auto"/>
        </w:rPr>
      </w:pPr>
      <w:r>
        <w:rPr>
          <w:rFonts w:ascii="Times New Roman" w:cs="Times New Roman" w:eastAsia="Times New Roman" w:hAnsi="Times New Roman"/>
          <w:sz w:val="18"/>
          <w:szCs w:val="18"/>
          <w:color w:val="auto"/>
        </w:rPr>
        <w:t>(1330÷1400) x (1375÷1250) –1= 4.5%</w:t>
      </w:r>
    </w:p>
    <w:p>
      <w:pPr>
        <w:ind w:left="120"/>
        <w:spacing w:after="0" w:line="195" w:lineRule="auto"/>
        <w:rPr>
          <w:sz w:val="20"/>
          <w:szCs w:val="20"/>
          <w:color w:val="auto"/>
        </w:rPr>
      </w:pPr>
      <w:r>
        <w:rPr>
          <w:rFonts w:ascii="Times New Roman" w:cs="Times New Roman" w:eastAsia="Times New Roman" w:hAnsi="Times New Roman"/>
          <w:sz w:val="7"/>
          <w:szCs w:val="7"/>
          <w:color w:val="auto"/>
        </w:rPr>
        <w:t>(4)</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The Performance Rate is equal to the Index Performance (4.50%) because the total Index Performance for the Term is greater than zero and less than the Cap Rate.</w:t>
      </w:r>
    </w:p>
    <w:p>
      <w:pPr>
        <w:spacing w:after="0" w:line="37" w:lineRule="exact"/>
        <w:rPr>
          <w:sz w:val="20"/>
          <w:szCs w:val="20"/>
          <w:color w:val="auto"/>
        </w:rPr>
      </w:pPr>
    </w:p>
    <w:p>
      <w:pPr>
        <w:jc w:val="both"/>
        <w:ind w:left="480" w:right="739" w:hanging="368"/>
        <w:spacing w:after="0" w:line="238" w:lineRule="auto"/>
        <w:tabs>
          <w:tab w:leader="none" w:pos="480" w:val="left"/>
        </w:tabs>
        <w:numPr>
          <w:ilvl w:val="0"/>
          <w:numId w:val="7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Performance Rate Adjustment is equal to the product of the Investment Amount at the Term Start Date adjusted for any withdrawals (including any applicable Withdrawal Charge) (there are no withdrawals in the example) multiplied by the Performance Rate. The Performance Rate Adjustment is calculated as follows:</w:t>
      </w:r>
    </w:p>
    <w:p>
      <w:pPr>
        <w:spacing w:after="0" w:line="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$100,000 [Investment Amount at Term Start Date] x 4.5% [Performance Rate] = $4,500</w:t>
      </w:r>
    </w:p>
    <w:p>
      <w:pPr>
        <w:ind w:left="120"/>
        <w:spacing w:after="0" w:line="192" w:lineRule="auto"/>
        <w:rPr>
          <w:sz w:val="20"/>
          <w:szCs w:val="20"/>
          <w:color w:val="auto"/>
        </w:rPr>
      </w:pPr>
      <w:r>
        <w:rPr>
          <w:rFonts w:ascii="Times New Roman" w:cs="Times New Roman" w:eastAsia="Times New Roman" w:hAnsi="Times New Roman"/>
          <w:sz w:val="9"/>
          <w:szCs w:val="9"/>
          <w:color w:val="auto"/>
        </w:rPr>
        <w:t>(6)</w:t>
      </w:r>
    </w:p>
    <w:p>
      <w:pPr>
        <w:jc w:val="both"/>
        <w:ind w:left="480" w:right="739"/>
        <w:spacing w:after="0" w:line="230" w:lineRule="auto"/>
        <w:rPr>
          <w:sz w:val="20"/>
          <w:szCs w:val="20"/>
          <w:color w:val="auto"/>
        </w:rPr>
      </w:pPr>
      <w:r>
        <w:rPr>
          <w:rFonts w:ascii="Times New Roman" w:cs="Times New Roman" w:eastAsia="Times New Roman" w:hAnsi="Times New Roman"/>
          <w:sz w:val="18"/>
          <w:szCs w:val="18"/>
          <w:color w:val="auto"/>
        </w:rPr>
        <w:t>The Investment Amount at Term End Date is equal to the Investment Amount at the Term Start Date adjusted for any withdrawals (including any applicable Withdrawal Charge) (there are no withdrawals in the example) plus the Performance Rate Adjustment. The Investment Amount at Term End Date is calculated as follows: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$100,000 [Investment Amount at Term Start Date] + $4,500 [Performance Rate Adjustment] = $104,500</w:t>
      </w:r>
    </w:p>
    <w:p>
      <w:pPr>
        <w:sectPr>
          <w:pgSz w:w="11900" w:h="16838" w:orient="portrait"/>
          <w:cols w:equalWidth="0" w:num="1">
            <w:col w:w="9019"/>
          </w:cols>
          <w:pgMar w:left="1440" w:top="13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9019"/>
          </w:cols>
          <w:pgMar w:left="1440" w:top="1346" w:right="1440" w:bottom="1440" w:gutter="0" w:footer="0" w:header="0"/>
          <w:type w:val="continuous"/>
        </w:sectPr>
      </w:pPr>
    </w:p>
    <w:bookmarkStart w:id="84" w:name="page85"/>
    <w:bookmarkEnd w:id="84"/>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APPENDIX C</w:t>
      </w:r>
    </w:p>
    <w:p>
      <w:pPr>
        <w:spacing w:after="0" w:line="11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RETURN OF PREMIUM DEATH BENEFIT EXAMPLE</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purpose of this example is to illustrate the operation of the Return of Premium death benefit. The investment results shown are hypothetical and are not representative of past or future performance. Actual investment results may be more or less than those shown and will depend upon a number of factors, including the allocation made by an Owner and the Index Performance for the Shield Options chosen. </w:t>
      </w:r>
      <w:r>
        <w:rPr>
          <w:rFonts w:ascii="Times New Roman" w:cs="Times New Roman" w:eastAsia="Times New Roman" w:hAnsi="Times New Roman"/>
          <w:sz w:val="18"/>
          <w:szCs w:val="18"/>
          <w:b w:val="1"/>
          <w:bCs w:val="1"/>
          <w:color w:val="auto"/>
        </w:rPr>
        <w:t>The examples do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reflect the deduction of fees and charges, if any, Withdrawal Charges or income taxes and tax penalties.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Return of Premium Death Benefit</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purpose of this example is to show how partial withdrawals reduce the Return of Premium death benefit proportionally by the percentage reduction in Account Value of the Shield Option(s) and the Fixed Account for each partial withdrawal.</w:t>
      </w:r>
    </w:p>
    <w:p>
      <w:pPr>
        <w:spacing w:after="0" w:line="117" w:lineRule="exact"/>
        <w:rPr>
          <w:sz w:val="20"/>
          <w:szCs w:val="20"/>
          <w:color w:val="auto"/>
        </w:rPr>
      </w:pPr>
    </w:p>
    <w:tbl>
      <w:tblPr>
        <w:tblLayout w:type="fixed"/>
        <w:tblInd w:w="130" w:type="dxa"/>
        <w:tblCellMar>
          <w:top w:w="0" w:type="dxa"/>
          <w:left w:w="0" w:type="dxa"/>
          <w:bottom w:w="0" w:type="dxa"/>
          <w:right w:w="0" w:type="dxa"/>
        </w:tblCellMar>
      </w:tblPr>
      <w:tr>
        <w:trPr>
          <w:trHeight w:val="223"/>
        </w:trPr>
        <w:tc>
          <w:tcPr>
            <w:tcW w:w="360" w:type="dxa"/>
            <w:vAlign w:val="bottom"/>
            <w:tcBorders>
              <w:top w:val="single" w:sz="8" w:color="auto"/>
              <w:left w:val="single" w:sz="8" w:color="auto"/>
              <w:right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spacing w:after="0"/>
              <w:rPr>
                <w:sz w:val="19"/>
                <w:szCs w:val="19"/>
                <w:color w:val="auto"/>
              </w:rPr>
            </w:pP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50"/>
        </w:trPr>
        <w:tc>
          <w:tcPr>
            <w:tcW w:w="360" w:type="dxa"/>
            <w:vAlign w:val="bottom"/>
            <w:tcBorders>
              <w:left w:val="single" w:sz="8" w:color="auto"/>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r>
      <w:tr>
        <w:trPr>
          <w:trHeight w:val="282"/>
        </w:trPr>
        <w:tc>
          <w:tcPr>
            <w:tcW w:w="36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2640" w:type="dxa"/>
            <w:vAlign w:val="bottom"/>
            <w:tcBorders>
              <w:bottom w:val="single" w:sz="8" w:color="F0FFFF"/>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Purchase Payment</w:t>
            </w:r>
          </w:p>
        </w:tc>
        <w:tc>
          <w:tcPr>
            <w:tcW w:w="34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Issue Date</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$100,000</w:t>
            </w:r>
          </w:p>
        </w:tc>
      </w:tr>
      <w:tr>
        <w:trPr>
          <w:trHeight w:val="250"/>
        </w:trPr>
        <w:tc>
          <w:tcPr>
            <w:tcW w:w="3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26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Account Value</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First Contract Anniversary</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$90,000</w:t>
            </w:r>
          </w:p>
        </w:tc>
      </w:tr>
      <w:tr>
        <w:trPr>
          <w:trHeight w:val="27"/>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45"/>
        </w:trPr>
        <w:tc>
          <w:tcPr>
            <w:tcW w:w="36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2640" w:type="dxa"/>
            <w:vAlign w:val="bottom"/>
            <w:tcBorders>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Death Benefit</w:t>
            </w:r>
          </w:p>
        </w:tc>
        <w:tc>
          <w:tcPr>
            <w:tcW w:w="34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First Contract Anniversary</w:t>
            </w:r>
          </w:p>
        </w:tc>
        <w:tc>
          <w:tcPr>
            <w:tcW w:w="18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$100,000</w:t>
            </w:r>
          </w:p>
        </w:tc>
      </w:tr>
      <w:tr>
        <w:trPr>
          <w:trHeight w:val="280"/>
        </w:trPr>
        <w:tc>
          <w:tcPr>
            <w:tcW w:w="36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spacing w:after="0"/>
              <w:rPr>
                <w:sz w:val="23"/>
                <w:szCs w:val="23"/>
                <w:color w:val="auto"/>
              </w:rPr>
            </w:pPr>
          </w:p>
        </w:tc>
        <w:tc>
          <w:tcPr>
            <w:tcW w:w="1620" w:type="dxa"/>
            <w:vAlign w:val="bottom"/>
            <w:tcBorders>
              <w:bottom w:val="single" w:sz="8" w:color="F0FFFF"/>
              <w:right w:val="single" w:sz="8" w:color="auto"/>
            </w:tcBorders>
            <w:shd w:val="clear" w:color="auto" w:fill="F0FFFF"/>
          </w:tcPr>
          <w:p>
            <w:pPr>
              <w:spacing w:after="0"/>
              <w:rPr>
                <w:sz w:val="23"/>
                <w:szCs w:val="23"/>
                <w:color w:val="auto"/>
              </w:rPr>
            </w:pPr>
          </w:p>
        </w:tc>
        <w:tc>
          <w:tcPr>
            <w:tcW w:w="3480" w:type="dxa"/>
            <w:vAlign w:val="bottom"/>
            <w:tcBorders>
              <w:bottom w:val="single" w:sz="8" w:color="F0FFFF"/>
              <w:right w:val="single" w:sz="8" w:color="auto"/>
            </w:tcBorders>
            <w:shd w:val="clear" w:color="auto" w:fill="F0FFFF"/>
          </w:tcPr>
          <w:p>
            <w:pPr>
              <w:spacing w:after="0"/>
              <w:rPr>
                <w:sz w:val="23"/>
                <w:szCs w:val="23"/>
                <w:color w:val="auto"/>
              </w:rPr>
            </w:pP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 greater of A and B)</w:t>
            </w:r>
          </w:p>
        </w:tc>
      </w:tr>
      <w:tr>
        <w:trPr>
          <w:trHeight w:val="250"/>
        </w:trPr>
        <w:tc>
          <w:tcPr>
            <w:tcW w:w="3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26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Withdrawal</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One Day after the First Contract Anniversary</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$9,000</w:t>
            </w:r>
          </w:p>
        </w:tc>
      </w:tr>
      <w:tr>
        <w:trPr>
          <w:trHeight w:val="27"/>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45"/>
        </w:trPr>
        <w:tc>
          <w:tcPr>
            <w:tcW w:w="36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2640" w:type="dxa"/>
            <w:vAlign w:val="bottom"/>
            <w:tcBorders>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Percentage Reduction in Account</w:t>
            </w:r>
          </w:p>
        </w:tc>
        <w:tc>
          <w:tcPr>
            <w:tcW w:w="34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One Day after the First Contract Anniversary</w:t>
            </w:r>
          </w:p>
        </w:tc>
        <w:tc>
          <w:tcPr>
            <w:tcW w:w="18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10% (= D/B)</w:t>
            </w:r>
          </w:p>
        </w:tc>
      </w:tr>
      <w:tr>
        <w:trPr>
          <w:trHeight w:val="280"/>
        </w:trPr>
        <w:tc>
          <w:tcPr>
            <w:tcW w:w="36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2640" w:type="dxa"/>
            <w:vAlign w:val="bottom"/>
            <w:tcBorders>
              <w:bottom w:val="single" w:sz="8" w:color="F0FFFF"/>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Value</w:t>
            </w:r>
          </w:p>
        </w:tc>
        <w:tc>
          <w:tcPr>
            <w:tcW w:w="3480" w:type="dxa"/>
            <w:vAlign w:val="bottom"/>
            <w:tcBorders>
              <w:bottom w:val="single" w:sz="8" w:color="F0FFFF"/>
              <w:right w:val="single" w:sz="8" w:color="auto"/>
            </w:tcBorders>
            <w:shd w:val="clear" w:color="auto" w:fill="F0FFFF"/>
          </w:tcPr>
          <w:p>
            <w:pPr>
              <w:spacing w:after="0"/>
              <w:rPr>
                <w:sz w:val="23"/>
                <w:szCs w:val="23"/>
                <w:color w:val="auto"/>
              </w:rPr>
            </w:pPr>
          </w:p>
        </w:tc>
        <w:tc>
          <w:tcPr>
            <w:tcW w:w="1820" w:type="dxa"/>
            <w:vAlign w:val="bottom"/>
            <w:tcBorders>
              <w:bottom w:val="single" w:sz="8" w:color="F0FFFF"/>
              <w:right w:val="single" w:sz="8" w:color="auto"/>
            </w:tcBorders>
            <w:shd w:val="clear" w:color="auto" w:fill="F0FFFF"/>
          </w:tcPr>
          <w:p>
            <w:pPr>
              <w:spacing w:after="0"/>
              <w:rPr>
                <w:sz w:val="23"/>
                <w:szCs w:val="23"/>
                <w:color w:val="auto"/>
              </w:rPr>
            </w:pPr>
          </w:p>
        </w:tc>
      </w:tr>
      <w:tr>
        <w:trPr>
          <w:trHeight w:val="250"/>
        </w:trPr>
        <w:tc>
          <w:tcPr>
            <w:tcW w:w="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26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Account Value after Withdrawal</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One Day after the First Contract Anniversary</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$81,000 (= B-D)</w:t>
            </w:r>
          </w:p>
        </w:tc>
      </w:tr>
      <w:tr>
        <w:trPr>
          <w:trHeight w:val="27"/>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45"/>
        </w:trPr>
        <w:tc>
          <w:tcPr>
            <w:tcW w:w="36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G</w:t>
            </w:r>
          </w:p>
        </w:tc>
        <w:tc>
          <w:tcPr>
            <w:tcW w:w="2640" w:type="dxa"/>
            <w:vAlign w:val="bottom"/>
            <w:tcBorders>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Purchase Payment Reduced for</w:t>
            </w:r>
          </w:p>
        </w:tc>
        <w:tc>
          <w:tcPr>
            <w:tcW w:w="34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One Day after the First Contract Anniversary</w:t>
            </w:r>
          </w:p>
        </w:tc>
        <w:tc>
          <w:tcPr>
            <w:tcW w:w="18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$90,000</w:t>
            </w:r>
          </w:p>
        </w:tc>
      </w:tr>
      <w:tr>
        <w:trPr>
          <w:trHeight w:val="280"/>
        </w:trPr>
        <w:tc>
          <w:tcPr>
            <w:tcW w:w="36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2640" w:type="dxa"/>
            <w:vAlign w:val="bottom"/>
            <w:tcBorders>
              <w:bottom w:val="single" w:sz="8" w:color="F0FFFF"/>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Withdrawal</w:t>
            </w:r>
          </w:p>
        </w:tc>
        <w:tc>
          <w:tcPr>
            <w:tcW w:w="3480" w:type="dxa"/>
            <w:vAlign w:val="bottom"/>
            <w:tcBorders>
              <w:bottom w:val="single" w:sz="8" w:color="F0FFFF"/>
              <w:right w:val="single" w:sz="8" w:color="auto"/>
            </w:tcBorders>
            <w:shd w:val="clear" w:color="auto" w:fill="F0FFFF"/>
          </w:tcPr>
          <w:p>
            <w:pPr>
              <w:spacing w:after="0"/>
              <w:rPr>
                <w:sz w:val="23"/>
                <w:szCs w:val="23"/>
                <w:color w:val="auto"/>
              </w:rPr>
            </w:pP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 A-(A × E))</w:t>
            </w:r>
          </w:p>
        </w:tc>
      </w:tr>
      <w:tr>
        <w:trPr>
          <w:trHeight w:val="218"/>
        </w:trPr>
        <w:tc>
          <w:tcPr>
            <w:tcW w:w="3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w:t>
            </w:r>
          </w:p>
        </w:tc>
        <w:tc>
          <w:tcPr>
            <w:tcW w:w="26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Death Benefit</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One Day after the First Contract Anniversary</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$90,000</w:t>
            </w:r>
          </w:p>
        </w:tc>
      </w:tr>
      <w:tr>
        <w:trPr>
          <w:trHeight w:val="234"/>
        </w:trPr>
        <w:tc>
          <w:tcPr>
            <w:tcW w:w="360" w:type="dxa"/>
            <w:vAlign w:val="bottom"/>
            <w:tcBorders>
              <w:left w:val="single" w:sz="8" w:color="auto"/>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greater of F and G)</w:t>
            </w:r>
          </w:p>
        </w:tc>
      </w:tr>
      <w:tr>
        <w:trPr>
          <w:trHeight w:val="24"/>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0"/>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Notes to Example.</w:t>
            </w:r>
          </w:p>
        </w:tc>
        <w:tc>
          <w:tcPr>
            <w:tcW w:w="34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
        </w:trPr>
        <w:tc>
          <w:tcPr>
            <w:tcW w:w="3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-2459355</wp:posOffset>
            </wp:positionV>
            <wp:extent cx="525462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54625" cy="1714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-2099310</wp:posOffset>
            </wp:positionV>
            <wp:extent cx="5254625"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546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-1567815</wp:posOffset>
            </wp:positionV>
            <wp:extent cx="5254625"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546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-1036320</wp:posOffset>
            </wp:positionV>
            <wp:extent cx="525462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546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-504825</wp:posOffset>
            </wp:positionV>
            <wp:extent cx="5254625" cy="3086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54625" cy="308610"/>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Purchaser is age 60 at issue.</w:t>
      </w:r>
    </w:p>
    <w:p>
      <w:pPr>
        <w:spacing w:after="0" w:line="117" w:lineRule="exact"/>
        <w:rPr>
          <w:sz w:val="20"/>
          <w:szCs w:val="20"/>
          <w:color w:val="auto"/>
        </w:rPr>
      </w:pPr>
    </w:p>
    <w:p>
      <w:pPr>
        <w:ind w:left="120" w:right="659"/>
        <w:spacing w:after="0" w:line="282" w:lineRule="auto"/>
        <w:rPr>
          <w:sz w:val="20"/>
          <w:szCs w:val="20"/>
          <w:color w:val="auto"/>
        </w:rPr>
      </w:pPr>
      <w:r>
        <w:rPr>
          <w:rFonts w:ascii="Times New Roman" w:cs="Times New Roman" w:eastAsia="Times New Roman" w:hAnsi="Times New Roman"/>
          <w:sz w:val="18"/>
          <w:szCs w:val="18"/>
          <w:color w:val="auto"/>
        </w:rPr>
        <w:t>The Account Values on the First Contract Anniversary and One Day after the First Contract Anniversary are assumed to be equal prior to the withdrawal.</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9019"/>
          </w:cols>
          <w:pgMar w:left="1440" w:top="1373" w:right="1440" w:bottom="1440" w:gutter="0" w:footer="0" w:header="0"/>
          <w:type w:val="continuous"/>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20" w:type="dxa"/>
        <w:tblCellMar>
          <w:top w:w="0" w:type="dxa"/>
          <w:left w:w="0" w:type="dxa"/>
          <w:bottom w:w="0" w:type="dxa"/>
          <w:right w:w="0" w:type="dxa"/>
        </w:tblCellMar>
      </w:tblPr>
      <w:tr>
        <w:trPr>
          <w:trHeight w:val="305"/>
        </w:trPr>
        <w:tc>
          <w:tcPr>
            <w:tcW w:w="1160" w:type="dxa"/>
            <w:vAlign w:val="bottom"/>
          </w:tcPr>
          <w:p>
            <w:pPr>
              <w:spacing w:after="0"/>
              <w:rPr>
                <w:sz w:val="20"/>
                <w:szCs w:val="20"/>
                <w:color w:val="auto"/>
              </w:rPr>
            </w:pPr>
            <w:r>
              <w:rPr>
                <w:rFonts w:ascii="Times New Roman" w:cs="Times New Roman" w:eastAsia="Times New Roman" w:hAnsi="Times New Roman"/>
                <w:sz w:val="23"/>
                <w:szCs w:val="23"/>
                <w:color w:val="auto"/>
              </w:rPr>
              <w:t> </w:t>
            </w:r>
          </w:p>
        </w:tc>
        <w:tc>
          <w:tcPr>
            <w:tcW w:w="480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color w:val="auto"/>
                <w:w w:val="98"/>
              </w:rPr>
              <w:t>(THIS PAGE INTENTIONALLY LEFT BLANK.)</w:t>
            </w:r>
          </w:p>
        </w:tc>
        <w:tc>
          <w:tcPr>
            <w:tcW w:w="0" w:type="dxa"/>
            <w:vAlign w:val="bottom"/>
          </w:tcPr>
          <w:p>
            <w:pPr>
              <w:spacing w:after="0"/>
              <w:rPr>
                <w:sz w:val="1"/>
                <w:szCs w:val="1"/>
                <w:color w:val="auto"/>
              </w:rPr>
            </w:pPr>
          </w:p>
        </w:tc>
      </w:tr>
      <w:tr>
        <w:trPr>
          <w:trHeight w:val="92"/>
        </w:trPr>
        <w:tc>
          <w:tcPr>
            <w:tcW w:w="1160" w:type="dxa"/>
            <w:vAlign w:val="bottom"/>
          </w:tcPr>
          <w:p>
            <w:pPr>
              <w:spacing w:after="0"/>
              <w:rPr>
                <w:sz w:val="8"/>
                <w:szCs w:val="8"/>
                <w:color w:val="auto"/>
              </w:rPr>
            </w:pPr>
          </w:p>
        </w:tc>
        <w:tc>
          <w:tcPr>
            <w:tcW w:w="4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86" w:name="page87"/>
    <w:bookmarkEnd w:id="86"/>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APPENDIX D</w:t>
      </w:r>
    </w:p>
    <w:p>
      <w:pPr>
        <w:spacing w:after="0" w:line="1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THE FIXED ACCOUNT</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Fixed Account is a funding option that may be available and is part of BLIC’s General Account assets. These General Account assets include all assets of BLIC other than those held in the Separate Accounts sponsored by BLIC or its affiliates.</w:t>
      </w:r>
    </w:p>
    <w:p>
      <w:pPr>
        <w:spacing w:after="0" w:line="8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Any interest in the Fixed Account is not a security under the Securities Act of 1933 and the Fixed Account is not registered under or regulated by the Investment Company Act of 1940. Accordingly, the Fixed Account is not offered by virtue of the prospectus. The staff of the SEC does not generally review the disclosure in the prospectus relating to the Fixed Account. Disclosure regarding the Fixed Account and the General Account may, however, be subject to certain provisions of the Federal securities laws relating to the accuracy and completeness of statements made in the prospectus.</w:t>
      </w:r>
    </w:p>
    <w:p>
      <w:pPr>
        <w:spacing w:after="0" w:line="93"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Under the Fixed Account, BLIC assumes the risk of investment gain or loss, guarantees a specified interest rate, and guarantees a specified periodic Income Payment. We guarantee that, at any time, the Fixed Account Value will not be less than the amount of the Purchase Payments allocated to the Fixed Account, plus interest credited as described below, less any applicable Premium Taxes or prior withdrawals.</w:t>
      </w:r>
    </w:p>
    <w:p>
      <w:pPr>
        <w:spacing w:after="0" w:line="7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Account Value allocated to the Fixed Account and any transfers made to the Fixed Account become part of BLIC’s General Account, which supports insurance and annuity obligations. Where permitted by state law, we reserve the right to restrict Investment Amounts into the Fixed Account whenever the credited interest rate on the Fixed Account is equal to the Minimum Guaranteed Interest Rate specified in your Contract. The General Account and any interest therein is not registered under, or subject to the provisions of, the Securities Act of 1933 or Investment Company Act of 1940. We will invest the assets of the Fixed Account at our discretion. Investment income from such Fixed Account assets will be allocated to us and to the Contracts participating in the Fixed Account.</w:t>
      </w:r>
    </w:p>
    <w:p>
      <w:pPr>
        <w:spacing w:after="0" w:line="97"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Investment income from the Fixed Account allocated to us includes compensation for risks borne by us in connection with Fixed Account Contracts. The amount of such investment income allocated to the Contracts will vary from year to year in our sole discretion at such rate or rates as we prospectively declare from time to time.</w:t>
      </w:r>
    </w:p>
    <w:p>
      <w:pPr>
        <w:spacing w:after="0" w:line="8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guarantee that for the life of the Contract interest credited to your Fixed Account Value during the Interest Rate Term beginning on the Issue Date will not be accumulated at less than the Minimum Guaranteed Interest Rate allowed by state law. The current Minimum Guaranteed Interest Rate applicable to any Contract will not be less than 1%. We reserve the right to change the rate subject to applicable state law. We will determine any interest we credit to amounts allocated to the Fixed Account in excess of the Minimum Guaranteed Interest Rate at our sole discretion. You assume the risk that interest credited to the Fixed Account may not exceed the Minimum Guaranteed Interest Rate for any given year. We have no specific formula for determining the interest rate. Some factors we may consider are regulatory and tax requirements, general economic trends and competitive factors.</w:t>
      </w:r>
    </w:p>
    <w:p>
      <w:pPr>
        <w:spacing w:after="0" w:line="80"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For renewals into the Fixed Account, the new guaranteed interest rate will be declared for each subsequent Interest Rate Term. At the Interest Rate Term End Date, the Fixed Account Value will automatically be renewed into the same Interest Rate Term, with the new interest rate, unless otherwise instructed by you. If the Fixed Account is not available at the end of the existing Interest Rate Term, these amounts will automatically transfer into the Shield Option with the lowest Cap Rate from the Shield Options available at the end of the Interest Rate Term unless otherwise instructed by you. You have the Transfer Period to notify us that you want to transfer some or all of your Fixed Account Value to a new Shield Option(s).</w:t>
      </w:r>
    </w:p>
    <w:p>
      <w:pPr>
        <w:spacing w:after="0" w:line="92"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Fixed Account Value. </w:t>
      </w:r>
      <w:r>
        <w:rPr>
          <w:rFonts w:ascii="Times New Roman" w:cs="Times New Roman" w:eastAsia="Times New Roman" w:hAnsi="Times New Roman"/>
          <w:sz w:val="18"/>
          <w:szCs w:val="18"/>
          <w:color w:val="auto"/>
        </w:rPr>
        <w:t>We credit interest to the portion of the Account Value allocated to the Fixed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“Interest Crediting” below.) The Fixed Account is part of our General Account. We guarantee that the interest credited to your initial allocation to the Fixed Account during the Interest Rate Term beginning on the Issue Date will not be accumulated at less than the Minimum Guaranteed Interest Rate. Thereafter, we will declare an interest rate as of each Contract Anniversary for the duration of the Interest Rate Term and such rate will not be less than the Minimum Guaranteed Interest Rate. If the declared interest rate equals the Minimum Guaranteed Interest Rate, we reserve the right to restrict transfers and allocations into the Fixed Account.</w:t>
      </w:r>
    </w:p>
    <w:p>
      <w:pPr>
        <w:spacing w:after="0" w:line="90" w:lineRule="exact"/>
        <w:rPr>
          <w:sz w:val="20"/>
          <w:szCs w:val="20"/>
          <w:color w:val="auto"/>
        </w:rPr>
      </w:pPr>
    </w:p>
    <w:p>
      <w:pPr>
        <w:jc w:val="both"/>
        <w:ind w:left="120" w:right="639" w:firstLine="360"/>
        <w:spacing w:after="0" w:line="281" w:lineRule="auto"/>
        <w:rPr>
          <w:sz w:val="20"/>
          <w:szCs w:val="20"/>
          <w:color w:val="auto"/>
        </w:rPr>
      </w:pPr>
      <w:r>
        <w:rPr>
          <w:rFonts w:ascii="Times New Roman" w:cs="Times New Roman" w:eastAsia="Times New Roman" w:hAnsi="Times New Roman"/>
          <w:sz w:val="17"/>
          <w:szCs w:val="17"/>
          <w:color w:val="auto"/>
        </w:rPr>
        <w:t>The initial Fixed Account Value is the amount initially allocated to the Fixed Account. Thereafter, the Fixed Account Value equals: (a) the initial Fixed Account Value or the Fixed Account Value on the most recent Contract Anniversary, as applicable, including any transfers; plus (b) any interest credited by us; less (c) the amount of any withdrawals (including any Withdrawal Charges); and less (d) any Premium or Other Taxes, if applicable.</w:t>
      </w:r>
    </w:p>
    <w:p>
      <w:pPr>
        <w:spacing w:after="0" w:line="54" w:lineRule="exact"/>
        <w:rPr>
          <w:sz w:val="20"/>
          <w:szCs w:val="20"/>
          <w:color w:val="auto"/>
        </w:rPr>
      </w:pPr>
    </w:p>
    <w:p>
      <w:pPr>
        <w:jc w:val="both"/>
        <w:ind w:left="120" w:right="6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Crediting. </w:t>
      </w:r>
      <w:r>
        <w:rPr>
          <w:rFonts w:ascii="Times New Roman" w:cs="Times New Roman" w:eastAsia="Times New Roman" w:hAnsi="Times New Roman"/>
          <w:sz w:val="18"/>
          <w:szCs w:val="18"/>
          <w:color w:val="auto"/>
        </w:rPr>
        <w:t>Interest will be compounded and credited to the Fixed Account at an annual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declared by us. Interest will be credited on amounts allocated to the Fixed Account through the effective date such amounts are withdrawn or transferred from the Fixed Account.</w:t>
      </w:r>
    </w:p>
    <w:p>
      <w:pPr>
        <w:spacing w:after="0" w:line="2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9019"/>
          </w:cols>
          <w:pgMar w:left="1440" w:top="1373" w:right="1440" w:bottom="1041" w:gutter="0" w:footer="0" w:header="0"/>
        </w:sectPr>
      </w:pPr>
    </w:p>
    <w:bookmarkStart w:id="87" w:name="page88"/>
    <w:bookmarkEnd w:id="87"/>
    <w:p>
      <w:pPr>
        <w:ind w:left="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Important terms that will help you understand this Appendix D:</w:t>
      </w:r>
    </w:p>
    <w:p>
      <w:pPr>
        <w:spacing w:after="0" w:line="113" w:lineRule="exact"/>
        <w:rPr>
          <w:sz w:val="20"/>
          <w:szCs w:val="20"/>
          <w:color w:val="auto"/>
        </w:rPr>
      </w:pPr>
    </w:p>
    <w:p>
      <w:pPr>
        <w:jc w:val="both"/>
        <w:ind w:left="12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Rate Term.  </w:t>
      </w:r>
      <w:r>
        <w:rPr>
          <w:rFonts w:ascii="Times New Roman" w:cs="Times New Roman" w:eastAsia="Times New Roman" w:hAnsi="Times New Roman"/>
          <w:sz w:val="18"/>
          <w:szCs w:val="18"/>
          <w:color w:val="auto"/>
        </w:rPr>
        <w:t>The Interest Rate Term is the length of time over which the current interest rate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The minimum Interest Rate Term depends on the date your Contract is issued but will not be less than one (1) year. No Interest Rate Term will extend beyond the Annuity Date.</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Fixed Account Value.   </w:t>
      </w:r>
      <w:r>
        <w:rPr>
          <w:rFonts w:ascii="Times New Roman" w:cs="Times New Roman" w:eastAsia="Times New Roman" w:hAnsi="Times New Roman"/>
          <w:sz w:val="18"/>
          <w:szCs w:val="18"/>
          <w:color w:val="auto"/>
        </w:rPr>
        <w:t>The Fixed Account Value at the end of the Interest Rate Term.</w:t>
      </w:r>
    </w:p>
    <w:p>
      <w:pPr>
        <w:spacing w:after="0" w:line="117" w:lineRule="exact"/>
        <w:rPr>
          <w:sz w:val="20"/>
          <w:szCs w:val="20"/>
          <w:color w:val="auto"/>
        </w:rPr>
      </w:pPr>
    </w:p>
    <w:p>
      <w:pPr>
        <w:jc w:val="both"/>
        <w:ind w:left="12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Transfers.  </w:t>
      </w:r>
      <w:r>
        <w:rPr>
          <w:rFonts w:ascii="Times New Roman" w:cs="Times New Roman" w:eastAsia="Times New Roman" w:hAnsi="Times New Roman"/>
          <w:sz w:val="18"/>
          <w:szCs w:val="18"/>
          <w:color w:val="auto"/>
        </w:rPr>
        <w:t>During the Accumulation Period you may only make a transfer to the Fixed Account and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Shield Option(s) during the Transfer Period. The effective date of such transfer is the first day of the Interest Rate Term and/or a Term(s) in which the transfer is made.</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D-2</w:t>
      </w:r>
    </w:p>
    <w:p>
      <w:pPr>
        <w:sectPr>
          <w:pgSz w:w="11900" w:h="16838" w:orient="portrait"/>
          <w:cols w:equalWidth="0" w:num="1">
            <w:col w:w="9019"/>
          </w:cols>
          <w:pgMar w:left="1440" w:top="1377" w:right="1440" w:bottom="1440" w:gutter="0" w:footer="0" w:header="0"/>
          <w:type w:val="continuous"/>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17" w:lineRule="exact"/>
        <w:rPr>
          <w:sz w:val="20"/>
          <w:szCs w:val="20"/>
          <w:color w:val="auto"/>
        </w:rPr>
      </w:pPr>
    </w:p>
    <w:p>
      <w:pPr>
        <w:ind w:right="519"/>
        <w:spacing w:after="0" w:line="287" w:lineRule="auto"/>
        <w:rPr>
          <w:sz w:val="20"/>
          <w:szCs w:val="20"/>
          <w:color w:val="auto"/>
        </w:rPr>
      </w:pPr>
      <w:r>
        <w:rPr>
          <w:rFonts w:ascii="Arial" w:cs="Arial" w:eastAsia="Arial" w:hAnsi="Arial"/>
          <w:sz w:val="18"/>
          <w:szCs w:val="18"/>
          <w:color w:val="auto"/>
        </w:rPr>
        <w:t>The following is an itemized list of the estimated expenses to be incurred in connection with the securities being offered: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Accountant’s Fees and Expenses: $7,500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Legal Fees and Expenses: $9,000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Printing Expenses: To be filed by amendment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Registration Fee: $0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17" w:lineRule="exact"/>
        <w:rPr>
          <w:sz w:val="20"/>
          <w:szCs w:val="20"/>
          <w:color w:val="auto"/>
        </w:rPr>
      </w:pPr>
    </w:p>
    <w:p>
      <w:pPr>
        <w:ind w:right="199"/>
        <w:spacing w:after="0" w:line="255" w:lineRule="auto"/>
        <w:rPr>
          <w:sz w:val="20"/>
          <w:szCs w:val="20"/>
          <w:color w:val="auto"/>
        </w:rPr>
      </w:pPr>
      <w:r>
        <w:rPr>
          <w:rFonts w:ascii="Arial" w:cs="Arial" w:eastAsia="Arial" w:hAnsi="Arial"/>
          <w:sz w:val="18"/>
          <w:szCs w:val="18"/>
          <w:color w:val="auto"/>
        </w:rPr>
        <w:t>Pursuant to applicable provisions of the Registrant’s by-laws or internal corporate policies adopted by the Registrant or its ultimate parent, the directors, officers and other controlling persons of the Registrant who are made or threatened to be made a party to an action or proceeding, may be eligible to obtain indemnification against judgments, fines, amounts paid in settlement and reasonable expenses, including attorneys’ fees, incurred as a result of such action or proceeding. Under the principal underwriting agreement between the Registrant and the Underwriter, the parties have agreed to indemnify each other against certain liabilities and expenses from legal proceedings arising out of the Underwriter’s distribution of the Contracts. BLIC also maintains insurance policies insuring its directors and officers against certain liabilities they may incur in their capacity as such.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ectPr>
          <w:pgSz w:w="11900" w:h="16838" w:orient="portrait"/>
          <w:cols w:equalWidth="0" w:num="1">
            <w:col w:w="9379"/>
          </w:cols>
          <w:pgMar w:left="1080" w:top="931" w:right="1440"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Number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1(a).</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369" w:lineRule="exact"/>
        <w:rPr>
          <w:sz w:val="20"/>
          <w:szCs w:val="20"/>
          <w:color w:val="auto"/>
        </w:rPr>
      </w:pPr>
    </w:p>
    <w:p>
      <w:pPr>
        <w:ind w:right="539"/>
        <w:spacing w:after="0" w:line="262" w:lineRule="auto"/>
        <w:rPr>
          <w:rFonts w:ascii="Arial" w:cs="Arial" w:eastAsia="Arial" w:hAnsi="Arial"/>
          <w:sz w:val="18"/>
          <w:szCs w:val="18"/>
          <w:u w:val="single" w:color="auto"/>
          <w:color w:val="0000EE"/>
        </w:rPr>
      </w:pPr>
      <w:hyperlink r:id="rId211">
        <w:r>
          <w:rPr>
            <w:rFonts w:ascii="Arial" w:cs="Arial" w:eastAsia="Arial" w:hAnsi="Arial"/>
            <w:sz w:val="18"/>
            <w:szCs w:val="18"/>
            <w:u w:val="single" w:color="auto"/>
            <w:color w:val="0000EE"/>
          </w:rPr>
          <w:t>Principal Underwriting and Distribution Agreement between Brighthouse Life Insurance</w:t>
        </w:r>
      </w:hyperlink>
      <w:r>
        <w:rPr>
          <w:rFonts w:ascii="Arial" w:cs="Arial" w:eastAsia="Arial" w:hAnsi="Arial"/>
          <w:sz w:val="18"/>
          <w:szCs w:val="18"/>
          <w:u w:val="single" w:color="auto"/>
          <w:color w:val="0000EE"/>
        </w:rPr>
        <w:t xml:space="preserve"> </w:t>
      </w:r>
      <w:hyperlink r:id="rId211">
        <w:r>
          <w:rPr>
            <w:rFonts w:ascii="Arial" w:cs="Arial" w:eastAsia="Arial" w:hAnsi="Arial"/>
            <w:sz w:val="18"/>
            <w:szCs w:val="18"/>
            <w:u w:val="single" w:color="auto"/>
            <w:color w:val="0000EE"/>
          </w:rPr>
          <w:t>Company and Brighthouse Securities, LLC (effective 3-6-17). (Filed as Exhibit 1(a) with</w:t>
        </w:r>
      </w:hyperlink>
      <w:r>
        <w:rPr>
          <w:rFonts w:ascii="Arial" w:cs="Arial" w:eastAsia="Arial" w:hAnsi="Arial"/>
          <w:sz w:val="18"/>
          <w:szCs w:val="18"/>
          <w:u w:val="single" w:color="auto"/>
          <w:color w:val="0000EE"/>
        </w:rPr>
        <w:t xml:space="preserve"> </w:t>
      </w:r>
      <w:hyperlink r:id="rId211">
        <w:r>
          <w:rPr>
            <w:rFonts w:ascii="Arial" w:cs="Arial" w:eastAsia="Arial" w:hAnsi="Arial"/>
            <w:sz w:val="18"/>
            <w:szCs w:val="18"/>
            <w:u w:val="single" w:color="auto"/>
            <w:color w:val="0000EE"/>
          </w:rPr>
          <w:t>Registration Statement No. 333-217507 on Form S-3 on April 27, 2017 and incorporated herein</w:t>
        </w:r>
      </w:hyperlink>
      <w:r>
        <w:rPr>
          <w:rFonts w:ascii="Arial" w:cs="Arial" w:eastAsia="Arial" w:hAnsi="Arial"/>
          <w:sz w:val="18"/>
          <w:szCs w:val="18"/>
          <w:u w:val="single" w:color="auto"/>
          <w:color w:val="0000EE"/>
        </w:rPr>
        <w:t xml:space="preserve"> </w:t>
      </w:r>
      <w:hyperlink r:id="rId211">
        <w:r>
          <w:rPr>
            <w:rFonts w:ascii="Arial" w:cs="Arial" w:eastAsia="Arial" w:hAnsi="Arial"/>
            <w:sz w:val="18"/>
            <w:szCs w:val="18"/>
            <w:u w:val="single" w:color="auto"/>
            <w:color w:val="0000EE"/>
          </w:rPr>
          <w:t>by reference.)</w:t>
        </w:r>
      </w:hyperlink>
    </w:p>
    <w:p>
      <w:pPr>
        <w:spacing w:after="0" w:line="122" w:lineRule="exact"/>
        <w:rPr>
          <w:rFonts w:ascii="Arial" w:cs="Arial" w:eastAsia="Arial" w:hAnsi="Arial"/>
          <w:sz w:val="18"/>
          <w:szCs w:val="18"/>
          <w:u w:val="single" w:color="auto"/>
          <w:color w:val="0000EE"/>
        </w:rPr>
      </w:pPr>
    </w:p>
    <w:p>
      <w:pPr>
        <w:sectPr>
          <w:pgSz w:w="11900" w:h="16838" w:orient="portrait"/>
          <w:cols w:equalWidth="0" w:num="2">
            <w:col w:w="540" w:space="720"/>
            <w:col w:w="8119"/>
          </w:cols>
          <w:pgMar w:left="1080" w:top="931" w:right="1440" w:bottom="1440" w:gutter="0" w:footer="0" w:header="0"/>
          <w:type w:val="continuous"/>
        </w:sectPr>
      </w:pPr>
    </w:p>
    <w:p>
      <w:pPr>
        <w:jc w:val="both"/>
        <w:ind w:left="1260" w:right="75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1(b).</w:t>
      </w:r>
      <w:r>
        <w:rPr>
          <w:sz w:val="20"/>
          <w:szCs w:val="20"/>
          <w:color w:val="auto"/>
        </w:rPr>
        <w:tab/>
      </w:r>
      <w:hyperlink r:id="rId212">
        <w:r>
          <w:rPr>
            <w:rFonts w:ascii="Arial" w:cs="Arial" w:eastAsia="Arial" w:hAnsi="Arial"/>
            <w:sz w:val="18"/>
            <w:szCs w:val="18"/>
            <w:u w:val="single" w:color="auto"/>
            <w:color w:val="0000EE"/>
          </w:rPr>
          <w:t>Brighthouse Securities, LLC Sales Agreement [Enterprise Selling Agreement 5-17]. (Filed as</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Exhibit 1(b) with Registration Statement No. 333-217507 on Form S-3 on July 11, 2017 and</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incorporated herein by reference.)</w:t>
        </w:r>
      </w:hyperlink>
    </w:p>
    <w:p>
      <w:pPr>
        <w:spacing w:after="0" w:line="103" w:lineRule="exact"/>
        <w:rPr>
          <w:rFonts w:ascii="Arial" w:cs="Arial" w:eastAsia="Arial" w:hAnsi="Arial"/>
          <w:sz w:val="18"/>
          <w:szCs w:val="18"/>
          <w:u w:val="single" w:color="auto"/>
          <w:color w:val="0000EE"/>
        </w:rPr>
      </w:pPr>
    </w:p>
    <w:p>
      <w:pPr>
        <w:jc w:val="both"/>
        <w:ind w:left="1260" w:right="77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1(c).</w:t>
      </w:r>
      <w:r>
        <w:rPr>
          <w:sz w:val="20"/>
          <w:szCs w:val="20"/>
          <w:color w:val="auto"/>
        </w:rPr>
        <w:tab/>
      </w:r>
      <w:hyperlink r:id="rId213">
        <w:r>
          <w:rPr>
            <w:rFonts w:ascii="Arial" w:cs="Arial" w:eastAsia="Arial" w:hAnsi="Arial"/>
            <w:sz w:val="18"/>
            <w:szCs w:val="18"/>
            <w:u w:val="single" w:color="auto"/>
            <w:color w:val="0000EE"/>
          </w:rPr>
          <w:t>Form of Brighthouse Securities, LLC Sales Agreement [7-19 NY]. (Filed as Exhibit 1(c) with</w:t>
        </w:r>
      </w:hyperlink>
      <w:r>
        <w:rPr>
          <w:rFonts w:ascii="Arial" w:cs="Arial" w:eastAsia="Arial" w:hAnsi="Arial"/>
          <w:sz w:val="18"/>
          <w:szCs w:val="18"/>
          <w:u w:val="single" w:color="auto"/>
          <w:color w:val="0000EE"/>
        </w:rPr>
        <w:t xml:space="preserve"> </w:t>
      </w:r>
      <w:hyperlink r:id="rId213">
        <w:r>
          <w:rPr>
            <w:rFonts w:ascii="Arial" w:cs="Arial" w:eastAsia="Arial" w:hAnsi="Arial"/>
            <w:sz w:val="18"/>
            <w:szCs w:val="18"/>
            <w:u w:val="single" w:color="auto"/>
            <w:color w:val="0000EE"/>
          </w:rPr>
          <w:t>Post-Effective Amendment No. 2 to Registration Statement No. 333-263495 on Form S-3 on</w:t>
        </w:r>
      </w:hyperlink>
      <w:r>
        <w:rPr>
          <w:rFonts w:ascii="Arial" w:cs="Arial" w:eastAsia="Arial" w:hAnsi="Arial"/>
          <w:sz w:val="18"/>
          <w:szCs w:val="18"/>
          <w:u w:val="single" w:color="auto"/>
          <w:color w:val="0000EE"/>
        </w:rPr>
        <w:t xml:space="preserve"> </w:t>
      </w:r>
      <w:hyperlink r:id="rId213">
        <w:r>
          <w:rPr>
            <w:rFonts w:ascii="Arial" w:cs="Arial" w:eastAsia="Arial" w:hAnsi="Arial"/>
            <w:sz w:val="18"/>
            <w:szCs w:val="18"/>
            <w:u w:val="single" w:color="auto"/>
            <w:color w:val="0000EE"/>
          </w:rPr>
          <w:t>April 14, 2023 and incorporated herein by reference.)</w:t>
        </w:r>
      </w:hyperlink>
    </w:p>
    <w:p>
      <w:pPr>
        <w:spacing w:after="0" w:line="103" w:lineRule="exact"/>
        <w:rPr>
          <w:rFonts w:ascii="Arial" w:cs="Arial" w:eastAsia="Arial" w:hAnsi="Arial"/>
          <w:sz w:val="18"/>
          <w:szCs w:val="18"/>
          <w:u w:val="single" w:color="auto"/>
          <w:color w:val="0000EE"/>
        </w:rPr>
      </w:pPr>
    </w:p>
    <w:p>
      <w:pPr>
        <w:ind w:left="1260" w:hanging="1256"/>
        <w:spacing w:after="0"/>
        <w:tabs>
          <w:tab w:leader="none" w:pos="1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u w:val="single" w:color="auto"/>
          <w:color w:val="0000EE"/>
        </w:rPr>
      </w:pPr>
    </w:p>
    <w:p>
      <w:pPr>
        <w:ind w:left="1260" w:right="79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4(a).</w:t>
      </w:r>
      <w:r>
        <w:rPr>
          <w:sz w:val="20"/>
          <w:szCs w:val="20"/>
          <w:color w:val="auto"/>
        </w:rPr>
        <w:tab/>
      </w:r>
      <w:hyperlink r:id="rId214">
        <w:r>
          <w:rPr>
            <w:rFonts w:ascii="Arial" w:cs="Arial" w:eastAsia="Arial" w:hAnsi="Arial"/>
            <w:sz w:val="18"/>
            <w:szCs w:val="18"/>
            <w:u w:val="single" w:color="auto"/>
            <w:color w:val="0000EE"/>
          </w:rPr>
          <w:t>Contract [L-22494 (09-12)-AV, L-22494 (09-12) base policy, L-22495 (09/12) CS]. (Filed as</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Exhibit 4(a) with Registration Statement No. 333-217507 on Form S-3 on April 27, 2017 and</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incorporated herein by reference.)</w:t>
        </w:r>
      </w:hyperlink>
    </w:p>
    <w:p>
      <w:pPr>
        <w:spacing w:after="0" w:line="103" w:lineRule="exact"/>
        <w:rPr>
          <w:rFonts w:ascii="Arial" w:cs="Arial" w:eastAsia="Arial" w:hAnsi="Arial"/>
          <w:sz w:val="18"/>
          <w:szCs w:val="18"/>
          <w:u w:val="single" w:color="auto"/>
          <w:color w:val="0000EE"/>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4(b).</w:t>
      </w:r>
      <w:r>
        <w:rPr>
          <w:sz w:val="20"/>
          <w:szCs w:val="20"/>
          <w:color w:val="auto"/>
        </w:rPr>
        <w:tab/>
      </w:r>
      <w:hyperlink r:id="rId215">
        <w:r>
          <w:rPr>
            <w:rFonts w:ascii="Arial" w:cs="Arial" w:eastAsia="Arial" w:hAnsi="Arial"/>
            <w:sz w:val="18"/>
            <w:szCs w:val="18"/>
            <w:u w:val="single" w:color="auto"/>
            <w:color w:val="0000EE"/>
          </w:rPr>
          <w:t>Fixed Account Rider [L-22496 (09-12)]. (Filed as Exhibit 4(b) with Registration Statement No.</w:t>
        </w:r>
      </w:hyperlink>
    </w:p>
    <w:p>
      <w:pPr>
        <w:spacing w:after="0" w:line="27" w:lineRule="exact"/>
        <w:rPr>
          <w:rFonts w:ascii="Arial" w:cs="Arial" w:eastAsia="Arial" w:hAnsi="Arial"/>
          <w:sz w:val="18"/>
          <w:szCs w:val="18"/>
          <w:u w:val="single" w:color="auto"/>
          <w:color w:val="0000EE"/>
        </w:rPr>
      </w:pPr>
    </w:p>
    <w:p>
      <w:pPr>
        <w:ind w:left="1260"/>
        <w:spacing w:after="0"/>
        <w:rPr>
          <w:rFonts w:ascii="Arial" w:cs="Arial" w:eastAsia="Arial" w:hAnsi="Arial"/>
          <w:sz w:val="18"/>
          <w:szCs w:val="18"/>
          <w:u w:val="single" w:color="auto"/>
          <w:color w:val="0000EE"/>
        </w:rPr>
      </w:pPr>
      <w:hyperlink r:id="rId215">
        <w:r>
          <w:rPr>
            <w:rFonts w:ascii="Arial" w:cs="Arial" w:eastAsia="Arial" w:hAnsi="Arial"/>
            <w:sz w:val="18"/>
            <w:szCs w:val="18"/>
            <w:u w:val="single" w:color="auto"/>
            <w:color w:val="0000EE"/>
          </w:rPr>
          <w:t>333-217507 on Form S-3 on April 27, 2017 and incorporated herein by reference.)</w:t>
        </w:r>
      </w:hyperlink>
    </w:p>
    <w:p>
      <w:pPr>
        <w:spacing w:after="0" w:line="140" w:lineRule="exact"/>
        <w:rPr>
          <w:rFonts w:ascii="Arial" w:cs="Arial" w:eastAsia="Arial" w:hAnsi="Arial"/>
          <w:sz w:val="18"/>
          <w:szCs w:val="18"/>
          <w:u w:val="single" w:color="auto"/>
          <w:color w:val="0000EE"/>
        </w:rPr>
      </w:pPr>
    </w:p>
    <w:p>
      <w:pPr>
        <w:ind w:left="1260" w:right="53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4(c).</w:t>
      </w:r>
      <w:r>
        <w:rPr>
          <w:sz w:val="20"/>
          <w:szCs w:val="20"/>
          <w:color w:val="auto"/>
        </w:rPr>
        <w:tab/>
      </w:r>
      <w:hyperlink r:id="rId216">
        <w:r>
          <w:rPr>
            <w:rFonts w:ascii="Arial" w:cs="Arial" w:eastAsia="Arial" w:hAnsi="Arial"/>
            <w:sz w:val="18"/>
            <w:szCs w:val="18"/>
            <w:u w:val="single" w:color="auto"/>
            <w:color w:val="0000EE"/>
          </w:rPr>
          <w:t>Death Benefit Rider - Return of Premium [8-RPO-1 (5/17)]. (Filed as Exhibit 4(c) with</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Registration Statement No. 333-217507 on Form S-3 on April 27, 2017 and incorporated herein</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by reference.)</w:t>
        </w:r>
      </w:hyperlink>
    </w:p>
    <w:p>
      <w:pPr>
        <w:spacing w:after="0" w:line="117" w:lineRule="exact"/>
        <w:rPr>
          <w:rFonts w:ascii="Arial" w:cs="Arial" w:eastAsia="Arial" w:hAnsi="Arial"/>
          <w:sz w:val="18"/>
          <w:szCs w:val="18"/>
          <w:u w:val="single" w:color="auto"/>
          <w:color w:val="0000EE"/>
        </w:rPr>
      </w:pPr>
    </w:p>
    <w:p>
      <w:pPr>
        <w:ind w:left="1260" w:right="85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4(d).</w:t>
      </w:r>
      <w:r>
        <w:rPr>
          <w:sz w:val="20"/>
          <w:szCs w:val="20"/>
          <w:color w:val="auto"/>
        </w:rPr>
        <w:tab/>
      </w:r>
      <w:hyperlink r:id="rId217">
        <w:r>
          <w:rPr>
            <w:rFonts w:ascii="Arial" w:cs="Arial" w:eastAsia="Arial" w:hAnsi="Arial"/>
            <w:sz w:val="18"/>
            <w:szCs w:val="18"/>
            <w:u w:val="single" w:color="auto"/>
            <w:color w:val="0000EE"/>
          </w:rPr>
          <w:t>Waiver of Withdrawal Charge for Nursing Home or Hospital Confinement Rider [L-25005</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(09/12)]. (Filed as Exhibit 4(d) with Registration Statement No. 333-217507 on Form S-3 on</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April 27, 2017 and incorporated herein by reference.)</w:t>
        </w:r>
      </w:hyperlink>
    </w:p>
    <w:p>
      <w:pPr>
        <w:spacing w:after="0" w:line="103" w:lineRule="exact"/>
        <w:rPr>
          <w:rFonts w:ascii="Arial" w:cs="Arial" w:eastAsia="Arial" w:hAnsi="Arial"/>
          <w:sz w:val="18"/>
          <w:szCs w:val="18"/>
          <w:u w:val="single" w:color="auto"/>
          <w:color w:val="0000EE"/>
        </w:rPr>
      </w:pPr>
    </w:p>
    <w:p>
      <w:pPr>
        <w:ind w:left="1260" w:right="55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4(e).</w:t>
      </w:r>
      <w:r>
        <w:rPr>
          <w:sz w:val="20"/>
          <w:szCs w:val="20"/>
          <w:color w:val="auto"/>
        </w:rPr>
        <w:tab/>
      </w:r>
      <w:hyperlink r:id="rId218">
        <w:r>
          <w:rPr>
            <w:rFonts w:ascii="Arial" w:cs="Arial" w:eastAsia="Arial" w:hAnsi="Arial"/>
            <w:sz w:val="18"/>
            <w:szCs w:val="18"/>
            <w:u w:val="single" w:color="auto"/>
            <w:color w:val="0000EE"/>
          </w:rPr>
          <w:t>Waiver of Withdrawal Charge for Terminal Illness Rider [L-22498 (09-12)]. (Filed as Exhibit 4(e)</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with Registration Statement No. 333-217507 on Form S-3 on April 27, 2017 and incorporated</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herein by reference.)</w:t>
        </w:r>
      </w:hyperlink>
    </w:p>
    <w:p>
      <w:pPr>
        <w:sectPr>
          <w:pgSz w:w="11900" w:h="16838" w:orient="portrait"/>
          <w:cols w:equalWidth="0" w:num="1">
            <w:col w:w="9379"/>
          </w:cols>
          <w:pgMar w:left="1080" w:top="931" w:right="1440" w:bottom="1440" w:gutter="0" w:footer="0" w:header="0"/>
          <w:type w:val="continuous"/>
        </w:sectPr>
      </w:pPr>
    </w:p>
    <w:bookmarkStart w:id="90" w:name="page91"/>
    <w:bookmarkEnd w:id="90"/>
    <w:p>
      <w:pPr>
        <w:ind w:left="7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Exhibit</w:t>
      </w:r>
    </w:p>
    <w:p>
      <w:pPr>
        <w:spacing w:after="0" w:line="42" w:lineRule="exact"/>
        <w:rPr>
          <w:sz w:val="20"/>
          <w:szCs w:val="20"/>
          <w:color w:val="auto"/>
        </w:rPr>
      </w:pPr>
    </w:p>
    <w:p>
      <w:pPr>
        <w:ind w:left="720"/>
        <w:spacing w:after="0"/>
        <w:tabs>
          <w:tab w:leader="none" w:pos="20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221" w:lineRule="exact"/>
        <w:rPr>
          <w:sz w:val="20"/>
          <w:szCs w:val="20"/>
          <w:color w:val="auto"/>
        </w:rPr>
      </w:pPr>
    </w:p>
    <w:p>
      <w:pPr>
        <w:ind w:left="1260" w:right="53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4(f).</w:t>
      </w:r>
      <w:r>
        <w:rPr>
          <w:sz w:val="20"/>
          <w:szCs w:val="20"/>
          <w:color w:val="auto"/>
        </w:rPr>
        <w:tab/>
      </w:r>
      <w:hyperlink r:id="rId220">
        <w:r>
          <w:rPr>
            <w:rFonts w:ascii="Arial" w:cs="Arial" w:eastAsia="Arial" w:hAnsi="Arial"/>
            <w:sz w:val="18"/>
            <w:szCs w:val="18"/>
            <w:u w:val="single" w:color="auto"/>
            <w:color w:val="0000EE"/>
          </w:rPr>
          <w:t>Individual Retirement Annuity Qualification Rider [L-22499 (09/12)]. (Filed as Exhibit 4(f) with</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Registration Statement No. 333-217507 on Form S-3 on April 27, 2017 and incorporated herein</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by reference.)</w:t>
        </w:r>
      </w:hyperlink>
    </w:p>
    <w:p>
      <w:pPr>
        <w:spacing w:after="0" w:line="117" w:lineRule="exact"/>
        <w:rPr>
          <w:rFonts w:ascii="Arial" w:cs="Arial" w:eastAsia="Arial" w:hAnsi="Arial"/>
          <w:sz w:val="18"/>
          <w:szCs w:val="18"/>
          <w:u w:val="single" w:color="auto"/>
          <w:color w:val="0000EE"/>
        </w:rPr>
      </w:pPr>
    </w:p>
    <w:p>
      <w:pPr>
        <w:ind w:left="1260" w:right="79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4(g).</w:t>
      </w:r>
      <w:r>
        <w:rPr>
          <w:sz w:val="20"/>
          <w:szCs w:val="20"/>
          <w:color w:val="auto"/>
        </w:rPr>
        <w:tab/>
      </w:r>
      <w:hyperlink r:id="rId221">
        <w:r>
          <w:rPr>
            <w:rFonts w:ascii="Arial" w:cs="Arial" w:eastAsia="Arial" w:hAnsi="Arial"/>
            <w:sz w:val="18"/>
            <w:szCs w:val="18"/>
            <w:u w:val="single" w:color="auto"/>
            <w:color w:val="0000EE"/>
          </w:rPr>
          <w:t>Roth Individual Retirement Annuity (“Roth IRA”) Endorsement [L-22503 (09/12)]. (Filed as</w:t>
        </w:r>
      </w:hyperlink>
      <w:r>
        <w:rPr>
          <w:rFonts w:ascii="Arial" w:cs="Arial" w:eastAsia="Arial" w:hAnsi="Arial"/>
          <w:sz w:val="18"/>
          <w:szCs w:val="18"/>
          <w:u w:val="single" w:color="auto"/>
          <w:color w:val="0000EE"/>
        </w:rPr>
        <w:t xml:space="preserve"> </w:t>
      </w:r>
      <w:hyperlink r:id="rId221">
        <w:r>
          <w:rPr>
            <w:rFonts w:ascii="Arial" w:cs="Arial" w:eastAsia="Arial" w:hAnsi="Arial"/>
            <w:sz w:val="18"/>
            <w:szCs w:val="18"/>
            <w:u w:val="single" w:color="auto"/>
            <w:color w:val="0000EE"/>
          </w:rPr>
          <w:t>Exhibit 4(g) with Registration Statement No. 333-217507 on Form S-3 on April 27, 2017 and</w:t>
        </w:r>
      </w:hyperlink>
      <w:r>
        <w:rPr>
          <w:rFonts w:ascii="Arial" w:cs="Arial" w:eastAsia="Arial" w:hAnsi="Arial"/>
          <w:sz w:val="18"/>
          <w:szCs w:val="18"/>
          <w:u w:val="single" w:color="auto"/>
          <w:color w:val="0000EE"/>
        </w:rPr>
        <w:t xml:space="preserve"> </w:t>
      </w:r>
      <w:hyperlink r:id="rId221">
        <w:r>
          <w:rPr>
            <w:rFonts w:ascii="Arial" w:cs="Arial" w:eastAsia="Arial" w:hAnsi="Arial"/>
            <w:sz w:val="18"/>
            <w:szCs w:val="18"/>
            <w:u w:val="single" w:color="auto"/>
            <w:color w:val="0000EE"/>
          </w:rPr>
          <w:t>incorporated herein by reference.)</w:t>
        </w:r>
      </w:hyperlink>
    </w:p>
    <w:p>
      <w:pPr>
        <w:spacing w:after="0" w:line="103" w:lineRule="exact"/>
        <w:rPr>
          <w:rFonts w:ascii="Arial" w:cs="Arial" w:eastAsia="Arial" w:hAnsi="Arial"/>
          <w:sz w:val="18"/>
          <w:szCs w:val="18"/>
          <w:u w:val="single" w:color="auto"/>
          <w:color w:val="0000EE"/>
        </w:rPr>
      </w:pPr>
    </w:p>
    <w:p>
      <w:pPr>
        <w:ind w:left="1260" w:right="53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4(h).</w:t>
      </w:r>
      <w:r>
        <w:rPr>
          <w:sz w:val="20"/>
          <w:szCs w:val="20"/>
          <w:color w:val="auto"/>
        </w:rPr>
        <w:tab/>
      </w:r>
      <w:hyperlink r:id="rId222">
        <w:r>
          <w:rPr>
            <w:rFonts w:ascii="Arial" w:cs="Arial" w:eastAsia="Arial" w:hAnsi="Arial"/>
            <w:sz w:val="18"/>
            <w:szCs w:val="18"/>
            <w:u w:val="single" w:color="auto"/>
            <w:color w:val="0000EE"/>
          </w:rPr>
          <w:t>Individual Non-Qualified Annuity Endorsement [L-22504 (09/12)]. (Filed as Exhibit 4(h) with</w:t>
        </w:r>
      </w:hyperlink>
      <w:r>
        <w:rPr>
          <w:rFonts w:ascii="Arial" w:cs="Arial" w:eastAsia="Arial" w:hAnsi="Arial"/>
          <w:sz w:val="18"/>
          <w:szCs w:val="18"/>
          <w:u w:val="single" w:color="auto"/>
          <w:color w:val="0000EE"/>
        </w:rPr>
        <w:t xml:space="preserve"> </w:t>
      </w:r>
      <w:hyperlink r:id="rId222">
        <w:r>
          <w:rPr>
            <w:rFonts w:ascii="Arial" w:cs="Arial" w:eastAsia="Arial" w:hAnsi="Arial"/>
            <w:sz w:val="18"/>
            <w:szCs w:val="18"/>
            <w:u w:val="single" w:color="auto"/>
            <w:color w:val="0000EE"/>
          </w:rPr>
          <w:t>Registration Statement No. 333-217507 on Form S-3 on April 27, 2017 and incorporated herein</w:t>
        </w:r>
      </w:hyperlink>
      <w:r>
        <w:rPr>
          <w:rFonts w:ascii="Arial" w:cs="Arial" w:eastAsia="Arial" w:hAnsi="Arial"/>
          <w:sz w:val="18"/>
          <w:szCs w:val="18"/>
          <w:u w:val="single" w:color="auto"/>
          <w:color w:val="0000EE"/>
        </w:rPr>
        <w:t xml:space="preserve"> </w:t>
      </w:r>
      <w:hyperlink r:id="rId222">
        <w:r>
          <w:rPr>
            <w:rFonts w:ascii="Arial" w:cs="Arial" w:eastAsia="Arial" w:hAnsi="Arial"/>
            <w:sz w:val="18"/>
            <w:szCs w:val="18"/>
            <w:u w:val="single" w:color="auto"/>
            <w:color w:val="0000EE"/>
          </w:rPr>
          <w:t>by reference.)</w:t>
        </w:r>
      </w:hyperlink>
    </w:p>
    <w:p>
      <w:pPr>
        <w:spacing w:after="0" w:line="103" w:lineRule="exact"/>
        <w:rPr>
          <w:rFonts w:ascii="Arial" w:cs="Arial" w:eastAsia="Arial" w:hAnsi="Arial"/>
          <w:sz w:val="18"/>
          <w:szCs w:val="18"/>
          <w:u w:val="single" w:color="auto"/>
          <w:color w:val="0000EE"/>
        </w:rPr>
      </w:pPr>
    </w:p>
    <w:p>
      <w:pPr>
        <w:ind w:left="1260" w:right="53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4(i).</w:t>
      </w:r>
      <w:r>
        <w:rPr>
          <w:sz w:val="20"/>
          <w:szCs w:val="20"/>
          <w:color w:val="auto"/>
        </w:rPr>
        <w:tab/>
      </w:r>
      <w:hyperlink r:id="rId223">
        <w:r>
          <w:rPr>
            <w:rFonts w:ascii="Arial" w:cs="Arial" w:eastAsia="Arial" w:hAnsi="Arial"/>
            <w:sz w:val="18"/>
            <w:szCs w:val="18"/>
            <w:u w:val="single" w:color="auto"/>
            <w:color w:val="0000EE"/>
          </w:rPr>
          <w:t>Non-Qualified Annuity Endorsement [MLIU-NQ (11/04)-I]. (Filed as Exhibit 4(i) with Registration</w:t>
        </w:r>
      </w:hyperlink>
      <w:r>
        <w:rPr>
          <w:rFonts w:ascii="Arial" w:cs="Arial" w:eastAsia="Arial" w:hAnsi="Arial"/>
          <w:sz w:val="18"/>
          <w:szCs w:val="18"/>
          <w:u w:val="single" w:color="auto"/>
          <w:color w:val="0000EE"/>
        </w:rPr>
        <w:t xml:space="preserve"> </w:t>
      </w:r>
      <w:hyperlink r:id="rId223">
        <w:r>
          <w:rPr>
            <w:rFonts w:ascii="Arial" w:cs="Arial" w:eastAsia="Arial" w:hAnsi="Arial"/>
            <w:sz w:val="18"/>
            <w:szCs w:val="18"/>
            <w:u w:val="single" w:color="auto"/>
            <w:color w:val="0000EE"/>
          </w:rPr>
          <w:t>Statement No. 333-217507 on Form S-3 on April 27, 2017 and incorporated herein by</w:t>
        </w:r>
      </w:hyperlink>
      <w:r>
        <w:rPr>
          <w:rFonts w:ascii="Arial" w:cs="Arial" w:eastAsia="Arial" w:hAnsi="Arial"/>
          <w:sz w:val="18"/>
          <w:szCs w:val="18"/>
          <w:u w:val="single" w:color="auto"/>
          <w:color w:val="0000EE"/>
        </w:rPr>
        <w:t xml:space="preserve"> </w:t>
      </w:r>
      <w:hyperlink r:id="rId223">
        <w:r>
          <w:rPr>
            <w:rFonts w:ascii="Arial" w:cs="Arial" w:eastAsia="Arial" w:hAnsi="Arial"/>
            <w:sz w:val="18"/>
            <w:szCs w:val="18"/>
            <w:u w:val="single" w:color="auto"/>
            <w:color w:val="0000EE"/>
          </w:rPr>
          <w:t>reference.)</w:t>
        </w:r>
      </w:hyperlink>
    </w:p>
    <w:p>
      <w:pPr>
        <w:spacing w:after="0" w:line="117" w:lineRule="exact"/>
        <w:rPr>
          <w:rFonts w:ascii="Arial" w:cs="Arial" w:eastAsia="Arial" w:hAnsi="Arial"/>
          <w:sz w:val="18"/>
          <w:szCs w:val="18"/>
          <w:u w:val="single" w:color="auto"/>
          <w:color w:val="0000EE"/>
        </w:rPr>
      </w:pPr>
    </w:p>
    <w:p>
      <w:pPr>
        <w:ind w:left="1260" w:right="49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4(j).</w:t>
      </w:r>
      <w:r>
        <w:rPr>
          <w:sz w:val="20"/>
          <w:szCs w:val="20"/>
          <w:color w:val="auto"/>
        </w:rPr>
        <w:tab/>
      </w:r>
      <w:hyperlink r:id="rId224">
        <w:r>
          <w:rPr>
            <w:rFonts w:ascii="Arial" w:cs="Arial" w:eastAsia="Arial" w:hAnsi="Arial"/>
            <w:sz w:val="18"/>
            <w:szCs w:val="18"/>
            <w:u w:val="single" w:color="auto"/>
            <w:color w:val="0000EE"/>
          </w:rPr>
          <w:t>Performance Lock Rider [5-PVL (01/21)]. (Filed as Exhibit 4(j) with Post-Effective Amendment</w:t>
        </w:r>
      </w:hyperlink>
      <w:r>
        <w:rPr>
          <w:rFonts w:ascii="Arial" w:cs="Arial" w:eastAsia="Arial" w:hAnsi="Arial"/>
          <w:sz w:val="18"/>
          <w:szCs w:val="18"/>
          <w:u w:val="single" w:color="auto"/>
          <w:color w:val="0000EE"/>
        </w:rPr>
        <w:t xml:space="preserve"> </w:t>
      </w:r>
      <w:hyperlink r:id="rId224">
        <w:r>
          <w:rPr>
            <w:rFonts w:ascii="Arial" w:cs="Arial" w:eastAsia="Arial" w:hAnsi="Arial"/>
            <w:sz w:val="18"/>
            <w:szCs w:val="18"/>
            <w:u w:val="single" w:color="auto"/>
            <w:color w:val="0000EE"/>
          </w:rPr>
          <w:t>No. 1 to Registration Statement No. 333-233235 on Form S-3 on April 7, 2021 and incorporated</w:t>
        </w:r>
      </w:hyperlink>
      <w:r>
        <w:rPr>
          <w:rFonts w:ascii="Arial" w:cs="Arial" w:eastAsia="Arial" w:hAnsi="Arial"/>
          <w:sz w:val="18"/>
          <w:szCs w:val="18"/>
          <w:u w:val="single" w:color="auto"/>
          <w:color w:val="0000EE"/>
        </w:rPr>
        <w:t xml:space="preserve"> </w:t>
      </w:r>
      <w:hyperlink r:id="rId224">
        <w:r>
          <w:rPr>
            <w:rFonts w:ascii="Arial" w:cs="Arial" w:eastAsia="Arial" w:hAnsi="Arial"/>
            <w:sz w:val="18"/>
            <w:szCs w:val="18"/>
            <w:u w:val="single" w:color="auto"/>
            <w:color w:val="0000EE"/>
          </w:rPr>
          <w:t>herein by reference.)</w:t>
        </w:r>
      </w:hyperlink>
    </w:p>
    <w:p>
      <w:pPr>
        <w:spacing w:after="0" w:line="103" w:lineRule="exact"/>
        <w:rPr>
          <w:rFonts w:ascii="Arial" w:cs="Arial" w:eastAsia="Arial" w:hAnsi="Arial"/>
          <w:sz w:val="18"/>
          <w:szCs w:val="18"/>
          <w:u w:val="single" w:color="auto"/>
          <w:color w:val="0000EE"/>
        </w:rPr>
      </w:pPr>
    </w:p>
    <w:p>
      <w:pPr>
        <w:ind w:left="1260" w:right="49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4(k).</w:t>
      </w:r>
      <w:r>
        <w:rPr>
          <w:sz w:val="20"/>
          <w:szCs w:val="20"/>
          <w:color w:val="auto"/>
        </w:rPr>
        <w:tab/>
      </w:r>
      <w:hyperlink r:id="rId225">
        <w:r>
          <w:rPr>
            <w:rFonts w:ascii="Arial" w:cs="Arial" w:eastAsia="Arial" w:hAnsi="Arial"/>
            <w:sz w:val="18"/>
            <w:szCs w:val="18"/>
            <w:u w:val="single" w:color="auto"/>
            <w:color w:val="0000EE"/>
          </w:rPr>
          <w:t>Step Rate Edge Rider [5-4-SRE-1 (11/22)]. (Filed as Exhibit 4(k) with Post-Effective</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Amendment No. 1 to Registration Statement No. 333-263495 on Form S-3 on January 13, 2023</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and incorporated herein by reference.)</w:t>
        </w:r>
      </w:hyperlink>
    </w:p>
    <w:p>
      <w:pPr>
        <w:spacing w:after="0" w:line="103" w:lineRule="exact"/>
        <w:rPr>
          <w:rFonts w:ascii="Arial" w:cs="Arial" w:eastAsia="Arial" w:hAnsi="Arial"/>
          <w:sz w:val="18"/>
          <w:szCs w:val="18"/>
          <w:u w:val="single" w:color="auto"/>
          <w:color w:val="0000EE"/>
        </w:rPr>
      </w:pPr>
    </w:p>
    <w:p>
      <w:pPr>
        <w:ind w:left="1260" w:right="49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4(l).</w:t>
      </w:r>
      <w:r>
        <w:rPr>
          <w:sz w:val="20"/>
          <w:szCs w:val="20"/>
          <w:color w:val="auto"/>
        </w:rPr>
        <w:tab/>
      </w:r>
      <w:hyperlink r:id="rId226">
        <w:r>
          <w:rPr>
            <w:rFonts w:ascii="Arial" w:cs="Arial" w:eastAsia="Arial" w:hAnsi="Arial"/>
            <w:sz w:val="18"/>
            <w:szCs w:val="18"/>
            <w:u w:val="single" w:color="auto"/>
            <w:color w:val="0000EE"/>
          </w:rPr>
          <w:t>Step Rate Edge Contract Schedule [L-22495 (11/22)]. (Filed as Exhibit 4(l) with Post-Effective</w:t>
        </w:r>
      </w:hyperlink>
      <w:r>
        <w:rPr>
          <w:rFonts w:ascii="Arial" w:cs="Arial" w:eastAsia="Arial" w:hAnsi="Arial"/>
          <w:sz w:val="18"/>
          <w:szCs w:val="18"/>
          <w:u w:val="single" w:color="auto"/>
          <w:color w:val="0000EE"/>
        </w:rPr>
        <w:t xml:space="preserve"> </w:t>
      </w:r>
      <w:hyperlink r:id="rId226">
        <w:r>
          <w:rPr>
            <w:rFonts w:ascii="Arial" w:cs="Arial" w:eastAsia="Arial" w:hAnsi="Arial"/>
            <w:sz w:val="18"/>
            <w:szCs w:val="18"/>
            <w:u w:val="single" w:color="auto"/>
            <w:color w:val="0000EE"/>
          </w:rPr>
          <w:t>Amendment No. 1 to Registration Statement No. 333-263495 on Form S-3 on January 13, 2023</w:t>
        </w:r>
      </w:hyperlink>
      <w:r>
        <w:rPr>
          <w:rFonts w:ascii="Arial" w:cs="Arial" w:eastAsia="Arial" w:hAnsi="Arial"/>
          <w:sz w:val="18"/>
          <w:szCs w:val="18"/>
          <w:u w:val="single" w:color="auto"/>
          <w:color w:val="0000EE"/>
        </w:rPr>
        <w:t xml:space="preserve"> </w:t>
      </w:r>
      <w:hyperlink r:id="rId226">
        <w:r>
          <w:rPr>
            <w:rFonts w:ascii="Arial" w:cs="Arial" w:eastAsia="Arial" w:hAnsi="Arial"/>
            <w:sz w:val="18"/>
            <w:szCs w:val="18"/>
            <w:u w:val="single" w:color="auto"/>
            <w:color w:val="0000EE"/>
          </w:rPr>
          <w:t>and incorporated herein by reference.)</w:t>
        </w:r>
      </w:hyperlink>
    </w:p>
    <w:p>
      <w:pPr>
        <w:spacing w:after="0" w:line="117" w:lineRule="exact"/>
        <w:rPr>
          <w:rFonts w:ascii="Arial" w:cs="Arial" w:eastAsia="Arial" w:hAnsi="Arial"/>
          <w:sz w:val="18"/>
          <w:szCs w:val="18"/>
          <w:u w:val="single" w:color="auto"/>
          <w:color w:val="0000EE"/>
        </w:rPr>
      </w:pPr>
    </w:p>
    <w:p>
      <w:pPr>
        <w:ind w:left="1260" w:hanging="1256"/>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Opinion and Consent of Counsel. (To be filed by amendment.)</w:t>
      </w:r>
    </w:p>
    <w:p>
      <w:pPr>
        <w:spacing w:after="0" w:line="158" w:lineRule="exact"/>
        <w:rPr>
          <w:rFonts w:ascii="Arial" w:cs="Arial" w:eastAsia="Arial" w:hAnsi="Arial"/>
          <w:sz w:val="18"/>
          <w:szCs w:val="18"/>
          <w:u w:val="single" w:color="auto"/>
          <w:color w:val="0000EE"/>
        </w:rPr>
      </w:pPr>
    </w:p>
    <w:p>
      <w:pPr>
        <w:ind w:left="1260" w:hanging="1256"/>
        <w:spacing w:after="0"/>
        <w:tabs>
          <w:tab w:leader="none" w:pos="1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None.</w:t>
      </w:r>
    </w:p>
    <w:p>
      <w:pPr>
        <w:spacing w:after="0" w:line="158" w:lineRule="exact"/>
        <w:rPr>
          <w:rFonts w:ascii="Arial" w:cs="Arial" w:eastAsia="Arial" w:hAnsi="Arial"/>
          <w:sz w:val="18"/>
          <w:szCs w:val="18"/>
          <w:u w:val="single" w:color="auto"/>
          <w:color w:val="0000EE"/>
        </w:rPr>
      </w:pPr>
    </w:p>
    <w:p>
      <w:pPr>
        <w:ind w:left="1260" w:hanging="1256"/>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u w:val="single" w:color="auto"/>
          <w:color w:val="0000EE"/>
        </w:rPr>
      </w:pPr>
    </w:p>
    <w:p>
      <w:pPr>
        <w:ind w:left="1260" w:hanging="1256"/>
        <w:spacing w:after="0"/>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None.</w:t>
      </w:r>
    </w:p>
    <w:p>
      <w:pPr>
        <w:spacing w:after="0" w:line="157" w:lineRule="exact"/>
        <w:rPr>
          <w:rFonts w:ascii="Arial" w:cs="Arial" w:eastAsia="Arial" w:hAnsi="Arial"/>
          <w:sz w:val="18"/>
          <w:szCs w:val="18"/>
          <w:color w:val="auto"/>
        </w:rPr>
      </w:pPr>
    </w:p>
    <w:p>
      <w:pPr>
        <w:ind w:left="1260" w:hanging="1256"/>
        <w:spacing w:after="0"/>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 (To be filed by amendment.)</w:t>
      </w:r>
    </w:p>
    <w:p>
      <w:pPr>
        <w:spacing w:after="0" w:line="157" w:lineRule="exact"/>
        <w:rPr>
          <w:rFonts w:ascii="Arial" w:cs="Arial" w:eastAsia="Arial" w:hAnsi="Arial"/>
          <w:sz w:val="18"/>
          <w:szCs w:val="18"/>
          <w:color w:val="auto"/>
        </w:rPr>
      </w:pPr>
    </w:p>
    <w:p>
      <w:pPr>
        <w:ind w:left="1260" w:right="519" w:hanging="1256"/>
        <w:spacing w:after="0" w:line="318" w:lineRule="auto"/>
        <w:tabs>
          <w:tab w:leader="none" w:pos="126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0000EE"/>
        </w:rPr>
        <w:t>Powers of Attorney for Eric Steigerwalt, Myles Lambert, David A. Rosenbaum, Jonathan Rosenthal, Edward A. Spehar, Richard A. Cook and Gianna H. Figaro-Sterling. (Filed herewith.)</w:t>
      </w:r>
    </w:p>
    <w:p>
      <w:pPr>
        <w:spacing w:after="0" w:line="75" w:lineRule="exact"/>
        <w:rPr>
          <w:rFonts w:ascii="Arial" w:cs="Arial" w:eastAsia="Arial" w:hAnsi="Arial"/>
          <w:sz w:val="17"/>
          <w:szCs w:val="17"/>
          <w:color w:val="auto"/>
        </w:rPr>
      </w:pPr>
    </w:p>
    <w:p>
      <w:pPr>
        <w:ind w:left="1260" w:hanging="1256"/>
        <w:spacing w:after="0"/>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None.</w:t>
      </w:r>
    </w:p>
    <w:p>
      <w:pPr>
        <w:spacing w:after="0" w:line="158" w:lineRule="exact"/>
        <w:rPr>
          <w:rFonts w:ascii="Arial" w:cs="Arial" w:eastAsia="Arial" w:hAnsi="Arial"/>
          <w:sz w:val="18"/>
          <w:szCs w:val="18"/>
          <w:u w:val="single" w:color="auto"/>
          <w:color w:val="0000EE"/>
        </w:rPr>
      </w:pPr>
    </w:p>
    <w:p>
      <w:pPr>
        <w:ind w:left="1260" w:hanging="1256"/>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None.</w:t>
      </w:r>
    </w:p>
    <w:p>
      <w:pPr>
        <w:spacing w:after="0" w:line="158" w:lineRule="exact"/>
        <w:rPr>
          <w:rFonts w:ascii="Arial" w:cs="Arial" w:eastAsia="Arial" w:hAnsi="Arial"/>
          <w:sz w:val="18"/>
          <w:szCs w:val="18"/>
          <w:u w:val="single" w:color="auto"/>
          <w:color w:val="0000EE"/>
        </w:rPr>
      </w:pPr>
    </w:p>
    <w:p>
      <w:pPr>
        <w:ind w:left="1260" w:hanging="1256"/>
        <w:spacing w:after="0"/>
        <w:tabs>
          <w:tab w:leader="none" w:pos="1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None.</w:t>
      </w:r>
    </w:p>
    <w:p>
      <w:pPr>
        <w:spacing w:after="0" w:line="144" w:lineRule="exact"/>
        <w:rPr>
          <w:rFonts w:ascii="Arial" w:cs="Arial" w:eastAsia="Arial" w:hAnsi="Arial"/>
          <w:sz w:val="18"/>
          <w:szCs w:val="18"/>
          <w:u w:val="single" w:color="auto"/>
          <w:color w:val="0000EE"/>
        </w:rPr>
      </w:pPr>
    </w:p>
    <w:p>
      <w:pPr>
        <w:ind w:left="1260" w:hanging="1256"/>
        <w:spacing w:after="0"/>
        <w:tabs>
          <w:tab w:leader="none" w:pos="12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0000EE"/>
        </w:rPr>
        <w:t>Filing Fee Table. (Filed herewith.)</w:t>
      </w:r>
    </w:p>
    <w:p>
      <w:pPr>
        <w:spacing w:after="0" w:line="22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17"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The undersigned registrant hereby undertakes as follows, pursuant to Item 512 of Regulation S-K:</w:t>
      </w:r>
    </w:p>
    <w:p>
      <w:pPr>
        <w:spacing w:after="0" w:line="117" w:lineRule="exact"/>
        <w:rPr>
          <w:rFonts w:ascii="Arial" w:cs="Arial" w:eastAsia="Arial" w:hAnsi="Arial"/>
          <w:sz w:val="18"/>
          <w:szCs w:val="18"/>
          <w:u w:val="single" w:color="auto"/>
          <w:color w:val="0000EE"/>
        </w:rPr>
      </w:pPr>
    </w:p>
    <w:p>
      <w:pPr>
        <w:ind w:left="440" w:right="279" w:hanging="436"/>
        <w:spacing w:after="0" w:line="287" w:lineRule="auto"/>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of the registered securities are being made, a post-effective amendment to this registration statement:</w:t>
      </w:r>
    </w:p>
    <w:p>
      <w:pPr>
        <w:spacing w:after="0" w:line="44" w:lineRule="exact"/>
        <w:rPr>
          <w:rFonts w:ascii="Arial" w:cs="Arial" w:eastAsia="Arial" w:hAnsi="Arial"/>
          <w:sz w:val="18"/>
          <w:szCs w:val="18"/>
          <w:color w:val="auto"/>
        </w:rPr>
      </w:pPr>
    </w:p>
    <w:p>
      <w:pPr>
        <w:ind w:left="1080" w:hanging="644"/>
        <w:spacing w:after="0"/>
        <w:tabs>
          <w:tab w:leader="none" w:pos="10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080" w:right="299" w:hanging="644"/>
        <w:spacing w:after="0" w:line="257" w:lineRule="auto"/>
        <w:tabs>
          <w:tab w:leader="none" w:pos="10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w:t>
      </w:r>
    </w:p>
    <w:p>
      <w:pPr>
        <w:sectPr>
          <w:pgSz w:w="11900" w:h="16838" w:orient="portrait"/>
          <w:cols w:equalWidth="0" w:num="1">
            <w:col w:w="9379"/>
          </w:cols>
          <w:pgMar w:left="1080" w:top="913" w:right="1440" w:bottom="1440" w:gutter="0" w:footer="0" w:header="0"/>
        </w:sectPr>
      </w:pPr>
    </w:p>
    <w:bookmarkStart w:id="91" w:name="page92"/>
    <w:bookmarkEnd w:id="91"/>
    <w:p>
      <w:pPr>
        <w:ind w:left="1076" w:right="419"/>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estimated maximum offering range may be reflected in the form of prospectus filed with the Commission pursuant to Rule 424(b) if, in the aggregate, the changes in volume and price set represent no more than 20 percent change in the maximum aggregate offering price set forth in the “Calculation of Registration Fee” table in the effective registration statement, and</w:t>
      </w:r>
    </w:p>
    <w:p>
      <w:pPr>
        <w:spacing w:after="0" w:line="82" w:lineRule="exact"/>
        <w:rPr>
          <w:sz w:val="20"/>
          <w:szCs w:val="20"/>
          <w:color w:val="auto"/>
        </w:rPr>
      </w:pPr>
    </w:p>
    <w:p>
      <w:pPr>
        <w:ind w:left="1076" w:right="379" w:hanging="644"/>
        <w:spacing w:after="0" w:line="287" w:lineRule="auto"/>
        <w:tabs>
          <w:tab w:leader="none" w:pos="107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8" w:lineRule="exact"/>
        <w:rPr>
          <w:sz w:val="20"/>
          <w:szCs w:val="20"/>
          <w:color w:val="auto"/>
        </w:rPr>
      </w:pPr>
    </w:p>
    <w:p>
      <w:pPr>
        <w:ind w:left="436" w:right="319"/>
        <w:spacing w:after="0" w:line="259" w:lineRule="auto"/>
        <w:rPr>
          <w:sz w:val="20"/>
          <w:szCs w:val="20"/>
          <w:color w:val="auto"/>
        </w:rPr>
      </w:pPr>
      <w:r>
        <w:rPr>
          <w:rFonts w:ascii="Arial" w:cs="Arial" w:eastAsia="Arial" w:hAnsi="Arial"/>
          <w:sz w:val="18"/>
          <w:szCs w:val="18"/>
          <w:color w:val="auto"/>
        </w:rPr>
        <w:t>Provided, however,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1" w:lineRule="exact"/>
        <w:rPr>
          <w:sz w:val="20"/>
          <w:szCs w:val="20"/>
          <w:color w:val="auto"/>
        </w:rPr>
      </w:pPr>
    </w:p>
    <w:p>
      <w:pPr>
        <w:jc w:val="both"/>
        <w:ind w:left="436" w:right="279" w:hanging="436"/>
        <w:spacing w:after="0" w:line="268" w:lineRule="auto"/>
        <w:tabs>
          <w:tab w:leader="none" w:pos="4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6" w:lineRule="exact"/>
        <w:rPr>
          <w:rFonts w:ascii="Arial" w:cs="Arial" w:eastAsia="Arial" w:hAnsi="Arial"/>
          <w:sz w:val="18"/>
          <w:szCs w:val="18"/>
          <w:color w:val="auto"/>
        </w:rPr>
      </w:pPr>
    </w:p>
    <w:p>
      <w:pPr>
        <w:ind w:left="436" w:right="299" w:hanging="436"/>
        <w:spacing w:after="0" w:line="287" w:lineRule="auto"/>
        <w:tabs>
          <w:tab w:leader="none" w:pos="4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8" w:lineRule="exact"/>
        <w:rPr>
          <w:rFonts w:ascii="Arial" w:cs="Arial" w:eastAsia="Arial" w:hAnsi="Arial"/>
          <w:sz w:val="18"/>
          <w:szCs w:val="18"/>
          <w:color w:val="auto"/>
        </w:rPr>
      </w:pPr>
    </w:p>
    <w:p>
      <w:pPr>
        <w:jc w:val="both"/>
        <w:ind w:left="436" w:right="279" w:hanging="436"/>
        <w:spacing w:after="0" w:line="254" w:lineRule="auto"/>
        <w:tabs>
          <w:tab w:leader="none" w:pos="4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7" w:lineRule="exact"/>
        <w:rPr>
          <w:rFonts w:ascii="Arial" w:cs="Arial" w:eastAsia="Arial" w:hAnsi="Arial"/>
          <w:sz w:val="18"/>
          <w:szCs w:val="18"/>
          <w:color w:val="auto"/>
        </w:rPr>
      </w:pPr>
    </w:p>
    <w:p>
      <w:pPr>
        <w:jc w:val="both"/>
        <w:ind w:left="436" w:right="279" w:hanging="436"/>
        <w:spacing w:after="0" w:line="257" w:lineRule="auto"/>
        <w:tabs>
          <w:tab w:leader="none" w:pos="4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4" w:lineRule="exact"/>
        <w:rPr>
          <w:rFonts w:ascii="Arial" w:cs="Arial" w:eastAsia="Arial" w:hAnsi="Arial"/>
          <w:sz w:val="18"/>
          <w:szCs w:val="18"/>
          <w:color w:val="auto"/>
        </w:rPr>
      </w:pPr>
    </w:p>
    <w:p>
      <w:pPr>
        <w:ind w:left="1076" w:right="859" w:hanging="644"/>
        <w:spacing w:after="0" w:line="287" w:lineRule="auto"/>
        <w:tabs>
          <w:tab w:leader="none" w:pos="1076"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44" w:lineRule="exact"/>
        <w:rPr>
          <w:rFonts w:ascii="Arial" w:cs="Arial" w:eastAsia="Arial" w:hAnsi="Arial"/>
          <w:sz w:val="18"/>
          <w:szCs w:val="18"/>
          <w:color w:val="auto"/>
        </w:rPr>
      </w:pPr>
    </w:p>
    <w:p>
      <w:pPr>
        <w:ind w:left="1076" w:right="779" w:hanging="644"/>
        <w:spacing w:after="0" w:line="287" w:lineRule="auto"/>
        <w:tabs>
          <w:tab w:leader="none" w:pos="1076"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44" w:lineRule="exact"/>
        <w:rPr>
          <w:rFonts w:ascii="Arial" w:cs="Arial" w:eastAsia="Arial" w:hAnsi="Arial"/>
          <w:sz w:val="18"/>
          <w:szCs w:val="18"/>
          <w:color w:val="auto"/>
        </w:rPr>
      </w:pPr>
    </w:p>
    <w:p>
      <w:pPr>
        <w:ind w:left="1076" w:right="1039" w:hanging="644"/>
        <w:spacing w:after="0" w:line="268" w:lineRule="auto"/>
        <w:tabs>
          <w:tab w:leader="none" w:pos="1076"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076" w:right="559" w:hanging="644"/>
        <w:spacing w:after="0" w:line="287" w:lineRule="auto"/>
        <w:tabs>
          <w:tab w:leader="none" w:pos="1076"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44" w:lineRule="exact"/>
        <w:rPr>
          <w:rFonts w:ascii="Arial" w:cs="Arial" w:eastAsia="Arial" w:hAnsi="Arial"/>
          <w:sz w:val="18"/>
          <w:szCs w:val="18"/>
          <w:color w:val="auto"/>
        </w:rPr>
      </w:pPr>
    </w:p>
    <w:p>
      <w:pPr>
        <w:jc w:val="both"/>
        <w:ind w:left="436" w:right="279" w:hanging="436"/>
        <w:spacing w:after="0" w:line="259" w:lineRule="auto"/>
        <w:tabs>
          <w:tab w:leader="none" w:pos="4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Arial" w:cs="Arial" w:eastAsia="Arial" w:hAnsi="Arial"/>
          <w:sz w:val="18"/>
          <w:szCs w:val="18"/>
          <w:color w:val="auto"/>
        </w:rPr>
      </w:pPr>
    </w:p>
    <w:p>
      <w:pPr>
        <w:jc w:val="both"/>
        <w:ind w:left="436" w:right="279" w:hanging="436"/>
        <w:spacing w:after="0" w:line="255" w:lineRule="auto"/>
        <w:tabs>
          <w:tab w:leader="none" w:pos="4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w:t>
      </w:r>
    </w:p>
    <w:p>
      <w:pPr>
        <w:sectPr>
          <w:pgSz w:w="11900" w:h="16838" w:orient="portrait"/>
          <w:cols w:equalWidth="0" w:num="1">
            <w:col w:w="9375"/>
          </w:cols>
          <w:pgMar w:left="1084" w:top="904" w:right="1440" w:bottom="1440" w:gutter="0" w:footer="0" w:header="0"/>
        </w:sectPr>
      </w:pPr>
    </w:p>
    <w:bookmarkStart w:id="92" w:name="page93"/>
    <w:bookmarkEnd w:id="92"/>
    <w:p>
      <w:pPr>
        <w:jc w:val="both"/>
        <w:ind w:left="80" w:right="19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9019"/>
          </w:cols>
          <w:pgMar w:left="1440" w:top="904" w:right="1440" w:bottom="1440" w:gutter="0" w:footer="0" w:header="0"/>
        </w:sectPr>
      </w:pPr>
    </w:p>
    <w:bookmarkStart w:id="93" w:name="page94"/>
    <w:bookmarkEnd w:id="93"/>
    <w:p>
      <w:pPr>
        <w:jc w:val="both"/>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17" w:lineRule="exact"/>
        <w:rPr>
          <w:sz w:val="20"/>
          <w:szCs w:val="20"/>
          <w:color w:val="auto"/>
        </w:rPr>
      </w:pPr>
    </w:p>
    <w:p>
      <w:pPr>
        <w:ind w:right="199"/>
        <w:spacing w:after="0" w:line="262"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Charlotte, state of North Carolina, on July 24, 2025.</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BRIGHTHOUSE LIFE INSURANCE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By:/s/ Donald A. Leintz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wp:posOffset>
            </wp:positionV>
            <wp:extent cx="161988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1619885" cy="4254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Donald A. Leintz</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9" w:lineRule="exact"/>
        <w:rPr>
          <w:sz w:val="20"/>
          <w:szCs w:val="20"/>
          <w:color w:val="auto"/>
        </w:rPr>
      </w:pPr>
    </w:p>
    <w:p>
      <w:pPr>
        <w:ind w:right="679"/>
        <w:spacing w:after="0" w:line="28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July 24, 2025.</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Borders>
              <w:bottom w:val="single" w:sz="8" w:color="9A9A9A"/>
            </w:tcBorders>
          </w:tcPr>
          <w:p>
            <w:pPr>
              <w:spacing w:after="0"/>
              <w:rPr>
                <w:sz w:val="20"/>
                <w:szCs w:val="20"/>
                <w:color w:val="auto"/>
              </w:rPr>
            </w:pPr>
            <w:r>
              <w:rPr>
                <w:rFonts w:ascii="Arial" w:cs="Arial" w:eastAsia="Arial" w:hAnsi="Arial"/>
                <w:sz w:val="18"/>
                <w:szCs w:val="18"/>
                <w:color w:val="auto"/>
              </w:rPr>
              <w:t>/s/ Eric Steigerwalt*</w:t>
            </w:r>
          </w:p>
        </w:tc>
        <w:tc>
          <w:tcPr>
            <w:tcW w:w="6420" w:type="dxa"/>
            <w:vAlign w:val="bottom"/>
          </w:tcPr>
          <w:p>
            <w:pPr>
              <w:ind w:left="540"/>
              <w:spacing w:after="0"/>
              <w:rPr>
                <w:sz w:val="20"/>
                <w:szCs w:val="20"/>
                <w:color w:val="auto"/>
              </w:rPr>
            </w:pPr>
            <w:r>
              <w:rPr>
                <w:rFonts w:ascii="Arial" w:cs="Arial" w:eastAsia="Arial" w:hAnsi="Arial"/>
                <w:sz w:val="18"/>
                <w:szCs w:val="18"/>
                <w:color w:val="auto"/>
              </w:rPr>
              <w:t>Chairman of the Board, President, Chief Executive Officer and a Director</w:t>
            </w:r>
          </w:p>
        </w:tc>
      </w:tr>
      <w:tr>
        <w:trPr>
          <w:trHeight w:val="274"/>
        </w:trPr>
        <w:tc>
          <w:tcPr>
            <w:tcW w:w="2840" w:type="dxa"/>
            <w:vAlign w:val="bottom"/>
          </w:tcPr>
          <w:p>
            <w:pPr>
              <w:spacing w:after="0"/>
              <w:rPr>
                <w:sz w:val="20"/>
                <w:szCs w:val="20"/>
                <w:color w:val="auto"/>
              </w:rPr>
            </w:pPr>
            <w:r>
              <w:rPr>
                <w:rFonts w:ascii="Arial" w:cs="Arial" w:eastAsia="Arial" w:hAnsi="Arial"/>
                <w:sz w:val="18"/>
                <w:szCs w:val="18"/>
                <w:color w:val="auto"/>
              </w:rPr>
              <w:t>Eric Steigerwalt</w:t>
            </w:r>
          </w:p>
        </w:tc>
        <w:tc>
          <w:tcPr>
            <w:tcW w:w="6420" w:type="dxa"/>
            <w:vAlign w:val="bottom"/>
          </w:tcPr>
          <w:p>
            <w:pPr>
              <w:spacing w:after="0"/>
              <w:rPr>
                <w:sz w:val="23"/>
                <w:szCs w:val="23"/>
                <w:color w:val="auto"/>
              </w:rPr>
            </w:pPr>
          </w:p>
        </w:tc>
      </w:tr>
      <w:tr>
        <w:trPr>
          <w:trHeight w:val="104"/>
        </w:trPr>
        <w:tc>
          <w:tcPr>
            <w:tcW w:w="2840" w:type="dxa"/>
            <w:vAlign w:val="bottom"/>
          </w:tcPr>
          <w:p>
            <w:pPr>
              <w:spacing w:after="0"/>
              <w:rPr>
                <w:sz w:val="9"/>
                <w:szCs w:val="9"/>
                <w:color w:val="auto"/>
              </w:rPr>
            </w:pPr>
          </w:p>
        </w:tc>
        <w:tc>
          <w:tcPr>
            <w:tcW w:w="6420" w:type="dxa"/>
            <w:vAlign w:val="bottom"/>
          </w:tcPr>
          <w:p>
            <w:pPr>
              <w:spacing w:after="0"/>
              <w:rPr>
                <w:sz w:val="9"/>
                <w:szCs w:val="9"/>
                <w:color w:val="auto"/>
              </w:rPr>
            </w:pPr>
          </w:p>
        </w:tc>
      </w:tr>
      <w:tr>
        <w:trPr>
          <w:trHeight w:val="318"/>
        </w:trPr>
        <w:tc>
          <w:tcPr>
            <w:tcW w:w="2840" w:type="dxa"/>
            <w:vAlign w:val="bottom"/>
            <w:tcBorders>
              <w:bottom w:val="single" w:sz="8" w:color="9A9A9A"/>
            </w:tcBorders>
            <w:shd w:val="clear" w:color="auto" w:fill="F0FFFF"/>
          </w:tcPr>
          <w:p>
            <w:pPr>
              <w:spacing w:after="0"/>
              <w:rPr>
                <w:sz w:val="20"/>
                <w:szCs w:val="20"/>
                <w:color w:val="auto"/>
              </w:rPr>
            </w:pPr>
            <w:r>
              <w:rPr>
                <w:rFonts w:ascii="Arial" w:cs="Arial" w:eastAsia="Arial" w:hAnsi="Arial"/>
                <w:sz w:val="18"/>
                <w:szCs w:val="18"/>
                <w:color w:val="auto"/>
              </w:rPr>
              <w:t>/s/ Myles Lambert*</w:t>
            </w:r>
          </w:p>
        </w:tc>
        <w:tc>
          <w:tcPr>
            <w:tcW w:w="6420" w:type="dxa"/>
            <w:vAlign w:val="bottom"/>
            <w:tcBorders>
              <w:bottom w:val="single" w:sz="8" w:color="F0FFFF"/>
            </w:tcBorders>
            <w:shd w:val="clear" w:color="auto" w:fill="F0FFFF"/>
          </w:tcPr>
          <w:p>
            <w:pPr>
              <w:ind w:left="540"/>
              <w:spacing w:after="0"/>
              <w:rPr>
                <w:sz w:val="20"/>
                <w:szCs w:val="20"/>
                <w:color w:val="auto"/>
              </w:rPr>
            </w:pPr>
            <w:r>
              <w:rPr>
                <w:rFonts w:ascii="Arial" w:cs="Arial" w:eastAsia="Arial" w:hAnsi="Arial"/>
                <w:sz w:val="18"/>
                <w:szCs w:val="18"/>
                <w:color w:val="auto"/>
              </w:rPr>
              <w:t>Director</w:t>
            </w:r>
          </w:p>
        </w:tc>
      </w:tr>
      <w:tr>
        <w:trPr>
          <w:trHeight w:val="274"/>
        </w:trPr>
        <w:tc>
          <w:tcPr>
            <w:tcW w:w="2840" w:type="dxa"/>
            <w:vAlign w:val="bottom"/>
            <w:shd w:val="clear" w:color="auto" w:fill="F0FFFF"/>
          </w:tcPr>
          <w:p>
            <w:pPr>
              <w:spacing w:after="0"/>
              <w:rPr>
                <w:sz w:val="20"/>
                <w:szCs w:val="20"/>
                <w:color w:val="auto"/>
              </w:rPr>
            </w:pPr>
            <w:r>
              <w:rPr>
                <w:rFonts w:ascii="Arial" w:cs="Arial" w:eastAsia="Arial" w:hAnsi="Arial"/>
                <w:sz w:val="18"/>
                <w:szCs w:val="18"/>
                <w:color w:val="auto"/>
              </w:rPr>
              <w:t>Myles Lambert</w:t>
            </w:r>
          </w:p>
        </w:tc>
        <w:tc>
          <w:tcPr>
            <w:tcW w:w="6420" w:type="dxa"/>
            <w:vAlign w:val="bottom"/>
            <w:shd w:val="clear" w:color="auto" w:fill="F0FFFF"/>
          </w:tcPr>
          <w:p>
            <w:pPr>
              <w:spacing w:after="0"/>
              <w:rPr>
                <w:sz w:val="23"/>
                <w:szCs w:val="23"/>
                <w:color w:val="auto"/>
              </w:rPr>
            </w:pPr>
          </w:p>
        </w:tc>
      </w:tr>
      <w:tr>
        <w:trPr>
          <w:trHeight w:val="104"/>
        </w:trPr>
        <w:tc>
          <w:tcPr>
            <w:tcW w:w="2840" w:type="dxa"/>
            <w:vAlign w:val="bottom"/>
            <w:shd w:val="clear" w:color="auto" w:fill="F0FFFF"/>
          </w:tcPr>
          <w:p>
            <w:pPr>
              <w:spacing w:after="0"/>
              <w:rPr>
                <w:sz w:val="9"/>
                <w:szCs w:val="9"/>
                <w:color w:val="auto"/>
              </w:rPr>
            </w:pPr>
          </w:p>
        </w:tc>
        <w:tc>
          <w:tcPr>
            <w:tcW w:w="6420" w:type="dxa"/>
            <w:vAlign w:val="bottom"/>
            <w:shd w:val="clear" w:color="auto" w:fill="F0FFFF"/>
          </w:tcPr>
          <w:p>
            <w:pPr>
              <w:spacing w:after="0"/>
              <w:rPr>
                <w:sz w:val="9"/>
                <w:szCs w:val="9"/>
                <w:color w:val="auto"/>
              </w:rPr>
            </w:pPr>
          </w:p>
        </w:tc>
      </w:tr>
      <w:tr>
        <w:trPr>
          <w:trHeight w:val="318"/>
        </w:trPr>
        <w:tc>
          <w:tcPr>
            <w:tcW w:w="2840" w:type="dxa"/>
            <w:vAlign w:val="bottom"/>
            <w:tcBorders>
              <w:bottom w:val="single" w:sz="8" w:color="9A9A9A"/>
            </w:tcBorders>
          </w:tcPr>
          <w:p>
            <w:pPr>
              <w:spacing w:after="0"/>
              <w:rPr>
                <w:sz w:val="20"/>
                <w:szCs w:val="20"/>
                <w:color w:val="auto"/>
              </w:rPr>
            </w:pPr>
            <w:r>
              <w:rPr>
                <w:rFonts w:ascii="Arial" w:cs="Arial" w:eastAsia="Arial" w:hAnsi="Arial"/>
                <w:sz w:val="18"/>
                <w:szCs w:val="18"/>
                <w:color w:val="auto"/>
              </w:rPr>
              <w:t>/s/ David A. Rosenbaum*</w:t>
            </w:r>
          </w:p>
        </w:tc>
        <w:tc>
          <w:tcPr>
            <w:tcW w:w="6420" w:type="dxa"/>
            <w:vAlign w:val="bottom"/>
          </w:tcPr>
          <w:p>
            <w:pPr>
              <w:ind w:left="540"/>
              <w:spacing w:after="0"/>
              <w:rPr>
                <w:sz w:val="20"/>
                <w:szCs w:val="20"/>
                <w:color w:val="auto"/>
              </w:rPr>
            </w:pPr>
            <w:r>
              <w:rPr>
                <w:rFonts w:ascii="Arial" w:cs="Arial" w:eastAsia="Arial" w:hAnsi="Arial"/>
                <w:sz w:val="18"/>
                <w:szCs w:val="18"/>
                <w:color w:val="auto"/>
              </w:rPr>
              <w:t>Director</w:t>
            </w:r>
          </w:p>
        </w:tc>
      </w:tr>
      <w:tr>
        <w:trPr>
          <w:trHeight w:val="274"/>
        </w:trPr>
        <w:tc>
          <w:tcPr>
            <w:tcW w:w="2840" w:type="dxa"/>
            <w:vAlign w:val="bottom"/>
          </w:tcPr>
          <w:p>
            <w:pPr>
              <w:spacing w:after="0"/>
              <w:rPr>
                <w:sz w:val="20"/>
                <w:szCs w:val="20"/>
                <w:color w:val="auto"/>
              </w:rPr>
            </w:pPr>
            <w:r>
              <w:rPr>
                <w:rFonts w:ascii="Arial" w:cs="Arial" w:eastAsia="Arial" w:hAnsi="Arial"/>
                <w:sz w:val="18"/>
                <w:szCs w:val="18"/>
                <w:color w:val="auto"/>
              </w:rPr>
              <w:t>David A. Rosenbaum</w:t>
            </w:r>
          </w:p>
        </w:tc>
        <w:tc>
          <w:tcPr>
            <w:tcW w:w="6420" w:type="dxa"/>
            <w:vAlign w:val="bottom"/>
          </w:tcPr>
          <w:p>
            <w:pPr>
              <w:spacing w:after="0"/>
              <w:rPr>
                <w:sz w:val="23"/>
                <w:szCs w:val="23"/>
                <w:color w:val="auto"/>
              </w:rPr>
            </w:pPr>
          </w:p>
        </w:tc>
      </w:tr>
      <w:tr>
        <w:trPr>
          <w:trHeight w:val="104"/>
        </w:trPr>
        <w:tc>
          <w:tcPr>
            <w:tcW w:w="2840" w:type="dxa"/>
            <w:vAlign w:val="bottom"/>
          </w:tcPr>
          <w:p>
            <w:pPr>
              <w:spacing w:after="0"/>
              <w:rPr>
                <w:sz w:val="9"/>
                <w:szCs w:val="9"/>
                <w:color w:val="auto"/>
              </w:rPr>
            </w:pPr>
          </w:p>
        </w:tc>
        <w:tc>
          <w:tcPr>
            <w:tcW w:w="6420" w:type="dxa"/>
            <w:vAlign w:val="bottom"/>
          </w:tcPr>
          <w:p>
            <w:pPr>
              <w:spacing w:after="0"/>
              <w:rPr>
                <w:sz w:val="9"/>
                <w:szCs w:val="9"/>
                <w:color w:val="auto"/>
              </w:rPr>
            </w:pPr>
          </w:p>
        </w:tc>
      </w:tr>
      <w:tr>
        <w:trPr>
          <w:trHeight w:val="318"/>
        </w:trPr>
        <w:tc>
          <w:tcPr>
            <w:tcW w:w="2840" w:type="dxa"/>
            <w:vAlign w:val="bottom"/>
            <w:tcBorders>
              <w:bottom w:val="single" w:sz="8" w:color="9A9A9A"/>
            </w:tcBorders>
            <w:shd w:val="clear" w:color="auto" w:fill="F0FFFF"/>
          </w:tcPr>
          <w:p>
            <w:pPr>
              <w:spacing w:after="0"/>
              <w:rPr>
                <w:sz w:val="20"/>
                <w:szCs w:val="20"/>
                <w:color w:val="auto"/>
              </w:rPr>
            </w:pPr>
            <w:r>
              <w:rPr>
                <w:rFonts w:ascii="Arial" w:cs="Arial" w:eastAsia="Arial" w:hAnsi="Arial"/>
                <w:sz w:val="18"/>
                <w:szCs w:val="18"/>
                <w:color w:val="auto"/>
              </w:rPr>
              <w:t>/s/ Jonathan Rosenthal*</w:t>
            </w:r>
          </w:p>
        </w:tc>
        <w:tc>
          <w:tcPr>
            <w:tcW w:w="6420" w:type="dxa"/>
            <w:vAlign w:val="bottom"/>
            <w:tcBorders>
              <w:bottom w:val="single" w:sz="8" w:color="F0FFFF"/>
            </w:tcBorders>
            <w:shd w:val="clear" w:color="auto" w:fill="F0FFFF"/>
          </w:tcPr>
          <w:p>
            <w:pPr>
              <w:ind w:left="540"/>
              <w:spacing w:after="0"/>
              <w:rPr>
                <w:sz w:val="20"/>
                <w:szCs w:val="20"/>
                <w:color w:val="auto"/>
              </w:rPr>
            </w:pPr>
            <w:r>
              <w:rPr>
                <w:rFonts w:ascii="Arial" w:cs="Arial" w:eastAsia="Arial" w:hAnsi="Arial"/>
                <w:sz w:val="18"/>
                <w:szCs w:val="18"/>
                <w:color w:val="auto"/>
              </w:rPr>
              <w:t>Director</w:t>
            </w:r>
          </w:p>
        </w:tc>
      </w:tr>
      <w:tr>
        <w:trPr>
          <w:trHeight w:val="274"/>
        </w:trPr>
        <w:tc>
          <w:tcPr>
            <w:tcW w:w="2840" w:type="dxa"/>
            <w:vAlign w:val="bottom"/>
            <w:shd w:val="clear" w:color="auto" w:fill="F0FFFF"/>
          </w:tcPr>
          <w:p>
            <w:pPr>
              <w:spacing w:after="0"/>
              <w:rPr>
                <w:sz w:val="20"/>
                <w:szCs w:val="20"/>
                <w:color w:val="auto"/>
              </w:rPr>
            </w:pPr>
            <w:r>
              <w:rPr>
                <w:rFonts w:ascii="Arial" w:cs="Arial" w:eastAsia="Arial" w:hAnsi="Arial"/>
                <w:sz w:val="18"/>
                <w:szCs w:val="18"/>
                <w:color w:val="auto"/>
              </w:rPr>
              <w:t>Jonathan Rosenthal</w:t>
            </w:r>
          </w:p>
        </w:tc>
        <w:tc>
          <w:tcPr>
            <w:tcW w:w="6420" w:type="dxa"/>
            <w:vAlign w:val="bottom"/>
            <w:shd w:val="clear" w:color="auto" w:fill="F0FFFF"/>
          </w:tcPr>
          <w:p>
            <w:pPr>
              <w:spacing w:after="0"/>
              <w:rPr>
                <w:sz w:val="23"/>
                <w:szCs w:val="23"/>
                <w:color w:val="auto"/>
              </w:rPr>
            </w:pPr>
          </w:p>
        </w:tc>
      </w:tr>
      <w:tr>
        <w:trPr>
          <w:trHeight w:val="104"/>
        </w:trPr>
        <w:tc>
          <w:tcPr>
            <w:tcW w:w="2840" w:type="dxa"/>
            <w:vAlign w:val="bottom"/>
            <w:shd w:val="clear" w:color="auto" w:fill="F0FFFF"/>
          </w:tcPr>
          <w:p>
            <w:pPr>
              <w:spacing w:after="0"/>
              <w:rPr>
                <w:sz w:val="9"/>
                <w:szCs w:val="9"/>
                <w:color w:val="auto"/>
              </w:rPr>
            </w:pPr>
          </w:p>
        </w:tc>
        <w:tc>
          <w:tcPr>
            <w:tcW w:w="6420" w:type="dxa"/>
            <w:vAlign w:val="bottom"/>
            <w:shd w:val="clear" w:color="auto" w:fill="F0FFFF"/>
          </w:tcPr>
          <w:p>
            <w:pPr>
              <w:spacing w:after="0"/>
              <w:rPr>
                <w:sz w:val="9"/>
                <w:szCs w:val="9"/>
                <w:color w:val="auto"/>
              </w:rPr>
            </w:pPr>
          </w:p>
        </w:tc>
      </w:tr>
      <w:tr>
        <w:trPr>
          <w:trHeight w:val="318"/>
        </w:trPr>
        <w:tc>
          <w:tcPr>
            <w:tcW w:w="2840" w:type="dxa"/>
            <w:vAlign w:val="bottom"/>
            <w:tcBorders>
              <w:bottom w:val="single" w:sz="8" w:color="9A9A9A"/>
            </w:tcBorders>
          </w:tcPr>
          <w:p>
            <w:pPr>
              <w:spacing w:after="0"/>
              <w:rPr>
                <w:sz w:val="20"/>
                <w:szCs w:val="20"/>
                <w:color w:val="auto"/>
              </w:rPr>
            </w:pPr>
            <w:r>
              <w:rPr>
                <w:rFonts w:ascii="Arial" w:cs="Arial" w:eastAsia="Arial" w:hAnsi="Arial"/>
                <w:sz w:val="18"/>
                <w:szCs w:val="18"/>
                <w:color w:val="auto"/>
              </w:rPr>
              <w:t>/s/ Edward A. Spehar*</w:t>
            </w:r>
          </w:p>
        </w:tc>
        <w:tc>
          <w:tcPr>
            <w:tcW w:w="6420" w:type="dxa"/>
            <w:vAlign w:val="bottom"/>
          </w:tcPr>
          <w:p>
            <w:pPr>
              <w:ind w:left="540"/>
              <w:spacing w:after="0"/>
              <w:rPr>
                <w:sz w:val="20"/>
                <w:szCs w:val="20"/>
                <w:color w:val="auto"/>
              </w:rPr>
            </w:pPr>
            <w:r>
              <w:rPr>
                <w:rFonts w:ascii="Arial" w:cs="Arial" w:eastAsia="Arial" w:hAnsi="Arial"/>
                <w:sz w:val="18"/>
                <w:szCs w:val="18"/>
                <w:color w:val="auto"/>
              </w:rPr>
              <w:t>Director, Vice President and Chief Financial Officer</w:t>
            </w:r>
          </w:p>
        </w:tc>
      </w:tr>
      <w:tr>
        <w:trPr>
          <w:trHeight w:val="274"/>
        </w:trPr>
        <w:tc>
          <w:tcPr>
            <w:tcW w:w="2840" w:type="dxa"/>
            <w:vAlign w:val="bottom"/>
          </w:tcPr>
          <w:p>
            <w:pPr>
              <w:spacing w:after="0"/>
              <w:rPr>
                <w:sz w:val="20"/>
                <w:szCs w:val="20"/>
                <w:color w:val="auto"/>
              </w:rPr>
            </w:pPr>
            <w:r>
              <w:rPr>
                <w:rFonts w:ascii="Arial" w:cs="Arial" w:eastAsia="Arial" w:hAnsi="Arial"/>
                <w:sz w:val="18"/>
                <w:szCs w:val="18"/>
                <w:color w:val="auto"/>
              </w:rPr>
              <w:t>Edward A. Spehar</w:t>
            </w:r>
          </w:p>
        </w:tc>
        <w:tc>
          <w:tcPr>
            <w:tcW w:w="6420" w:type="dxa"/>
            <w:vAlign w:val="bottom"/>
          </w:tcPr>
          <w:p>
            <w:pPr>
              <w:spacing w:after="0"/>
              <w:rPr>
                <w:sz w:val="23"/>
                <w:szCs w:val="23"/>
                <w:color w:val="auto"/>
              </w:rPr>
            </w:pPr>
          </w:p>
        </w:tc>
      </w:tr>
      <w:tr>
        <w:trPr>
          <w:trHeight w:val="104"/>
        </w:trPr>
        <w:tc>
          <w:tcPr>
            <w:tcW w:w="2840" w:type="dxa"/>
            <w:vAlign w:val="bottom"/>
          </w:tcPr>
          <w:p>
            <w:pPr>
              <w:spacing w:after="0"/>
              <w:rPr>
                <w:sz w:val="9"/>
                <w:szCs w:val="9"/>
                <w:color w:val="auto"/>
              </w:rPr>
            </w:pPr>
          </w:p>
        </w:tc>
        <w:tc>
          <w:tcPr>
            <w:tcW w:w="6420" w:type="dxa"/>
            <w:vAlign w:val="bottom"/>
          </w:tcPr>
          <w:p>
            <w:pPr>
              <w:spacing w:after="0"/>
              <w:rPr>
                <w:sz w:val="9"/>
                <w:szCs w:val="9"/>
                <w:color w:val="auto"/>
              </w:rPr>
            </w:pPr>
          </w:p>
        </w:tc>
      </w:tr>
      <w:tr>
        <w:trPr>
          <w:trHeight w:val="318"/>
        </w:trPr>
        <w:tc>
          <w:tcPr>
            <w:tcW w:w="2840" w:type="dxa"/>
            <w:vAlign w:val="bottom"/>
            <w:tcBorders>
              <w:bottom w:val="single" w:sz="8" w:color="9A9A9A"/>
            </w:tcBorders>
            <w:shd w:val="clear" w:color="auto" w:fill="F0FFFF"/>
          </w:tcPr>
          <w:p>
            <w:pPr>
              <w:spacing w:after="0"/>
              <w:rPr>
                <w:sz w:val="20"/>
                <w:szCs w:val="20"/>
                <w:color w:val="auto"/>
              </w:rPr>
            </w:pPr>
            <w:r>
              <w:rPr>
                <w:rFonts w:ascii="Arial" w:cs="Arial" w:eastAsia="Arial" w:hAnsi="Arial"/>
                <w:sz w:val="18"/>
                <w:szCs w:val="18"/>
                <w:color w:val="auto"/>
              </w:rPr>
              <w:t>/s/ Richard A. Cook*</w:t>
            </w:r>
          </w:p>
        </w:tc>
        <w:tc>
          <w:tcPr>
            <w:tcW w:w="6420" w:type="dxa"/>
            <w:vAlign w:val="bottom"/>
            <w:tcBorders>
              <w:bottom w:val="single" w:sz="8" w:color="F0FFFF"/>
            </w:tcBorders>
            <w:shd w:val="clear" w:color="auto" w:fill="F0FFFF"/>
          </w:tcPr>
          <w:p>
            <w:pPr>
              <w:ind w:left="540"/>
              <w:spacing w:after="0"/>
              <w:rPr>
                <w:sz w:val="20"/>
                <w:szCs w:val="20"/>
                <w:color w:val="auto"/>
              </w:rPr>
            </w:pPr>
            <w:r>
              <w:rPr>
                <w:rFonts w:ascii="Arial" w:cs="Arial" w:eastAsia="Arial" w:hAnsi="Arial"/>
                <w:sz w:val="18"/>
                <w:szCs w:val="18"/>
                <w:color w:val="auto"/>
              </w:rPr>
              <w:t>Vice President and Chief Accounting Officer</w:t>
            </w:r>
          </w:p>
        </w:tc>
      </w:tr>
      <w:tr>
        <w:trPr>
          <w:trHeight w:val="274"/>
        </w:trPr>
        <w:tc>
          <w:tcPr>
            <w:tcW w:w="2840" w:type="dxa"/>
            <w:vAlign w:val="bottom"/>
            <w:shd w:val="clear" w:color="auto" w:fill="F0FFFF"/>
          </w:tcPr>
          <w:p>
            <w:pPr>
              <w:spacing w:after="0"/>
              <w:rPr>
                <w:sz w:val="20"/>
                <w:szCs w:val="20"/>
                <w:color w:val="auto"/>
              </w:rPr>
            </w:pPr>
            <w:r>
              <w:rPr>
                <w:rFonts w:ascii="Arial" w:cs="Arial" w:eastAsia="Arial" w:hAnsi="Arial"/>
                <w:sz w:val="18"/>
                <w:szCs w:val="18"/>
                <w:color w:val="auto"/>
              </w:rPr>
              <w:t>Richard A. Cook</w:t>
            </w:r>
          </w:p>
        </w:tc>
        <w:tc>
          <w:tcPr>
            <w:tcW w:w="6420" w:type="dxa"/>
            <w:vAlign w:val="bottom"/>
            <w:shd w:val="clear" w:color="auto" w:fill="F0FFFF"/>
          </w:tcPr>
          <w:p>
            <w:pPr>
              <w:spacing w:after="0"/>
              <w:rPr>
                <w:sz w:val="23"/>
                <w:szCs w:val="23"/>
                <w:color w:val="auto"/>
              </w:rPr>
            </w:pPr>
          </w:p>
        </w:tc>
      </w:tr>
      <w:tr>
        <w:trPr>
          <w:trHeight w:val="104"/>
        </w:trPr>
        <w:tc>
          <w:tcPr>
            <w:tcW w:w="2840" w:type="dxa"/>
            <w:vAlign w:val="bottom"/>
            <w:shd w:val="clear" w:color="auto" w:fill="F0FFFF"/>
          </w:tcPr>
          <w:p>
            <w:pPr>
              <w:spacing w:after="0"/>
              <w:rPr>
                <w:sz w:val="9"/>
                <w:szCs w:val="9"/>
                <w:color w:val="auto"/>
              </w:rPr>
            </w:pPr>
          </w:p>
        </w:tc>
        <w:tc>
          <w:tcPr>
            <w:tcW w:w="6420" w:type="dxa"/>
            <w:vAlign w:val="bottom"/>
            <w:shd w:val="clear" w:color="auto" w:fill="F0FFFF"/>
          </w:tcPr>
          <w:p>
            <w:pPr>
              <w:spacing w:after="0"/>
              <w:rPr>
                <w:sz w:val="9"/>
                <w:szCs w:val="9"/>
                <w:color w:val="auto"/>
              </w:rPr>
            </w:pPr>
          </w:p>
        </w:tc>
      </w:tr>
      <w:tr>
        <w:trPr>
          <w:trHeight w:val="318"/>
        </w:trPr>
        <w:tc>
          <w:tcPr>
            <w:tcW w:w="2840" w:type="dxa"/>
            <w:vAlign w:val="bottom"/>
            <w:tcBorders>
              <w:bottom w:val="single" w:sz="8" w:color="9A9A9A"/>
            </w:tcBorders>
          </w:tcPr>
          <w:p>
            <w:pPr>
              <w:spacing w:after="0"/>
              <w:rPr>
                <w:sz w:val="20"/>
                <w:szCs w:val="20"/>
                <w:color w:val="auto"/>
              </w:rPr>
            </w:pPr>
            <w:r>
              <w:rPr>
                <w:rFonts w:ascii="Arial" w:cs="Arial" w:eastAsia="Arial" w:hAnsi="Arial"/>
                <w:sz w:val="18"/>
                <w:szCs w:val="18"/>
                <w:color w:val="auto"/>
              </w:rPr>
              <w:t>/s/ Gianna H. Figaro-Sterling*</w:t>
            </w:r>
          </w:p>
        </w:tc>
        <w:tc>
          <w:tcPr>
            <w:tcW w:w="6420" w:type="dxa"/>
            <w:vAlign w:val="bottom"/>
          </w:tcPr>
          <w:p>
            <w:pPr>
              <w:ind w:left="540"/>
              <w:spacing w:after="0"/>
              <w:rPr>
                <w:sz w:val="20"/>
                <w:szCs w:val="20"/>
                <w:color w:val="auto"/>
              </w:rPr>
            </w:pPr>
            <w:r>
              <w:rPr>
                <w:rFonts w:ascii="Arial" w:cs="Arial" w:eastAsia="Arial" w:hAnsi="Arial"/>
                <w:sz w:val="18"/>
                <w:szCs w:val="18"/>
                <w:color w:val="auto"/>
              </w:rPr>
              <w:t>Vice President and Controller</w:t>
            </w:r>
          </w:p>
        </w:tc>
      </w:tr>
      <w:tr>
        <w:trPr>
          <w:trHeight w:val="274"/>
        </w:trPr>
        <w:tc>
          <w:tcPr>
            <w:tcW w:w="2840" w:type="dxa"/>
            <w:vAlign w:val="bottom"/>
          </w:tcPr>
          <w:p>
            <w:pPr>
              <w:spacing w:after="0"/>
              <w:rPr>
                <w:sz w:val="20"/>
                <w:szCs w:val="20"/>
                <w:color w:val="auto"/>
              </w:rPr>
            </w:pPr>
            <w:r>
              <w:rPr>
                <w:rFonts w:ascii="Arial" w:cs="Arial" w:eastAsia="Arial" w:hAnsi="Arial"/>
                <w:sz w:val="18"/>
                <w:szCs w:val="18"/>
                <w:color w:val="auto"/>
              </w:rPr>
              <w:t>Gianna H. Figaro-Sterling</w:t>
            </w:r>
          </w:p>
        </w:tc>
        <w:tc>
          <w:tcPr>
            <w:tcW w:w="6420" w:type="dxa"/>
            <w:vAlign w:val="bottom"/>
          </w:tcPr>
          <w:p>
            <w:pPr>
              <w:spacing w:after="0"/>
              <w:rPr>
                <w:sz w:val="23"/>
                <w:szCs w:val="23"/>
                <w:color w:val="auto"/>
              </w:rPr>
            </w:pPr>
          </w:p>
        </w:tc>
      </w:tr>
      <w:tr>
        <w:trPr>
          <w:trHeight w:val="104"/>
        </w:trPr>
        <w:tc>
          <w:tcPr>
            <w:tcW w:w="2840" w:type="dxa"/>
            <w:vAlign w:val="bottom"/>
          </w:tcPr>
          <w:p>
            <w:pPr>
              <w:spacing w:after="0"/>
              <w:rPr>
                <w:sz w:val="9"/>
                <w:szCs w:val="9"/>
                <w:color w:val="auto"/>
              </w:rPr>
            </w:pPr>
          </w:p>
        </w:tc>
        <w:tc>
          <w:tcPr>
            <w:tcW w:w="6420" w:type="dxa"/>
            <w:vAlign w:val="bottom"/>
          </w:tcPr>
          <w:p>
            <w:pPr>
              <w:spacing w:after="0"/>
              <w:rPr>
                <w:sz w:val="9"/>
                <w:szCs w:val="9"/>
                <w:color w:val="auto"/>
              </w:rPr>
            </w:pPr>
          </w:p>
        </w:tc>
      </w:tr>
      <w:tr>
        <w:trPr>
          <w:trHeight w:val="318"/>
        </w:trPr>
        <w:tc>
          <w:tcPr>
            <w:tcW w:w="2840" w:type="dxa"/>
            <w:vAlign w:val="bottom"/>
            <w:tcBorders>
              <w:bottom w:val="single" w:sz="8" w:color="9A9A9A"/>
            </w:tcBorders>
            <w:shd w:val="clear" w:color="auto" w:fill="F0FFFF"/>
          </w:tcPr>
          <w:p>
            <w:pPr>
              <w:spacing w:after="0"/>
              <w:rPr>
                <w:sz w:val="20"/>
                <w:szCs w:val="20"/>
                <w:color w:val="auto"/>
              </w:rPr>
            </w:pPr>
            <w:r>
              <w:rPr>
                <w:rFonts w:ascii="Arial" w:cs="Arial" w:eastAsia="Arial" w:hAnsi="Arial"/>
                <w:sz w:val="18"/>
                <w:szCs w:val="18"/>
                <w:color w:val="auto"/>
              </w:rPr>
              <w:t>*By: /s/ Michele H. Abate</w:t>
            </w:r>
          </w:p>
        </w:tc>
        <w:tc>
          <w:tcPr>
            <w:tcW w:w="6420" w:type="dxa"/>
            <w:vAlign w:val="bottom"/>
            <w:tcBorders>
              <w:bottom w:val="single" w:sz="8" w:color="F0FFFF"/>
            </w:tcBorders>
            <w:shd w:val="clear" w:color="auto" w:fill="F0FFFF"/>
          </w:tcPr>
          <w:p>
            <w:pPr>
              <w:spacing w:after="0"/>
              <w:rPr>
                <w:sz w:val="24"/>
                <w:szCs w:val="24"/>
                <w:color w:val="auto"/>
              </w:rPr>
            </w:pPr>
          </w:p>
        </w:tc>
      </w:tr>
      <w:tr>
        <w:trPr>
          <w:trHeight w:val="251"/>
        </w:trPr>
        <w:tc>
          <w:tcPr>
            <w:tcW w:w="2840" w:type="dxa"/>
            <w:vAlign w:val="bottom"/>
            <w:shd w:val="clear" w:color="auto" w:fill="F0FFFF"/>
          </w:tcPr>
          <w:p>
            <w:pPr>
              <w:spacing w:after="0"/>
              <w:rPr>
                <w:sz w:val="20"/>
                <w:szCs w:val="20"/>
                <w:color w:val="auto"/>
              </w:rPr>
            </w:pPr>
            <w:r>
              <w:rPr>
                <w:rFonts w:ascii="Arial" w:cs="Arial" w:eastAsia="Arial" w:hAnsi="Arial"/>
                <w:sz w:val="18"/>
                <w:szCs w:val="18"/>
                <w:color w:val="auto"/>
              </w:rPr>
              <w:t>Michele H. Abate, Attorney-In-Fact</w:t>
            </w:r>
          </w:p>
        </w:tc>
        <w:tc>
          <w:tcPr>
            <w:tcW w:w="6420" w:type="dxa"/>
            <w:vAlign w:val="bottom"/>
            <w:shd w:val="clear" w:color="auto" w:fill="F0FFFF"/>
          </w:tcPr>
          <w:p>
            <w:pPr>
              <w:spacing w:after="0"/>
              <w:rPr>
                <w:sz w:val="21"/>
                <w:szCs w:val="21"/>
                <w:color w:val="auto"/>
              </w:rPr>
            </w:pPr>
          </w:p>
        </w:tc>
      </w:tr>
      <w:tr>
        <w:trPr>
          <w:trHeight w:val="239"/>
        </w:trPr>
        <w:tc>
          <w:tcPr>
            <w:tcW w:w="2840" w:type="dxa"/>
            <w:vAlign w:val="bottom"/>
            <w:shd w:val="clear" w:color="auto" w:fill="F0FFFF"/>
          </w:tcPr>
          <w:p>
            <w:pPr>
              <w:spacing w:after="0"/>
              <w:rPr>
                <w:sz w:val="20"/>
                <w:szCs w:val="20"/>
                <w:color w:val="auto"/>
              </w:rPr>
            </w:pPr>
            <w:r>
              <w:rPr>
                <w:rFonts w:ascii="Arial" w:cs="Arial" w:eastAsia="Arial" w:hAnsi="Arial"/>
                <w:sz w:val="18"/>
                <w:szCs w:val="18"/>
                <w:color w:val="auto"/>
              </w:rPr>
              <w:t>July 24, 2025</w:t>
            </w:r>
          </w:p>
        </w:tc>
        <w:tc>
          <w:tcPr>
            <w:tcW w:w="6420" w:type="dxa"/>
            <w:vAlign w:val="bottom"/>
            <w:shd w:val="clear" w:color="auto" w:fill="F0FFFF"/>
          </w:tcPr>
          <w:p>
            <w:pPr>
              <w:spacing w:after="0"/>
              <w:rPr>
                <w:sz w:val="20"/>
                <w:szCs w:val="20"/>
                <w:color w:val="auto"/>
              </w:rPr>
            </w:pPr>
          </w:p>
        </w:tc>
      </w:tr>
      <w:tr>
        <w:trPr>
          <w:trHeight w:val="158"/>
        </w:trPr>
        <w:tc>
          <w:tcPr>
            <w:tcW w:w="2840" w:type="dxa"/>
            <w:vAlign w:val="bottom"/>
            <w:shd w:val="clear" w:color="auto" w:fill="F0FFFF"/>
          </w:tcPr>
          <w:p>
            <w:pPr>
              <w:spacing w:after="0"/>
              <w:rPr>
                <w:sz w:val="13"/>
                <w:szCs w:val="13"/>
                <w:color w:val="auto"/>
              </w:rPr>
            </w:pPr>
          </w:p>
        </w:tc>
        <w:tc>
          <w:tcPr>
            <w:tcW w:w="6420" w:type="dxa"/>
            <w:vAlign w:val="bottom"/>
            <w:shd w:val="clear" w:color="auto" w:fill="F0FF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1781175</wp:posOffset>
            </wp:positionH>
            <wp:positionV relativeFrom="paragraph">
              <wp:posOffset>-3620770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-3620770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-3166745</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-3166745</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-2712720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-2712720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-2258060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-2258060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-1803400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-1803400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-1349375</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-1349375</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-894715</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-894715</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-440690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-440690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7" w:lineRule="exact"/>
        <w:rPr>
          <w:sz w:val="20"/>
          <w:szCs w:val="20"/>
          <w:color w:val="auto"/>
        </w:rPr>
      </w:pPr>
    </w:p>
    <w:p>
      <w:pPr>
        <w:ind w:right="839" w:firstLine="4"/>
        <w:spacing w:after="0" w:line="266" w:lineRule="auto"/>
        <w:tabs>
          <w:tab w:leader="none" w:pos="1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Brighthouse Life Insurance Company. Executed by Michele H. Abate, Esquire on behalf of those indicated pursuant to powers of attorney filed herewith.</w:t>
      </w:r>
    </w:p>
    <w:p>
      <w:pPr>
        <w:sectPr>
          <w:pgSz w:w="11900" w:h="16838" w:orient="portrait"/>
          <w:cols w:equalWidth="0" w:num="1">
            <w:col w:w="9379"/>
          </w:cols>
          <w:pgMar w:left="1080" w:top="931" w:right="1440" w:bottom="1440" w:gutter="0" w:footer="0" w:header="0"/>
        </w:sectPr>
      </w:pPr>
    </w:p>
    <w:bookmarkStart w:id="95" w:name="page96"/>
    <w:bookmarkEnd w:id="95"/>
    <w:p>
      <w:pPr>
        <w:spacing w:after="0" w:line="266" w:lineRule="auto"/>
        <w:tabs>
          <w:tab w:leader="none" w:pos="1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135890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ind w:right="18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INDEX TO EXHIBITS</w:t>
      </w:r>
    </w:p>
    <w:p>
      <w:pPr>
        <w:spacing w:after="0" w:line="129" w:lineRule="exact"/>
        <w:rPr>
          <w:sz w:val="20"/>
          <w:szCs w:val="20"/>
          <w:color w:val="auto"/>
        </w:rPr>
      </w:pPr>
    </w:p>
    <w:p>
      <w:pPr>
        <w:ind w:left="1296" w:hanging="1296"/>
        <w:spacing w:after="0"/>
        <w:tabs>
          <w:tab w:leader="none" w:pos="1296" w:val="left"/>
        </w:tabs>
        <w:numPr>
          <w:ilvl w:val="0"/>
          <w:numId w:val="88"/>
        </w:numPr>
        <w:rPr>
          <w:rFonts w:ascii="Arial" w:cs="Arial" w:eastAsia="Arial" w:hAnsi="Arial"/>
          <w:sz w:val="18"/>
          <w:szCs w:val="18"/>
          <w:color w:val="auto"/>
        </w:rPr>
      </w:pPr>
      <w:r>
        <w:rPr>
          <w:rFonts w:ascii="Arial" w:cs="Arial" w:eastAsia="Arial" w:hAnsi="Arial"/>
          <w:sz w:val="18"/>
          <w:szCs w:val="18"/>
          <w:color w:val="auto"/>
        </w:rPr>
        <w:t>Powers of Attorney</w:t>
      </w:r>
    </w:p>
    <w:p>
      <w:pPr>
        <w:spacing w:after="0" w:line="117" w:lineRule="exact"/>
        <w:rPr>
          <w:sz w:val="20"/>
          <w:szCs w:val="20"/>
          <w:color w:val="auto"/>
        </w:rPr>
      </w:pPr>
    </w:p>
    <w:p>
      <w:pPr>
        <w:ind w:left="1296" w:hanging="1296"/>
        <w:spacing w:after="0"/>
        <w:tabs>
          <w:tab w:leader="none" w:pos="1296"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Filing Fee Table</w:t>
      </w:r>
    </w:p>
    <w:p>
      <w:pPr>
        <w:sectPr>
          <w:pgSz w:w="11900" w:h="16838" w:orient="portrait"/>
          <w:cols w:equalWidth="0" w:num="1">
            <w:col w:w="9375"/>
          </w:cols>
          <w:pgMar w:left="1084" w:top="931" w:right="1440" w:bottom="1440" w:gutter="0" w:footer="0" w:header="0"/>
        </w:sectPr>
      </w:pPr>
    </w:p>
    <w:bookmarkStart w:id="97" w:name="page98"/>
    <w:bookmarkEnd w:id="97"/>
    <w:p>
      <w:pPr>
        <w:spacing w:after="0"/>
        <w:tabs>
          <w:tab w:leader="none" w:pos="129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135890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ind w:right="-139"/>
        <w:spacing w:after="0"/>
        <w:rPr>
          <w:sz w:val="20"/>
          <w:szCs w:val="20"/>
          <w:color w:val="auto"/>
        </w:rPr>
      </w:pPr>
      <w:r>
        <w:rPr>
          <w:rFonts w:ascii="Arial" w:cs="Arial" w:eastAsia="Arial" w:hAnsi="Arial"/>
          <w:sz w:val="18"/>
          <w:szCs w:val="18"/>
          <w:color w:val="auto"/>
        </w:rPr>
        <w:t>Brighthouse Life Insurance Company</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Eric Steigerwalt</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Chairman of the Board, President, Chief Executive Officer and a Director</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KNOW ALL MEN BY THESE PRESENTS, that I, Eric Steigerwalt, Chairman of the Board, President and Chief Executive Officer and a Director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206" w:lineRule="exact"/>
        <w:rPr>
          <w:sz w:val="20"/>
          <w:szCs w:val="20"/>
          <w:color w:val="auto"/>
        </w:rPr>
      </w:pPr>
    </w:p>
    <w:p>
      <w:pPr>
        <w:ind w:left="580" w:right="5820" w:hanging="572"/>
        <w:spacing w:after="0" w:line="200" w:lineRule="auto"/>
        <w:tabs>
          <w:tab w:leader="none" w:pos="23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Brighthouse Fund UL for Variable Life Insurance (811-03927) File No. 002-88637 MarketLife</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and Invest</w:t>
      </w:r>
    </w:p>
    <w:p>
      <w:pPr>
        <w:spacing w:after="0" w:line="1" w:lineRule="exact"/>
        <w:rPr>
          <w:rFonts w:ascii="Arial" w:cs="Arial" w:eastAsia="Arial" w:hAnsi="Arial"/>
          <w:sz w:val="18"/>
          <w:szCs w:val="18"/>
          <w:color w:val="auto"/>
        </w:rPr>
      </w:pPr>
    </w:p>
    <w:p>
      <w:pPr>
        <w:ind w:left="580"/>
        <w:spacing w:after="0" w:line="183" w:lineRule="auto"/>
        <w:rPr>
          <w:rFonts w:ascii="Arial" w:cs="Arial" w:eastAsia="Arial" w:hAnsi="Arial"/>
          <w:sz w:val="18"/>
          <w:szCs w:val="18"/>
          <w:color w:val="auto"/>
        </w:rPr>
      </w:pPr>
      <w:r>
        <w:rPr>
          <w:rFonts w:ascii="Arial" w:cs="Arial" w:eastAsia="Arial" w:hAnsi="Arial"/>
          <w:sz w:val="16"/>
          <w:szCs w:val="16"/>
          <w:color w:val="auto"/>
        </w:rPr>
        <w:t>File No. 333-152219 MarketLife</w:t>
      </w:r>
      <w:r>
        <w:rPr>
          <w:rFonts w:ascii="Arial" w:cs="Arial" w:eastAsia="Arial" w:hAnsi="Arial"/>
          <w:sz w:val="23"/>
          <w:szCs w:val="23"/>
          <w:color w:val="auto"/>
          <w:vertAlign w:val="superscript"/>
        </w:rPr>
        <w:t>SM</w:t>
      </w:r>
    </w:p>
    <w:p>
      <w:pPr>
        <w:ind w:left="580" w:right="5560"/>
        <w:spacing w:after="0" w:line="248" w:lineRule="auto"/>
        <w:rPr>
          <w:rFonts w:ascii="Arial" w:cs="Arial" w:eastAsia="Arial" w:hAnsi="Arial"/>
          <w:sz w:val="18"/>
          <w:szCs w:val="18"/>
          <w:color w:val="auto"/>
        </w:rPr>
      </w:pPr>
      <w:r>
        <w:rPr>
          <w:rFonts w:ascii="Arial" w:cs="Arial" w:eastAsia="Arial" w:hAnsi="Arial"/>
          <w:sz w:val="17"/>
          <w:szCs w:val="17"/>
          <w:color w:val="auto"/>
        </w:rPr>
        <w:t>File No. 333-56952 Brighthouse Variable Survivorship Life II File No. 333-69771 Brighthouse Variable Survivorship Life</w:t>
      </w:r>
    </w:p>
    <w:p>
      <w:pPr>
        <w:spacing w:after="0" w:line="1" w:lineRule="exact"/>
        <w:rPr>
          <w:rFonts w:ascii="Arial" w:cs="Arial" w:eastAsia="Arial" w:hAnsi="Arial"/>
          <w:sz w:val="18"/>
          <w:szCs w:val="18"/>
          <w:color w:val="auto"/>
        </w:rPr>
      </w:pPr>
    </w:p>
    <w:p>
      <w:pPr>
        <w:ind w:left="580" w:right="1440"/>
        <w:spacing w:after="0" w:line="234" w:lineRule="auto"/>
        <w:rPr>
          <w:rFonts w:ascii="Arial" w:cs="Arial" w:eastAsia="Arial" w:hAnsi="Arial"/>
          <w:sz w:val="18"/>
          <w:szCs w:val="18"/>
          <w:color w:val="auto"/>
        </w:rPr>
      </w:pPr>
      <w:r>
        <w:rPr>
          <w:rFonts w:ascii="Arial" w:cs="Arial" w:eastAsia="Arial" w:hAnsi="Arial"/>
          <w:sz w:val="18"/>
          <w:szCs w:val="18"/>
          <w:color w:val="auto"/>
        </w:rPr>
        <w:t>File No. 333-96515 Brighthouse Variable Life Accumulator and Brighthouse Variable Life Accumulator - Series 2 File No. 333-96519 Brighthouse Variable Life</w:t>
      </w:r>
    </w:p>
    <w:p>
      <w:pPr>
        <w:spacing w:after="0" w:line="1" w:lineRule="exact"/>
        <w:rPr>
          <w:rFonts w:ascii="Arial" w:cs="Arial" w:eastAsia="Arial" w:hAnsi="Arial"/>
          <w:sz w:val="18"/>
          <w:szCs w:val="18"/>
          <w:color w:val="auto"/>
        </w:rPr>
      </w:pPr>
    </w:p>
    <w:p>
      <w:pPr>
        <w:ind w:left="580" w:right="4800"/>
        <w:spacing w:after="0" w:line="234" w:lineRule="auto"/>
        <w:rPr>
          <w:rFonts w:ascii="Arial" w:cs="Arial" w:eastAsia="Arial" w:hAnsi="Arial"/>
          <w:sz w:val="18"/>
          <w:szCs w:val="18"/>
          <w:color w:val="auto"/>
        </w:rPr>
      </w:pPr>
      <w:r>
        <w:rPr>
          <w:rFonts w:ascii="Arial" w:cs="Arial" w:eastAsia="Arial" w:hAnsi="Arial"/>
          <w:sz w:val="18"/>
          <w:szCs w:val="18"/>
          <w:color w:val="auto"/>
        </w:rPr>
        <w:t>File No. 333-113109 Brighthouse Variable Life Accumulator - Series 3 File No. 333-152216 Portfolio Architect Life</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File No. 333-152217 VintageLife,</w:t>
      </w:r>
    </w:p>
    <w:p>
      <w:pPr>
        <w:spacing w:after="0" w:line="220" w:lineRule="exact"/>
        <w:rPr>
          <w:rFonts w:ascii="Arial" w:cs="Arial" w:eastAsia="Arial" w:hAnsi="Arial"/>
          <w:sz w:val="18"/>
          <w:szCs w:val="18"/>
          <w:color w:val="auto"/>
        </w:rPr>
      </w:pPr>
    </w:p>
    <w:p>
      <w:pPr>
        <w:ind w:left="220" w:hanging="212"/>
        <w:spacing w:after="0"/>
        <w:tabs>
          <w:tab w:leader="none" w:pos="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Brighthouse Fund UL III for Variable Life Insurance (811-09215)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333-71349 Corporate Owned VUL Series 1</w:t>
      </w:r>
    </w:p>
    <w:p>
      <w:pPr>
        <w:ind w:left="580"/>
        <w:spacing w:after="0" w:line="234" w:lineRule="auto"/>
        <w:rPr>
          <w:sz w:val="20"/>
          <w:szCs w:val="20"/>
          <w:color w:val="auto"/>
        </w:rPr>
      </w:pPr>
      <w:r>
        <w:rPr>
          <w:rFonts w:ascii="Arial" w:cs="Arial" w:eastAsia="Arial" w:hAnsi="Arial"/>
          <w:sz w:val="18"/>
          <w:szCs w:val="18"/>
          <w:color w:val="auto"/>
        </w:rPr>
        <w:t>File No. 333-94779 Corporate Owned VUL 2000 and Corporate Owned VUL III</w:t>
      </w:r>
    </w:p>
    <w:p>
      <w:pPr>
        <w:ind w:left="580"/>
        <w:spacing w:after="0" w:line="235" w:lineRule="auto"/>
        <w:rPr>
          <w:sz w:val="20"/>
          <w:szCs w:val="20"/>
          <w:color w:val="auto"/>
        </w:rPr>
      </w:pPr>
      <w:r>
        <w:rPr>
          <w:rFonts w:ascii="Arial" w:cs="Arial" w:eastAsia="Arial" w:hAnsi="Arial"/>
          <w:sz w:val="18"/>
          <w:szCs w:val="18"/>
          <w:color w:val="auto"/>
        </w:rPr>
        <w:t>File No. 333-105335 Corporate Select Policy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333-113533 Corporate Owned VUL IV,</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Separate Account A (811-03365)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333-200231 Series VA (offered between October 7, 2011 and May 1, 2016)</w:t>
      </w:r>
    </w:p>
    <w:p>
      <w:pPr>
        <w:ind w:left="780" w:right="40" w:hanging="204"/>
        <w:spacing w:after="0" w:line="234" w:lineRule="auto"/>
        <w:rPr>
          <w:sz w:val="20"/>
          <w:szCs w:val="20"/>
          <w:color w:val="auto"/>
        </w:rPr>
      </w:pPr>
      <w:r>
        <w:rPr>
          <w:rFonts w:ascii="Arial" w:cs="Arial" w:eastAsia="Arial" w:hAnsi="Arial"/>
          <w:sz w:val="18"/>
          <w:szCs w:val="18"/>
          <w:color w:val="auto"/>
        </w:rPr>
        <w:t>File No. 333-200232 Series S (offered between October 7, 2011 and May 1, 2016) and Series S-L Share Option (offered between October 7, 2011 and May 1, 2016)</w:t>
      </w:r>
    </w:p>
    <w:p>
      <w:pPr>
        <w:ind w:left="580"/>
        <w:spacing w:after="0" w:line="236" w:lineRule="auto"/>
        <w:rPr>
          <w:sz w:val="20"/>
          <w:szCs w:val="20"/>
          <w:color w:val="auto"/>
        </w:rPr>
      </w:pPr>
      <w:r>
        <w:rPr>
          <w:rFonts w:ascii="Arial" w:cs="Arial" w:eastAsia="Arial" w:hAnsi="Arial"/>
          <w:sz w:val="18"/>
          <w:szCs w:val="18"/>
          <w:color w:val="auto"/>
        </w:rPr>
        <w:t>File No. 333-200233 Series VA-4 (offered between October 7, 2011 and May 1, 2016)</w:t>
      </w:r>
    </w:p>
    <w:p>
      <w:pPr>
        <w:ind w:left="580"/>
        <w:spacing w:after="0" w:line="235" w:lineRule="auto"/>
        <w:rPr>
          <w:sz w:val="20"/>
          <w:szCs w:val="20"/>
          <w:color w:val="auto"/>
        </w:rPr>
      </w:pPr>
      <w:r>
        <w:rPr>
          <w:rFonts w:ascii="Arial" w:cs="Arial" w:eastAsia="Arial" w:hAnsi="Arial"/>
          <w:sz w:val="18"/>
          <w:szCs w:val="18"/>
          <w:color w:val="auto"/>
        </w:rPr>
        <w:t>File No. 333-200234 Series O (offered between April 30, 2012 and July 19, 2015)</w:t>
      </w:r>
    </w:p>
    <w:p>
      <w:pPr>
        <w:ind w:left="580"/>
        <w:spacing w:after="0" w:line="235" w:lineRule="auto"/>
        <w:rPr>
          <w:sz w:val="20"/>
          <w:szCs w:val="20"/>
          <w:color w:val="auto"/>
        </w:rPr>
      </w:pPr>
      <w:r>
        <w:rPr>
          <w:rFonts w:ascii="Arial" w:cs="Arial" w:eastAsia="Arial" w:hAnsi="Arial"/>
          <w:sz w:val="18"/>
          <w:szCs w:val="18"/>
          <w:color w:val="auto"/>
        </w:rPr>
        <w:t>File No. 333-200236 Series L - 4 Year (offered on and after April 29, 2013)</w:t>
      </w:r>
    </w:p>
    <w:p>
      <w:pPr>
        <w:ind w:left="580"/>
        <w:spacing w:after="0" w:line="234" w:lineRule="auto"/>
        <w:rPr>
          <w:sz w:val="20"/>
          <w:szCs w:val="20"/>
          <w:color w:val="auto"/>
        </w:rPr>
      </w:pPr>
      <w:r>
        <w:rPr>
          <w:rFonts w:ascii="Arial" w:cs="Arial" w:eastAsia="Arial" w:hAnsi="Arial"/>
          <w:sz w:val="18"/>
          <w:szCs w:val="18"/>
          <w:color w:val="auto"/>
        </w:rPr>
        <w:t>File No. 333-200237 PrimElite IV</w:t>
      </w:r>
    </w:p>
    <w:p>
      <w:pPr>
        <w:ind w:left="580"/>
        <w:spacing w:after="0" w:line="235" w:lineRule="auto"/>
        <w:rPr>
          <w:sz w:val="20"/>
          <w:szCs w:val="20"/>
          <w:color w:val="auto"/>
        </w:rPr>
      </w:pPr>
      <w:r>
        <w:rPr>
          <w:rFonts w:ascii="Arial" w:cs="Arial" w:eastAsia="Arial" w:hAnsi="Arial"/>
          <w:sz w:val="18"/>
          <w:szCs w:val="18"/>
          <w:color w:val="auto"/>
        </w:rPr>
        <w:t>File No. 333-200238 Marquis Portfolios (offered on and after April 30, 2012)</w:t>
      </w:r>
    </w:p>
    <w:p>
      <w:pPr>
        <w:ind w:left="580"/>
        <w:spacing w:after="0" w:line="235" w:lineRule="auto"/>
        <w:rPr>
          <w:sz w:val="20"/>
          <w:szCs w:val="20"/>
          <w:color w:val="auto"/>
        </w:rPr>
      </w:pPr>
      <w:r>
        <w:rPr>
          <w:rFonts w:ascii="Arial" w:cs="Arial" w:eastAsia="Arial" w:hAnsi="Arial"/>
          <w:sz w:val="18"/>
          <w:szCs w:val="18"/>
          <w:color w:val="auto"/>
        </w:rPr>
        <w:t>File No. 333-200239 Brighthouse Growth and Income</w:t>
      </w:r>
    </w:p>
    <w:p>
      <w:pPr>
        <w:ind w:left="580" w:right="980"/>
        <w:spacing w:after="0" w:line="234" w:lineRule="auto"/>
        <w:rPr>
          <w:sz w:val="20"/>
          <w:szCs w:val="20"/>
          <w:color w:val="auto"/>
        </w:rPr>
      </w:pPr>
      <w:r>
        <w:rPr>
          <w:rFonts w:ascii="Arial" w:cs="Arial" w:eastAsia="Arial" w:hAnsi="Arial"/>
          <w:sz w:val="18"/>
          <w:szCs w:val="18"/>
          <w:color w:val="auto"/>
        </w:rPr>
        <w:t>File No. 333-200240 Group Flexible Payment Variable Annuity (Flexible Bonus/Retirement Companion/Smart Choice) File No. 333-200243 PrimElite III</w:t>
      </w:r>
    </w:p>
    <w:p>
      <w:pPr>
        <w:ind w:left="580"/>
        <w:spacing w:after="0" w:line="185" w:lineRule="auto"/>
        <w:rPr>
          <w:sz w:val="20"/>
          <w:szCs w:val="20"/>
          <w:color w:val="auto"/>
        </w:rPr>
      </w:pPr>
      <w:r>
        <w:rPr>
          <w:rFonts w:ascii="Arial" w:cs="Arial" w:eastAsia="Arial" w:hAnsi="Arial"/>
          <w:sz w:val="16"/>
          <w:szCs w:val="16"/>
          <w:color w:val="auto"/>
        </w:rPr>
        <w:t>File No. 333-200246 Brighthouse Simple Solutions</w:t>
      </w:r>
      <w:r>
        <w:rPr>
          <w:rFonts w:ascii="Arial" w:cs="Arial" w:eastAsia="Arial" w:hAnsi="Arial"/>
          <w:sz w:val="23"/>
          <w:szCs w:val="23"/>
          <w:color w:val="auto"/>
          <w:vertAlign w:val="superscript"/>
        </w:rPr>
        <w:t>SM</w:t>
      </w:r>
    </w:p>
    <w:p>
      <w:pPr>
        <w:ind w:left="580"/>
        <w:spacing w:after="0" w:line="234" w:lineRule="auto"/>
        <w:rPr>
          <w:sz w:val="20"/>
          <w:szCs w:val="20"/>
          <w:color w:val="auto"/>
        </w:rPr>
      </w:pPr>
      <w:r>
        <w:rPr>
          <w:rFonts w:ascii="Arial" w:cs="Arial" w:eastAsia="Arial" w:hAnsi="Arial"/>
          <w:sz w:val="18"/>
          <w:szCs w:val="18"/>
          <w:color w:val="auto"/>
        </w:rPr>
        <w:t>File No. 333-200250 Marquis Portfolios (offered between November 7, 2005 and April 30, 2012)</w:t>
      </w:r>
    </w:p>
    <w:p>
      <w:pPr>
        <w:ind w:left="580"/>
        <w:spacing w:after="0" w:line="235" w:lineRule="auto"/>
        <w:rPr>
          <w:sz w:val="20"/>
          <w:szCs w:val="20"/>
          <w:color w:val="auto"/>
        </w:rPr>
      </w:pPr>
      <w:r>
        <w:rPr>
          <w:rFonts w:ascii="Arial" w:cs="Arial" w:eastAsia="Arial" w:hAnsi="Arial"/>
          <w:sz w:val="18"/>
          <w:szCs w:val="18"/>
          <w:color w:val="auto"/>
        </w:rPr>
        <w:t>File No. 333-200253 Series XC</w:t>
      </w:r>
    </w:p>
    <w:p>
      <w:pPr>
        <w:ind w:left="580"/>
        <w:spacing w:after="0" w:line="235" w:lineRule="auto"/>
        <w:rPr>
          <w:sz w:val="20"/>
          <w:szCs w:val="20"/>
          <w:color w:val="auto"/>
        </w:rPr>
      </w:pPr>
      <w:r>
        <w:rPr>
          <w:rFonts w:ascii="Arial" w:cs="Arial" w:eastAsia="Arial" w:hAnsi="Arial"/>
          <w:sz w:val="18"/>
          <w:szCs w:val="18"/>
          <w:color w:val="auto"/>
        </w:rPr>
        <w:t>File No. 333-200256 Series VA (offered between March 22, 2001 and October 7, 2011)</w:t>
      </w:r>
    </w:p>
    <w:p>
      <w:pPr>
        <w:ind w:left="580"/>
        <w:spacing w:after="0" w:line="235" w:lineRule="auto"/>
        <w:rPr>
          <w:sz w:val="20"/>
          <w:szCs w:val="20"/>
          <w:color w:val="auto"/>
        </w:rPr>
      </w:pPr>
      <w:r>
        <w:rPr>
          <w:rFonts w:ascii="Arial" w:cs="Arial" w:eastAsia="Arial" w:hAnsi="Arial"/>
          <w:sz w:val="18"/>
          <w:szCs w:val="18"/>
          <w:color w:val="auto"/>
        </w:rPr>
        <w:t>File No. 333-200259 Series L and Series L - 4 Year (offered between November 22, 2004 and October 7, 2011)</w:t>
      </w:r>
    </w:p>
    <w:p>
      <w:pPr>
        <w:ind w:left="580"/>
        <w:spacing w:after="0" w:line="235" w:lineRule="auto"/>
        <w:rPr>
          <w:sz w:val="20"/>
          <w:szCs w:val="20"/>
          <w:color w:val="auto"/>
        </w:rPr>
      </w:pPr>
      <w:r>
        <w:rPr>
          <w:rFonts w:ascii="Arial" w:cs="Arial" w:eastAsia="Arial" w:hAnsi="Arial"/>
          <w:sz w:val="18"/>
          <w:szCs w:val="18"/>
          <w:color w:val="auto"/>
        </w:rPr>
        <w:t>File No. 333-200261 Series C (offered between September 4, 2001 and October 7, 2011)</w:t>
      </w:r>
    </w:p>
    <w:p>
      <w:pPr>
        <w:ind w:left="580"/>
        <w:spacing w:after="0" w:line="234" w:lineRule="auto"/>
        <w:rPr>
          <w:sz w:val="20"/>
          <w:szCs w:val="20"/>
          <w:color w:val="auto"/>
        </w:rPr>
      </w:pPr>
      <w:r>
        <w:rPr>
          <w:rFonts w:ascii="Arial" w:cs="Arial" w:eastAsia="Arial" w:hAnsi="Arial"/>
          <w:sz w:val="18"/>
          <w:szCs w:val="18"/>
          <w:color w:val="auto"/>
        </w:rPr>
        <w:t>File No. 333-200263 Series XTRA</w:t>
      </w:r>
    </w:p>
    <w:p>
      <w:pPr>
        <w:ind w:left="580"/>
        <w:spacing w:after="0" w:line="235" w:lineRule="auto"/>
        <w:rPr>
          <w:sz w:val="20"/>
          <w:szCs w:val="20"/>
          <w:color w:val="auto"/>
        </w:rPr>
      </w:pPr>
      <w:r>
        <w:rPr>
          <w:rFonts w:ascii="Arial" w:cs="Arial" w:eastAsia="Arial" w:hAnsi="Arial"/>
          <w:sz w:val="18"/>
          <w:szCs w:val="18"/>
          <w:color w:val="auto"/>
        </w:rPr>
        <w:t>File No. 333-200265 Series S and Series S-L Share Option (offered between April 30, 2007 and October 7, 2011)</w:t>
      </w:r>
    </w:p>
    <w:p>
      <w:pPr>
        <w:ind w:left="580"/>
        <w:spacing w:after="0" w:line="235" w:lineRule="auto"/>
        <w:rPr>
          <w:sz w:val="20"/>
          <w:szCs w:val="20"/>
          <w:color w:val="auto"/>
        </w:rPr>
      </w:pPr>
      <w:r>
        <w:rPr>
          <w:rFonts w:ascii="Arial" w:cs="Arial" w:eastAsia="Arial" w:hAnsi="Arial"/>
          <w:sz w:val="18"/>
          <w:szCs w:val="18"/>
          <w:color w:val="auto"/>
        </w:rPr>
        <w:t>File No. 333-200268 Series L - 4 Year (offered between October 7, 2011 and April 28, 2013)</w:t>
      </w:r>
    </w:p>
    <w:p>
      <w:pPr>
        <w:ind w:left="580"/>
        <w:spacing w:after="0" w:line="235" w:lineRule="auto"/>
        <w:rPr>
          <w:sz w:val="20"/>
          <w:szCs w:val="20"/>
          <w:color w:val="auto"/>
        </w:rPr>
      </w:pPr>
      <w:r>
        <w:rPr>
          <w:rFonts w:ascii="Arial" w:cs="Arial" w:eastAsia="Arial" w:hAnsi="Arial"/>
          <w:sz w:val="18"/>
          <w:szCs w:val="18"/>
          <w:color w:val="auto"/>
        </w:rPr>
        <w:t>File No. 333-200270 Group Annuity SF 101</w:t>
      </w:r>
    </w:p>
    <w:p>
      <w:pPr>
        <w:ind w:left="580"/>
        <w:spacing w:after="0" w:line="235" w:lineRule="auto"/>
        <w:rPr>
          <w:sz w:val="20"/>
          <w:szCs w:val="20"/>
          <w:color w:val="auto"/>
        </w:rPr>
      </w:pPr>
      <w:r>
        <w:rPr>
          <w:rFonts w:ascii="Arial" w:cs="Arial" w:eastAsia="Arial" w:hAnsi="Arial"/>
          <w:sz w:val="18"/>
          <w:szCs w:val="18"/>
          <w:color w:val="auto"/>
        </w:rPr>
        <w:t>File No. 333-200272 Ultimate Annuity FSL 224</w:t>
      </w:r>
    </w:p>
    <w:p>
      <w:pPr>
        <w:ind w:left="580"/>
        <w:spacing w:after="0" w:line="234" w:lineRule="auto"/>
        <w:rPr>
          <w:sz w:val="20"/>
          <w:szCs w:val="20"/>
          <w:color w:val="auto"/>
        </w:rPr>
      </w:pPr>
      <w:r>
        <w:rPr>
          <w:rFonts w:ascii="Arial" w:cs="Arial" w:eastAsia="Arial" w:hAnsi="Arial"/>
          <w:sz w:val="18"/>
          <w:szCs w:val="18"/>
          <w:color w:val="auto"/>
        </w:rPr>
        <w:t>File No. 333-200275 Foresight SF 137</w:t>
      </w:r>
    </w:p>
    <w:p>
      <w:pPr>
        <w:ind w:left="580"/>
        <w:spacing w:after="0" w:line="235" w:lineRule="auto"/>
        <w:rPr>
          <w:sz w:val="20"/>
          <w:szCs w:val="20"/>
          <w:color w:val="auto"/>
        </w:rPr>
      </w:pPr>
      <w:r>
        <w:rPr>
          <w:rFonts w:ascii="Arial" w:cs="Arial" w:eastAsia="Arial" w:hAnsi="Arial"/>
          <w:sz w:val="18"/>
          <w:szCs w:val="18"/>
          <w:color w:val="auto"/>
        </w:rPr>
        <w:t>File No. 333-200277 SecurAnnuity (CLICO) 224/ SF 1700</w:t>
      </w:r>
    </w:p>
    <w:p>
      <w:pPr>
        <w:ind w:left="580"/>
        <w:spacing w:after="0" w:line="235" w:lineRule="auto"/>
        <w:rPr>
          <w:sz w:val="20"/>
          <w:szCs w:val="20"/>
          <w:color w:val="auto"/>
        </w:rPr>
      </w:pPr>
      <w:r>
        <w:rPr>
          <w:rFonts w:ascii="Arial" w:cs="Arial" w:eastAsia="Arial" w:hAnsi="Arial"/>
          <w:sz w:val="18"/>
          <w:szCs w:val="18"/>
          <w:color w:val="auto"/>
        </w:rPr>
        <w:t>File No. 333-200278 Group VA SF 234 (Texas)</w:t>
      </w:r>
    </w:p>
    <w:p>
      <w:pPr>
        <w:ind w:left="580"/>
        <w:spacing w:after="0" w:line="235" w:lineRule="auto"/>
        <w:rPr>
          <w:sz w:val="20"/>
          <w:szCs w:val="20"/>
          <w:color w:val="auto"/>
        </w:rPr>
      </w:pPr>
      <w:r>
        <w:rPr>
          <w:rFonts w:ascii="Arial" w:cs="Arial" w:eastAsia="Arial" w:hAnsi="Arial"/>
          <w:sz w:val="18"/>
          <w:szCs w:val="18"/>
          <w:color w:val="auto"/>
        </w:rPr>
        <w:t>File No. 333-200280 Sunshine SF 236 FL</w:t>
      </w:r>
    </w:p>
    <w:p>
      <w:pPr>
        <w:ind w:left="580"/>
        <w:spacing w:after="0" w:line="235" w:lineRule="auto"/>
        <w:rPr>
          <w:sz w:val="20"/>
          <w:szCs w:val="20"/>
          <w:color w:val="auto"/>
        </w:rPr>
      </w:pPr>
      <w:r>
        <w:rPr>
          <w:rFonts w:ascii="Arial" w:cs="Arial" w:eastAsia="Arial" w:hAnsi="Arial"/>
          <w:sz w:val="18"/>
          <w:szCs w:val="18"/>
          <w:color w:val="auto"/>
        </w:rPr>
        <w:t>File No. 333-200281 Flexible Value SF 230</w:t>
      </w:r>
    </w:p>
    <w:p>
      <w:pPr>
        <w:ind w:left="580" w:right="1760"/>
        <w:spacing w:after="0" w:line="250" w:lineRule="auto"/>
        <w:rPr>
          <w:sz w:val="20"/>
          <w:szCs w:val="20"/>
          <w:color w:val="auto"/>
        </w:rPr>
      </w:pPr>
      <w:r>
        <w:rPr>
          <w:rFonts w:ascii="Arial" w:cs="Arial" w:eastAsia="Arial" w:hAnsi="Arial"/>
          <w:sz w:val="18"/>
          <w:szCs w:val="18"/>
          <w:color w:val="auto"/>
        </w:rPr>
        <w:t>File No. 333-200282 Investors Choice Annuity, Capital Strategist Annuity, Imprint Annuity and Strive Annuity File No. 333-200283 Protected Equity Portfolio (PEP)</w:t>
      </w:r>
    </w:p>
    <w:p>
      <w:pPr>
        <w:sectPr>
          <w:pgSz w:w="11900" w:h="16838" w:orient="portrait"/>
          <w:cols w:equalWidth="0" w:num="1">
            <w:col w:w="10900"/>
          </w:cols>
          <w:pgMar w:left="320" w:top="121" w:right="679" w:bottom="1440" w:gutter="0" w:footer="0" w:header="0"/>
        </w:sectPr>
      </w:pPr>
    </w:p>
    <w:bookmarkStart w:id="99" w:name="page100"/>
    <w:bookmarkEnd w:id="99"/>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333-200284 Vintage L and Vintage XC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333-200285 Series XTRA 6</w:t>
      </w:r>
    </w:p>
    <w:p>
      <w:pPr>
        <w:ind w:left="580"/>
        <w:spacing w:after="0" w:line="234" w:lineRule="auto"/>
        <w:rPr>
          <w:sz w:val="20"/>
          <w:szCs w:val="20"/>
          <w:color w:val="auto"/>
        </w:rPr>
      </w:pPr>
      <w:r>
        <w:rPr>
          <w:rFonts w:ascii="Arial" w:cs="Arial" w:eastAsia="Arial" w:hAnsi="Arial"/>
          <w:sz w:val="18"/>
          <w:szCs w:val="18"/>
          <w:color w:val="auto"/>
        </w:rPr>
        <w:t>File No. 333-200286 Series VA - 4 (offered between May 1, 2011 and October 7, 2011)</w:t>
      </w:r>
    </w:p>
    <w:p>
      <w:pPr>
        <w:ind w:left="580"/>
        <w:spacing w:after="0" w:line="235" w:lineRule="auto"/>
        <w:rPr>
          <w:sz w:val="20"/>
          <w:szCs w:val="20"/>
          <w:color w:val="auto"/>
        </w:rPr>
      </w:pPr>
      <w:r>
        <w:rPr>
          <w:rFonts w:ascii="Arial" w:cs="Arial" w:eastAsia="Arial" w:hAnsi="Arial"/>
          <w:sz w:val="18"/>
          <w:szCs w:val="18"/>
          <w:color w:val="auto"/>
        </w:rPr>
        <w:t>File No. 333-200287 Series C (offered on and after October 7, 2011)</w:t>
      </w:r>
    </w:p>
    <w:p>
      <w:pPr>
        <w:ind w:left="580"/>
        <w:spacing w:after="0" w:line="235" w:lineRule="auto"/>
        <w:rPr>
          <w:sz w:val="20"/>
          <w:szCs w:val="20"/>
          <w:color w:val="auto"/>
        </w:rPr>
      </w:pPr>
      <w:r>
        <w:rPr>
          <w:rFonts w:ascii="Arial" w:cs="Arial" w:eastAsia="Arial" w:hAnsi="Arial"/>
          <w:sz w:val="18"/>
          <w:szCs w:val="18"/>
          <w:color w:val="auto"/>
        </w:rPr>
        <w:t>File No. 333-200288 Pioneer PRISM</w:t>
      </w:r>
    </w:p>
    <w:p>
      <w:pPr>
        <w:ind w:left="580"/>
        <w:spacing w:after="0" w:line="235" w:lineRule="auto"/>
        <w:rPr>
          <w:sz w:val="20"/>
          <w:szCs w:val="20"/>
          <w:color w:val="auto"/>
        </w:rPr>
      </w:pPr>
      <w:r>
        <w:rPr>
          <w:rFonts w:ascii="Arial" w:cs="Arial" w:eastAsia="Arial" w:hAnsi="Arial"/>
          <w:sz w:val="18"/>
          <w:szCs w:val="18"/>
          <w:color w:val="auto"/>
        </w:rPr>
        <w:t>File No. 333-200289 Pioneer PRISM L</w:t>
      </w:r>
    </w:p>
    <w:p>
      <w:pPr>
        <w:ind w:left="580"/>
        <w:spacing w:after="0" w:line="235" w:lineRule="auto"/>
        <w:rPr>
          <w:sz w:val="20"/>
          <w:szCs w:val="20"/>
          <w:color w:val="auto"/>
        </w:rPr>
      </w:pPr>
      <w:r>
        <w:rPr>
          <w:rFonts w:ascii="Arial" w:cs="Arial" w:eastAsia="Arial" w:hAnsi="Arial"/>
          <w:sz w:val="18"/>
          <w:szCs w:val="18"/>
          <w:color w:val="auto"/>
        </w:rPr>
        <w:t>File No. 333-200290 Pioneer PRISM XC</w:t>
      </w:r>
    </w:p>
    <w:p>
      <w:pPr>
        <w:ind w:left="780" w:right="660" w:hanging="204"/>
        <w:spacing w:after="0" w:line="216" w:lineRule="auto"/>
        <w:rPr>
          <w:sz w:val="20"/>
          <w:szCs w:val="20"/>
          <w:color w:val="auto"/>
        </w:rPr>
      </w:pPr>
      <w:r>
        <w:rPr>
          <w:rFonts w:ascii="Arial" w:cs="Arial" w:eastAsia="Arial" w:hAnsi="Arial"/>
          <w:sz w:val="16"/>
          <w:szCs w:val="16"/>
          <w:color w:val="auto"/>
        </w:rPr>
        <w:t>File No. 333-200323 Brighthouse Investment Portfolio Architect</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 Standard Version and Brighthouse Investment Portfolio Architect</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 C Share Option</w:t>
      </w:r>
    </w:p>
    <w:p>
      <w:pPr>
        <w:ind w:left="580"/>
        <w:spacing w:after="0" w:line="236" w:lineRule="auto"/>
        <w:rPr>
          <w:sz w:val="20"/>
          <w:szCs w:val="20"/>
          <w:color w:val="auto"/>
        </w:rPr>
      </w:pPr>
      <w:r>
        <w:rPr>
          <w:rFonts w:ascii="Arial" w:cs="Arial" w:eastAsia="Arial" w:hAnsi="Arial"/>
          <w:sz w:val="18"/>
          <w:szCs w:val="18"/>
          <w:color w:val="auto"/>
        </w:rPr>
        <w:t>File No. 333-203748 Series O (offered on and after July 20, 2015)</w:t>
      </w:r>
    </w:p>
    <w:p>
      <w:pPr>
        <w:ind w:left="580"/>
        <w:spacing w:after="0" w:line="235" w:lineRule="auto"/>
        <w:rPr>
          <w:sz w:val="20"/>
          <w:szCs w:val="20"/>
          <w:color w:val="auto"/>
        </w:rPr>
      </w:pPr>
      <w:r>
        <w:rPr>
          <w:rFonts w:ascii="Arial" w:cs="Arial" w:eastAsia="Arial" w:hAnsi="Arial"/>
          <w:sz w:val="18"/>
          <w:szCs w:val="18"/>
          <w:color w:val="auto"/>
        </w:rPr>
        <w:t>File No. 333-209053 Series VA (offered on and after May 2, 2016)</w:t>
      </w:r>
    </w:p>
    <w:p>
      <w:pPr>
        <w:ind w:left="580"/>
        <w:spacing w:after="0" w:line="235" w:lineRule="auto"/>
        <w:rPr>
          <w:sz w:val="20"/>
          <w:szCs w:val="20"/>
          <w:color w:val="auto"/>
        </w:rPr>
      </w:pPr>
      <w:r>
        <w:rPr>
          <w:rFonts w:ascii="Arial" w:cs="Arial" w:eastAsia="Arial" w:hAnsi="Arial"/>
          <w:sz w:val="18"/>
          <w:szCs w:val="18"/>
          <w:color w:val="auto"/>
        </w:rPr>
        <w:t>File No. 333-209054 Series VA- 4 (offered on and after May 2, 2016)</w:t>
      </w:r>
    </w:p>
    <w:p>
      <w:pPr>
        <w:ind w:left="580" w:right="160"/>
        <w:spacing w:after="0" w:line="250" w:lineRule="auto"/>
        <w:rPr>
          <w:sz w:val="20"/>
          <w:szCs w:val="20"/>
          <w:color w:val="auto"/>
        </w:rPr>
      </w:pPr>
      <w:r>
        <w:rPr>
          <w:rFonts w:ascii="Arial" w:cs="Arial" w:eastAsia="Arial" w:hAnsi="Arial"/>
          <w:sz w:val="18"/>
          <w:szCs w:val="18"/>
          <w:color w:val="auto"/>
        </w:rPr>
        <w:t>File No. 333-209055 Series S (offered on and after May 2, 2016) and Series S-L Share Option (offered on and after May 2, 2016) File No. 333-209411 Brighthouse Prime Options,</w:t>
      </w:r>
    </w:p>
    <w:p>
      <w:pPr>
        <w:spacing w:after="0" w:line="199"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Separate Account Eleven for Variable Annuities (811-21262)</w:t>
      </w:r>
    </w:p>
    <w:p>
      <w:pPr>
        <w:spacing w:after="0" w:line="14" w:lineRule="exact"/>
        <w:rPr>
          <w:sz w:val="20"/>
          <w:szCs w:val="20"/>
          <w:color w:val="auto"/>
        </w:rPr>
      </w:pPr>
    </w:p>
    <w:p>
      <w:pPr>
        <w:ind w:left="780" w:right="360" w:hanging="204"/>
        <w:spacing w:after="0" w:line="234" w:lineRule="auto"/>
        <w:rPr>
          <w:sz w:val="20"/>
          <w:szCs w:val="20"/>
          <w:color w:val="auto"/>
        </w:rPr>
      </w:pPr>
      <w:r>
        <w:rPr>
          <w:rFonts w:ascii="Arial" w:cs="Arial" w:eastAsia="Arial" w:hAnsi="Arial"/>
          <w:sz w:val="18"/>
          <w:szCs w:val="18"/>
          <w:color w:val="auto"/>
        </w:rPr>
        <w:t>File Nos. 333-101778 and 333-152234 Pioneer AnnuiStar Plus Annuity, Portfolio Architect Plus Annuity and Scudder Advocate Rewards Annuity</w:t>
      </w:r>
    </w:p>
    <w:p>
      <w:pPr>
        <w:ind w:left="580"/>
        <w:spacing w:after="0" w:line="236" w:lineRule="auto"/>
        <w:rPr>
          <w:sz w:val="20"/>
          <w:szCs w:val="20"/>
          <w:color w:val="auto"/>
        </w:rPr>
      </w:pPr>
      <w:r>
        <w:rPr>
          <w:rFonts w:ascii="Arial" w:cs="Arial" w:eastAsia="Arial" w:hAnsi="Arial"/>
          <w:sz w:val="18"/>
          <w:szCs w:val="18"/>
          <w:color w:val="auto"/>
        </w:rPr>
        <w:t>File No. 333-152189 Universal Annuity</w:t>
      </w:r>
    </w:p>
    <w:p>
      <w:pPr>
        <w:ind w:left="580"/>
        <w:spacing w:after="0" w:line="235" w:lineRule="auto"/>
        <w:rPr>
          <w:sz w:val="20"/>
          <w:szCs w:val="20"/>
          <w:color w:val="auto"/>
        </w:rPr>
      </w:pPr>
      <w:r>
        <w:rPr>
          <w:rFonts w:ascii="Arial" w:cs="Arial" w:eastAsia="Arial" w:hAnsi="Arial"/>
          <w:sz w:val="18"/>
          <w:szCs w:val="18"/>
          <w:color w:val="auto"/>
        </w:rPr>
        <w:t>File No. 333-152190 Universal Select Annuity</w:t>
      </w:r>
    </w:p>
    <w:p>
      <w:pPr>
        <w:ind w:left="580"/>
        <w:spacing w:after="0" w:line="235" w:lineRule="auto"/>
        <w:rPr>
          <w:sz w:val="20"/>
          <w:szCs w:val="20"/>
          <w:color w:val="auto"/>
        </w:rPr>
      </w:pPr>
      <w:r>
        <w:rPr>
          <w:rFonts w:ascii="Arial" w:cs="Arial" w:eastAsia="Arial" w:hAnsi="Arial"/>
          <w:sz w:val="18"/>
          <w:szCs w:val="18"/>
          <w:color w:val="auto"/>
        </w:rPr>
        <w:t>File No. 333-152191 Universal Annuity Advantage</w:t>
      </w:r>
    </w:p>
    <w:p>
      <w:pPr>
        <w:ind w:left="580" w:right="4700"/>
        <w:spacing w:after="0" w:line="234" w:lineRule="auto"/>
        <w:rPr>
          <w:sz w:val="20"/>
          <w:szCs w:val="20"/>
          <w:color w:val="auto"/>
        </w:rPr>
      </w:pPr>
      <w:r>
        <w:rPr>
          <w:rFonts w:ascii="Arial" w:cs="Arial" w:eastAsia="Arial" w:hAnsi="Arial"/>
          <w:sz w:val="18"/>
          <w:szCs w:val="18"/>
          <w:color w:val="auto"/>
        </w:rPr>
        <w:t>File Nos. 333-152192 and 333-152193 Brighthouse Retirement Account File No. 333-152194 Gold Track and Gold Track Select</w:t>
      </w:r>
    </w:p>
    <w:p>
      <w:pPr>
        <w:spacing w:after="0" w:line="1" w:lineRule="exact"/>
        <w:rPr>
          <w:sz w:val="20"/>
          <w:szCs w:val="20"/>
          <w:color w:val="auto"/>
        </w:rPr>
      </w:pPr>
    </w:p>
    <w:p>
      <w:pPr>
        <w:ind w:left="580" w:right="1880"/>
        <w:spacing w:after="0" w:line="234" w:lineRule="auto"/>
        <w:rPr>
          <w:sz w:val="20"/>
          <w:szCs w:val="20"/>
          <w:color w:val="auto"/>
        </w:rPr>
      </w:pPr>
      <w:r>
        <w:rPr>
          <w:rFonts w:ascii="Arial" w:cs="Arial" w:eastAsia="Arial" w:hAnsi="Arial"/>
          <w:sz w:val="18"/>
          <w:szCs w:val="18"/>
          <w:color w:val="auto"/>
        </w:rPr>
        <w:t>File Nos. 333-152197 and 333-152198 Brighthouse Access Annuity and Brighthouse Access Select Annuity File Nos. 333-152199 and 333-152200 Vintage Annuity File Nos. 333-152201 and 333-152202 Index Annuity</w:t>
      </w:r>
    </w:p>
    <w:p>
      <w:pPr>
        <w:spacing w:after="0" w:line="2" w:lineRule="exact"/>
        <w:rPr>
          <w:sz w:val="20"/>
          <w:szCs w:val="20"/>
          <w:color w:val="auto"/>
        </w:rPr>
      </w:pPr>
    </w:p>
    <w:p>
      <w:pPr>
        <w:ind w:left="780" w:right="440" w:hanging="204"/>
        <w:spacing w:after="0" w:line="234" w:lineRule="auto"/>
        <w:rPr>
          <w:sz w:val="20"/>
          <w:szCs w:val="20"/>
          <w:color w:val="auto"/>
        </w:rPr>
      </w:pPr>
      <w:r>
        <w:rPr>
          <w:rFonts w:ascii="Arial" w:cs="Arial" w:eastAsia="Arial" w:hAnsi="Arial"/>
          <w:sz w:val="18"/>
          <w:szCs w:val="18"/>
          <w:color w:val="auto"/>
        </w:rPr>
        <w:t>File Nos. 333-152232 and 333-152233 Portfolio Architect Annuity, Portfolio Architect Select Annuity, Premier Advisers Annuity (Class I) and Premier Advisers Annuity (Class II)</w:t>
      </w:r>
    </w:p>
    <w:p>
      <w:pPr>
        <w:spacing w:after="0" w:line="1" w:lineRule="exact"/>
        <w:rPr>
          <w:sz w:val="20"/>
          <w:szCs w:val="20"/>
          <w:color w:val="auto"/>
        </w:rPr>
      </w:pPr>
    </w:p>
    <w:p>
      <w:pPr>
        <w:ind w:left="780" w:right="540" w:hanging="204"/>
        <w:spacing w:after="0" w:line="234" w:lineRule="auto"/>
        <w:rPr>
          <w:sz w:val="20"/>
          <w:szCs w:val="20"/>
          <w:color w:val="auto"/>
        </w:rPr>
      </w:pPr>
      <w:r>
        <w:rPr>
          <w:rFonts w:ascii="Arial" w:cs="Arial" w:eastAsia="Arial" w:hAnsi="Arial"/>
          <w:sz w:val="18"/>
          <w:szCs w:val="18"/>
          <w:color w:val="auto"/>
        </w:rPr>
        <w:t>File Nos. 333-152235 and 333-152236 Pioneer AnnuiStar Annuity, Portfolio Architect II Annuity and Pioneer AnnuiStar Value Annuity</w:t>
      </w:r>
    </w:p>
    <w:p>
      <w:pPr>
        <w:spacing w:after="0" w:line="1" w:lineRule="exact"/>
        <w:rPr>
          <w:sz w:val="20"/>
          <w:szCs w:val="20"/>
          <w:color w:val="auto"/>
        </w:rPr>
      </w:pPr>
    </w:p>
    <w:p>
      <w:pPr>
        <w:ind w:left="780" w:right="60" w:hanging="204"/>
        <w:spacing w:after="0" w:line="234" w:lineRule="auto"/>
        <w:rPr>
          <w:sz w:val="20"/>
          <w:szCs w:val="20"/>
          <w:color w:val="auto"/>
        </w:rPr>
      </w:pPr>
      <w:r>
        <w:rPr>
          <w:rFonts w:ascii="Arial" w:cs="Arial" w:eastAsia="Arial" w:hAnsi="Arial"/>
          <w:sz w:val="18"/>
          <w:szCs w:val="18"/>
          <w:color w:val="auto"/>
        </w:rPr>
        <w:t>File Nos. 333-152237 and 333-152238 Premier Advisers II Annuity, Premier Advisers III (Series I) and Premier Advisers III Annuity (Series II)</w:t>
      </w:r>
    </w:p>
    <w:p>
      <w:pPr>
        <w:spacing w:after="0" w:line="1" w:lineRule="exact"/>
        <w:rPr>
          <w:sz w:val="20"/>
          <w:szCs w:val="20"/>
          <w:color w:val="auto"/>
        </w:rPr>
      </w:pPr>
    </w:p>
    <w:p>
      <w:pPr>
        <w:ind w:left="780" w:hanging="204"/>
        <w:spacing w:after="0" w:line="234" w:lineRule="auto"/>
        <w:rPr>
          <w:sz w:val="20"/>
          <w:szCs w:val="20"/>
          <w:color w:val="auto"/>
        </w:rPr>
      </w:pPr>
      <w:r>
        <w:rPr>
          <w:rFonts w:ascii="Arial" w:cs="Arial" w:eastAsia="Arial" w:hAnsi="Arial"/>
          <w:sz w:val="18"/>
          <w:szCs w:val="18"/>
          <w:color w:val="auto"/>
        </w:rPr>
        <w:t>File Nos. 333-152239 and 333-152240 Premier Advisers AssetManager Annuity, Premier Advisers L Annuity (Series I) and Premier Advisers L Annuity (Series II)</w:t>
      </w:r>
    </w:p>
    <w:p>
      <w:pPr>
        <w:spacing w:after="0" w:line="1" w:lineRule="exact"/>
        <w:rPr>
          <w:sz w:val="20"/>
          <w:szCs w:val="20"/>
          <w:color w:val="auto"/>
        </w:rPr>
      </w:pPr>
    </w:p>
    <w:p>
      <w:pPr>
        <w:ind w:left="780" w:right="20" w:hanging="204"/>
        <w:spacing w:after="0" w:line="234" w:lineRule="auto"/>
        <w:rPr>
          <w:sz w:val="20"/>
          <w:szCs w:val="20"/>
          <w:color w:val="auto"/>
        </w:rPr>
      </w:pPr>
      <w:r>
        <w:rPr>
          <w:rFonts w:ascii="Arial" w:cs="Arial" w:eastAsia="Arial" w:hAnsi="Arial"/>
          <w:sz w:val="18"/>
          <w:szCs w:val="18"/>
          <w:color w:val="auto"/>
        </w:rPr>
        <w:t>File Nos. 333-152255 and 333-152265 Vintage XTRA Annuity, Portfolio Architect XTRA Annuity and Vintage XTRA Annuity (Series II)</w:t>
      </w:r>
    </w:p>
    <w:p>
      <w:pPr>
        <w:spacing w:after="0" w:line="1" w:lineRule="exact"/>
        <w:rPr>
          <w:sz w:val="20"/>
          <w:szCs w:val="20"/>
          <w:color w:val="auto"/>
        </w:rPr>
      </w:pPr>
    </w:p>
    <w:p>
      <w:pPr>
        <w:ind w:left="780" w:right="460" w:hanging="204"/>
        <w:spacing w:after="0" w:line="234" w:lineRule="auto"/>
        <w:rPr>
          <w:sz w:val="20"/>
          <w:szCs w:val="20"/>
          <w:color w:val="auto"/>
        </w:rPr>
      </w:pPr>
      <w:r>
        <w:rPr>
          <w:rFonts w:ascii="Arial" w:cs="Arial" w:eastAsia="Arial" w:hAnsi="Arial"/>
          <w:sz w:val="18"/>
          <w:szCs w:val="18"/>
          <w:color w:val="auto"/>
        </w:rPr>
        <w:t>File Nos. 333-152256 and 333-152292 Vintage 3 Annuity, Portfolio Architect 3 Annuity, Portfolio Architect L Annuity, Vintage L Annuity and Pioneer AnnuiStar Flex Annuity</w:t>
      </w:r>
    </w:p>
    <w:p>
      <w:pPr>
        <w:ind w:left="580"/>
        <w:spacing w:after="0" w:line="236" w:lineRule="auto"/>
        <w:rPr>
          <w:sz w:val="20"/>
          <w:szCs w:val="20"/>
          <w:color w:val="auto"/>
        </w:rPr>
      </w:pPr>
      <w:r>
        <w:rPr>
          <w:rFonts w:ascii="Arial" w:cs="Arial" w:eastAsia="Arial" w:hAnsi="Arial"/>
          <w:sz w:val="18"/>
          <w:szCs w:val="18"/>
          <w:color w:val="auto"/>
        </w:rPr>
        <w:t>File Nos. 333-152258 and 333-152261 PrimElite Annuity</w:t>
      </w:r>
    </w:p>
    <w:p>
      <w:pPr>
        <w:ind w:left="580"/>
        <w:spacing w:after="0" w:line="235" w:lineRule="auto"/>
        <w:rPr>
          <w:sz w:val="20"/>
          <w:szCs w:val="20"/>
          <w:color w:val="auto"/>
        </w:rPr>
      </w:pPr>
      <w:r>
        <w:rPr>
          <w:rFonts w:ascii="Arial" w:cs="Arial" w:eastAsia="Arial" w:hAnsi="Arial"/>
          <w:sz w:val="18"/>
          <w:szCs w:val="18"/>
          <w:color w:val="auto"/>
        </w:rPr>
        <w:t>File Nos. 333-152259 and 333-152262 PrimElite II Annuity</w:t>
      </w:r>
    </w:p>
    <w:p>
      <w:pPr>
        <w:ind w:left="580" w:right="4620"/>
        <w:spacing w:after="0" w:line="234" w:lineRule="auto"/>
        <w:rPr>
          <w:sz w:val="20"/>
          <w:szCs w:val="20"/>
          <w:color w:val="auto"/>
        </w:rPr>
      </w:pPr>
      <w:r>
        <w:rPr>
          <w:rFonts w:ascii="Arial" w:cs="Arial" w:eastAsia="Arial" w:hAnsi="Arial"/>
          <w:sz w:val="18"/>
          <w:szCs w:val="18"/>
          <w:color w:val="auto"/>
        </w:rPr>
        <w:t>File Nos. 333-152260 and 333-152266 Protected Equity Portfolio Annuity File Nos. 333-152263 and 333-152269 Marquis Portfolios</w:t>
      </w:r>
    </w:p>
    <w:p>
      <w:pPr>
        <w:spacing w:after="0" w:line="1" w:lineRule="exact"/>
        <w:rPr>
          <w:sz w:val="20"/>
          <w:szCs w:val="20"/>
          <w:color w:val="auto"/>
        </w:rPr>
      </w:pPr>
    </w:p>
    <w:p>
      <w:pPr>
        <w:ind w:left="780" w:right="620" w:hanging="204"/>
        <w:spacing w:after="0" w:line="234" w:lineRule="auto"/>
        <w:rPr>
          <w:sz w:val="20"/>
          <w:szCs w:val="20"/>
          <w:color w:val="auto"/>
        </w:rPr>
      </w:pPr>
      <w:r>
        <w:rPr>
          <w:rFonts w:ascii="Arial" w:cs="Arial" w:eastAsia="Arial" w:hAnsi="Arial"/>
          <w:sz w:val="18"/>
          <w:szCs w:val="18"/>
          <w:color w:val="auto"/>
        </w:rPr>
        <w:t>File Nos. 333-152264 and 333-152270 Vintage Access, Portfolio Architect Access, Scudder Advocate Advisor and Scudder Advocate Advisor - ST1 Annuity</w:t>
      </w:r>
    </w:p>
    <w:p>
      <w:pPr>
        <w:ind w:left="580"/>
        <w:spacing w:after="0" w:line="236" w:lineRule="auto"/>
        <w:rPr>
          <w:sz w:val="20"/>
          <w:szCs w:val="20"/>
          <w:color w:val="auto"/>
        </w:rPr>
      </w:pPr>
      <w:r>
        <w:rPr>
          <w:rFonts w:ascii="Arial" w:cs="Arial" w:eastAsia="Arial" w:hAnsi="Arial"/>
          <w:sz w:val="18"/>
          <w:szCs w:val="18"/>
          <w:color w:val="auto"/>
        </w:rPr>
        <w:t>File Nos. 333-152267 and 333-152268 Vintage II Annuity and Vintage II Annuity (Series II)</w:t>
      </w:r>
    </w:p>
    <w:p>
      <w:pPr>
        <w:ind w:left="580"/>
        <w:spacing w:after="0" w:line="235" w:lineRule="auto"/>
        <w:rPr>
          <w:sz w:val="20"/>
          <w:szCs w:val="20"/>
          <w:color w:val="auto"/>
        </w:rPr>
      </w:pPr>
      <w:r>
        <w:rPr>
          <w:rFonts w:ascii="Arial" w:cs="Arial" w:eastAsia="Arial" w:hAnsi="Arial"/>
          <w:sz w:val="18"/>
          <w:szCs w:val="18"/>
          <w:color w:val="auto"/>
        </w:rPr>
        <w:t>File No. 333-197658 Brighthouse Accumulation Annuity</w:t>
      </w:r>
    </w:p>
    <w:p>
      <w:pPr>
        <w:ind w:left="580"/>
        <w:spacing w:after="0"/>
        <w:rPr>
          <w:sz w:val="20"/>
          <w:szCs w:val="20"/>
          <w:color w:val="auto"/>
        </w:rPr>
      </w:pPr>
      <w:r>
        <w:rPr>
          <w:rFonts w:ascii="Arial" w:cs="Arial" w:eastAsia="Arial" w:hAnsi="Arial"/>
          <w:sz w:val="18"/>
          <w:szCs w:val="18"/>
          <w:color w:val="auto"/>
        </w:rPr>
        <w:t>File No. 333-208464 Brighthouse Premier Variable Annuity</w:t>
      </w:r>
      <w:r>
        <w:rPr>
          <w:rFonts w:ascii="Arial" w:cs="Arial" w:eastAsia="Arial" w:hAnsi="Arial"/>
          <w:sz w:val="26"/>
          <w:szCs w:val="26"/>
          <w:color w:val="auto"/>
          <w:vertAlign w:val="superscript"/>
        </w:rPr>
        <w:t>SM</w:t>
      </w:r>
      <w:r>
        <w:rPr>
          <w:rFonts w:ascii="Arial" w:cs="Arial" w:eastAsia="Arial" w:hAnsi="Arial"/>
          <w:sz w:val="18"/>
          <w:szCs w:val="18"/>
          <w:color w:val="auto"/>
        </w:rPr>
        <w:t>,</w:t>
      </w:r>
    </w:p>
    <w:p>
      <w:pPr>
        <w:spacing w:after="0" w:line="129" w:lineRule="exact"/>
        <w:rPr>
          <w:sz w:val="20"/>
          <w:szCs w:val="20"/>
          <w:color w:val="auto"/>
        </w:rPr>
      </w:pPr>
    </w:p>
    <w:p>
      <w:pPr>
        <w:ind w:left="580" w:right="5740" w:hanging="572"/>
        <w:spacing w:after="0" w:line="253" w:lineRule="auto"/>
        <w:tabs>
          <w:tab w:leader="none" w:pos="23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Brighthouse Separate Account QPN for Variable Annuities File No. 333-156867 Unallocated Group Variable Annuity File No. 333-156911 Brighthouse Retirement Perspectives,</w:t>
      </w:r>
    </w:p>
    <w:p>
      <w:pPr>
        <w:spacing w:after="0" w:line="195" w:lineRule="exact"/>
        <w:rPr>
          <w:rFonts w:ascii="Arial" w:cs="Arial" w:eastAsia="Arial" w:hAnsi="Arial"/>
          <w:sz w:val="18"/>
          <w:szCs w:val="18"/>
          <w:color w:val="auto"/>
        </w:rPr>
      </w:pPr>
    </w:p>
    <w:p>
      <w:pPr>
        <w:ind w:left="220" w:hanging="212"/>
        <w:spacing w:after="0"/>
        <w:tabs>
          <w:tab w:leader="none" w:pos="2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Brighthouse Variable Annuity Account C (811-05200)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333-200244 Class XC</w:t>
      </w:r>
    </w:p>
    <w:p>
      <w:pPr>
        <w:ind w:left="580"/>
        <w:spacing w:after="0" w:line="234" w:lineRule="auto"/>
        <w:rPr>
          <w:sz w:val="20"/>
          <w:szCs w:val="20"/>
          <w:color w:val="auto"/>
        </w:rPr>
      </w:pPr>
      <w:r>
        <w:rPr>
          <w:rFonts w:ascii="Arial" w:cs="Arial" w:eastAsia="Arial" w:hAnsi="Arial"/>
          <w:sz w:val="18"/>
          <w:szCs w:val="18"/>
          <w:color w:val="auto"/>
        </w:rPr>
        <w:t>File No. 333-200247 Class VA, Class AA and Class B</w:t>
      </w:r>
    </w:p>
    <w:p>
      <w:pPr>
        <w:ind w:left="580"/>
        <w:spacing w:after="0" w:line="235" w:lineRule="auto"/>
        <w:rPr>
          <w:sz w:val="20"/>
          <w:szCs w:val="20"/>
          <w:color w:val="auto"/>
        </w:rPr>
      </w:pPr>
      <w:r>
        <w:rPr>
          <w:rFonts w:ascii="Arial" w:cs="Arial" w:eastAsia="Arial" w:hAnsi="Arial"/>
          <w:sz w:val="18"/>
          <w:szCs w:val="18"/>
          <w:color w:val="auto"/>
        </w:rPr>
        <w:t>File No. 333-200249 Class L and Class L - 4 Year</w:t>
      </w:r>
    </w:p>
    <w:p>
      <w:pPr>
        <w:ind w:left="580"/>
        <w:spacing w:after="0" w:line="235" w:lineRule="auto"/>
        <w:rPr>
          <w:sz w:val="20"/>
          <w:szCs w:val="20"/>
          <w:color w:val="auto"/>
        </w:rPr>
      </w:pPr>
      <w:r>
        <w:rPr>
          <w:rFonts w:ascii="Arial" w:cs="Arial" w:eastAsia="Arial" w:hAnsi="Arial"/>
          <w:sz w:val="18"/>
          <w:szCs w:val="18"/>
          <w:color w:val="auto"/>
        </w:rPr>
        <w:t>File No. 333-200252 Class A</w:t>
      </w:r>
    </w:p>
    <w:p>
      <w:pPr>
        <w:ind w:left="580"/>
        <w:spacing w:after="0" w:line="235" w:lineRule="auto"/>
        <w:rPr>
          <w:sz w:val="20"/>
          <w:szCs w:val="20"/>
          <w:color w:val="auto"/>
        </w:rPr>
      </w:pPr>
      <w:r>
        <w:rPr>
          <w:rFonts w:ascii="Arial" w:cs="Arial" w:eastAsia="Arial" w:hAnsi="Arial"/>
          <w:sz w:val="18"/>
          <w:szCs w:val="18"/>
          <w:color w:val="auto"/>
        </w:rPr>
        <w:t>File No. 333-200255 COVA VA, Firstar Summit VA, Premier Advisor VA, Destiny Select VA and Prevail VA</w:t>
      </w:r>
    </w:p>
    <w:p>
      <w:pPr>
        <w:ind w:left="580"/>
        <w:spacing w:after="0" w:line="235" w:lineRule="auto"/>
        <w:rPr>
          <w:sz w:val="20"/>
          <w:szCs w:val="20"/>
          <w:color w:val="auto"/>
        </w:rPr>
      </w:pPr>
      <w:r>
        <w:rPr>
          <w:rFonts w:ascii="Arial" w:cs="Arial" w:eastAsia="Arial" w:hAnsi="Arial"/>
          <w:sz w:val="18"/>
          <w:szCs w:val="18"/>
          <w:color w:val="auto"/>
        </w:rPr>
        <w:t>File No. 333-200258 COVA VA SPDA</w:t>
      </w:r>
    </w:p>
    <w:p>
      <w:pPr>
        <w:ind w:left="580"/>
        <w:spacing w:after="0" w:line="234" w:lineRule="auto"/>
        <w:rPr>
          <w:sz w:val="20"/>
          <w:szCs w:val="20"/>
          <w:color w:val="auto"/>
        </w:rPr>
      </w:pPr>
      <w:r>
        <w:rPr>
          <w:rFonts w:ascii="Arial" w:cs="Arial" w:eastAsia="Arial" w:hAnsi="Arial"/>
          <w:sz w:val="18"/>
          <w:szCs w:val="18"/>
          <w:color w:val="auto"/>
        </w:rPr>
        <w:t>File No. 333-200260 COVA Series 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333-200262 Navigator-Select/Custom-Select/Russell-Select</w:t>
      </w:r>
    </w:p>
    <w:p>
      <w:pPr>
        <w:sectPr>
          <w:pgSz w:w="11900" w:h="16838" w:orient="portrait"/>
          <w:cols w:equalWidth="0" w:num="1">
            <w:col w:w="11000"/>
          </w:cols>
          <w:pgMar w:left="320" w:top="269" w:right="579" w:bottom="1440" w:gutter="0" w:footer="0" w:header="0"/>
        </w:sectPr>
      </w:pPr>
    </w:p>
    <w:bookmarkStart w:id="100" w:name="page101"/>
    <w:bookmarkEnd w:id="100"/>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333-200264 Navigator-Select/Custom-Select/Russell-Select (CA)</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333-200266 COVA VA and Premier Advisor (CA)</w:t>
      </w:r>
    </w:p>
    <w:p>
      <w:pPr>
        <w:ind w:left="580"/>
        <w:spacing w:after="0" w:line="234" w:lineRule="auto"/>
        <w:rPr>
          <w:sz w:val="20"/>
          <w:szCs w:val="20"/>
          <w:color w:val="auto"/>
        </w:rPr>
      </w:pPr>
      <w:r>
        <w:rPr>
          <w:rFonts w:ascii="Arial" w:cs="Arial" w:eastAsia="Arial" w:hAnsi="Arial"/>
          <w:sz w:val="18"/>
          <w:szCs w:val="18"/>
          <w:color w:val="auto"/>
        </w:rPr>
        <w:t>File No. 333-200267 COVA Series A (CA)</w:t>
      </w:r>
    </w:p>
    <w:p>
      <w:pPr>
        <w:ind w:left="580"/>
        <w:spacing w:after="0" w:line="235" w:lineRule="auto"/>
        <w:rPr>
          <w:sz w:val="20"/>
          <w:szCs w:val="20"/>
          <w:color w:val="auto"/>
        </w:rPr>
      </w:pPr>
      <w:r>
        <w:rPr>
          <w:rFonts w:ascii="Arial" w:cs="Arial" w:eastAsia="Arial" w:hAnsi="Arial"/>
          <w:sz w:val="18"/>
          <w:szCs w:val="18"/>
          <w:color w:val="auto"/>
        </w:rPr>
        <w:t>File No. 333-200269 Class C</w:t>
      </w:r>
    </w:p>
    <w:p>
      <w:pPr>
        <w:ind w:left="580"/>
        <w:spacing w:after="0" w:line="235" w:lineRule="auto"/>
        <w:rPr>
          <w:sz w:val="20"/>
          <w:szCs w:val="20"/>
          <w:color w:val="auto"/>
        </w:rPr>
      </w:pPr>
      <w:r>
        <w:rPr>
          <w:rFonts w:ascii="Arial" w:cs="Arial" w:eastAsia="Arial" w:hAnsi="Arial"/>
          <w:sz w:val="18"/>
          <w:szCs w:val="18"/>
          <w:color w:val="auto"/>
        </w:rPr>
        <w:t>File No. 333-200271 Class VA (CA), Class AA (CA), and Class B (CA)</w:t>
      </w:r>
    </w:p>
    <w:p>
      <w:pPr>
        <w:ind w:left="580"/>
        <w:spacing w:after="0" w:line="235" w:lineRule="auto"/>
        <w:rPr>
          <w:sz w:val="20"/>
          <w:szCs w:val="20"/>
          <w:color w:val="auto"/>
        </w:rPr>
      </w:pPr>
      <w:r>
        <w:rPr>
          <w:rFonts w:ascii="Arial" w:cs="Arial" w:eastAsia="Arial" w:hAnsi="Arial"/>
          <w:sz w:val="18"/>
          <w:szCs w:val="18"/>
          <w:color w:val="auto"/>
        </w:rPr>
        <w:t>File No. 333-200273 Class XC (CA)</w:t>
      </w:r>
    </w:p>
    <w:p>
      <w:pPr>
        <w:ind w:left="580"/>
        <w:spacing w:after="0" w:line="235" w:lineRule="auto"/>
        <w:rPr>
          <w:sz w:val="20"/>
          <w:szCs w:val="20"/>
          <w:color w:val="auto"/>
        </w:rPr>
      </w:pPr>
      <w:r>
        <w:rPr>
          <w:rFonts w:ascii="Arial" w:cs="Arial" w:eastAsia="Arial" w:hAnsi="Arial"/>
          <w:sz w:val="18"/>
          <w:szCs w:val="18"/>
          <w:color w:val="auto"/>
        </w:rPr>
        <w:t>File No. 333-200274 Class L (CA) and Class L - 4 Year (CA)</w:t>
      </w:r>
    </w:p>
    <w:p>
      <w:pPr>
        <w:ind w:left="580"/>
        <w:spacing w:after="0" w:line="234" w:lineRule="auto"/>
        <w:rPr>
          <w:sz w:val="20"/>
          <w:szCs w:val="20"/>
          <w:color w:val="auto"/>
        </w:rPr>
      </w:pPr>
      <w:r>
        <w:rPr>
          <w:rFonts w:ascii="Arial" w:cs="Arial" w:eastAsia="Arial" w:hAnsi="Arial"/>
          <w:sz w:val="18"/>
          <w:szCs w:val="18"/>
          <w:color w:val="auto"/>
        </w:rPr>
        <w:t>File No. 333-200276 Class A (CA)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333-200279 Class C (CA),</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Variable Life Account A (811-21851)</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333-200241 Equity Advantage Variable Universal Life,</w:t>
      </w:r>
    </w:p>
    <w:p>
      <w:pPr>
        <w:spacing w:after="0" w:line="221" w:lineRule="exact"/>
        <w:rPr>
          <w:sz w:val="20"/>
          <w:szCs w:val="20"/>
          <w:color w:val="auto"/>
        </w:rPr>
      </w:pPr>
    </w:p>
    <w:p>
      <w:pPr>
        <w:ind w:left="580" w:right="6480" w:hanging="572"/>
        <w:spacing w:after="0" w:line="245" w:lineRule="auto"/>
        <w:tabs>
          <w:tab w:leader="none" w:pos="23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Brighthouse Variable Life Account One (811-07971) File No. 333-200242 Class VL</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File No. 333-200245 Class VL (CA)</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File No. 333-200248 Modified Single Premium Variable Life</w:t>
      </w:r>
    </w:p>
    <w:p>
      <w:pPr>
        <w:ind w:left="580" w:right="4800"/>
        <w:spacing w:after="0" w:line="242" w:lineRule="auto"/>
        <w:rPr>
          <w:rFonts w:ascii="Arial" w:cs="Arial" w:eastAsia="Arial" w:hAnsi="Arial"/>
          <w:sz w:val="18"/>
          <w:szCs w:val="18"/>
          <w:color w:val="auto"/>
        </w:rPr>
      </w:pPr>
      <w:r>
        <w:rPr>
          <w:rFonts w:ascii="Arial" w:cs="Arial" w:eastAsia="Arial" w:hAnsi="Arial"/>
          <w:sz w:val="18"/>
          <w:szCs w:val="18"/>
          <w:color w:val="auto"/>
        </w:rPr>
        <w:t>File No. 333-200251 Custom Select and Russell Select Variable Life File No. 333-200254 Modified Single Premium Variable Life (CA) File No. 333-200257 Custom Select Variable Life,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And pertaining to:</w:t>
      </w:r>
    </w:p>
    <w:p>
      <w:pPr>
        <w:ind w:left="580"/>
        <w:spacing w:after="0" w:line="180" w:lineRule="auto"/>
        <w:rPr>
          <w:sz w:val="20"/>
          <w:szCs w:val="20"/>
          <w:color w:val="auto"/>
        </w:rPr>
      </w:pPr>
      <w:r>
        <w:rPr>
          <w:rFonts w:ascii="Arial" w:cs="Arial" w:eastAsia="Arial" w:hAnsi="Arial"/>
          <w:sz w:val="17"/>
          <w:szCs w:val="17"/>
          <w:color w:val="auto"/>
        </w:rPr>
        <w:t>File No. 333-268618 Brighthouse SmartGuard Plus</w:t>
      </w:r>
      <w:r>
        <w:rPr>
          <w:rFonts w:ascii="Arial" w:cs="Arial" w:eastAsia="Arial" w:hAnsi="Arial"/>
          <w:sz w:val="25"/>
          <w:szCs w:val="25"/>
          <w:color w:val="auto"/>
          <w:vertAlign w:val="superscript"/>
        </w:rPr>
        <w:t>SM</w:t>
      </w:r>
    </w:p>
    <w:p>
      <w:pPr>
        <w:ind w:left="580"/>
        <w:spacing w:after="0" w:line="183" w:lineRule="auto"/>
        <w:rPr>
          <w:sz w:val="20"/>
          <w:szCs w:val="20"/>
          <w:color w:val="auto"/>
        </w:rPr>
      </w:pPr>
      <w:r>
        <w:rPr>
          <w:rFonts w:ascii="Arial" w:cs="Arial" w:eastAsia="Arial" w:hAnsi="Arial"/>
          <w:sz w:val="16"/>
          <w:szCs w:val="16"/>
          <w:color w:val="auto"/>
        </w:rPr>
        <w:t>File No. 333-262390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Pay Plus</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Annuity and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Pay Plus</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Advisory Annuity File No. 333-259505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spacing w:after="0" w:line="2" w:lineRule="exact"/>
        <w:rPr>
          <w:sz w:val="20"/>
          <w:szCs w:val="20"/>
          <w:color w:val="auto"/>
        </w:rPr>
      </w:pPr>
    </w:p>
    <w:p>
      <w:pPr>
        <w:ind w:left="580" w:right="4520"/>
        <w:spacing w:after="0" w:line="183" w:lineRule="auto"/>
        <w:rPr>
          <w:sz w:val="20"/>
          <w:szCs w:val="20"/>
          <w:color w:val="auto"/>
        </w:rPr>
      </w:pPr>
      <w:r>
        <w:rPr>
          <w:rFonts w:ascii="Arial" w:cs="Arial" w:eastAsia="Arial" w:hAnsi="Arial"/>
          <w:sz w:val="16"/>
          <w:szCs w:val="16"/>
          <w:color w:val="auto"/>
        </w:rPr>
        <w:t>File No. 333-233240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Advisory Annuity File No. 333-268427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Advisory Annuity File No. 333-263492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File No. 333-263495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 File No. 333-238213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ind w:left="580"/>
        <w:spacing w:after="0" w:line="187" w:lineRule="auto"/>
        <w:rPr>
          <w:sz w:val="20"/>
          <w:szCs w:val="20"/>
          <w:color w:val="auto"/>
        </w:rPr>
      </w:pPr>
      <w:r>
        <w:rPr>
          <w:rFonts w:ascii="Arial" w:cs="Arial" w:eastAsia="Arial" w:hAnsi="Arial"/>
          <w:sz w:val="16"/>
          <w:szCs w:val="16"/>
          <w:color w:val="auto"/>
        </w:rPr>
        <w:t>File No. 333-208664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Annuity</w:t>
      </w:r>
    </w:p>
    <w:p>
      <w:pPr>
        <w:spacing w:after="0" w:line="1" w:lineRule="exact"/>
        <w:rPr>
          <w:sz w:val="20"/>
          <w:szCs w:val="20"/>
          <w:color w:val="auto"/>
        </w:rPr>
      </w:pPr>
    </w:p>
    <w:p>
      <w:pPr>
        <w:ind w:left="580" w:right="4520"/>
        <w:spacing w:after="0" w:line="192" w:lineRule="auto"/>
        <w:rPr>
          <w:sz w:val="20"/>
          <w:szCs w:val="20"/>
          <w:color w:val="auto"/>
        </w:rPr>
      </w:pPr>
      <w:r>
        <w:rPr>
          <w:rFonts w:ascii="Arial" w:cs="Arial" w:eastAsia="Arial" w:hAnsi="Arial"/>
          <w:sz w:val="18"/>
          <w:szCs w:val="18"/>
          <w:color w:val="auto"/>
        </w:rPr>
        <w:t>File No. 333-207091 Brighthouse Shield Level Selector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3-Year Annuity File No. 333-276468 Registered Fixed Account Option</w:t>
      </w:r>
    </w:p>
    <w:p>
      <w:pPr>
        <w:ind w:left="580"/>
        <w:spacing w:after="0" w:line="235" w:lineRule="auto"/>
        <w:rPr>
          <w:sz w:val="20"/>
          <w:szCs w:val="20"/>
          <w:color w:val="auto"/>
        </w:rPr>
      </w:pPr>
      <w:r>
        <w:rPr>
          <w:rFonts w:ascii="Arial" w:cs="Arial" w:eastAsia="Arial" w:hAnsi="Arial"/>
          <w:sz w:val="18"/>
          <w:szCs w:val="18"/>
          <w:color w:val="auto"/>
        </w:rPr>
        <w:t>File No. 333-276469 Fixed Annuity (Strategic Value Annuity)</w:t>
      </w:r>
    </w:p>
    <w:p>
      <w:pPr>
        <w:ind w:left="580" w:right="4640"/>
        <w:spacing w:after="0" w:line="189" w:lineRule="auto"/>
        <w:rPr>
          <w:sz w:val="20"/>
          <w:szCs w:val="20"/>
          <w:color w:val="auto"/>
        </w:rPr>
      </w:pPr>
      <w:r>
        <w:rPr>
          <w:rFonts w:ascii="Arial" w:cs="Arial" w:eastAsia="Arial" w:hAnsi="Arial"/>
          <w:sz w:val="17"/>
          <w:szCs w:val="17"/>
          <w:color w:val="auto"/>
        </w:rPr>
        <w:t>File No. 333-276470 Brighthouse Retirement Account Liquidity Benefit File No. 333-276599 Brighthouse Shield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Level II 6-Year Annuity File No. 333-276762 Brighthouse Shield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Level II Advisory Annuity</w:t>
      </w:r>
    </w:p>
    <w:p>
      <w:pPr>
        <w:spacing w:after="0" w:line="1" w:lineRule="exact"/>
        <w:rPr>
          <w:sz w:val="20"/>
          <w:szCs w:val="20"/>
          <w:color w:val="auto"/>
        </w:rPr>
      </w:pPr>
    </w:p>
    <w:p>
      <w:pPr>
        <w:ind w:left="580" w:right="100"/>
        <w:spacing w:after="0"/>
        <w:rPr>
          <w:sz w:val="20"/>
          <w:szCs w:val="20"/>
          <w:color w:val="auto"/>
        </w:rPr>
      </w:pPr>
      <w:r>
        <w:rPr>
          <w:rFonts w:ascii="Arial" w:cs="Arial" w:eastAsia="Arial" w:hAnsi="Arial"/>
          <w:sz w:val="18"/>
          <w:szCs w:val="18"/>
          <w:color w:val="auto"/>
        </w:rPr>
        <w:t>File No. 333-276763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Annuity and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Advisory Annuity File No. 333-279302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3-Year Annuity T-Mark Fixed Annuity</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Target Maturity,</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Life Insurance Company (RILA MVA)</w:t>
      </w:r>
    </w:p>
    <w:p>
      <w:pPr>
        <w:spacing w:after="0" w:line="14" w:lineRule="exact"/>
        <w:rPr>
          <w:sz w:val="20"/>
          <w:szCs w:val="20"/>
          <w:color w:val="auto"/>
        </w:rPr>
      </w:pPr>
    </w:p>
    <w:p>
      <w:pPr>
        <w:ind w:left="580" w:right="100"/>
        <w:spacing w:after="0" w:line="181" w:lineRule="auto"/>
        <w:rPr>
          <w:sz w:val="20"/>
          <w:szCs w:val="20"/>
          <w:color w:val="auto"/>
        </w:rPr>
      </w:pPr>
      <w:r>
        <w:rPr>
          <w:rFonts w:ascii="Arial" w:cs="Arial" w:eastAsia="Arial" w:hAnsi="Arial"/>
          <w:sz w:val="18"/>
          <w:szCs w:val="18"/>
          <w:color w:val="auto"/>
        </w:rPr>
        <w:t>File No. 333-282752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Annuity and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Advisory Annuity File No. 333-282871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Advisory Annuity File No. 333-283023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ind w:left="580"/>
        <w:spacing w:after="0"/>
        <w:rPr>
          <w:sz w:val="20"/>
          <w:szCs w:val="20"/>
          <w:color w:val="auto"/>
        </w:rPr>
      </w:pPr>
      <w:r>
        <w:rPr>
          <w:rFonts w:ascii="Arial" w:cs="Arial" w:eastAsia="Arial" w:hAnsi="Arial"/>
          <w:sz w:val="18"/>
          <w:szCs w:val="18"/>
          <w:color w:val="auto"/>
        </w:rPr>
        <w:t>File No. 333-283024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3-Year Annuity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Brighthouse Shield Annuity</w:t>
      </w:r>
    </w:p>
    <w:p>
      <w:pPr>
        <w:ind w:left="580"/>
        <w:spacing w:after="0" w:line="234" w:lineRule="auto"/>
        <w:rPr>
          <w:sz w:val="20"/>
          <w:szCs w:val="20"/>
          <w:color w:val="auto"/>
        </w:rPr>
      </w:pPr>
      <w:r>
        <w:rPr>
          <w:rFonts w:ascii="Arial" w:cs="Arial" w:eastAsia="Arial" w:hAnsi="Arial"/>
          <w:sz w:val="18"/>
          <w:szCs w:val="18"/>
          <w:color w:val="auto"/>
        </w:rPr>
        <w:t>Brighthouse Shield 3-Year Annuity</w:t>
      </w:r>
    </w:p>
    <w:p>
      <w:pPr>
        <w:ind w:left="58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Brighthouse Index-linked Life Insurance Policy,</w:t>
      </w:r>
    </w:p>
    <w:p>
      <w:pPr>
        <w:spacing w:after="0" w:line="19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ectPr>
          <w:pgSz w:w="11900" w:h="16838" w:orient="portrait"/>
          <w:cols w:equalWidth="0" w:num="1">
            <w:col w:w="10800"/>
          </w:cols>
          <w:pgMar w:left="320" w:top="269" w:right="77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I have hereunto set my hand this 7th day of November 2024.</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Steigerwalt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Eric Steigerwalt</w:t>
      </w:r>
    </w:p>
    <w:p>
      <w:pPr>
        <w:sectPr>
          <w:pgSz w:w="11900" w:h="16838" w:orient="portrait"/>
          <w:cols w:equalWidth="0" w:num="1">
            <w:col w:w="10139"/>
          </w:cols>
          <w:pgMar w:left="320" w:top="269"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Brighthouse Life Insurance Company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Myles Lambert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 and Vice President</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KNOW ALL MEN BY THESE PRESENTS, that I, Myles Lambert, a Director and Vice President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206" w:lineRule="exact"/>
        <w:rPr>
          <w:sz w:val="20"/>
          <w:szCs w:val="20"/>
          <w:color w:val="auto"/>
        </w:rPr>
      </w:pPr>
    </w:p>
    <w:p>
      <w:pPr>
        <w:ind w:left="580" w:right="5940" w:hanging="572"/>
        <w:spacing w:after="0" w:line="200" w:lineRule="auto"/>
        <w:tabs>
          <w:tab w:leader="none" w:pos="23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Brighthouse Fund UL for Variable Life Insurance (811-03927) File No. 002-88637 MarketLife</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and Invest</w:t>
      </w:r>
    </w:p>
    <w:p>
      <w:pPr>
        <w:spacing w:after="0" w:line="1" w:lineRule="exact"/>
        <w:rPr>
          <w:rFonts w:ascii="Arial" w:cs="Arial" w:eastAsia="Arial" w:hAnsi="Arial"/>
          <w:sz w:val="18"/>
          <w:szCs w:val="18"/>
          <w:color w:val="auto"/>
        </w:rPr>
      </w:pPr>
    </w:p>
    <w:p>
      <w:pPr>
        <w:ind w:left="580"/>
        <w:spacing w:after="0" w:line="183" w:lineRule="auto"/>
        <w:rPr>
          <w:rFonts w:ascii="Arial" w:cs="Arial" w:eastAsia="Arial" w:hAnsi="Arial"/>
          <w:sz w:val="18"/>
          <w:szCs w:val="18"/>
          <w:color w:val="auto"/>
        </w:rPr>
      </w:pPr>
      <w:r>
        <w:rPr>
          <w:rFonts w:ascii="Arial" w:cs="Arial" w:eastAsia="Arial" w:hAnsi="Arial"/>
          <w:sz w:val="16"/>
          <w:szCs w:val="16"/>
          <w:color w:val="auto"/>
        </w:rPr>
        <w:t>File No. 333-152219 MarketLife</w:t>
      </w:r>
      <w:r>
        <w:rPr>
          <w:rFonts w:ascii="Arial" w:cs="Arial" w:eastAsia="Arial" w:hAnsi="Arial"/>
          <w:sz w:val="23"/>
          <w:szCs w:val="23"/>
          <w:color w:val="auto"/>
          <w:vertAlign w:val="superscript"/>
        </w:rPr>
        <w:t>SM</w:t>
      </w:r>
    </w:p>
    <w:p>
      <w:pPr>
        <w:ind w:left="580" w:right="5680"/>
        <w:spacing w:after="0" w:line="248" w:lineRule="auto"/>
        <w:rPr>
          <w:rFonts w:ascii="Arial" w:cs="Arial" w:eastAsia="Arial" w:hAnsi="Arial"/>
          <w:sz w:val="18"/>
          <w:szCs w:val="18"/>
          <w:color w:val="auto"/>
        </w:rPr>
      </w:pPr>
      <w:r>
        <w:rPr>
          <w:rFonts w:ascii="Arial" w:cs="Arial" w:eastAsia="Arial" w:hAnsi="Arial"/>
          <w:sz w:val="17"/>
          <w:szCs w:val="17"/>
          <w:color w:val="auto"/>
        </w:rPr>
        <w:t>File No. 333-56952 Brighthouse Variable Survivorship Life II File No. 333-69771 Brighthouse Variable Survivorship Life</w:t>
      </w:r>
    </w:p>
    <w:p>
      <w:pPr>
        <w:spacing w:after="0" w:line="1" w:lineRule="exact"/>
        <w:rPr>
          <w:rFonts w:ascii="Arial" w:cs="Arial" w:eastAsia="Arial" w:hAnsi="Arial"/>
          <w:sz w:val="18"/>
          <w:szCs w:val="18"/>
          <w:color w:val="auto"/>
        </w:rPr>
      </w:pPr>
    </w:p>
    <w:p>
      <w:pPr>
        <w:ind w:left="580" w:right="1560"/>
        <w:spacing w:after="0" w:line="234" w:lineRule="auto"/>
        <w:rPr>
          <w:rFonts w:ascii="Arial" w:cs="Arial" w:eastAsia="Arial" w:hAnsi="Arial"/>
          <w:sz w:val="18"/>
          <w:szCs w:val="18"/>
          <w:color w:val="auto"/>
        </w:rPr>
      </w:pPr>
      <w:r>
        <w:rPr>
          <w:rFonts w:ascii="Arial" w:cs="Arial" w:eastAsia="Arial" w:hAnsi="Arial"/>
          <w:sz w:val="18"/>
          <w:szCs w:val="18"/>
          <w:color w:val="auto"/>
        </w:rPr>
        <w:t>File No. 333-96515 Brighthouse Variable Life Accumulator and Brighthouse Variable Life Accumulator - Series 2 File No. 333-96519 Brighthouse Variable Life</w:t>
      </w:r>
    </w:p>
    <w:p>
      <w:pPr>
        <w:spacing w:after="0" w:line="1" w:lineRule="exact"/>
        <w:rPr>
          <w:rFonts w:ascii="Arial" w:cs="Arial" w:eastAsia="Arial" w:hAnsi="Arial"/>
          <w:sz w:val="18"/>
          <w:szCs w:val="18"/>
          <w:color w:val="auto"/>
        </w:rPr>
      </w:pPr>
    </w:p>
    <w:p>
      <w:pPr>
        <w:ind w:left="580" w:right="4920"/>
        <w:spacing w:after="0" w:line="234" w:lineRule="auto"/>
        <w:rPr>
          <w:rFonts w:ascii="Arial" w:cs="Arial" w:eastAsia="Arial" w:hAnsi="Arial"/>
          <w:sz w:val="18"/>
          <w:szCs w:val="18"/>
          <w:color w:val="auto"/>
        </w:rPr>
      </w:pPr>
      <w:r>
        <w:rPr>
          <w:rFonts w:ascii="Arial" w:cs="Arial" w:eastAsia="Arial" w:hAnsi="Arial"/>
          <w:sz w:val="18"/>
          <w:szCs w:val="18"/>
          <w:color w:val="auto"/>
        </w:rPr>
        <w:t>File No. 333-113109 Brighthouse Variable Life Accumulator - Series 3 File No. 333-152216 Portfolio Architect Life</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File No. 333-152217 VintageLife,</w:t>
      </w:r>
    </w:p>
    <w:p>
      <w:pPr>
        <w:spacing w:after="0" w:line="220"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Brighthouse Fund UL III for Variable Life Insurance (811-09215)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333-71349 Corporate Owned VUL Series 1</w:t>
      </w:r>
    </w:p>
    <w:p>
      <w:pPr>
        <w:ind w:left="580"/>
        <w:spacing w:after="0" w:line="234" w:lineRule="auto"/>
        <w:rPr>
          <w:sz w:val="20"/>
          <w:szCs w:val="20"/>
          <w:color w:val="auto"/>
        </w:rPr>
      </w:pPr>
      <w:r>
        <w:rPr>
          <w:rFonts w:ascii="Arial" w:cs="Arial" w:eastAsia="Arial" w:hAnsi="Arial"/>
          <w:sz w:val="18"/>
          <w:szCs w:val="18"/>
          <w:color w:val="auto"/>
        </w:rPr>
        <w:t>File No. 333-94779 Corporate Owned VUL 2000 and Corporate Owned VUL III</w:t>
      </w:r>
    </w:p>
    <w:p>
      <w:pPr>
        <w:ind w:left="580"/>
        <w:spacing w:after="0" w:line="235" w:lineRule="auto"/>
        <w:rPr>
          <w:sz w:val="20"/>
          <w:szCs w:val="20"/>
          <w:color w:val="auto"/>
        </w:rPr>
      </w:pPr>
      <w:r>
        <w:rPr>
          <w:rFonts w:ascii="Arial" w:cs="Arial" w:eastAsia="Arial" w:hAnsi="Arial"/>
          <w:sz w:val="18"/>
          <w:szCs w:val="18"/>
          <w:color w:val="auto"/>
        </w:rPr>
        <w:t>File No. 333-105335 Corporate Select Policy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333-113533 Corporate Owned VUL IV,</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Separate Account A (811-03365)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333-200231 Series VA (offered between October 7, 2011 and May 1, 2016)</w:t>
      </w:r>
    </w:p>
    <w:p>
      <w:pPr>
        <w:ind w:left="780" w:right="160" w:hanging="204"/>
        <w:spacing w:after="0" w:line="234" w:lineRule="auto"/>
        <w:rPr>
          <w:sz w:val="20"/>
          <w:szCs w:val="20"/>
          <w:color w:val="auto"/>
        </w:rPr>
      </w:pPr>
      <w:r>
        <w:rPr>
          <w:rFonts w:ascii="Arial" w:cs="Arial" w:eastAsia="Arial" w:hAnsi="Arial"/>
          <w:sz w:val="18"/>
          <w:szCs w:val="18"/>
          <w:color w:val="auto"/>
        </w:rPr>
        <w:t>File No. 333-200232 Series S (offered between October 7, 2011 and May 1, 2016) and Series S-L Share Option (offered between October 7, 2011 and May 1, 2016)</w:t>
      </w:r>
    </w:p>
    <w:p>
      <w:pPr>
        <w:ind w:left="580"/>
        <w:spacing w:after="0" w:line="236" w:lineRule="auto"/>
        <w:rPr>
          <w:sz w:val="20"/>
          <w:szCs w:val="20"/>
          <w:color w:val="auto"/>
        </w:rPr>
      </w:pPr>
      <w:r>
        <w:rPr>
          <w:rFonts w:ascii="Arial" w:cs="Arial" w:eastAsia="Arial" w:hAnsi="Arial"/>
          <w:sz w:val="18"/>
          <w:szCs w:val="18"/>
          <w:color w:val="auto"/>
        </w:rPr>
        <w:t>File No. 333-200233 Series VA-4 (offered between October 7, 2011 and May 1, 2016)</w:t>
      </w:r>
    </w:p>
    <w:p>
      <w:pPr>
        <w:ind w:left="580"/>
        <w:spacing w:after="0" w:line="235" w:lineRule="auto"/>
        <w:rPr>
          <w:sz w:val="20"/>
          <w:szCs w:val="20"/>
          <w:color w:val="auto"/>
        </w:rPr>
      </w:pPr>
      <w:r>
        <w:rPr>
          <w:rFonts w:ascii="Arial" w:cs="Arial" w:eastAsia="Arial" w:hAnsi="Arial"/>
          <w:sz w:val="18"/>
          <w:szCs w:val="18"/>
          <w:color w:val="auto"/>
        </w:rPr>
        <w:t>File No. 333-200234 Series O (offered between April 30, 2012 and July 19, 2015)</w:t>
      </w:r>
    </w:p>
    <w:p>
      <w:pPr>
        <w:ind w:left="580"/>
        <w:spacing w:after="0" w:line="235" w:lineRule="auto"/>
        <w:rPr>
          <w:sz w:val="20"/>
          <w:szCs w:val="20"/>
          <w:color w:val="auto"/>
        </w:rPr>
      </w:pPr>
      <w:r>
        <w:rPr>
          <w:rFonts w:ascii="Arial" w:cs="Arial" w:eastAsia="Arial" w:hAnsi="Arial"/>
          <w:sz w:val="18"/>
          <w:szCs w:val="18"/>
          <w:color w:val="auto"/>
        </w:rPr>
        <w:t>File No. 333-200236 Series L - 4 Year (offered on and after April 29, 2013)</w:t>
      </w:r>
    </w:p>
    <w:p>
      <w:pPr>
        <w:ind w:left="580"/>
        <w:spacing w:after="0" w:line="234" w:lineRule="auto"/>
        <w:rPr>
          <w:sz w:val="20"/>
          <w:szCs w:val="20"/>
          <w:color w:val="auto"/>
        </w:rPr>
      </w:pPr>
      <w:r>
        <w:rPr>
          <w:rFonts w:ascii="Arial" w:cs="Arial" w:eastAsia="Arial" w:hAnsi="Arial"/>
          <w:sz w:val="18"/>
          <w:szCs w:val="18"/>
          <w:color w:val="auto"/>
        </w:rPr>
        <w:t>File No. 333-200237 PrimElite IV</w:t>
      </w:r>
    </w:p>
    <w:p>
      <w:pPr>
        <w:ind w:left="580"/>
        <w:spacing w:after="0" w:line="235" w:lineRule="auto"/>
        <w:rPr>
          <w:sz w:val="20"/>
          <w:szCs w:val="20"/>
          <w:color w:val="auto"/>
        </w:rPr>
      </w:pPr>
      <w:r>
        <w:rPr>
          <w:rFonts w:ascii="Arial" w:cs="Arial" w:eastAsia="Arial" w:hAnsi="Arial"/>
          <w:sz w:val="18"/>
          <w:szCs w:val="18"/>
          <w:color w:val="auto"/>
        </w:rPr>
        <w:t>File No. 333-200238 Marquis Portfolios (offered on and after April 30, 2012)</w:t>
      </w:r>
    </w:p>
    <w:p>
      <w:pPr>
        <w:ind w:left="580"/>
        <w:spacing w:after="0" w:line="235" w:lineRule="auto"/>
        <w:rPr>
          <w:sz w:val="20"/>
          <w:szCs w:val="20"/>
          <w:color w:val="auto"/>
        </w:rPr>
      </w:pPr>
      <w:r>
        <w:rPr>
          <w:rFonts w:ascii="Arial" w:cs="Arial" w:eastAsia="Arial" w:hAnsi="Arial"/>
          <w:sz w:val="18"/>
          <w:szCs w:val="18"/>
          <w:color w:val="auto"/>
        </w:rPr>
        <w:t>File No. 333-200239 Brighthouse Growth and Income</w:t>
      </w:r>
    </w:p>
    <w:p>
      <w:pPr>
        <w:ind w:left="580" w:right="1100"/>
        <w:spacing w:after="0" w:line="234" w:lineRule="auto"/>
        <w:rPr>
          <w:sz w:val="20"/>
          <w:szCs w:val="20"/>
          <w:color w:val="auto"/>
        </w:rPr>
      </w:pPr>
      <w:r>
        <w:rPr>
          <w:rFonts w:ascii="Arial" w:cs="Arial" w:eastAsia="Arial" w:hAnsi="Arial"/>
          <w:sz w:val="18"/>
          <w:szCs w:val="18"/>
          <w:color w:val="auto"/>
        </w:rPr>
        <w:t>File No. 333-200240 Group Flexible Payment Variable Annuity (Flexible Bonus/Retirement Companion/Smart Choice) File No. 333-200243 PrimElite III</w:t>
      </w:r>
    </w:p>
    <w:p>
      <w:pPr>
        <w:ind w:left="580"/>
        <w:spacing w:after="0" w:line="185" w:lineRule="auto"/>
        <w:rPr>
          <w:sz w:val="20"/>
          <w:szCs w:val="20"/>
          <w:color w:val="auto"/>
        </w:rPr>
      </w:pPr>
      <w:r>
        <w:rPr>
          <w:rFonts w:ascii="Arial" w:cs="Arial" w:eastAsia="Arial" w:hAnsi="Arial"/>
          <w:sz w:val="16"/>
          <w:szCs w:val="16"/>
          <w:color w:val="auto"/>
        </w:rPr>
        <w:t>File No. 333-200246 Brighthouse Simple Solutions</w:t>
      </w:r>
      <w:r>
        <w:rPr>
          <w:rFonts w:ascii="Arial" w:cs="Arial" w:eastAsia="Arial" w:hAnsi="Arial"/>
          <w:sz w:val="23"/>
          <w:szCs w:val="23"/>
          <w:color w:val="auto"/>
          <w:vertAlign w:val="superscript"/>
        </w:rPr>
        <w:t>SM</w:t>
      </w:r>
    </w:p>
    <w:p>
      <w:pPr>
        <w:ind w:left="580"/>
        <w:spacing w:after="0" w:line="234" w:lineRule="auto"/>
        <w:rPr>
          <w:sz w:val="20"/>
          <w:szCs w:val="20"/>
          <w:color w:val="auto"/>
        </w:rPr>
      </w:pPr>
      <w:r>
        <w:rPr>
          <w:rFonts w:ascii="Arial" w:cs="Arial" w:eastAsia="Arial" w:hAnsi="Arial"/>
          <w:sz w:val="18"/>
          <w:szCs w:val="18"/>
          <w:color w:val="auto"/>
        </w:rPr>
        <w:t>File No. 333-200250 Marquis Portfolios (offered between November 7, 2005 and April 30, 2012)</w:t>
      </w:r>
    </w:p>
    <w:p>
      <w:pPr>
        <w:ind w:left="580"/>
        <w:spacing w:after="0" w:line="235" w:lineRule="auto"/>
        <w:rPr>
          <w:sz w:val="20"/>
          <w:szCs w:val="20"/>
          <w:color w:val="auto"/>
        </w:rPr>
      </w:pPr>
      <w:r>
        <w:rPr>
          <w:rFonts w:ascii="Arial" w:cs="Arial" w:eastAsia="Arial" w:hAnsi="Arial"/>
          <w:sz w:val="18"/>
          <w:szCs w:val="18"/>
          <w:color w:val="auto"/>
        </w:rPr>
        <w:t>File No. 333-200253 Series XC</w:t>
      </w:r>
    </w:p>
    <w:p>
      <w:pPr>
        <w:ind w:left="580"/>
        <w:spacing w:after="0" w:line="235" w:lineRule="auto"/>
        <w:rPr>
          <w:sz w:val="20"/>
          <w:szCs w:val="20"/>
          <w:color w:val="auto"/>
        </w:rPr>
      </w:pPr>
      <w:r>
        <w:rPr>
          <w:rFonts w:ascii="Arial" w:cs="Arial" w:eastAsia="Arial" w:hAnsi="Arial"/>
          <w:sz w:val="18"/>
          <w:szCs w:val="18"/>
          <w:color w:val="auto"/>
        </w:rPr>
        <w:t>File No. 333-200256 Series VA (offered between March 22, 2001 and October 7, 2011)</w:t>
      </w:r>
    </w:p>
    <w:p>
      <w:pPr>
        <w:ind w:left="580"/>
        <w:spacing w:after="0" w:line="235" w:lineRule="auto"/>
        <w:rPr>
          <w:sz w:val="20"/>
          <w:szCs w:val="20"/>
          <w:color w:val="auto"/>
        </w:rPr>
      </w:pPr>
      <w:r>
        <w:rPr>
          <w:rFonts w:ascii="Arial" w:cs="Arial" w:eastAsia="Arial" w:hAnsi="Arial"/>
          <w:sz w:val="18"/>
          <w:szCs w:val="18"/>
          <w:color w:val="auto"/>
        </w:rPr>
        <w:t>File No. 333-200259 Series L and Series L - 4 Year (offered between November 22, 2004 and October 7, 2011)</w:t>
      </w:r>
    </w:p>
    <w:p>
      <w:pPr>
        <w:ind w:left="580"/>
        <w:spacing w:after="0" w:line="235" w:lineRule="auto"/>
        <w:rPr>
          <w:sz w:val="20"/>
          <w:szCs w:val="20"/>
          <w:color w:val="auto"/>
        </w:rPr>
      </w:pPr>
      <w:r>
        <w:rPr>
          <w:rFonts w:ascii="Arial" w:cs="Arial" w:eastAsia="Arial" w:hAnsi="Arial"/>
          <w:sz w:val="18"/>
          <w:szCs w:val="18"/>
          <w:color w:val="auto"/>
        </w:rPr>
        <w:t>File No. 333-200261 Series C (offered between September 4, 2001 and October 7, 2011)</w:t>
      </w:r>
    </w:p>
    <w:p>
      <w:pPr>
        <w:ind w:left="580"/>
        <w:spacing w:after="0" w:line="234" w:lineRule="auto"/>
        <w:rPr>
          <w:sz w:val="20"/>
          <w:szCs w:val="20"/>
          <w:color w:val="auto"/>
        </w:rPr>
      </w:pPr>
      <w:r>
        <w:rPr>
          <w:rFonts w:ascii="Arial" w:cs="Arial" w:eastAsia="Arial" w:hAnsi="Arial"/>
          <w:sz w:val="18"/>
          <w:szCs w:val="18"/>
          <w:color w:val="auto"/>
        </w:rPr>
        <w:t>File No. 333-200263 Series XTRA</w:t>
      </w:r>
    </w:p>
    <w:p>
      <w:pPr>
        <w:ind w:left="580"/>
        <w:spacing w:after="0" w:line="235" w:lineRule="auto"/>
        <w:rPr>
          <w:sz w:val="20"/>
          <w:szCs w:val="20"/>
          <w:color w:val="auto"/>
        </w:rPr>
      </w:pPr>
      <w:r>
        <w:rPr>
          <w:rFonts w:ascii="Arial" w:cs="Arial" w:eastAsia="Arial" w:hAnsi="Arial"/>
          <w:sz w:val="18"/>
          <w:szCs w:val="18"/>
          <w:color w:val="auto"/>
        </w:rPr>
        <w:t>File No. 333-200265 Series S and Series S-L Share Option (offered between April 30, 2007 and October 7, 2011)</w:t>
      </w:r>
    </w:p>
    <w:p>
      <w:pPr>
        <w:ind w:left="580"/>
        <w:spacing w:after="0" w:line="235" w:lineRule="auto"/>
        <w:rPr>
          <w:sz w:val="20"/>
          <w:szCs w:val="20"/>
          <w:color w:val="auto"/>
        </w:rPr>
      </w:pPr>
      <w:r>
        <w:rPr>
          <w:rFonts w:ascii="Arial" w:cs="Arial" w:eastAsia="Arial" w:hAnsi="Arial"/>
          <w:sz w:val="18"/>
          <w:szCs w:val="18"/>
          <w:color w:val="auto"/>
        </w:rPr>
        <w:t>File No. 333-200268 Series L - 4 Year (offered between October 7, 2011 and April 28, 2013)</w:t>
      </w:r>
    </w:p>
    <w:p>
      <w:pPr>
        <w:ind w:left="580"/>
        <w:spacing w:after="0" w:line="235" w:lineRule="auto"/>
        <w:rPr>
          <w:sz w:val="20"/>
          <w:szCs w:val="20"/>
          <w:color w:val="auto"/>
        </w:rPr>
      </w:pPr>
      <w:r>
        <w:rPr>
          <w:rFonts w:ascii="Arial" w:cs="Arial" w:eastAsia="Arial" w:hAnsi="Arial"/>
          <w:sz w:val="18"/>
          <w:szCs w:val="18"/>
          <w:color w:val="auto"/>
        </w:rPr>
        <w:t>File No. 333-200270 Group Annuity SF 101</w:t>
      </w:r>
    </w:p>
    <w:p>
      <w:pPr>
        <w:ind w:left="580"/>
        <w:spacing w:after="0" w:line="235" w:lineRule="auto"/>
        <w:rPr>
          <w:sz w:val="20"/>
          <w:szCs w:val="20"/>
          <w:color w:val="auto"/>
        </w:rPr>
      </w:pPr>
      <w:r>
        <w:rPr>
          <w:rFonts w:ascii="Arial" w:cs="Arial" w:eastAsia="Arial" w:hAnsi="Arial"/>
          <w:sz w:val="18"/>
          <w:szCs w:val="18"/>
          <w:color w:val="auto"/>
        </w:rPr>
        <w:t>File No. 333-200272 Ultimate Annuity FSL 224</w:t>
      </w:r>
    </w:p>
    <w:p>
      <w:pPr>
        <w:ind w:left="580"/>
        <w:spacing w:after="0" w:line="234" w:lineRule="auto"/>
        <w:rPr>
          <w:sz w:val="20"/>
          <w:szCs w:val="20"/>
          <w:color w:val="auto"/>
        </w:rPr>
      </w:pPr>
      <w:r>
        <w:rPr>
          <w:rFonts w:ascii="Arial" w:cs="Arial" w:eastAsia="Arial" w:hAnsi="Arial"/>
          <w:sz w:val="18"/>
          <w:szCs w:val="18"/>
          <w:color w:val="auto"/>
        </w:rPr>
        <w:t>File No. 333-200275 Foresight SF 137</w:t>
      </w:r>
    </w:p>
    <w:p>
      <w:pPr>
        <w:ind w:left="580"/>
        <w:spacing w:after="0" w:line="235" w:lineRule="auto"/>
        <w:rPr>
          <w:sz w:val="20"/>
          <w:szCs w:val="20"/>
          <w:color w:val="auto"/>
        </w:rPr>
      </w:pPr>
      <w:r>
        <w:rPr>
          <w:rFonts w:ascii="Arial" w:cs="Arial" w:eastAsia="Arial" w:hAnsi="Arial"/>
          <w:sz w:val="18"/>
          <w:szCs w:val="18"/>
          <w:color w:val="auto"/>
        </w:rPr>
        <w:t>File No. 333-200277 SecurAnnuity (CLICO) 224/ SF 1700</w:t>
      </w:r>
    </w:p>
    <w:p>
      <w:pPr>
        <w:ind w:left="580"/>
        <w:spacing w:after="0" w:line="235" w:lineRule="auto"/>
        <w:rPr>
          <w:sz w:val="20"/>
          <w:szCs w:val="20"/>
          <w:color w:val="auto"/>
        </w:rPr>
      </w:pPr>
      <w:r>
        <w:rPr>
          <w:rFonts w:ascii="Arial" w:cs="Arial" w:eastAsia="Arial" w:hAnsi="Arial"/>
          <w:sz w:val="18"/>
          <w:szCs w:val="18"/>
          <w:color w:val="auto"/>
        </w:rPr>
        <w:t>File No. 333-200278 Group VA SF 234 (Texas)</w:t>
      </w:r>
    </w:p>
    <w:p>
      <w:pPr>
        <w:ind w:left="580"/>
        <w:spacing w:after="0" w:line="235" w:lineRule="auto"/>
        <w:rPr>
          <w:sz w:val="20"/>
          <w:szCs w:val="20"/>
          <w:color w:val="auto"/>
        </w:rPr>
      </w:pPr>
      <w:r>
        <w:rPr>
          <w:rFonts w:ascii="Arial" w:cs="Arial" w:eastAsia="Arial" w:hAnsi="Arial"/>
          <w:sz w:val="18"/>
          <w:szCs w:val="18"/>
          <w:color w:val="auto"/>
        </w:rPr>
        <w:t>File No. 333-200280 Sunshine SF 236 FL</w:t>
      </w:r>
    </w:p>
    <w:p>
      <w:pPr>
        <w:ind w:left="580"/>
        <w:spacing w:after="0" w:line="235" w:lineRule="auto"/>
        <w:rPr>
          <w:sz w:val="20"/>
          <w:szCs w:val="20"/>
          <w:color w:val="auto"/>
        </w:rPr>
      </w:pPr>
      <w:r>
        <w:rPr>
          <w:rFonts w:ascii="Arial" w:cs="Arial" w:eastAsia="Arial" w:hAnsi="Arial"/>
          <w:sz w:val="18"/>
          <w:szCs w:val="18"/>
          <w:color w:val="auto"/>
        </w:rPr>
        <w:t>File No. 333-200281 Flexible Value SF 230</w:t>
      </w:r>
    </w:p>
    <w:p>
      <w:pPr>
        <w:ind w:left="580" w:right="1880"/>
        <w:spacing w:after="0" w:line="250" w:lineRule="auto"/>
        <w:rPr>
          <w:sz w:val="20"/>
          <w:szCs w:val="20"/>
          <w:color w:val="auto"/>
        </w:rPr>
      </w:pPr>
      <w:r>
        <w:rPr>
          <w:rFonts w:ascii="Arial" w:cs="Arial" w:eastAsia="Arial" w:hAnsi="Arial"/>
          <w:sz w:val="18"/>
          <w:szCs w:val="18"/>
          <w:color w:val="auto"/>
        </w:rPr>
        <w:t>File No. 333-200282 Investors Choice Annuity, Capital Strategist Annuity, Imprint Annuity and Strive Annuity File No. 333-200283 Protected Equity Portfolio (PEP)</w:t>
      </w:r>
    </w:p>
    <w:p>
      <w:pPr>
        <w:sectPr>
          <w:pgSz w:w="11900" w:h="16838" w:orient="portrait"/>
          <w:cols w:equalWidth="0" w:num="1">
            <w:col w:w="11020"/>
          </w:cols>
          <w:pgMar w:left="320" w:top="269" w:right="559" w:bottom="1440" w:gutter="0" w:footer="0" w:header="0"/>
        </w:sectPr>
      </w:pPr>
    </w:p>
    <w:bookmarkStart w:id="103" w:name="page104"/>
    <w:bookmarkEnd w:id="103"/>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333-200284 Vintage L and Vintage XC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333-200285 Series XTRA 6</w:t>
      </w:r>
    </w:p>
    <w:p>
      <w:pPr>
        <w:ind w:left="580"/>
        <w:spacing w:after="0" w:line="234" w:lineRule="auto"/>
        <w:rPr>
          <w:sz w:val="20"/>
          <w:szCs w:val="20"/>
          <w:color w:val="auto"/>
        </w:rPr>
      </w:pPr>
      <w:r>
        <w:rPr>
          <w:rFonts w:ascii="Arial" w:cs="Arial" w:eastAsia="Arial" w:hAnsi="Arial"/>
          <w:sz w:val="18"/>
          <w:szCs w:val="18"/>
          <w:color w:val="auto"/>
        </w:rPr>
        <w:t>File No. 333-200286 Series VA - 4 (offered between May 1, 2011 and October 7, 2011)</w:t>
      </w:r>
    </w:p>
    <w:p>
      <w:pPr>
        <w:ind w:left="580"/>
        <w:spacing w:after="0" w:line="235" w:lineRule="auto"/>
        <w:rPr>
          <w:sz w:val="20"/>
          <w:szCs w:val="20"/>
          <w:color w:val="auto"/>
        </w:rPr>
      </w:pPr>
      <w:r>
        <w:rPr>
          <w:rFonts w:ascii="Arial" w:cs="Arial" w:eastAsia="Arial" w:hAnsi="Arial"/>
          <w:sz w:val="18"/>
          <w:szCs w:val="18"/>
          <w:color w:val="auto"/>
        </w:rPr>
        <w:t>File No. 333-200287 Series C (offered on and after October 7, 2011)</w:t>
      </w:r>
    </w:p>
    <w:p>
      <w:pPr>
        <w:ind w:left="580"/>
        <w:spacing w:after="0" w:line="235" w:lineRule="auto"/>
        <w:rPr>
          <w:sz w:val="20"/>
          <w:szCs w:val="20"/>
          <w:color w:val="auto"/>
        </w:rPr>
      </w:pPr>
      <w:r>
        <w:rPr>
          <w:rFonts w:ascii="Arial" w:cs="Arial" w:eastAsia="Arial" w:hAnsi="Arial"/>
          <w:sz w:val="18"/>
          <w:szCs w:val="18"/>
          <w:color w:val="auto"/>
        </w:rPr>
        <w:t>File No. 333-200288 Pioneer PRISM</w:t>
      </w:r>
    </w:p>
    <w:p>
      <w:pPr>
        <w:ind w:left="580"/>
        <w:spacing w:after="0" w:line="235" w:lineRule="auto"/>
        <w:rPr>
          <w:sz w:val="20"/>
          <w:szCs w:val="20"/>
          <w:color w:val="auto"/>
        </w:rPr>
      </w:pPr>
      <w:r>
        <w:rPr>
          <w:rFonts w:ascii="Arial" w:cs="Arial" w:eastAsia="Arial" w:hAnsi="Arial"/>
          <w:sz w:val="18"/>
          <w:szCs w:val="18"/>
          <w:color w:val="auto"/>
        </w:rPr>
        <w:t>File No. 333-200289 Pioneer PRISM L</w:t>
      </w:r>
    </w:p>
    <w:p>
      <w:pPr>
        <w:ind w:left="580"/>
        <w:spacing w:after="0" w:line="235" w:lineRule="auto"/>
        <w:rPr>
          <w:sz w:val="20"/>
          <w:szCs w:val="20"/>
          <w:color w:val="auto"/>
        </w:rPr>
      </w:pPr>
      <w:r>
        <w:rPr>
          <w:rFonts w:ascii="Arial" w:cs="Arial" w:eastAsia="Arial" w:hAnsi="Arial"/>
          <w:sz w:val="18"/>
          <w:szCs w:val="18"/>
          <w:color w:val="auto"/>
        </w:rPr>
        <w:t>File No. 333-200290 Pioneer PRISM XC</w:t>
      </w:r>
    </w:p>
    <w:p>
      <w:pPr>
        <w:ind w:left="780" w:right="660" w:hanging="204"/>
        <w:spacing w:after="0" w:line="216" w:lineRule="auto"/>
        <w:rPr>
          <w:sz w:val="20"/>
          <w:szCs w:val="20"/>
          <w:color w:val="auto"/>
        </w:rPr>
      </w:pPr>
      <w:r>
        <w:rPr>
          <w:rFonts w:ascii="Arial" w:cs="Arial" w:eastAsia="Arial" w:hAnsi="Arial"/>
          <w:sz w:val="16"/>
          <w:szCs w:val="16"/>
          <w:color w:val="auto"/>
        </w:rPr>
        <w:t>File No. 333-200323 Brighthouse Investment Portfolio Architect</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 Standard Version and Brighthouse Investment Portfolio Architect</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 C Share Option</w:t>
      </w:r>
    </w:p>
    <w:p>
      <w:pPr>
        <w:ind w:left="580"/>
        <w:spacing w:after="0" w:line="236" w:lineRule="auto"/>
        <w:rPr>
          <w:sz w:val="20"/>
          <w:szCs w:val="20"/>
          <w:color w:val="auto"/>
        </w:rPr>
      </w:pPr>
      <w:r>
        <w:rPr>
          <w:rFonts w:ascii="Arial" w:cs="Arial" w:eastAsia="Arial" w:hAnsi="Arial"/>
          <w:sz w:val="18"/>
          <w:szCs w:val="18"/>
          <w:color w:val="auto"/>
        </w:rPr>
        <w:t>File No. 333-203748 Series O (offered on and after July 20, 2015)</w:t>
      </w:r>
    </w:p>
    <w:p>
      <w:pPr>
        <w:ind w:left="580"/>
        <w:spacing w:after="0" w:line="235" w:lineRule="auto"/>
        <w:rPr>
          <w:sz w:val="20"/>
          <w:szCs w:val="20"/>
          <w:color w:val="auto"/>
        </w:rPr>
      </w:pPr>
      <w:r>
        <w:rPr>
          <w:rFonts w:ascii="Arial" w:cs="Arial" w:eastAsia="Arial" w:hAnsi="Arial"/>
          <w:sz w:val="18"/>
          <w:szCs w:val="18"/>
          <w:color w:val="auto"/>
        </w:rPr>
        <w:t>File No. 333-209053 Series VA (offered on and after May 2, 2016)</w:t>
      </w:r>
    </w:p>
    <w:p>
      <w:pPr>
        <w:ind w:left="580"/>
        <w:spacing w:after="0" w:line="235" w:lineRule="auto"/>
        <w:rPr>
          <w:sz w:val="20"/>
          <w:szCs w:val="20"/>
          <w:color w:val="auto"/>
        </w:rPr>
      </w:pPr>
      <w:r>
        <w:rPr>
          <w:rFonts w:ascii="Arial" w:cs="Arial" w:eastAsia="Arial" w:hAnsi="Arial"/>
          <w:sz w:val="18"/>
          <w:szCs w:val="18"/>
          <w:color w:val="auto"/>
        </w:rPr>
        <w:t>File No. 333-209054 Series VA- 4 (offered on and after May 2, 2016)</w:t>
      </w:r>
    </w:p>
    <w:p>
      <w:pPr>
        <w:ind w:left="580" w:right="160"/>
        <w:spacing w:after="0" w:line="250" w:lineRule="auto"/>
        <w:rPr>
          <w:sz w:val="20"/>
          <w:szCs w:val="20"/>
          <w:color w:val="auto"/>
        </w:rPr>
      </w:pPr>
      <w:r>
        <w:rPr>
          <w:rFonts w:ascii="Arial" w:cs="Arial" w:eastAsia="Arial" w:hAnsi="Arial"/>
          <w:sz w:val="18"/>
          <w:szCs w:val="18"/>
          <w:color w:val="auto"/>
        </w:rPr>
        <w:t>File No. 333-209055 Series S (offered on and after May 2, 2016) and Series S-L Share Option (offered on and after May 2, 2016) File No. 333-209411 Brighthouse Prime Options,</w:t>
      </w:r>
    </w:p>
    <w:p>
      <w:pPr>
        <w:spacing w:after="0" w:line="199"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Separate Account Eleven for Variable Annuities (811-21262)</w:t>
      </w:r>
    </w:p>
    <w:p>
      <w:pPr>
        <w:spacing w:after="0" w:line="14" w:lineRule="exact"/>
        <w:rPr>
          <w:sz w:val="20"/>
          <w:szCs w:val="20"/>
          <w:color w:val="auto"/>
        </w:rPr>
      </w:pPr>
    </w:p>
    <w:p>
      <w:pPr>
        <w:ind w:left="780" w:right="360" w:hanging="204"/>
        <w:spacing w:after="0" w:line="234" w:lineRule="auto"/>
        <w:rPr>
          <w:sz w:val="20"/>
          <w:szCs w:val="20"/>
          <w:color w:val="auto"/>
        </w:rPr>
      </w:pPr>
      <w:r>
        <w:rPr>
          <w:rFonts w:ascii="Arial" w:cs="Arial" w:eastAsia="Arial" w:hAnsi="Arial"/>
          <w:sz w:val="18"/>
          <w:szCs w:val="18"/>
          <w:color w:val="auto"/>
        </w:rPr>
        <w:t>File Nos. 333-101778 and 333-152234 Pioneer AnnuiStar Plus Annuity, Portfolio Architect Plus Annuity and Scudder Advocate Rewards Annuity</w:t>
      </w:r>
    </w:p>
    <w:p>
      <w:pPr>
        <w:ind w:left="580"/>
        <w:spacing w:after="0" w:line="236" w:lineRule="auto"/>
        <w:rPr>
          <w:sz w:val="20"/>
          <w:szCs w:val="20"/>
          <w:color w:val="auto"/>
        </w:rPr>
      </w:pPr>
      <w:r>
        <w:rPr>
          <w:rFonts w:ascii="Arial" w:cs="Arial" w:eastAsia="Arial" w:hAnsi="Arial"/>
          <w:sz w:val="18"/>
          <w:szCs w:val="18"/>
          <w:color w:val="auto"/>
        </w:rPr>
        <w:t>File No. 333-152189 Universal Annuity</w:t>
      </w:r>
    </w:p>
    <w:p>
      <w:pPr>
        <w:ind w:left="580"/>
        <w:spacing w:after="0" w:line="235" w:lineRule="auto"/>
        <w:rPr>
          <w:sz w:val="20"/>
          <w:szCs w:val="20"/>
          <w:color w:val="auto"/>
        </w:rPr>
      </w:pPr>
      <w:r>
        <w:rPr>
          <w:rFonts w:ascii="Arial" w:cs="Arial" w:eastAsia="Arial" w:hAnsi="Arial"/>
          <w:sz w:val="18"/>
          <w:szCs w:val="18"/>
          <w:color w:val="auto"/>
        </w:rPr>
        <w:t>File No. 333-152190 Universal Select Annuity</w:t>
      </w:r>
    </w:p>
    <w:p>
      <w:pPr>
        <w:ind w:left="580"/>
        <w:spacing w:after="0" w:line="235" w:lineRule="auto"/>
        <w:rPr>
          <w:sz w:val="20"/>
          <w:szCs w:val="20"/>
          <w:color w:val="auto"/>
        </w:rPr>
      </w:pPr>
      <w:r>
        <w:rPr>
          <w:rFonts w:ascii="Arial" w:cs="Arial" w:eastAsia="Arial" w:hAnsi="Arial"/>
          <w:sz w:val="18"/>
          <w:szCs w:val="18"/>
          <w:color w:val="auto"/>
        </w:rPr>
        <w:t>File No. 333-152191 Universal Annuity Advantage</w:t>
      </w:r>
    </w:p>
    <w:p>
      <w:pPr>
        <w:ind w:left="580" w:right="4700"/>
        <w:spacing w:after="0" w:line="234" w:lineRule="auto"/>
        <w:rPr>
          <w:sz w:val="20"/>
          <w:szCs w:val="20"/>
          <w:color w:val="auto"/>
        </w:rPr>
      </w:pPr>
      <w:r>
        <w:rPr>
          <w:rFonts w:ascii="Arial" w:cs="Arial" w:eastAsia="Arial" w:hAnsi="Arial"/>
          <w:sz w:val="18"/>
          <w:szCs w:val="18"/>
          <w:color w:val="auto"/>
        </w:rPr>
        <w:t>File Nos. 333-152192 and 333-152193 Brighthouse Retirement Account File No. 333-152194 Gold Track and Gold Track Select</w:t>
      </w:r>
    </w:p>
    <w:p>
      <w:pPr>
        <w:spacing w:after="0" w:line="1" w:lineRule="exact"/>
        <w:rPr>
          <w:sz w:val="20"/>
          <w:szCs w:val="20"/>
          <w:color w:val="auto"/>
        </w:rPr>
      </w:pPr>
    </w:p>
    <w:p>
      <w:pPr>
        <w:ind w:left="580" w:right="1880"/>
        <w:spacing w:after="0" w:line="234" w:lineRule="auto"/>
        <w:rPr>
          <w:sz w:val="20"/>
          <w:szCs w:val="20"/>
          <w:color w:val="auto"/>
        </w:rPr>
      </w:pPr>
      <w:r>
        <w:rPr>
          <w:rFonts w:ascii="Arial" w:cs="Arial" w:eastAsia="Arial" w:hAnsi="Arial"/>
          <w:sz w:val="18"/>
          <w:szCs w:val="18"/>
          <w:color w:val="auto"/>
        </w:rPr>
        <w:t>File Nos. 333-152197 and 333-152198 Brighthouse Access Annuity and Brighthouse Access Select Annuity File Nos. 333-152199 and 333-152200 Vintage Annuity File Nos. 333-152201 and 333-152202 Index Annuity</w:t>
      </w:r>
    </w:p>
    <w:p>
      <w:pPr>
        <w:spacing w:after="0" w:line="2" w:lineRule="exact"/>
        <w:rPr>
          <w:sz w:val="20"/>
          <w:szCs w:val="20"/>
          <w:color w:val="auto"/>
        </w:rPr>
      </w:pPr>
    </w:p>
    <w:p>
      <w:pPr>
        <w:ind w:left="780" w:right="440" w:hanging="204"/>
        <w:spacing w:after="0" w:line="234" w:lineRule="auto"/>
        <w:rPr>
          <w:sz w:val="20"/>
          <w:szCs w:val="20"/>
          <w:color w:val="auto"/>
        </w:rPr>
      </w:pPr>
      <w:r>
        <w:rPr>
          <w:rFonts w:ascii="Arial" w:cs="Arial" w:eastAsia="Arial" w:hAnsi="Arial"/>
          <w:sz w:val="18"/>
          <w:szCs w:val="18"/>
          <w:color w:val="auto"/>
        </w:rPr>
        <w:t>File Nos. 333-152232 and 333-152233 Portfolio Architect Annuity, Portfolio Architect Select Annuity, Premier Advisers Annuity (Class I) and Premier Advisers Annuity (Class II)</w:t>
      </w:r>
    </w:p>
    <w:p>
      <w:pPr>
        <w:spacing w:after="0" w:line="1" w:lineRule="exact"/>
        <w:rPr>
          <w:sz w:val="20"/>
          <w:szCs w:val="20"/>
          <w:color w:val="auto"/>
        </w:rPr>
      </w:pPr>
    </w:p>
    <w:p>
      <w:pPr>
        <w:ind w:left="780" w:right="540" w:hanging="204"/>
        <w:spacing w:after="0" w:line="234" w:lineRule="auto"/>
        <w:rPr>
          <w:sz w:val="20"/>
          <w:szCs w:val="20"/>
          <w:color w:val="auto"/>
        </w:rPr>
      </w:pPr>
      <w:r>
        <w:rPr>
          <w:rFonts w:ascii="Arial" w:cs="Arial" w:eastAsia="Arial" w:hAnsi="Arial"/>
          <w:sz w:val="18"/>
          <w:szCs w:val="18"/>
          <w:color w:val="auto"/>
        </w:rPr>
        <w:t>File Nos. 333-152235 and 333-152236 Pioneer AnnuiStar Annuity, Portfolio Architect II Annuity and Pioneer AnnuiStar Value Annuity</w:t>
      </w:r>
    </w:p>
    <w:p>
      <w:pPr>
        <w:spacing w:after="0" w:line="1" w:lineRule="exact"/>
        <w:rPr>
          <w:sz w:val="20"/>
          <w:szCs w:val="20"/>
          <w:color w:val="auto"/>
        </w:rPr>
      </w:pPr>
    </w:p>
    <w:p>
      <w:pPr>
        <w:ind w:left="780" w:right="60" w:hanging="204"/>
        <w:spacing w:after="0" w:line="234" w:lineRule="auto"/>
        <w:rPr>
          <w:sz w:val="20"/>
          <w:szCs w:val="20"/>
          <w:color w:val="auto"/>
        </w:rPr>
      </w:pPr>
      <w:r>
        <w:rPr>
          <w:rFonts w:ascii="Arial" w:cs="Arial" w:eastAsia="Arial" w:hAnsi="Arial"/>
          <w:sz w:val="18"/>
          <w:szCs w:val="18"/>
          <w:color w:val="auto"/>
        </w:rPr>
        <w:t>File Nos. 333-152237 and 333-152238 Premier Advisers II Annuity, Premier Advisers III (Series I) and Premier Advisers III Annuity (Series II)</w:t>
      </w:r>
    </w:p>
    <w:p>
      <w:pPr>
        <w:spacing w:after="0" w:line="1" w:lineRule="exact"/>
        <w:rPr>
          <w:sz w:val="20"/>
          <w:szCs w:val="20"/>
          <w:color w:val="auto"/>
        </w:rPr>
      </w:pPr>
    </w:p>
    <w:p>
      <w:pPr>
        <w:ind w:left="780" w:hanging="204"/>
        <w:spacing w:after="0" w:line="234" w:lineRule="auto"/>
        <w:rPr>
          <w:sz w:val="20"/>
          <w:szCs w:val="20"/>
          <w:color w:val="auto"/>
        </w:rPr>
      </w:pPr>
      <w:r>
        <w:rPr>
          <w:rFonts w:ascii="Arial" w:cs="Arial" w:eastAsia="Arial" w:hAnsi="Arial"/>
          <w:sz w:val="18"/>
          <w:szCs w:val="18"/>
          <w:color w:val="auto"/>
        </w:rPr>
        <w:t>File Nos. 333-152239 and 333-152240 Premier Advisers AssetManager Annuity, Premier Advisers L Annuity (Series I) and Premier Advisers L Annuity (Series II)</w:t>
      </w:r>
    </w:p>
    <w:p>
      <w:pPr>
        <w:spacing w:after="0" w:line="1" w:lineRule="exact"/>
        <w:rPr>
          <w:sz w:val="20"/>
          <w:szCs w:val="20"/>
          <w:color w:val="auto"/>
        </w:rPr>
      </w:pPr>
    </w:p>
    <w:p>
      <w:pPr>
        <w:ind w:left="780" w:right="20" w:hanging="204"/>
        <w:spacing w:after="0" w:line="234" w:lineRule="auto"/>
        <w:rPr>
          <w:sz w:val="20"/>
          <w:szCs w:val="20"/>
          <w:color w:val="auto"/>
        </w:rPr>
      </w:pPr>
      <w:r>
        <w:rPr>
          <w:rFonts w:ascii="Arial" w:cs="Arial" w:eastAsia="Arial" w:hAnsi="Arial"/>
          <w:sz w:val="18"/>
          <w:szCs w:val="18"/>
          <w:color w:val="auto"/>
        </w:rPr>
        <w:t>File Nos. 333-152255 and 333-152265 Vintage XTRA Annuity, Portfolio Architect XTRA Annuity and Vintage XTRA Annuity (Series II)</w:t>
      </w:r>
    </w:p>
    <w:p>
      <w:pPr>
        <w:spacing w:after="0" w:line="1" w:lineRule="exact"/>
        <w:rPr>
          <w:sz w:val="20"/>
          <w:szCs w:val="20"/>
          <w:color w:val="auto"/>
        </w:rPr>
      </w:pPr>
    </w:p>
    <w:p>
      <w:pPr>
        <w:ind w:left="780" w:right="460" w:hanging="204"/>
        <w:spacing w:after="0" w:line="234" w:lineRule="auto"/>
        <w:rPr>
          <w:sz w:val="20"/>
          <w:szCs w:val="20"/>
          <w:color w:val="auto"/>
        </w:rPr>
      </w:pPr>
      <w:r>
        <w:rPr>
          <w:rFonts w:ascii="Arial" w:cs="Arial" w:eastAsia="Arial" w:hAnsi="Arial"/>
          <w:sz w:val="18"/>
          <w:szCs w:val="18"/>
          <w:color w:val="auto"/>
        </w:rPr>
        <w:t>File Nos. 333-152256 and 333-152292 Vintage 3 Annuity, Portfolio Architect 3 Annuity, Portfolio Architect L Annuity, Vintage L Annuity and Pioneer AnnuiStar Flex Annuity</w:t>
      </w:r>
    </w:p>
    <w:p>
      <w:pPr>
        <w:ind w:left="580"/>
        <w:spacing w:after="0" w:line="236" w:lineRule="auto"/>
        <w:rPr>
          <w:sz w:val="20"/>
          <w:szCs w:val="20"/>
          <w:color w:val="auto"/>
        </w:rPr>
      </w:pPr>
      <w:r>
        <w:rPr>
          <w:rFonts w:ascii="Arial" w:cs="Arial" w:eastAsia="Arial" w:hAnsi="Arial"/>
          <w:sz w:val="18"/>
          <w:szCs w:val="18"/>
          <w:color w:val="auto"/>
        </w:rPr>
        <w:t>File Nos. 333-152258 and 333-152261 PrimElite Annuity</w:t>
      </w:r>
    </w:p>
    <w:p>
      <w:pPr>
        <w:ind w:left="580"/>
        <w:spacing w:after="0" w:line="235" w:lineRule="auto"/>
        <w:rPr>
          <w:sz w:val="20"/>
          <w:szCs w:val="20"/>
          <w:color w:val="auto"/>
        </w:rPr>
      </w:pPr>
      <w:r>
        <w:rPr>
          <w:rFonts w:ascii="Arial" w:cs="Arial" w:eastAsia="Arial" w:hAnsi="Arial"/>
          <w:sz w:val="18"/>
          <w:szCs w:val="18"/>
          <w:color w:val="auto"/>
        </w:rPr>
        <w:t>File Nos. 333-152259 and 333-152262 PrimElite II Annuity</w:t>
      </w:r>
    </w:p>
    <w:p>
      <w:pPr>
        <w:ind w:left="580" w:right="4620"/>
        <w:spacing w:after="0" w:line="234" w:lineRule="auto"/>
        <w:rPr>
          <w:sz w:val="20"/>
          <w:szCs w:val="20"/>
          <w:color w:val="auto"/>
        </w:rPr>
      </w:pPr>
      <w:r>
        <w:rPr>
          <w:rFonts w:ascii="Arial" w:cs="Arial" w:eastAsia="Arial" w:hAnsi="Arial"/>
          <w:sz w:val="18"/>
          <w:szCs w:val="18"/>
          <w:color w:val="auto"/>
        </w:rPr>
        <w:t>File Nos. 333-152260 and 333-152266 Protected Equity Portfolio Annuity File Nos. 333-152263 and 333-152269 Marquis Portfolios</w:t>
      </w:r>
    </w:p>
    <w:p>
      <w:pPr>
        <w:spacing w:after="0" w:line="1" w:lineRule="exact"/>
        <w:rPr>
          <w:sz w:val="20"/>
          <w:szCs w:val="20"/>
          <w:color w:val="auto"/>
        </w:rPr>
      </w:pPr>
    </w:p>
    <w:p>
      <w:pPr>
        <w:ind w:left="780" w:right="620" w:hanging="204"/>
        <w:spacing w:after="0" w:line="234" w:lineRule="auto"/>
        <w:rPr>
          <w:sz w:val="20"/>
          <w:szCs w:val="20"/>
          <w:color w:val="auto"/>
        </w:rPr>
      </w:pPr>
      <w:r>
        <w:rPr>
          <w:rFonts w:ascii="Arial" w:cs="Arial" w:eastAsia="Arial" w:hAnsi="Arial"/>
          <w:sz w:val="18"/>
          <w:szCs w:val="18"/>
          <w:color w:val="auto"/>
        </w:rPr>
        <w:t>File Nos. 333-152264 and 333-152270 Vintage Access, Portfolio Architect Access, Scudder Advocate Advisor and Scudder Advocate Advisor - ST1 Annuity</w:t>
      </w:r>
    </w:p>
    <w:p>
      <w:pPr>
        <w:ind w:left="580"/>
        <w:spacing w:after="0" w:line="236" w:lineRule="auto"/>
        <w:rPr>
          <w:sz w:val="20"/>
          <w:szCs w:val="20"/>
          <w:color w:val="auto"/>
        </w:rPr>
      </w:pPr>
      <w:r>
        <w:rPr>
          <w:rFonts w:ascii="Arial" w:cs="Arial" w:eastAsia="Arial" w:hAnsi="Arial"/>
          <w:sz w:val="18"/>
          <w:szCs w:val="18"/>
          <w:color w:val="auto"/>
        </w:rPr>
        <w:t>File Nos. 333-152267 and 333-152268 Vintage II Annuity and Vintage II Annuity (Series II)</w:t>
      </w:r>
    </w:p>
    <w:p>
      <w:pPr>
        <w:ind w:left="580"/>
        <w:spacing w:after="0" w:line="235" w:lineRule="auto"/>
        <w:rPr>
          <w:sz w:val="20"/>
          <w:szCs w:val="20"/>
          <w:color w:val="auto"/>
        </w:rPr>
      </w:pPr>
      <w:r>
        <w:rPr>
          <w:rFonts w:ascii="Arial" w:cs="Arial" w:eastAsia="Arial" w:hAnsi="Arial"/>
          <w:sz w:val="18"/>
          <w:szCs w:val="18"/>
          <w:color w:val="auto"/>
        </w:rPr>
        <w:t>File No. 333-197658 Brighthouse Accumulation Annuity</w:t>
      </w:r>
    </w:p>
    <w:p>
      <w:pPr>
        <w:ind w:left="580"/>
        <w:spacing w:after="0"/>
        <w:rPr>
          <w:sz w:val="20"/>
          <w:szCs w:val="20"/>
          <w:color w:val="auto"/>
        </w:rPr>
      </w:pPr>
      <w:r>
        <w:rPr>
          <w:rFonts w:ascii="Arial" w:cs="Arial" w:eastAsia="Arial" w:hAnsi="Arial"/>
          <w:sz w:val="18"/>
          <w:szCs w:val="18"/>
          <w:color w:val="auto"/>
        </w:rPr>
        <w:t>File No. 333-208464 Brighthouse Premier Variable Annuity</w:t>
      </w:r>
      <w:r>
        <w:rPr>
          <w:rFonts w:ascii="Arial" w:cs="Arial" w:eastAsia="Arial" w:hAnsi="Arial"/>
          <w:sz w:val="26"/>
          <w:szCs w:val="26"/>
          <w:color w:val="auto"/>
          <w:vertAlign w:val="superscript"/>
        </w:rPr>
        <w:t>SM</w:t>
      </w:r>
      <w:r>
        <w:rPr>
          <w:rFonts w:ascii="Arial" w:cs="Arial" w:eastAsia="Arial" w:hAnsi="Arial"/>
          <w:sz w:val="18"/>
          <w:szCs w:val="18"/>
          <w:color w:val="auto"/>
        </w:rPr>
        <w:t>,</w:t>
      </w:r>
    </w:p>
    <w:p>
      <w:pPr>
        <w:spacing w:after="0" w:line="129" w:lineRule="exact"/>
        <w:rPr>
          <w:sz w:val="20"/>
          <w:szCs w:val="20"/>
          <w:color w:val="auto"/>
        </w:rPr>
      </w:pPr>
    </w:p>
    <w:p>
      <w:pPr>
        <w:ind w:left="580" w:right="5740" w:hanging="572"/>
        <w:spacing w:after="0" w:line="253" w:lineRule="auto"/>
        <w:tabs>
          <w:tab w:leader="none" w:pos="23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Brighthouse Separate Account QPN for Variable Annuities File No. 333-156867 Unallocated Group Variable Annuity File No. 333-156911 Brighthouse Retirement Perspectives,</w:t>
      </w:r>
    </w:p>
    <w:p>
      <w:pPr>
        <w:spacing w:after="0" w:line="195" w:lineRule="exact"/>
        <w:rPr>
          <w:rFonts w:ascii="Arial" w:cs="Arial" w:eastAsia="Arial" w:hAnsi="Arial"/>
          <w:sz w:val="18"/>
          <w:szCs w:val="18"/>
          <w:color w:val="auto"/>
        </w:rPr>
      </w:pPr>
    </w:p>
    <w:p>
      <w:pPr>
        <w:ind w:left="220" w:hanging="212"/>
        <w:spacing w:after="0"/>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Brighthouse Variable Annuity Account C (811-05200)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333-200244 Class XC</w:t>
      </w:r>
    </w:p>
    <w:p>
      <w:pPr>
        <w:ind w:left="580"/>
        <w:spacing w:after="0" w:line="234" w:lineRule="auto"/>
        <w:rPr>
          <w:sz w:val="20"/>
          <w:szCs w:val="20"/>
          <w:color w:val="auto"/>
        </w:rPr>
      </w:pPr>
      <w:r>
        <w:rPr>
          <w:rFonts w:ascii="Arial" w:cs="Arial" w:eastAsia="Arial" w:hAnsi="Arial"/>
          <w:sz w:val="18"/>
          <w:szCs w:val="18"/>
          <w:color w:val="auto"/>
        </w:rPr>
        <w:t>File No. 333-200247 Class VA, Class AA and Class B</w:t>
      </w:r>
    </w:p>
    <w:p>
      <w:pPr>
        <w:ind w:left="580"/>
        <w:spacing w:after="0" w:line="235" w:lineRule="auto"/>
        <w:rPr>
          <w:sz w:val="20"/>
          <w:szCs w:val="20"/>
          <w:color w:val="auto"/>
        </w:rPr>
      </w:pPr>
      <w:r>
        <w:rPr>
          <w:rFonts w:ascii="Arial" w:cs="Arial" w:eastAsia="Arial" w:hAnsi="Arial"/>
          <w:sz w:val="18"/>
          <w:szCs w:val="18"/>
          <w:color w:val="auto"/>
        </w:rPr>
        <w:t>File No. 333-200249 Class L and Class L - 4 Year</w:t>
      </w:r>
    </w:p>
    <w:p>
      <w:pPr>
        <w:ind w:left="580"/>
        <w:spacing w:after="0" w:line="235" w:lineRule="auto"/>
        <w:rPr>
          <w:sz w:val="20"/>
          <w:szCs w:val="20"/>
          <w:color w:val="auto"/>
        </w:rPr>
      </w:pPr>
      <w:r>
        <w:rPr>
          <w:rFonts w:ascii="Arial" w:cs="Arial" w:eastAsia="Arial" w:hAnsi="Arial"/>
          <w:sz w:val="18"/>
          <w:szCs w:val="18"/>
          <w:color w:val="auto"/>
        </w:rPr>
        <w:t>File No. 333-200252 Class A</w:t>
      </w:r>
    </w:p>
    <w:p>
      <w:pPr>
        <w:ind w:left="580"/>
        <w:spacing w:after="0" w:line="235" w:lineRule="auto"/>
        <w:rPr>
          <w:sz w:val="20"/>
          <w:szCs w:val="20"/>
          <w:color w:val="auto"/>
        </w:rPr>
      </w:pPr>
      <w:r>
        <w:rPr>
          <w:rFonts w:ascii="Arial" w:cs="Arial" w:eastAsia="Arial" w:hAnsi="Arial"/>
          <w:sz w:val="18"/>
          <w:szCs w:val="18"/>
          <w:color w:val="auto"/>
        </w:rPr>
        <w:t>File No. 333-200255 COVA VA, Firstar Summit VA, Premier Advisor VA, Destiny Select VA and Prevail VA</w:t>
      </w:r>
    </w:p>
    <w:p>
      <w:pPr>
        <w:ind w:left="580"/>
        <w:spacing w:after="0" w:line="235" w:lineRule="auto"/>
        <w:rPr>
          <w:sz w:val="20"/>
          <w:szCs w:val="20"/>
          <w:color w:val="auto"/>
        </w:rPr>
      </w:pPr>
      <w:r>
        <w:rPr>
          <w:rFonts w:ascii="Arial" w:cs="Arial" w:eastAsia="Arial" w:hAnsi="Arial"/>
          <w:sz w:val="18"/>
          <w:szCs w:val="18"/>
          <w:color w:val="auto"/>
        </w:rPr>
        <w:t>File No. 333-200258 COVA VA SPDA</w:t>
      </w:r>
    </w:p>
    <w:p>
      <w:pPr>
        <w:ind w:left="580"/>
        <w:spacing w:after="0" w:line="234" w:lineRule="auto"/>
        <w:rPr>
          <w:sz w:val="20"/>
          <w:szCs w:val="20"/>
          <w:color w:val="auto"/>
        </w:rPr>
      </w:pPr>
      <w:r>
        <w:rPr>
          <w:rFonts w:ascii="Arial" w:cs="Arial" w:eastAsia="Arial" w:hAnsi="Arial"/>
          <w:sz w:val="18"/>
          <w:szCs w:val="18"/>
          <w:color w:val="auto"/>
        </w:rPr>
        <w:t>File No. 333-200260 COVA Series 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333-200262 Navigator-Select/Custom-Select/Russell-Select</w:t>
      </w:r>
    </w:p>
    <w:p>
      <w:pPr>
        <w:sectPr>
          <w:pgSz w:w="11900" w:h="16838" w:orient="portrait"/>
          <w:cols w:equalWidth="0" w:num="1">
            <w:col w:w="11000"/>
          </w:cols>
          <w:pgMar w:left="320" w:top="269" w:right="579" w:bottom="1440" w:gutter="0" w:footer="0" w:header="0"/>
        </w:sectPr>
      </w:pPr>
    </w:p>
    <w:bookmarkStart w:id="104" w:name="page105"/>
    <w:bookmarkEnd w:id="104"/>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333-200264 Navigator-Select/Custom-Select/Russell-Select (CA)</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333-200266 COVA VA and Premier Advisor (CA)</w:t>
      </w:r>
    </w:p>
    <w:p>
      <w:pPr>
        <w:ind w:left="580"/>
        <w:spacing w:after="0" w:line="234" w:lineRule="auto"/>
        <w:rPr>
          <w:sz w:val="20"/>
          <w:szCs w:val="20"/>
          <w:color w:val="auto"/>
        </w:rPr>
      </w:pPr>
      <w:r>
        <w:rPr>
          <w:rFonts w:ascii="Arial" w:cs="Arial" w:eastAsia="Arial" w:hAnsi="Arial"/>
          <w:sz w:val="18"/>
          <w:szCs w:val="18"/>
          <w:color w:val="auto"/>
        </w:rPr>
        <w:t>File No. 333-200267 COVA Series A (CA)</w:t>
      </w:r>
    </w:p>
    <w:p>
      <w:pPr>
        <w:ind w:left="580"/>
        <w:spacing w:after="0" w:line="235" w:lineRule="auto"/>
        <w:rPr>
          <w:sz w:val="20"/>
          <w:szCs w:val="20"/>
          <w:color w:val="auto"/>
        </w:rPr>
      </w:pPr>
      <w:r>
        <w:rPr>
          <w:rFonts w:ascii="Arial" w:cs="Arial" w:eastAsia="Arial" w:hAnsi="Arial"/>
          <w:sz w:val="18"/>
          <w:szCs w:val="18"/>
          <w:color w:val="auto"/>
        </w:rPr>
        <w:t>File No. 333-200269 Class C</w:t>
      </w:r>
    </w:p>
    <w:p>
      <w:pPr>
        <w:ind w:left="580"/>
        <w:spacing w:after="0" w:line="235" w:lineRule="auto"/>
        <w:rPr>
          <w:sz w:val="20"/>
          <w:szCs w:val="20"/>
          <w:color w:val="auto"/>
        </w:rPr>
      </w:pPr>
      <w:r>
        <w:rPr>
          <w:rFonts w:ascii="Arial" w:cs="Arial" w:eastAsia="Arial" w:hAnsi="Arial"/>
          <w:sz w:val="18"/>
          <w:szCs w:val="18"/>
          <w:color w:val="auto"/>
        </w:rPr>
        <w:t>File No. 333-200271 Class VA (CA), Class AA (CA), and Class B (CA)</w:t>
      </w:r>
    </w:p>
    <w:p>
      <w:pPr>
        <w:ind w:left="580"/>
        <w:spacing w:after="0" w:line="235" w:lineRule="auto"/>
        <w:rPr>
          <w:sz w:val="20"/>
          <w:szCs w:val="20"/>
          <w:color w:val="auto"/>
        </w:rPr>
      </w:pPr>
      <w:r>
        <w:rPr>
          <w:rFonts w:ascii="Arial" w:cs="Arial" w:eastAsia="Arial" w:hAnsi="Arial"/>
          <w:sz w:val="18"/>
          <w:szCs w:val="18"/>
          <w:color w:val="auto"/>
        </w:rPr>
        <w:t>File No. 333-200273 Class XC (CA)</w:t>
      </w:r>
    </w:p>
    <w:p>
      <w:pPr>
        <w:ind w:left="580"/>
        <w:spacing w:after="0" w:line="235" w:lineRule="auto"/>
        <w:rPr>
          <w:sz w:val="20"/>
          <w:szCs w:val="20"/>
          <w:color w:val="auto"/>
        </w:rPr>
      </w:pPr>
      <w:r>
        <w:rPr>
          <w:rFonts w:ascii="Arial" w:cs="Arial" w:eastAsia="Arial" w:hAnsi="Arial"/>
          <w:sz w:val="18"/>
          <w:szCs w:val="18"/>
          <w:color w:val="auto"/>
        </w:rPr>
        <w:t>File No. 333-200274 Class L (CA) and Class L - 4 Year (CA)</w:t>
      </w:r>
    </w:p>
    <w:p>
      <w:pPr>
        <w:ind w:left="580"/>
        <w:spacing w:after="0" w:line="234" w:lineRule="auto"/>
        <w:rPr>
          <w:sz w:val="20"/>
          <w:szCs w:val="20"/>
          <w:color w:val="auto"/>
        </w:rPr>
      </w:pPr>
      <w:r>
        <w:rPr>
          <w:rFonts w:ascii="Arial" w:cs="Arial" w:eastAsia="Arial" w:hAnsi="Arial"/>
          <w:sz w:val="18"/>
          <w:szCs w:val="18"/>
          <w:color w:val="auto"/>
        </w:rPr>
        <w:t>File No. 333-200276 Class A (CA)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333-200279 Class C (CA),</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Variable Life Account A (811-21851)</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333-200241 Equity Advantage Variable Universal Life,</w:t>
      </w:r>
    </w:p>
    <w:p>
      <w:pPr>
        <w:spacing w:after="0" w:line="221" w:lineRule="exact"/>
        <w:rPr>
          <w:sz w:val="20"/>
          <w:szCs w:val="20"/>
          <w:color w:val="auto"/>
        </w:rPr>
      </w:pPr>
    </w:p>
    <w:p>
      <w:pPr>
        <w:ind w:left="580" w:right="6480" w:hanging="572"/>
        <w:spacing w:after="0" w:line="245" w:lineRule="auto"/>
        <w:tabs>
          <w:tab w:leader="none" w:pos="23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Brighthouse Variable Life Account One (811-07971) File No. 333-200242 Class VL</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File No. 333-200245 Class VL (CA)</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File No. 333-200248 Modified Single Premium Variable Life</w:t>
      </w:r>
    </w:p>
    <w:p>
      <w:pPr>
        <w:ind w:left="580" w:right="4800"/>
        <w:spacing w:after="0" w:line="242" w:lineRule="auto"/>
        <w:rPr>
          <w:rFonts w:ascii="Arial" w:cs="Arial" w:eastAsia="Arial" w:hAnsi="Arial"/>
          <w:sz w:val="18"/>
          <w:szCs w:val="18"/>
          <w:color w:val="auto"/>
        </w:rPr>
      </w:pPr>
      <w:r>
        <w:rPr>
          <w:rFonts w:ascii="Arial" w:cs="Arial" w:eastAsia="Arial" w:hAnsi="Arial"/>
          <w:sz w:val="18"/>
          <w:szCs w:val="18"/>
          <w:color w:val="auto"/>
        </w:rPr>
        <w:t>File No. 333-200251 Custom Select and Russell Select Variable Life File No. 333-200254 Modified Single Premium Variable Life (CA) File No. 333-200257 Custom Select Variable Life,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And pertaining to:</w:t>
      </w:r>
    </w:p>
    <w:p>
      <w:pPr>
        <w:ind w:left="580"/>
        <w:spacing w:after="0" w:line="180" w:lineRule="auto"/>
        <w:rPr>
          <w:sz w:val="20"/>
          <w:szCs w:val="20"/>
          <w:color w:val="auto"/>
        </w:rPr>
      </w:pPr>
      <w:r>
        <w:rPr>
          <w:rFonts w:ascii="Arial" w:cs="Arial" w:eastAsia="Arial" w:hAnsi="Arial"/>
          <w:sz w:val="17"/>
          <w:szCs w:val="17"/>
          <w:color w:val="auto"/>
        </w:rPr>
        <w:t>File No. 333-268618 Brighthouse SmartGuard Plus</w:t>
      </w:r>
      <w:r>
        <w:rPr>
          <w:rFonts w:ascii="Arial" w:cs="Arial" w:eastAsia="Arial" w:hAnsi="Arial"/>
          <w:sz w:val="25"/>
          <w:szCs w:val="25"/>
          <w:color w:val="auto"/>
          <w:vertAlign w:val="superscript"/>
        </w:rPr>
        <w:t>SM</w:t>
      </w:r>
    </w:p>
    <w:p>
      <w:pPr>
        <w:ind w:left="580"/>
        <w:spacing w:after="0" w:line="183" w:lineRule="auto"/>
        <w:rPr>
          <w:sz w:val="20"/>
          <w:szCs w:val="20"/>
          <w:color w:val="auto"/>
        </w:rPr>
      </w:pPr>
      <w:r>
        <w:rPr>
          <w:rFonts w:ascii="Arial" w:cs="Arial" w:eastAsia="Arial" w:hAnsi="Arial"/>
          <w:sz w:val="16"/>
          <w:szCs w:val="16"/>
          <w:color w:val="auto"/>
        </w:rPr>
        <w:t>File No. 333-262390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Pay Plus</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Annuity and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Pay Plus</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Advisory Annuity File No. 333-259505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spacing w:after="0" w:line="2" w:lineRule="exact"/>
        <w:rPr>
          <w:sz w:val="20"/>
          <w:szCs w:val="20"/>
          <w:color w:val="auto"/>
        </w:rPr>
      </w:pPr>
    </w:p>
    <w:p>
      <w:pPr>
        <w:ind w:left="580" w:right="4520"/>
        <w:spacing w:after="0" w:line="183" w:lineRule="auto"/>
        <w:rPr>
          <w:sz w:val="20"/>
          <w:szCs w:val="20"/>
          <w:color w:val="auto"/>
        </w:rPr>
      </w:pPr>
      <w:r>
        <w:rPr>
          <w:rFonts w:ascii="Arial" w:cs="Arial" w:eastAsia="Arial" w:hAnsi="Arial"/>
          <w:sz w:val="16"/>
          <w:szCs w:val="16"/>
          <w:color w:val="auto"/>
        </w:rPr>
        <w:t>File No. 333-233240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Advisory Annuity File No. 333-268427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Advisory Annuity File No. 333-263492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File No. 333-263495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 File No. 333-238213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ind w:left="580"/>
        <w:spacing w:after="0" w:line="187" w:lineRule="auto"/>
        <w:rPr>
          <w:sz w:val="20"/>
          <w:szCs w:val="20"/>
          <w:color w:val="auto"/>
        </w:rPr>
      </w:pPr>
      <w:r>
        <w:rPr>
          <w:rFonts w:ascii="Arial" w:cs="Arial" w:eastAsia="Arial" w:hAnsi="Arial"/>
          <w:sz w:val="16"/>
          <w:szCs w:val="16"/>
          <w:color w:val="auto"/>
        </w:rPr>
        <w:t>File No. 333-208664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Annuity</w:t>
      </w:r>
    </w:p>
    <w:p>
      <w:pPr>
        <w:spacing w:after="0" w:line="1" w:lineRule="exact"/>
        <w:rPr>
          <w:sz w:val="20"/>
          <w:szCs w:val="20"/>
          <w:color w:val="auto"/>
        </w:rPr>
      </w:pPr>
    </w:p>
    <w:p>
      <w:pPr>
        <w:ind w:left="580" w:right="4520"/>
        <w:spacing w:after="0" w:line="192" w:lineRule="auto"/>
        <w:rPr>
          <w:sz w:val="20"/>
          <w:szCs w:val="20"/>
          <w:color w:val="auto"/>
        </w:rPr>
      </w:pPr>
      <w:r>
        <w:rPr>
          <w:rFonts w:ascii="Arial" w:cs="Arial" w:eastAsia="Arial" w:hAnsi="Arial"/>
          <w:sz w:val="18"/>
          <w:szCs w:val="18"/>
          <w:color w:val="auto"/>
        </w:rPr>
        <w:t>File No. 333-207091 Brighthouse Shield Level Selector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3-Year Annuity File No. 333-276468 Registered Fixed Account Option</w:t>
      </w:r>
    </w:p>
    <w:p>
      <w:pPr>
        <w:ind w:left="580"/>
        <w:spacing w:after="0" w:line="235" w:lineRule="auto"/>
        <w:rPr>
          <w:sz w:val="20"/>
          <w:szCs w:val="20"/>
          <w:color w:val="auto"/>
        </w:rPr>
      </w:pPr>
      <w:r>
        <w:rPr>
          <w:rFonts w:ascii="Arial" w:cs="Arial" w:eastAsia="Arial" w:hAnsi="Arial"/>
          <w:sz w:val="18"/>
          <w:szCs w:val="18"/>
          <w:color w:val="auto"/>
        </w:rPr>
        <w:t>File No. 333-276469 Fixed Annuity (Strategic Value Annuity)</w:t>
      </w:r>
    </w:p>
    <w:p>
      <w:pPr>
        <w:ind w:left="580" w:right="4640"/>
        <w:spacing w:after="0" w:line="189" w:lineRule="auto"/>
        <w:rPr>
          <w:sz w:val="20"/>
          <w:szCs w:val="20"/>
          <w:color w:val="auto"/>
        </w:rPr>
      </w:pPr>
      <w:r>
        <w:rPr>
          <w:rFonts w:ascii="Arial" w:cs="Arial" w:eastAsia="Arial" w:hAnsi="Arial"/>
          <w:sz w:val="17"/>
          <w:szCs w:val="17"/>
          <w:color w:val="auto"/>
        </w:rPr>
        <w:t>File No. 333-276470 Brighthouse Retirement Account Liquidity Benefit File No. 333-276599 Brighthouse Shield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Level II 6-Year Annuity File No. 333-276762 Brighthouse Shield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Level II Advisory Annuity</w:t>
      </w:r>
    </w:p>
    <w:p>
      <w:pPr>
        <w:spacing w:after="0" w:line="1" w:lineRule="exact"/>
        <w:rPr>
          <w:sz w:val="20"/>
          <w:szCs w:val="20"/>
          <w:color w:val="auto"/>
        </w:rPr>
      </w:pPr>
    </w:p>
    <w:p>
      <w:pPr>
        <w:ind w:left="580" w:right="100"/>
        <w:spacing w:after="0"/>
        <w:rPr>
          <w:sz w:val="20"/>
          <w:szCs w:val="20"/>
          <w:color w:val="auto"/>
        </w:rPr>
      </w:pPr>
      <w:r>
        <w:rPr>
          <w:rFonts w:ascii="Arial" w:cs="Arial" w:eastAsia="Arial" w:hAnsi="Arial"/>
          <w:sz w:val="18"/>
          <w:szCs w:val="18"/>
          <w:color w:val="auto"/>
        </w:rPr>
        <w:t>File No. 333-276763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Annuity and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Advisory Annuity File No. 333-279302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3-Year Annuity T-Mark Fixed Annuity</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Target Maturity,</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Life Insurance Company (RILA MVA)</w:t>
      </w:r>
    </w:p>
    <w:p>
      <w:pPr>
        <w:spacing w:after="0" w:line="14" w:lineRule="exact"/>
        <w:rPr>
          <w:sz w:val="20"/>
          <w:szCs w:val="20"/>
          <w:color w:val="auto"/>
        </w:rPr>
      </w:pPr>
    </w:p>
    <w:p>
      <w:pPr>
        <w:ind w:left="580" w:right="100"/>
        <w:spacing w:after="0" w:line="181" w:lineRule="auto"/>
        <w:rPr>
          <w:sz w:val="20"/>
          <w:szCs w:val="20"/>
          <w:color w:val="auto"/>
        </w:rPr>
      </w:pPr>
      <w:r>
        <w:rPr>
          <w:rFonts w:ascii="Arial" w:cs="Arial" w:eastAsia="Arial" w:hAnsi="Arial"/>
          <w:sz w:val="18"/>
          <w:szCs w:val="18"/>
          <w:color w:val="auto"/>
        </w:rPr>
        <w:t>File No. 333-282752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Annuity and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Advisory Annuity File No. 333-282871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Advisory Annuity File No. 333-283023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ind w:left="580"/>
        <w:spacing w:after="0"/>
        <w:rPr>
          <w:sz w:val="20"/>
          <w:szCs w:val="20"/>
          <w:color w:val="auto"/>
        </w:rPr>
      </w:pPr>
      <w:r>
        <w:rPr>
          <w:rFonts w:ascii="Arial" w:cs="Arial" w:eastAsia="Arial" w:hAnsi="Arial"/>
          <w:sz w:val="18"/>
          <w:szCs w:val="18"/>
          <w:color w:val="auto"/>
        </w:rPr>
        <w:t>File No. 333-283024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3-Year Annuity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Brighthouse Shield Annuity</w:t>
      </w:r>
    </w:p>
    <w:p>
      <w:pPr>
        <w:ind w:left="580"/>
        <w:spacing w:after="0" w:line="234" w:lineRule="auto"/>
        <w:rPr>
          <w:sz w:val="20"/>
          <w:szCs w:val="20"/>
          <w:color w:val="auto"/>
        </w:rPr>
      </w:pPr>
      <w:r>
        <w:rPr>
          <w:rFonts w:ascii="Arial" w:cs="Arial" w:eastAsia="Arial" w:hAnsi="Arial"/>
          <w:sz w:val="18"/>
          <w:szCs w:val="18"/>
          <w:color w:val="auto"/>
        </w:rPr>
        <w:t>Brighthouse Shield 3-Year Annuity</w:t>
      </w:r>
    </w:p>
    <w:p>
      <w:pPr>
        <w:ind w:left="58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Brighthouse Index-linked Life Insurance Policy,</w:t>
      </w:r>
    </w:p>
    <w:p>
      <w:pPr>
        <w:spacing w:after="0" w:line="19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ectPr>
          <w:pgSz w:w="11900" w:h="16838" w:orient="portrait"/>
          <w:cols w:equalWidth="0" w:num="1">
            <w:col w:w="10800"/>
          </w:cols>
          <w:pgMar w:left="320" w:top="269" w:right="77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I have hereunto set my hand this 12th day of November 2024.</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Myles Lambert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Myles Lambert</w:t>
      </w:r>
    </w:p>
    <w:p>
      <w:pPr>
        <w:sectPr>
          <w:pgSz w:w="11900" w:h="16838" w:orient="portrait"/>
          <w:cols w:equalWidth="0" w:num="1">
            <w:col w:w="10139"/>
          </w:cols>
          <w:pgMar w:left="320" w:top="269" w:right="1440"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Brighthouse Life Insurance Company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David A. Rosenbaum</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Director and Vice President</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KNOW ALL MEN BY THESE PRESENTS, that I, David A. Rosenbaum, a Director and Vice President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206" w:lineRule="exact"/>
        <w:rPr>
          <w:sz w:val="20"/>
          <w:szCs w:val="20"/>
          <w:color w:val="auto"/>
        </w:rPr>
      </w:pPr>
    </w:p>
    <w:p>
      <w:pPr>
        <w:ind w:left="580" w:right="5900" w:hanging="572"/>
        <w:spacing w:after="0" w:line="200" w:lineRule="auto"/>
        <w:tabs>
          <w:tab w:leader="none" w:pos="23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Brighthouse Fund UL for Variable Life Insurance (811-03927) File No. 002-88637 MarketLife</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and Invest</w:t>
      </w:r>
    </w:p>
    <w:p>
      <w:pPr>
        <w:spacing w:after="0" w:line="1" w:lineRule="exact"/>
        <w:rPr>
          <w:rFonts w:ascii="Arial" w:cs="Arial" w:eastAsia="Arial" w:hAnsi="Arial"/>
          <w:sz w:val="18"/>
          <w:szCs w:val="18"/>
          <w:color w:val="auto"/>
        </w:rPr>
      </w:pPr>
    </w:p>
    <w:p>
      <w:pPr>
        <w:ind w:left="580"/>
        <w:spacing w:after="0" w:line="183" w:lineRule="auto"/>
        <w:rPr>
          <w:rFonts w:ascii="Arial" w:cs="Arial" w:eastAsia="Arial" w:hAnsi="Arial"/>
          <w:sz w:val="18"/>
          <w:szCs w:val="18"/>
          <w:color w:val="auto"/>
        </w:rPr>
      </w:pPr>
      <w:r>
        <w:rPr>
          <w:rFonts w:ascii="Arial" w:cs="Arial" w:eastAsia="Arial" w:hAnsi="Arial"/>
          <w:sz w:val="16"/>
          <w:szCs w:val="16"/>
          <w:color w:val="auto"/>
        </w:rPr>
        <w:t>File No. 333-152219 MarketLife</w:t>
      </w:r>
      <w:r>
        <w:rPr>
          <w:rFonts w:ascii="Arial" w:cs="Arial" w:eastAsia="Arial" w:hAnsi="Arial"/>
          <w:sz w:val="23"/>
          <w:szCs w:val="23"/>
          <w:color w:val="auto"/>
          <w:vertAlign w:val="superscript"/>
        </w:rPr>
        <w:t>SM</w:t>
      </w:r>
    </w:p>
    <w:p>
      <w:pPr>
        <w:ind w:left="580" w:right="5640"/>
        <w:spacing w:after="0" w:line="248" w:lineRule="auto"/>
        <w:rPr>
          <w:rFonts w:ascii="Arial" w:cs="Arial" w:eastAsia="Arial" w:hAnsi="Arial"/>
          <w:sz w:val="18"/>
          <w:szCs w:val="18"/>
          <w:color w:val="auto"/>
        </w:rPr>
      </w:pPr>
      <w:r>
        <w:rPr>
          <w:rFonts w:ascii="Arial" w:cs="Arial" w:eastAsia="Arial" w:hAnsi="Arial"/>
          <w:sz w:val="17"/>
          <w:szCs w:val="17"/>
          <w:color w:val="auto"/>
        </w:rPr>
        <w:t>File No. 333-56952 Brighthouse Variable Survivorship Life II File No. 333-69771 Brighthouse Variable Survivorship Life</w:t>
      </w:r>
    </w:p>
    <w:p>
      <w:pPr>
        <w:spacing w:after="0" w:line="1" w:lineRule="exact"/>
        <w:rPr>
          <w:rFonts w:ascii="Arial" w:cs="Arial" w:eastAsia="Arial" w:hAnsi="Arial"/>
          <w:sz w:val="18"/>
          <w:szCs w:val="18"/>
          <w:color w:val="auto"/>
        </w:rPr>
      </w:pPr>
    </w:p>
    <w:p>
      <w:pPr>
        <w:ind w:left="580" w:right="1520"/>
        <w:spacing w:after="0" w:line="234" w:lineRule="auto"/>
        <w:rPr>
          <w:rFonts w:ascii="Arial" w:cs="Arial" w:eastAsia="Arial" w:hAnsi="Arial"/>
          <w:sz w:val="18"/>
          <w:szCs w:val="18"/>
          <w:color w:val="auto"/>
        </w:rPr>
      </w:pPr>
      <w:r>
        <w:rPr>
          <w:rFonts w:ascii="Arial" w:cs="Arial" w:eastAsia="Arial" w:hAnsi="Arial"/>
          <w:sz w:val="18"/>
          <w:szCs w:val="18"/>
          <w:color w:val="auto"/>
        </w:rPr>
        <w:t>File No. 333-96515 Brighthouse Variable Life Accumulator and Brighthouse Variable Life Accumulator - Series 2 File No. 333-96519 Brighthouse Variable Life</w:t>
      </w:r>
    </w:p>
    <w:p>
      <w:pPr>
        <w:spacing w:after="0" w:line="1" w:lineRule="exact"/>
        <w:rPr>
          <w:rFonts w:ascii="Arial" w:cs="Arial" w:eastAsia="Arial" w:hAnsi="Arial"/>
          <w:sz w:val="18"/>
          <w:szCs w:val="18"/>
          <w:color w:val="auto"/>
        </w:rPr>
      </w:pPr>
    </w:p>
    <w:p>
      <w:pPr>
        <w:ind w:left="580" w:right="4880"/>
        <w:spacing w:after="0" w:line="234" w:lineRule="auto"/>
        <w:rPr>
          <w:rFonts w:ascii="Arial" w:cs="Arial" w:eastAsia="Arial" w:hAnsi="Arial"/>
          <w:sz w:val="18"/>
          <w:szCs w:val="18"/>
          <w:color w:val="auto"/>
        </w:rPr>
      </w:pPr>
      <w:r>
        <w:rPr>
          <w:rFonts w:ascii="Arial" w:cs="Arial" w:eastAsia="Arial" w:hAnsi="Arial"/>
          <w:sz w:val="18"/>
          <w:szCs w:val="18"/>
          <w:color w:val="auto"/>
        </w:rPr>
        <w:t>File No. 333-113109 Brighthouse Variable Life Accumulator - Series 3 File No. 333-152216 Portfolio Architect Life</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File No. 333-152217 VintageLife,</w:t>
      </w:r>
    </w:p>
    <w:p>
      <w:pPr>
        <w:spacing w:after="0" w:line="220"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Brighthouse Fund UL III for Variable Life Insurance (811-09215)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333-71349 Corporate Owned VUL Series 1</w:t>
      </w:r>
    </w:p>
    <w:p>
      <w:pPr>
        <w:ind w:left="580"/>
        <w:spacing w:after="0" w:line="234" w:lineRule="auto"/>
        <w:rPr>
          <w:sz w:val="20"/>
          <w:szCs w:val="20"/>
          <w:color w:val="auto"/>
        </w:rPr>
      </w:pPr>
      <w:r>
        <w:rPr>
          <w:rFonts w:ascii="Arial" w:cs="Arial" w:eastAsia="Arial" w:hAnsi="Arial"/>
          <w:sz w:val="18"/>
          <w:szCs w:val="18"/>
          <w:color w:val="auto"/>
        </w:rPr>
        <w:t>File No. 333-94779 Corporate Owned VUL 2000 and Corporate Owned VUL III</w:t>
      </w:r>
    </w:p>
    <w:p>
      <w:pPr>
        <w:ind w:left="580"/>
        <w:spacing w:after="0" w:line="235" w:lineRule="auto"/>
        <w:rPr>
          <w:sz w:val="20"/>
          <w:szCs w:val="20"/>
          <w:color w:val="auto"/>
        </w:rPr>
      </w:pPr>
      <w:r>
        <w:rPr>
          <w:rFonts w:ascii="Arial" w:cs="Arial" w:eastAsia="Arial" w:hAnsi="Arial"/>
          <w:sz w:val="18"/>
          <w:szCs w:val="18"/>
          <w:color w:val="auto"/>
        </w:rPr>
        <w:t>File No. 333-105335 Corporate Select Policy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333-113533 Corporate Owned VUL IV,</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Separate Account A (811-03365)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333-200231 Series VA (offered between October 7, 2011 and May 1, 2016)</w:t>
      </w:r>
    </w:p>
    <w:p>
      <w:pPr>
        <w:ind w:left="780" w:right="120" w:hanging="204"/>
        <w:spacing w:after="0" w:line="234" w:lineRule="auto"/>
        <w:rPr>
          <w:sz w:val="20"/>
          <w:szCs w:val="20"/>
          <w:color w:val="auto"/>
        </w:rPr>
      </w:pPr>
      <w:r>
        <w:rPr>
          <w:rFonts w:ascii="Arial" w:cs="Arial" w:eastAsia="Arial" w:hAnsi="Arial"/>
          <w:sz w:val="18"/>
          <w:szCs w:val="18"/>
          <w:color w:val="auto"/>
        </w:rPr>
        <w:t>File No. 333-200232 Series S (offered between October 7, 2011 and May 1, 2016) and Series S-L Share Option (offered between October 7, 2011 and May 1, 2016)</w:t>
      </w:r>
    </w:p>
    <w:p>
      <w:pPr>
        <w:ind w:left="580"/>
        <w:spacing w:after="0" w:line="236" w:lineRule="auto"/>
        <w:rPr>
          <w:sz w:val="20"/>
          <w:szCs w:val="20"/>
          <w:color w:val="auto"/>
        </w:rPr>
      </w:pPr>
      <w:r>
        <w:rPr>
          <w:rFonts w:ascii="Arial" w:cs="Arial" w:eastAsia="Arial" w:hAnsi="Arial"/>
          <w:sz w:val="18"/>
          <w:szCs w:val="18"/>
          <w:color w:val="auto"/>
        </w:rPr>
        <w:t>File No. 333-200233 Series VA-4 (offered between October 7, 2011 and May 1, 2016)</w:t>
      </w:r>
    </w:p>
    <w:p>
      <w:pPr>
        <w:ind w:left="580"/>
        <w:spacing w:after="0" w:line="235" w:lineRule="auto"/>
        <w:rPr>
          <w:sz w:val="20"/>
          <w:szCs w:val="20"/>
          <w:color w:val="auto"/>
        </w:rPr>
      </w:pPr>
      <w:r>
        <w:rPr>
          <w:rFonts w:ascii="Arial" w:cs="Arial" w:eastAsia="Arial" w:hAnsi="Arial"/>
          <w:sz w:val="18"/>
          <w:szCs w:val="18"/>
          <w:color w:val="auto"/>
        </w:rPr>
        <w:t>File No. 333-200234 Series O (offered between April 30, 2012 and July 19, 2015)</w:t>
      </w:r>
    </w:p>
    <w:p>
      <w:pPr>
        <w:ind w:left="580"/>
        <w:spacing w:after="0" w:line="235" w:lineRule="auto"/>
        <w:rPr>
          <w:sz w:val="20"/>
          <w:szCs w:val="20"/>
          <w:color w:val="auto"/>
        </w:rPr>
      </w:pPr>
      <w:r>
        <w:rPr>
          <w:rFonts w:ascii="Arial" w:cs="Arial" w:eastAsia="Arial" w:hAnsi="Arial"/>
          <w:sz w:val="18"/>
          <w:szCs w:val="18"/>
          <w:color w:val="auto"/>
        </w:rPr>
        <w:t>File No. 333-200236 Series L - 4 Year (offered on and after April 29, 2013)</w:t>
      </w:r>
    </w:p>
    <w:p>
      <w:pPr>
        <w:ind w:left="580"/>
        <w:spacing w:after="0" w:line="234" w:lineRule="auto"/>
        <w:rPr>
          <w:sz w:val="20"/>
          <w:szCs w:val="20"/>
          <w:color w:val="auto"/>
        </w:rPr>
      </w:pPr>
      <w:r>
        <w:rPr>
          <w:rFonts w:ascii="Arial" w:cs="Arial" w:eastAsia="Arial" w:hAnsi="Arial"/>
          <w:sz w:val="18"/>
          <w:szCs w:val="18"/>
          <w:color w:val="auto"/>
        </w:rPr>
        <w:t>File No. 333-200237 PrimElite IV</w:t>
      </w:r>
    </w:p>
    <w:p>
      <w:pPr>
        <w:ind w:left="580"/>
        <w:spacing w:after="0" w:line="235" w:lineRule="auto"/>
        <w:rPr>
          <w:sz w:val="20"/>
          <w:szCs w:val="20"/>
          <w:color w:val="auto"/>
        </w:rPr>
      </w:pPr>
      <w:r>
        <w:rPr>
          <w:rFonts w:ascii="Arial" w:cs="Arial" w:eastAsia="Arial" w:hAnsi="Arial"/>
          <w:sz w:val="18"/>
          <w:szCs w:val="18"/>
          <w:color w:val="auto"/>
        </w:rPr>
        <w:t>File No. 333-200238 Marquis Portfolios (offered on and after April 30, 2012)</w:t>
      </w:r>
    </w:p>
    <w:p>
      <w:pPr>
        <w:ind w:left="580"/>
        <w:spacing w:after="0" w:line="235" w:lineRule="auto"/>
        <w:rPr>
          <w:sz w:val="20"/>
          <w:szCs w:val="20"/>
          <w:color w:val="auto"/>
        </w:rPr>
      </w:pPr>
      <w:r>
        <w:rPr>
          <w:rFonts w:ascii="Arial" w:cs="Arial" w:eastAsia="Arial" w:hAnsi="Arial"/>
          <w:sz w:val="18"/>
          <w:szCs w:val="18"/>
          <w:color w:val="auto"/>
        </w:rPr>
        <w:t>File No. 333-200239 Brighthouse Growth and Income</w:t>
      </w:r>
    </w:p>
    <w:p>
      <w:pPr>
        <w:ind w:left="580" w:right="1060"/>
        <w:spacing w:after="0" w:line="234" w:lineRule="auto"/>
        <w:rPr>
          <w:sz w:val="20"/>
          <w:szCs w:val="20"/>
          <w:color w:val="auto"/>
        </w:rPr>
      </w:pPr>
      <w:r>
        <w:rPr>
          <w:rFonts w:ascii="Arial" w:cs="Arial" w:eastAsia="Arial" w:hAnsi="Arial"/>
          <w:sz w:val="18"/>
          <w:szCs w:val="18"/>
          <w:color w:val="auto"/>
        </w:rPr>
        <w:t>File No. 333-200240 Group Flexible Payment Variable Annuity (Flexible Bonus/Retirement Companion/Smart Choice) File No. 333-200243 PrimElite III</w:t>
      </w:r>
    </w:p>
    <w:p>
      <w:pPr>
        <w:ind w:left="580"/>
        <w:spacing w:after="0" w:line="185" w:lineRule="auto"/>
        <w:rPr>
          <w:sz w:val="20"/>
          <w:szCs w:val="20"/>
          <w:color w:val="auto"/>
        </w:rPr>
      </w:pPr>
      <w:r>
        <w:rPr>
          <w:rFonts w:ascii="Arial" w:cs="Arial" w:eastAsia="Arial" w:hAnsi="Arial"/>
          <w:sz w:val="16"/>
          <w:szCs w:val="16"/>
          <w:color w:val="auto"/>
        </w:rPr>
        <w:t>File No. 333-200246 Brighthouse Simple Solutions</w:t>
      </w:r>
      <w:r>
        <w:rPr>
          <w:rFonts w:ascii="Arial" w:cs="Arial" w:eastAsia="Arial" w:hAnsi="Arial"/>
          <w:sz w:val="23"/>
          <w:szCs w:val="23"/>
          <w:color w:val="auto"/>
          <w:vertAlign w:val="superscript"/>
        </w:rPr>
        <w:t>SM</w:t>
      </w:r>
    </w:p>
    <w:p>
      <w:pPr>
        <w:ind w:left="580"/>
        <w:spacing w:after="0" w:line="234" w:lineRule="auto"/>
        <w:rPr>
          <w:sz w:val="20"/>
          <w:szCs w:val="20"/>
          <w:color w:val="auto"/>
        </w:rPr>
      </w:pPr>
      <w:r>
        <w:rPr>
          <w:rFonts w:ascii="Arial" w:cs="Arial" w:eastAsia="Arial" w:hAnsi="Arial"/>
          <w:sz w:val="18"/>
          <w:szCs w:val="18"/>
          <w:color w:val="auto"/>
        </w:rPr>
        <w:t>File No. 333-200250 Marquis Portfolios (offered between November 7, 2005 and April 30, 2012)</w:t>
      </w:r>
    </w:p>
    <w:p>
      <w:pPr>
        <w:ind w:left="580"/>
        <w:spacing w:after="0" w:line="235" w:lineRule="auto"/>
        <w:rPr>
          <w:sz w:val="20"/>
          <w:szCs w:val="20"/>
          <w:color w:val="auto"/>
        </w:rPr>
      </w:pPr>
      <w:r>
        <w:rPr>
          <w:rFonts w:ascii="Arial" w:cs="Arial" w:eastAsia="Arial" w:hAnsi="Arial"/>
          <w:sz w:val="18"/>
          <w:szCs w:val="18"/>
          <w:color w:val="auto"/>
        </w:rPr>
        <w:t>File No. 333-200253 Series XC</w:t>
      </w:r>
    </w:p>
    <w:p>
      <w:pPr>
        <w:ind w:left="580"/>
        <w:spacing w:after="0" w:line="235" w:lineRule="auto"/>
        <w:rPr>
          <w:sz w:val="20"/>
          <w:szCs w:val="20"/>
          <w:color w:val="auto"/>
        </w:rPr>
      </w:pPr>
      <w:r>
        <w:rPr>
          <w:rFonts w:ascii="Arial" w:cs="Arial" w:eastAsia="Arial" w:hAnsi="Arial"/>
          <w:sz w:val="18"/>
          <w:szCs w:val="18"/>
          <w:color w:val="auto"/>
        </w:rPr>
        <w:t>File No. 333-200256 Series VA (offered between March 22, 2001 and October 7, 2011)</w:t>
      </w:r>
    </w:p>
    <w:p>
      <w:pPr>
        <w:ind w:left="580"/>
        <w:spacing w:after="0" w:line="235" w:lineRule="auto"/>
        <w:rPr>
          <w:sz w:val="20"/>
          <w:szCs w:val="20"/>
          <w:color w:val="auto"/>
        </w:rPr>
      </w:pPr>
      <w:r>
        <w:rPr>
          <w:rFonts w:ascii="Arial" w:cs="Arial" w:eastAsia="Arial" w:hAnsi="Arial"/>
          <w:sz w:val="18"/>
          <w:szCs w:val="18"/>
          <w:color w:val="auto"/>
        </w:rPr>
        <w:t>File No. 333-200259 Series L and Series L - 4 Year (offered between November 22, 2004 and October 7, 2011)</w:t>
      </w:r>
    </w:p>
    <w:p>
      <w:pPr>
        <w:ind w:left="580"/>
        <w:spacing w:after="0" w:line="235" w:lineRule="auto"/>
        <w:rPr>
          <w:sz w:val="20"/>
          <w:szCs w:val="20"/>
          <w:color w:val="auto"/>
        </w:rPr>
      </w:pPr>
      <w:r>
        <w:rPr>
          <w:rFonts w:ascii="Arial" w:cs="Arial" w:eastAsia="Arial" w:hAnsi="Arial"/>
          <w:sz w:val="18"/>
          <w:szCs w:val="18"/>
          <w:color w:val="auto"/>
        </w:rPr>
        <w:t>File No. 333-200261 Series C (offered between September 4, 2001 and October 7, 2011)</w:t>
      </w:r>
    </w:p>
    <w:p>
      <w:pPr>
        <w:ind w:left="580"/>
        <w:spacing w:after="0" w:line="234" w:lineRule="auto"/>
        <w:rPr>
          <w:sz w:val="20"/>
          <w:szCs w:val="20"/>
          <w:color w:val="auto"/>
        </w:rPr>
      </w:pPr>
      <w:r>
        <w:rPr>
          <w:rFonts w:ascii="Arial" w:cs="Arial" w:eastAsia="Arial" w:hAnsi="Arial"/>
          <w:sz w:val="18"/>
          <w:szCs w:val="18"/>
          <w:color w:val="auto"/>
        </w:rPr>
        <w:t>File No. 333-200263 Series XTRA</w:t>
      </w:r>
    </w:p>
    <w:p>
      <w:pPr>
        <w:ind w:left="580"/>
        <w:spacing w:after="0" w:line="235" w:lineRule="auto"/>
        <w:rPr>
          <w:sz w:val="20"/>
          <w:szCs w:val="20"/>
          <w:color w:val="auto"/>
        </w:rPr>
      </w:pPr>
      <w:r>
        <w:rPr>
          <w:rFonts w:ascii="Arial" w:cs="Arial" w:eastAsia="Arial" w:hAnsi="Arial"/>
          <w:sz w:val="18"/>
          <w:szCs w:val="18"/>
          <w:color w:val="auto"/>
        </w:rPr>
        <w:t>File No. 333-200265 Series S and Series S-L Share Option (offered between April 30, 2007 and October 7, 2011)</w:t>
      </w:r>
    </w:p>
    <w:p>
      <w:pPr>
        <w:ind w:left="580"/>
        <w:spacing w:after="0" w:line="235" w:lineRule="auto"/>
        <w:rPr>
          <w:sz w:val="20"/>
          <w:szCs w:val="20"/>
          <w:color w:val="auto"/>
        </w:rPr>
      </w:pPr>
      <w:r>
        <w:rPr>
          <w:rFonts w:ascii="Arial" w:cs="Arial" w:eastAsia="Arial" w:hAnsi="Arial"/>
          <w:sz w:val="18"/>
          <w:szCs w:val="18"/>
          <w:color w:val="auto"/>
        </w:rPr>
        <w:t>File No. 333-200268 Series L - 4 Year (offered between October 7, 2011 and April 28, 2013)</w:t>
      </w:r>
    </w:p>
    <w:p>
      <w:pPr>
        <w:ind w:left="580"/>
        <w:spacing w:after="0" w:line="235" w:lineRule="auto"/>
        <w:rPr>
          <w:sz w:val="20"/>
          <w:szCs w:val="20"/>
          <w:color w:val="auto"/>
        </w:rPr>
      </w:pPr>
      <w:r>
        <w:rPr>
          <w:rFonts w:ascii="Arial" w:cs="Arial" w:eastAsia="Arial" w:hAnsi="Arial"/>
          <w:sz w:val="18"/>
          <w:szCs w:val="18"/>
          <w:color w:val="auto"/>
        </w:rPr>
        <w:t>File No. 333-200270 Group Annuity SF 101</w:t>
      </w:r>
    </w:p>
    <w:p>
      <w:pPr>
        <w:ind w:left="580"/>
        <w:spacing w:after="0" w:line="235" w:lineRule="auto"/>
        <w:rPr>
          <w:sz w:val="20"/>
          <w:szCs w:val="20"/>
          <w:color w:val="auto"/>
        </w:rPr>
      </w:pPr>
      <w:r>
        <w:rPr>
          <w:rFonts w:ascii="Arial" w:cs="Arial" w:eastAsia="Arial" w:hAnsi="Arial"/>
          <w:sz w:val="18"/>
          <w:szCs w:val="18"/>
          <w:color w:val="auto"/>
        </w:rPr>
        <w:t>File No. 333-200272 Ultimate Annuity FSL 224</w:t>
      </w:r>
    </w:p>
    <w:p>
      <w:pPr>
        <w:ind w:left="580"/>
        <w:spacing w:after="0" w:line="234" w:lineRule="auto"/>
        <w:rPr>
          <w:sz w:val="20"/>
          <w:szCs w:val="20"/>
          <w:color w:val="auto"/>
        </w:rPr>
      </w:pPr>
      <w:r>
        <w:rPr>
          <w:rFonts w:ascii="Arial" w:cs="Arial" w:eastAsia="Arial" w:hAnsi="Arial"/>
          <w:sz w:val="18"/>
          <w:szCs w:val="18"/>
          <w:color w:val="auto"/>
        </w:rPr>
        <w:t>File No. 333-200275 Foresight SF 137</w:t>
      </w:r>
    </w:p>
    <w:p>
      <w:pPr>
        <w:ind w:left="580"/>
        <w:spacing w:after="0" w:line="235" w:lineRule="auto"/>
        <w:rPr>
          <w:sz w:val="20"/>
          <w:szCs w:val="20"/>
          <w:color w:val="auto"/>
        </w:rPr>
      </w:pPr>
      <w:r>
        <w:rPr>
          <w:rFonts w:ascii="Arial" w:cs="Arial" w:eastAsia="Arial" w:hAnsi="Arial"/>
          <w:sz w:val="18"/>
          <w:szCs w:val="18"/>
          <w:color w:val="auto"/>
        </w:rPr>
        <w:t>File No. 333-200277 SecurAnnuity (CLICO) 224/ SF 1700</w:t>
      </w:r>
    </w:p>
    <w:p>
      <w:pPr>
        <w:ind w:left="580"/>
        <w:spacing w:after="0" w:line="235" w:lineRule="auto"/>
        <w:rPr>
          <w:sz w:val="20"/>
          <w:szCs w:val="20"/>
          <w:color w:val="auto"/>
        </w:rPr>
      </w:pPr>
      <w:r>
        <w:rPr>
          <w:rFonts w:ascii="Arial" w:cs="Arial" w:eastAsia="Arial" w:hAnsi="Arial"/>
          <w:sz w:val="18"/>
          <w:szCs w:val="18"/>
          <w:color w:val="auto"/>
        </w:rPr>
        <w:t>File No. 333-200278 Group VA SF 234 (Texas)</w:t>
      </w:r>
    </w:p>
    <w:p>
      <w:pPr>
        <w:ind w:left="580"/>
        <w:spacing w:after="0" w:line="235" w:lineRule="auto"/>
        <w:rPr>
          <w:sz w:val="20"/>
          <w:szCs w:val="20"/>
          <w:color w:val="auto"/>
        </w:rPr>
      </w:pPr>
      <w:r>
        <w:rPr>
          <w:rFonts w:ascii="Arial" w:cs="Arial" w:eastAsia="Arial" w:hAnsi="Arial"/>
          <w:sz w:val="18"/>
          <w:szCs w:val="18"/>
          <w:color w:val="auto"/>
        </w:rPr>
        <w:t>File No. 333-200280 Sunshine SF 236 FL</w:t>
      </w:r>
    </w:p>
    <w:p>
      <w:pPr>
        <w:ind w:left="580"/>
        <w:spacing w:after="0" w:line="235" w:lineRule="auto"/>
        <w:rPr>
          <w:sz w:val="20"/>
          <w:szCs w:val="20"/>
          <w:color w:val="auto"/>
        </w:rPr>
      </w:pPr>
      <w:r>
        <w:rPr>
          <w:rFonts w:ascii="Arial" w:cs="Arial" w:eastAsia="Arial" w:hAnsi="Arial"/>
          <w:sz w:val="18"/>
          <w:szCs w:val="18"/>
          <w:color w:val="auto"/>
        </w:rPr>
        <w:t>File No. 333-200281 Flexible Value SF 230</w:t>
      </w:r>
    </w:p>
    <w:p>
      <w:pPr>
        <w:ind w:left="580" w:right="1840"/>
        <w:spacing w:after="0" w:line="250" w:lineRule="auto"/>
        <w:rPr>
          <w:sz w:val="20"/>
          <w:szCs w:val="20"/>
          <w:color w:val="auto"/>
        </w:rPr>
      </w:pPr>
      <w:r>
        <w:rPr>
          <w:rFonts w:ascii="Arial" w:cs="Arial" w:eastAsia="Arial" w:hAnsi="Arial"/>
          <w:sz w:val="18"/>
          <w:szCs w:val="18"/>
          <w:color w:val="auto"/>
        </w:rPr>
        <w:t>File No. 333-200282 Investors Choice Annuity, Capital Strategist Annuity, Imprint Annuity and Strive Annuity File No. 333-200283 Protected Equity Portfolio (PEP)</w:t>
      </w:r>
    </w:p>
    <w:p>
      <w:pPr>
        <w:sectPr>
          <w:pgSz w:w="11900" w:h="16838" w:orient="portrait"/>
          <w:cols w:equalWidth="0" w:num="1">
            <w:col w:w="10980"/>
          </w:cols>
          <w:pgMar w:left="320" w:top="269" w:right="599" w:bottom="1440" w:gutter="0" w:footer="0" w:header="0"/>
        </w:sectPr>
      </w:pPr>
    </w:p>
    <w:bookmarkStart w:id="107" w:name="page108"/>
    <w:bookmarkEnd w:id="107"/>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333-200284 Vintage L and Vintage XC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333-200285 Series XTRA 6</w:t>
      </w:r>
    </w:p>
    <w:p>
      <w:pPr>
        <w:ind w:left="580"/>
        <w:spacing w:after="0" w:line="234" w:lineRule="auto"/>
        <w:rPr>
          <w:sz w:val="20"/>
          <w:szCs w:val="20"/>
          <w:color w:val="auto"/>
        </w:rPr>
      </w:pPr>
      <w:r>
        <w:rPr>
          <w:rFonts w:ascii="Arial" w:cs="Arial" w:eastAsia="Arial" w:hAnsi="Arial"/>
          <w:sz w:val="18"/>
          <w:szCs w:val="18"/>
          <w:color w:val="auto"/>
        </w:rPr>
        <w:t>File No. 333-200286 Series VA - 4 (offered between May 1, 2011 and October 7, 2011)</w:t>
      </w:r>
    </w:p>
    <w:p>
      <w:pPr>
        <w:ind w:left="580"/>
        <w:spacing w:after="0" w:line="235" w:lineRule="auto"/>
        <w:rPr>
          <w:sz w:val="20"/>
          <w:szCs w:val="20"/>
          <w:color w:val="auto"/>
        </w:rPr>
      </w:pPr>
      <w:r>
        <w:rPr>
          <w:rFonts w:ascii="Arial" w:cs="Arial" w:eastAsia="Arial" w:hAnsi="Arial"/>
          <w:sz w:val="18"/>
          <w:szCs w:val="18"/>
          <w:color w:val="auto"/>
        </w:rPr>
        <w:t>File No. 333-200287 Series C (offered on and after October 7, 2011)</w:t>
      </w:r>
    </w:p>
    <w:p>
      <w:pPr>
        <w:ind w:left="580"/>
        <w:spacing w:after="0" w:line="235" w:lineRule="auto"/>
        <w:rPr>
          <w:sz w:val="20"/>
          <w:szCs w:val="20"/>
          <w:color w:val="auto"/>
        </w:rPr>
      </w:pPr>
      <w:r>
        <w:rPr>
          <w:rFonts w:ascii="Arial" w:cs="Arial" w:eastAsia="Arial" w:hAnsi="Arial"/>
          <w:sz w:val="18"/>
          <w:szCs w:val="18"/>
          <w:color w:val="auto"/>
        </w:rPr>
        <w:t>File No. 333-200288 Pioneer PRISM</w:t>
      </w:r>
    </w:p>
    <w:p>
      <w:pPr>
        <w:ind w:left="580"/>
        <w:spacing w:after="0" w:line="235" w:lineRule="auto"/>
        <w:rPr>
          <w:sz w:val="20"/>
          <w:szCs w:val="20"/>
          <w:color w:val="auto"/>
        </w:rPr>
      </w:pPr>
      <w:r>
        <w:rPr>
          <w:rFonts w:ascii="Arial" w:cs="Arial" w:eastAsia="Arial" w:hAnsi="Arial"/>
          <w:sz w:val="18"/>
          <w:szCs w:val="18"/>
          <w:color w:val="auto"/>
        </w:rPr>
        <w:t>File No. 333-200289 Pioneer PRISM L</w:t>
      </w:r>
    </w:p>
    <w:p>
      <w:pPr>
        <w:ind w:left="580"/>
        <w:spacing w:after="0" w:line="235" w:lineRule="auto"/>
        <w:rPr>
          <w:sz w:val="20"/>
          <w:szCs w:val="20"/>
          <w:color w:val="auto"/>
        </w:rPr>
      </w:pPr>
      <w:r>
        <w:rPr>
          <w:rFonts w:ascii="Arial" w:cs="Arial" w:eastAsia="Arial" w:hAnsi="Arial"/>
          <w:sz w:val="18"/>
          <w:szCs w:val="18"/>
          <w:color w:val="auto"/>
        </w:rPr>
        <w:t>File No. 333-200290 Pioneer PRISM XC</w:t>
      </w:r>
    </w:p>
    <w:p>
      <w:pPr>
        <w:ind w:left="780" w:right="660" w:hanging="204"/>
        <w:spacing w:after="0" w:line="216" w:lineRule="auto"/>
        <w:rPr>
          <w:sz w:val="20"/>
          <w:szCs w:val="20"/>
          <w:color w:val="auto"/>
        </w:rPr>
      </w:pPr>
      <w:r>
        <w:rPr>
          <w:rFonts w:ascii="Arial" w:cs="Arial" w:eastAsia="Arial" w:hAnsi="Arial"/>
          <w:sz w:val="16"/>
          <w:szCs w:val="16"/>
          <w:color w:val="auto"/>
        </w:rPr>
        <w:t>File No. 333-200323 Brighthouse Investment Portfolio Architect</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 Standard Version and Brighthouse Investment Portfolio Architect</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 C Share Option</w:t>
      </w:r>
    </w:p>
    <w:p>
      <w:pPr>
        <w:ind w:left="580"/>
        <w:spacing w:after="0" w:line="236" w:lineRule="auto"/>
        <w:rPr>
          <w:sz w:val="20"/>
          <w:szCs w:val="20"/>
          <w:color w:val="auto"/>
        </w:rPr>
      </w:pPr>
      <w:r>
        <w:rPr>
          <w:rFonts w:ascii="Arial" w:cs="Arial" w:eastAsia="Arial" w:hAnsi="Arial"/>
          <w:sz w:val="18"/>
          <w:szCs w:val="18"/>
          <w:color w:val="auto"/>
        </w:rPr>
        <w:t>File No. 333-203748 Series O (offered on and after July 20, 2015)</w:t>
      </w:r>
    </w:p>
    <w:p>
      <w:pPr>
        <w:ind w:left="580"/>
        <w:spacing w:after="0" w:line="235" w:lineRule="auto"/>
        <w:rPr>
          <w:sz w:val="20"/>
          <w:szCs w:val="20"/>
          <w:color w:val="auto"/>
        </w:rPr>
      </w:pPr>
      <w:r>
        <w:rPr>
          <w:rFonts w:ascii="Arial" w:cs="Arial" w:eastAsia="Arial" w:hAnsi="Arial"/>
          <w:sz w:val="18"/>
          <w:szCs w:val="18"/>
          <w:color w:val="auto"/>
        </w:rPr>
        <w:t>File No. 333-209053 Series VA (offered on and after May 2, 2016)</w:t>
      </w:r>
    </w:p>
    <w:p>
      <w:pPr>
        <w:ind w:left="580"/>
        <w:spacing w:after="0" w:line="235" w:lineRule="auto"/>
        <w:rPr>
          <w:sz w:val="20"/>
          <w:szCs w:val="20"/>
          <w:color w:val="auto"/>
        </w:rPr>
      </w:pPr>
      <w:r>
        <w:rPr>
          <w:rFonts w:ascii="Arial" w:cs="Arial" w:eastAsia="Arial" w:hAnsi="Arial"/>
          <w:sz w:val="18"/>
          <w:szCs w:val="18"/>
          <w:color w:val="auto"/>
        </w:rPr>
        <w:t>File No. 333-209054 Series VA- 4 (offered on and after May 2, 2016)</w:t>
      </w:r>
    </w:p>
    <w:p>
      <w:pPr>
        <w:ind w:left="580" w:right="160"/>
        <w:spacing w:after="0" w:line="250" w:lineRule="auto"/>
        <w:rPr>
          <w:sz w:val="20"/>
          <w:szCs w:val="20"/>
          <w:color w:val="auto"/>
        </w:rPr>
      </w:pPr>
      <w:r>
        <w:rPr>
          <w:rFonts w:ascii="Arial" w:cs="Arial" w:eastAsia="Arial" w:hAnsi="Arial"/>
          <w:sz w:val="18"/>
          <w:szCs w:val="18"/>
          <w:color w:val="auto"/>
        </w:rPr>
        <w:t>File No. 333-209055 Series S (offered on and after May 2, 2016) and Series S-L Share Option (offered on and after May 2, 2016) File No. 333-209411 Brighthouse Prime Options,</w:t>
      </w:r>
    </w:p>
    <w:p>
      <w:pPr>
        <w:spacing w:after="0" w:line="199"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Separate Account Eleven for Variable Annuities (811-21262)</w:t>
      </w:r>
    </w:p>
    <w:p>
      <w:pPr>
        <w:spacing w:after="0" w:line="14" w:lineRule="exact"/>
        <w:rPr>
          <w:sz w:val="20"/>
          <w:szCs w:val="20"/>
          <w:color w:val="auto"/>
        </w:rPr>
      </w:pPr>
    </w:p>
    <w:p>
      <w:pPr>
        <w:ind w:left="780" w:right="360" w:hanging="204"/>
        <w:spacing w:after="0" w:line="234" w:lineRule="auto"/>
        <w:rPr>
          <w:sz w:val="20"/>
          <w:szCs w:val="20"/>
          <w:color w:val="auto"/>
        </w:rPr>
      </w:pPr>
      <w:r>
        <w:rPr>
          <w:rFonts w:ascii="Arial" w:cs="Arial" w:eastAsia="Arial" w:hAnsi="Arial"/>
          <w:sz w:val="18"/>
          <w:szCs w:val="18"/>
          <w:color w:val="auto"/>
        </w:rPr>
        <w:t>File Nos. 333-101778 and 333-152234 Pioneer AnnuiStar Plus Annuity, Portfolio Architect Plus Annuity and Scudder Advocate Rewards Annuity</w:t>
      </w:r>
    </w:p>
    <w:p>
      <w:pPr>
        <w:ind w:left="580"/>
        <w:spacing w:after="0" w:line="236" w:lineRule="auto"/>
        <w:rPr>
          <w:sz w:val="20"/>
          <w:szCs w:val="20"/>
          <w:color w:val="auto"/>
        </w:rPr>
      </w:pPr>
      <w:r>
        <w:rPr>
          <w:rFonts w:ascii="Arial" w:cs="Arial" w:eastAsia="Arial" w:hAnsi="Arial"/>
          <w:sz w:val="18"/>
          <w:szCs w:val="18"/>
          <w:color w:val="auto"/>
        </w:rPr>
        <w:t>File No. 333-152189 Universal Annuity</w:t>
      </w:r>
    </w:p>
    <w:p>
      <w:pPr>
        <w:ind w:left="580"/>
        <w:spacing w:after="0" w:line="235" w:lineRule="auto"/>
        <w:rPr>
          <w:sz w:val="20"/>
          <w:szCs w:val="20"/>
          <w:color w:val="auto"/>
        </w:rPr>
      </w:pPr>
      <w:r>
        <w:rPr>
          <w:rFonts w:ascii="Arial" w:cs="Arial" w:eastAsia="Arial" w:hAnsi="Arial"/>
          <w:sz w:val="18"/>
          <w:szCs w:val="18"/>
          <w:color w:val="auto"/>
        </w:rPr>
        <w:t>File No. 333-152190 Universal Select Annuity</w:t>
      </w:r>
    </w:p>
    <w:p>
      <w:pPr>
        <w:ind w:left="580"/>
        <w:spacing w:after="0" w:line="235" w:lineRule="auto"/>
        <w:rPr>
          <w:sz w:val="20"/>
          <w:szCs w:val="20"/>
          <w:color w:val="auto"/>
        </w:rPr>
      </w:pPr>
      <w:r>
        <w:rPr>
          <w:rFonts w:ascii="Arial" w:cs="Arial" w:eastAsia="Arial" w:hAnsi="Arial"/>
          <w:sz w:val="18"/>
          <w:szCs w:val="18"/>
          <w:color w:val="auto"/>
        </w:rPr>
        <w:t>File No. 333-152191 Universal Annuity Advantage</w:t>
      </w:r>
    </w:p>
    <w:p>
      <w:pPr>
        <w:ind w:left="580" w:right="4700"/>
        <w:spacing w:after="0" w:line="234" w:lineRule="auto"/>
        <w:rPr>
          <w:sz w:val="20"/>
          <w:szCs w:val="20"/>
          <w:color w:val="auto"/>
        </w:rPr>
      </w:pPr>
      <w:r>
        <w:rPr>
          <w:rFonts w:ascii="Arial" w:cs="Arial" w:eastAsia="Arial" w:hAnsi="Arial"/>
          <w:sz w:val="18"/>
          <w:szCs w:val="18"/>
          <w:color w:val="auto"/>
        </w:rPr>
        <w:t>File Nos. 333-152192 and 333-152193 Brighthouse Retirement Account File No. 333-152194 Gold Track and Gold Track Select</w:t>
      </w:r>
    </w:p>
    <w:p>
      <w:pPr>
        <w:spacing w:after="0" w:line="1" w:lineRule="exact"/>
        <w:rPr>
          <w:sz w:val="20"/>
          <w:szCs w:val="20"/>
          <w:color w:val="auto"/>
        </w:rPr>
      </w:pPr>
    </w:p>
    <w:p>
      <w:pPr>
        <w:ind w:left="580" w:right="1880"/>
        <w:spacing w:after="0" w:line="234" w:lineRule="auto"/>
        <w:rPr>
          <w:sz w:val="20"/>
          <w:szCs w:val="20"/>
          <w:color w:val="auto"/>
        </w:rPr>
      </w:pPr>
      <w:r>
        <w:rPr>
          <w:rFonts w:ascii="Arial" w:cs="Arial" w:eastAsia="Arial" w:hAnsi="Arial"/>
          <w:sz w:val="18"/>
          <w:szCs w:val="18"/>
          <w:color w:val="auto"/>
        </w:rPr>
        <w:t>File Nos. 333-152197 and 333-152198 Brighthouse Access Annuity and Brighthouse Access Select Annuity File Nos. 333-152199 and 333-152200 Vintage Annuity File Nos. 333-152201 and 333-152202 Index Annuity</w:t>
      </w:r>
    </w:p>
    <w:p>
      <w:pPr>
        <w:spacing w:after="0" w:line="2" w:lineRule="exact"/>
        <w:rPr>
          <w:sz w:val="20"/>
          <w:szCs w:val="20"/>
          <w:color w:val="auto"/>
        </w:rPr>
      </w:pPr>
    </w:p>
    <w:p>
      <w:pPr>
        <w:ind w:left="780" w:right="440" w:hanging="204"/>
        <w:spacing w:after="0" w:line="234" w:lineRule="auto"/>
        <w:rPr>
          <w:sz w:val="20"/>
          <w:szCs w:val="20"/>
          <w:color w:val="auto"/>
        </w:rPr>
      </w:pPr>
      <w:r>
        <w:rPr>
          <w:rFonts w:ascii="Arial" w:cs="Arial" w:eastAsia="Arial" w:hAnsi="Arial"/>
          <w:sz w:val="18"/>
          <w:szCs w:val="18"/>
          <w:color w:val="auto"/>
        </w:rPr>
        <w:t>File Nos. 333-152232 and 333-152233 Portfolio Architect Annuity, Portfolio Architect Select Annuity, Premier Advisers Annuity (Class I) and Premier Advisers Annuity (Class II)</w:t>
      </w:r>
    </w:p>
    <w:p>
      <w:pPr>
        <w:spacing w:after="0" w:line="1" w:lineRule="exact"/>
        <w:rPr>
          <w:sz w:val="20"/>
          <w:szCs w:val="20"/>
          <w:color w:val="auto"/>
        </w:rPr>
      </w:pPr>
    </w:p>
    <w:p>
      <w:pPr>
        <w:ind w:left="780" w:right="540" w:hanging="204"/>
        <w:spacing w:after="0" w:line="234" w:lineRule="auto"/>
        <w:rPr>
          <w:sz w:val="20"/>
          <w:szCs w:val="20"/>
          <w:color w:val="auto"/>
        </w:rPr>
      </w:pPr>
      <w:r>
        <w:rPr>
          <w:rFonts w:ascii="Arial" w:cs="Arial" w:eastAsia="Arial" w:hAnsi="Arial"/>
          <w:sz w:val="18"/>
          <w:szCs w:val="18"/>
          <w:color w:val="auto"/>
        </w:rPr>
        <w:t>File Nos. 333-152235 and 333-152236 Pioneer AnnuiStar Annuity, Portfolio Architect II Annuity and Pioneer AnnuiStar Value Annuity</w:t>
      </w:r>
    </w:p>
    <w:p>
      <w:pPr>
        <w:spacing w:after="0" w:line="1" w:lineRule="exact"/>
        <w:rPr>
          <w:sz w:val="20"/>
          <w:szCs w:val="20"/>
          <w:color w:val="auto"/>
        </w:rPr>
      </w:pPr>
    </w:p>
    <w:p>
      <w:pPr>
        <w:ind w:left="780" w:right="60" w:hanging="204"/>
        <w:spacing w:after="0" w:line="234" w:lineRule="auto"/>
        <w:rPr>
          <w:sz w:val="20"/>
          <w:szCs w:val="20"/>
          <w:color w:val="auto"/>
        </w:rPr>
      </w:pPr>
      <w:r>
        <w:rPr>
          <w:rFonts w:ascii="Arial" w:cs="Arial" w:eastAsia="Arial" w:hAnsi="Arial"/>
          <w:sz w:val="18"/>
          <w:szCs w:val="18"/>
          <w:color w:val="auto"/>
        </w:rPr>
        <w:t>File Nos. 333-152237 and 333-152238 Premier Advisers II Annuity, Premier Advisers III (Series I) and Premier Advisers III Annuity (Series II)</w:t>
      </w:r>
    </w:p>
    <w:p>
      <w:pPr>
        <w:spacing w:after="0" w:line="1" w:lineRule="exact"/>
        <w:rPr>
          <w:sz w:val="20"/>
          <w:szCs w:val="20"/>
          <w:color w:val="auto"/>
        </w:rPr>
      </w:pPr>
    </w:p>
    <w:p>
      <w:pPr>
        <w:ind w:left="780" w:hanging="204"/>
        <w:spacing w:after="0" w:line="234" w:lineRule="auto"/>
        <w:rPr>
          <w:sz w:val="20"/>
          <w:szCs w:val="20"/>
          <w:color w:val="auto"/>
        </w:rPr>
      </w:pPr>
      <w:r>
        <w:rPr>
          <w:rFonts w:ascii="Arial" w:cs="Arial" w:eastAsia="Arial" w:hAnsi="Arial"/>
          <w:sz w:val="18"/>
          <w:szCs w:val="18"/>
          <w:color w:val="auto"/>
        </w:rPr>
        <w:t>File Nos. 333-152239 and 333-152240 Premier Advisers AssetManager Annuity, Premier Advisers L Annuity (Series I) and Premier Advisers L Annuity (Series II)</w:t>
      </w:r>
    </w:p>
    <w:p>
      <w:pPr>
        <w:spacing w:after="0" w:line="1" w:lineRule="exact"/>
        <w:rPr>
          <w:sz w:val="20"/>
          <w:szCs w:val="20"/>
          <w:color w:val="auto"/>
        </w:rPr>
      </w:pPr>
    </w:p>
    <w:p>
      <w:pPr>
        <w:ind w:left="780" w:right="20" w:hanging="204"/>
        <w:spacing w:after="0" w:line="234" w:lineRule="auto"/>
        <w:rPr>
          <w:sz w:val="20"/>
          <w:szCs w:val="20"/>
          <w:color w:val="auto"/>
        </w:rPr>
      </w:pPr>
      <w:r>
        <w:rPr>
          <w:rFonts w:ascii="Arial" w:cs="Arial" w:eastAsia="Arial" w:hAnsi="Arial"/>
          <w:sz w:val="18"/>
          <w:szCs w:val="18"/>
          <w:color w:val="auto"/>
        </w:rPr>
        <w:t>File Nos. 333-152255 and 333-152265 Vintage XTRA Annuity, Portfolio Architect XTRA Annuity and Vintage XTRA Annuity (Series II)</w:t>
      </w:r>
    </w:p>
    <w:p>
      <w:pPr>
        <w:spacing w:after="0" w:line="1" w:lineRule="exact"/>
        <w:rPr>
          <w:sz w:val="20"/>
          <w:szCs w:val="20"/>
          <w:color w:val="auto"/>
        </w:rPr>
      </w:pPr>
    </w:p>
    <w:p>
      <w:pPr>
        <w:ind w:left="780" w:right="460" w:hanging="204"/>
        <w:spacing w:after="0" w:line="234" w:lineRule="auto"/>
        <w:rPr>
          <w:sz w:val="20"/>
          <w:szCs w:val="20"/>
          <w:color w:val="auto"/>
        </w:rPr>
      </w:pPr>
      <w:r>
        <w:rPr>
          <w:rFonts w:ascii="Arial" w:cs="Arial" w:eastAsia="Arial" w:hAnsi="Arial"/>
          <w:sz w:val="18"/>
          <w:szCs w:val="18"/>
          <w:color w:val="auto"/>
        </w:rPr>
        <w:t>File Nos. 333-152256 and 333-152292 Vintage 3 Annuity, Portfolio Architect 3 Annuity, Portfolio Architect L Annuity, Vintage L Annuity and Pioneer AnnuiStar Flex Annuity</w:t>
      </w:r>
    </w:p>
    <w:p>
      <w:pPr>
        <w:ind w:left="580"/>
        <w:spacing w:after="0" w:line="236" w:lineRule="auto"/>
        <w:rPr>
          <w:sz w:val="20"/>
          <w:szCs w:val="20"/>
          <w:color w:val="auto"/>
        </w:rPr>
      </w:pPr>
      <w:r>
        <w:rPr>
          <w:rFonts w:ascii="Arial" w:cs="Arial" w:eastAsia="Arial" w:hAnsi="Arial"/>
          <w:sz w:val="18"/>
          <w:szCs w:val="18"/>
          <w:color w:val="auto"/>
        </w:rPr>
        <w:t>File Nos. 333-152258 and 333-152261 PrimElite Annuity</w:t>
      </w:r>
    </w:p>
    <w:p>
      <w:pPr>
        <w:ind w:left="580"/>
        <w:spacing w:after="0" w:line="235" w:lineRule="auto"/>
        <w:rPr>
          <w:sz w:val="20"/>
          <w:szCs w:val="20"/>
          <w:color w:val="auto"/>
        </w:rPr>
      </w:pPr>
      <w:r>
        <w:rPr>
          <w:rFonts w:ascii="Arial" w:cs="Arial" w:eastAsia="Arial" w:hAnsi="Arial"/>
          <w:sz w:val="18"/>
          <w:szCs w:val="18"/>
          <w:color w:val="auto"/>
        </w:rPr>
        <w:t>File Nos. 333-152259 and 333-152262 PrimElite II Annuity</w:t>
      </w:r>
    </w:p>
    <w:p>
      <w:pPr>
        <w:ind w:left="580" w:right="4620"/>
        <w:spacing w:after="0" w:line="234" w:lineRule="auto"/>
        <w:rPr>
          <w:sz w:val="20"/>
          <w:szCs w:val="20"/>
          <w:color w:val="auto"/>
        </w:rPr>
      </w:pPr>
      <w:r>
        <w:rPr>
          <w:rFonts w:ascii="Arial" w:cs="Arial" w:eastAsia="Arial" w:hAnsi="Arial"/>
          <w:sz w:val="18"/>
          <w:szCs w:val="18"/>
          <w:color w:val="auto"/>
        </w:rPr>
        <w:t>File Nos. 333-152260 and 333-152266 Protected Equity Portfolio Annuity File Nos. 333-152263 and 333-152269 Marquis Portfolios</w:t>
      </w:r>
    </w:p>
    <w:p>
      <w:pPr>
        <w:spacing w:after="0" w:line="1" w:lineRule="exact"/>
        <w:rPr>
          <w:sz w:val="20"/>
          <w:szCs w:val="20"/>
          <w:color w:val="auto"/>
        </w:rPr>
      </w:pPr>
    </w:p>
    <w:p>
      <w:pPr>
        <w:ind w:left="780" w:right="620" w:hanging="204"/>
        <w:spacing w:after="0" w:line="234" w:lineRule="auto"/>
        <w:rPr>
          <w:sz w:val="20"/>
          <w:szCs w:val="20"/>
          <w:color w:val="auto"/>
        </w:rPr>
      </w:pPr>
      <w:r>
        <w:rPr>
          <w:rFonts w:ascii="Arial" w:cs="Arial" w:eastAsia="Arial" w:hAnsi="Arial"/>
          <w:sz w:val="18"/>
          <w:szCs w:val="18"/>
          <w:color w:val="auto"/>
        </w:rPr>
        <w:t>File Nos. 333-152264 and 333-152270 Vintage Access, Portfolio Architect Access, Scudder Advocate Advisor and Scudder Advocate Advisor - ST1 Annuity</w:t>
      </w:r>
    </w:p>
    <w:p>
      <w:pPr>
        <w:ind w:left="580"/>
        <w:spacing w:after="0" w:line="236" w:lineRule="auto"/>
        <w:rPr>
          <w:sz w:val="20"/>
          <w:szCs w:val="20"/>
          <w:color w:val="auto"/>
        </w:rPr>
      </w:pPr>
      <w:r>
        <w:rPr>
          <w:rFonts w:ascii="Arial" w:cs="Arial" w:eastAsia="Arial" w:hAnsi="Arial"/>
          <w:sz w:val="18"/>
          <w:szCs w:val="18"/>
          <w:color w:val="auto"/>
        </w:rPr>
        <w:t>File Nos. 333-152267 and 333-152268 Vintage II Annuity and Vintage II Annuity (Series II)</w:t>
      </w:r>
    </w:p>
    <w:p>
      <w:pPr>
        <w:ind w:left="580"/>
        <w:spacing w:after="0" w:line="235" w:lineRule="auto"/>
        <w:rPr>
          <w:sz w:val="20"/>
          <w:szCs w:val="20"/>
          <w:color w:val="auto"/>
        </w:rPr>
      </w:pPr>
      <w:r>
        <w:rPr>
          <w:rFonts w:ascii="Arial" w:cs="Arial" w:eastAsia="Arial" w:hAnsi="Arial"/>
          <w:sz w:val="18"/>
          <w:szCs w:val="18"/>
          <w:color w:val="auto"/>
        </w:rPr>
        <w:t>File No. 333-197658 Brighthouse Accumulation Annuity</w:t>
      </w:r>
    </w:p>
    <w:p>
      <w:pPr>
        <w:ind w:left="580"/>
        <w:spacing w:after="0"/>
        <w:rPr>
          <w:sz w:val="20"/>
          <w:szCs w:val="20"/>
          <w:color w:val="auto"/>
        </w:rPr>
      </w:pPr>
      <w:r>
        <w:rPr>
          <w:rFonts w:ascii="Arial" w:cs="Arial" w:eastAsia="Arial" w:hAnsi="Arial"/>
          <w:sz w:val="18"/>
          <w:szCs w:val="18"/>
          <w:color w:val="auto"/>
        </w:rPr>
        <w:t>File No. 333-208464 Brighthouse Premier Variable Annuity</w:t>
      </w:r>
      <w:r>
        <w:rPr>
          <w:rFonts w:ascii="Arial" w:cs="Arial" w:eastAsia="Arial" w:hAnsi="Arial"/>
          <w:sz w:val="26"/>
          <w:szCs w:val="26"/>
          <w:color w:val="auto"/>
          <w:vertAlign w:val="superscript"/>
        </w:rPr>
        <w:t>SM</w:t>
      </w:r>
      <w:r>
        <w:rPr>
          <w:rFonts w:ascii="Arial" w:cs="Arial" w:eastAsia="Arial" w:hAnsi="Arial"/>
          <w:sz w:val="18"/>
          <w:szCs w:val="18"/>
          <w:color w:val="auto"/>
        </w:rPr>
        <w:t>,</w:t>
      </w:r>
    </w:p>
    <w:p>
      <w:pPr>
        <w:spacing w:after="0" w:line="129" w:lineRule="exact"/>
        <w:rPr>
          <w:sz w:val="20"/>
          <w:szCs w:val="20"/>
          <w:color w:val="auto"/>
        </w:rPr>
      </w:pPr>
    </w:p>
    <w:p>
      <w:pPr>
        <w:ind w:left="580" w:right="5740" w:hanging="572"/>
        <w:spacing w:after="0" w:line="253" w:lineRule="auto"/>
        <w:tabs>
          <w:tab w:leader="none" w:pos="23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Brighthouse Separate Account QPN for Variable Annuities File No. 333-156867 Unallocated Group Variable Annuity File No. 333-156911 Brighthouse Retirement Perspectives,</w:t>
      </w:r>
    </w:p>
    <w:p>
      <w:pPr>
        <w:spacing w:after="0" w:line="195" w:lineRule="exact"/>
        <w:rPr>
          <w:rFonts w:ascii="Arial" w:cs="Arial" w:eastAsia="Arial" w:hAnsi="Arial"/>
          <w:sz w:val="18"/>
          <w:szCs w:val="18"/>
          <w:color w:val="auto"/>
        </w:rPr>
      </w:pPr>
    </w:p>
    <w:p>
      <w:pPr>
        <w:ind w:left="220" w:hanging="212"/>
        <w:spacing w:after="0"/>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Brighthouse Variable Annuity Account C (811-05200)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333-200244 Class XC</w:t>
      </w:r>
    </w:p>
    <w:p>
      <w:pPr>
        <w:ind w:left="580"/>
        <w:spacing w:after="0" w:line="234" w:lineRule="auto"/>
        <w:rPr>
          <w:sz w:val="20"/>
          <w:szCs w:val="20"/>
          <w:color w:val="auto"/>
        </w:rPr>
      </w:pPr>
      <w:r>
        <w:rPr>
          <w:rFonts w:ascii="Arial" w:cs="Arial" w:eastAsia="Arial" w:hAnsi="Arial"/>
          <w:sz w:val="18"/>
          <w:szCs w:val="18"/>
          <w:color w:val="auto"/>
        </w:rPr>
        <w:t>File No. 333-200247 Class VA, Class AA and Class B</w:t>
      </w:r>
    </w:p>
    <w:p>
      <w:pPr>
        <w:ind w:left="580"/>
        <w:spacing w:after="0" w:line="235" w:lineRule="auto"/>
        <w:rPr>
          <w:sz w:val="20"/>
          <w:szCs w:val="20"/>
          <w:color w:val="auto"/>
        </w:rPr>
      </w:pPr>
      <w:r>
        <w:rPr>
          <w:rFonts w:ascii="Arial" w:cs="Arial" w:eastAsia="Arial" w:hAnsi="Arial"/>
          <w:sz w:val="18"/>
          <w:szCs w:val="18"/>
          <w:color w:val="auto"/>
        </w:rPr>
        <w:t>File No. 333-200249 Class L and Class L - 4 Year</w:t>
      </w:r>
    </w:p>
    <w:p>
      <w:pPr>
        <w:ind w:left="580"/>
        <w:spacing w:after="0" w:line="235" w:lineRule="auto"/>
        <w:rPr>
          <w:sz w:val="20"/>
          <w:szCs w:val="20"/>
          <w:color w:val="auto"/>
        </w:rPr>
      </w:pPr>
      <w:r>
        <w:rPr>
          <w:rFonts w:ascii="Arial" w:cs="Arial" w:eastAsia="Arial" w:hAnsi="Arial"/>
          <w:sz w:val="18"/>
          <w:szCs w:val="18"/>
          <w:color w:val="auto"/>
        </w:rPr>
        <w:t>File No. 333-200252 Class A</w:t>
      </w:r>
    </w:p>
    <w:p>
      <w:pPr>
        <w:ind w:left="580"/>
        <w:spacing w:after="0" w:line="235" w:lineRule="auto"/>
        <w:rPr>
          <w:sz w:val="20"/>
          <w:szCs w:val="20"/>
          <w:color w:val="auto"/>
        </w:rPr>
      </w:pPr>
      <w:r>
        <w:rPr>
          <w:rFonts w:ascii="Arial" w:cs="Arial" w:eastAsia="Arial" w:hAnsi="Arial"/>
          <w:sz w:val="18"/>
          <w:szCs w:val="18"/>
          <w:color w:val="auto"/>
        </w:rPr>
        <w:t>File No. 333-200255 COVA VA, Firstar Summit VA, Premier Advisor VA, Destiny Select VA and Prevail VA</w:t>
      </w:r>
    </w:p>
    <w:p>
      <w:pPr>
        <w:ind w:left="580"/>
        <w:spacing w:after="0" w:line="235" w:lineRule="auto"/>
        <w:rPr>
          <w:sz w:val="20"/>
          <w:szCs w:val="20"/>
          <w:color w:val="auto"/>
        </w:rPr>
      </w:pPr>
      <w:r>
        <w:rPr>
          <w:rFonts w:ascii="Arial" w:cs="Arial" w:eastAsia="Arial" w:hAnsi="Arial"/>
          <w:sz w:val="18"/>
          <w:szCs w:val="18"/>
          <w:color w:val="auto"/>
        </w:rPr>
        <w:t>File No. 333-200258 COVA VA SPDA</w:t>
      </w:r>
    </w:p>
    <w:p>
      <w:pPr>
        <w:ind w:left="580"/>
        <w:spacing w:after="0" w:line="234" w:lineRule="auto"/>
        <w:rPr>
          <w:sz w:val="20"/>
          <w:szCs w:val="20"/>
          <w:color w:val="auto"/>
        </w:rPr>
      </w:pPr>
      <w:r>
        <w:rPr>
          <w:rFonts w:ascii="Arial" w:cs="Arial" w:eastAsia="Arial" w:hAnsi="Arial"/>
          <w:sz w:val="18"/>
          <w:szCs w:val="18"/>
          <w:color w:val="auto"/>
        </w:rPr>
        <w:t>File No. 333-200260 COVA Series 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333-200262 Navigator-Select/Custom-Select/Russell-Select</w:t>
      </w:r>
    </w:p>
    <w:p>
      <w:pPr>
        <w:sectPr>
          <w:pgSz w:w="11900" w:h="16838" w:orient="portrait"/>
          <w:cols w:equalWidth="0" w:num="1">
            <w:col w:w="11000"/>
          </w:cols>
          <w:pgMar w:left="320" w:top="269" w:right="579" w:bottom="1440" w:gutter="0" w:footer="0" w:header="0"/>
        </w:sectPr>
      </w:pPr>
    </w:p>
    <w:bookmarkStart w:id="108" w:name="page109"/>
    <w:bookmarkEnd w:id="108"/>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333-200264 Navigator-Select/Custom-Select/Russell-Select (CA)</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333-200266 COVA VA and Premier Advisor (CA)</w:t>
      </w:r>
    </w:p>
    <w:p>
      <w:pPr>
        <w:ind w:left="580"/>
        <w:spacing w:after="0" w:line="234" w:lineRule="auto"/>
        <w:rPr>
          <w:sz w:val="20"/>
          <w:szCs w:val="20"/>
          <w:color w:val="auto"/>
        </w:rPr>
      </w:pPr>
      <w:r>
        <w:rPr>
          <w:rFonts w:ascii="Arial" w:cs="Arial" w:eastAsia="Arial" w:hAnsi="Arial"/>
          <w:sz w:val="18"/>
          <w:szCs w:val="18"/>
          <w:color w:val="auto"/>
        </w:rPr>
        <w:t>File No. 333-200267 COVA Series A (CA)</w:t>
      </w:r>
    </w:p>
    <w:p>
      <w:pPr>
        <w:ind w:left="580"/>
        <w:spacing w:after="0" w:line="235" w:lineRule="auto"/>
        <w:rPr>
          <w:sz w:val="20"/>
          <w:szCs w:val="20"/>
          <w:color w:val="auto"/>
        </w:rPr>
      </w:pPr>
      <w:r>
        <w:rPr>
          <w:rFonts w:ascii="Arial" w:cs="Arial" w:eastAsia="Arial" w:hAnsi="Arial"/>
          <w:sz w:val="18"/>
          <w:szCs w:val="18"/>
          <w:color w:val="auto"/>
        </w:rPr>
        <w:t>File No. 333-200269 Class C</w:t>
      </w:r>
    </w:p>
    <w:p>
      <w:pPr>
        <w:ind w:left="580"/>
        <w:spacing w:after="0" w:line="235" w:lineRule="auto"/>
        <w:rPr>
          <w:sz w:val="20"/>
          <w:szCs w:val="20"/>
          <w:color w:val="auto"/>
        </w:rPr>
      </w:pPr>
      <w:r>
        <w:rPr>
          <w:rFonts w:ascii="Arial" w:cs="Arial" w:eastAsia="Arial" w:hAnsi="Arial"/>
          <w:sz w:val="18"/>
          <w:szCs w:val="18"/>
          <w:color w:val="auto"/>
        </w:rPr>
        <w:t>File No. 333-200271 Class VA (CA), Class AA (CA), and Class B (CA)</w:t>
      </w:r>
    </w:p>
    <w:p>
      <w:pPr>
        <w:ind w:left="580"/>
        <w:spacing w:after="0" w:line="235" w:lineRule="auto"/>
        <w:rPr>
          <w:sz w:val="20"/>
          <w:szCs w:val="20"/>
          <w:color w:val="auto"/>
        </w:rPr>
      </w:pPr>
      <w:r>
        <w:rPr>
          <w:rFonts w:ascii="Arial" w:cs="Arial" w:eastAsia="Arial" w:hAnsi="Arial"/>
          <w:sz w:val="18"/>
          <w:szCs w:val="18"/>
          <w:color w:val="auto"/>
        </w:rPr>
        <w:t>File No. 333-200273 Class XC (CA)</w:t>
      </w:r>
    </w:p>
    <w:p>
      <w:pPr>
        <w:ind w:left="580"/>
        <w:spacing w:after="0" w:line="235" w:lineRule="auto"/>
        <w:rPr>
          <w:sz w:val="20"/>
          <w:szCs w:val="20"/>
          <w:color w:val="auto"/>
        </w:rPr>
      </w:pPr>
      <w:r>
        <w:rPr>
          <w:rFonts w:ascii="Arial" w:cs="Arial" w:eastAsia="Arial" w:hAnsi="Arial"/>
          <w:sz w:val="18"/>
          <w:szCs w:val="18"/>
          <w:color w:val="auto"/>
        </w:rPr>
        <w:t>File No. 333-200274 Class L (CA) and Class L - 4 Year (CA)</w:t>
      </w:r>
    </w:p>
    <w:p>
      <w:pPr>
        <w:ind w:left="580"/>
        <w:spacing w:after="0" w:line="234" w:lineRule="auto"/>
        <w:rPr>
          <w:sz w:val="20"/>
          <w:szCs w:val="20"/>
          <w:color w:val="auto"/>
        </w:rPr>
      </w:pPr>
      <w:r>
        <w:rPr>
          <w:rFonts w:ascii="Arial" w:cs="Arial" w:eastAsia="Arial" w:hAnsi="Arial"/>
          <w:sz w:val="18"/>
          <w:szCs w:val="18"/>
          <w:color w:val="auto"/>
        </w:rPr>
        <w:t>File No. 333-200276 Class A (CA)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333-200279 Class C (CA),</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Variable Life Account A (811-21851)</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333-200241 Equity Advantage Variable Universal Life,</w:t>
      </w:r>
    </w:p>
    <w:p>
      <w:pPr>
        <w:spacing w:after="0" w:line="221" w:lineRule="exact"/>
        <w:rPr>
          <w:sz w:val="20"/>
          <w:szCs w:val="20"/>
          <w:color w:val="auto"/>
        </w:rPr>
      </w:pPr>
    </w:p>
    <w:p>
      <w:pPr>
        <w:ind w:left="580" w:right="6480" w:hanging="572"/>
        <w:spacing w:after="0" w:line="245" w:lineRule="auto"/>
        <w:tabs>
          <w:tab w:leader="none" w:pos="23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Brighthouse Variable Life Account One (811-07971) File No. 333-200242 Class VL</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File No. 333-200245 Class VL (CA)</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File No. 333-200248 Modified Single Premium Variable Life</w:t>
      </w:r>
    </w:p>
    <w:p>
      <w:pPr>
        <w:ind w:left="580" w:right="4800"/>
        <w:spacing w:after="0" w:line="242" w:lineRule="auto"/>
        <w:rPr>
          <w:rFonts w:ascii="Arial" w:cs="Arial" w:eastAsia="Arial" w:hAnsi="Arial"/>
          <w:sz w:val="18"/>
          <w:szCs w:val="18"/>
          <w:color w:val="auto"/>
        </w:rPr>
      </w:pPr>
      <w:r>
        <w:rPr>
          <w:rFonts w:ascii="Arial" w:cs="Arial" w:eastAsia="Arial" w:hAnsi="Arial"/>
          <w:sz w:val="18"/>
          <w:szCs w:val="18"/>
          <w:color w:val="auto"/>
        </w:rPr>
        <w:t>File No. 333-200251 Custom Select and Russell Select Variable Life File No. 333-200254 Modified Single Premium Variable Life (CA) File No. 333-200257 Custom Select Variable Life,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And pertaining to:</w:t>
      </w:r>
    </w:p>
    <w:p>
      <w:pPr>
        <w:ind w:left="580"/>
        <w:spacing w:after="0" w:line="180" w:lineRule="auto"/>
        <w:rPr>
          <w:sz w:val="20"/>
          <w:szCs w:val="20"/>
          <w:color w:val="auto"/>
        </w:rPr>
      </w:pPr>
      <w:r>
        <w:rPr>
          <w:rFonts w:ascii="Arial" w:cs="Arial" w:eastAsia="Arial" w:hAnsi="Arial"/>
          <w:sz w:val="17"/>
          <w:szCs w:val="17"/>
          <w:color w:val="auto"/>
        </w:rPr>
        <w:t>File No. 333-268618 Brighthouse SmartGuard Plus</w:t>
      </w:r>
      <w:r>
        <w:rPr>
          <w:rFonts w:ascii="Arial" w:cs="Arial" w:eastAsia="Arial" w:hAnsi="Arial"/>
          <w:sz w:val="25"/>
          <w:szCs w:val="25"/>
          <w:color w:val="auto"/>
          <w:vertAlign w:val="superscript"/>
        </w:rPr>
        <w:t>SM</w:t>
      </w:r>
    </w:p>
    <w:p>
      <w:pPr>
        <w:ind w:left="580"/>
        <w:spacing w:after="0" w:line="183" w:lineRule="auto"/>
        <w:rPr>
          <w:sz w:val="20"/>
          <w:szCs w:val="20"/>
          <w:color w:val="auto"/>
        </w:rPr>
      </w:pPr>
      <w:r>
        <w:rPr>
          <w:rFonts w:ascii="Arial" w:cs="Arial" w:eastAsia="Arial" w:hAnsi="Arial"/>
          <w:sz w:val="16"/>
          <w:szCs w:val="16"/>
          <w:color w:val="auto"/>
        </w:rPr>
        <w:t>File No. 333-262390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Pay Plus</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Annuity and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Pay Plus</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Advisory Annuity File No. 333-259505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spacing w:after="0" w:line="2" w:lineRule="exact"/>
        <w:rPr>
          <w:sz w:val="20"/>
          <w:szCs w:val="20"/>
          <w:color w:val="auto"/>
        </w:rPr>
      </w:pPr>
    </w:p>
    <w:p>
      <w:pPr>
        <w:ind w:left="580" w:right="4520"/>
        <w:spacing w:after="0" w:line="183" w:lineRule="auto"/>
        <w:rPr>
          <w:sz w:val="20"/>
          <w:szCs w:val="20"/>
          <w:color w:val="auto"/>
        </w:rPr>
      </w:pPr>
      <w:r>
        <w:rPr>
          <w:rFonts w:ascii="Arial" w:cs="Arial" w:eastAsia="Arial" w:hAnsi="Arial"/>
          <w:sz w:val="16"/>
          <w:szCs w:val="16"/>
          <w:color w:val="auto"/>
        </w:rPr>
        <w:t>File No. 333-233240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Advisory Annuity File No. 333-268427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Advisory Annuity File No. 333-263492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File No. 333-263495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 File No. 333-238213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ind w:left="580"/>
        <w:spacing w:after="0" w:line="187" w:lineRule="auto"/>
        <w:rPr>
          <w:sz w:val="20"/>
          <w:szCs w:val="20"/>
          <w:color w:val="auto"/>
        </w:rPr>
      </w:pPr>
      <w:r>
        <w:rPr>
          <w:rFonts w:ascii="Arial" w:cs="Arial" w:eastAsia="Arial" w:hAnsi="Arial"/>
          <w:sz w:val="16"/>
          <w:szCs w:val="16"/>
          <w:color w:val="auto"/>
        </w:rPr>
        <w:t>File No. 333-208664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Annuity</w:t>
      </w:r>
    </w:p>
    <w:p>
      <w:pPr>
        <w:spacing w:after="0" w:line="1" w:lineRule="exact"/>
        <w:rPr>
          <w:sz w:val="20"/>
          <w:szCs w:val="20"/>
          <w:color w:val="auto"/>
        </w:rPr>
      </w:pPr>
    </w:p>
    <w:p>
      <w:pPr>
        <w:ind w:left="580" w:right="4520"/>
        <w:spacing w:after="0" w:line="192" w:lineRule="auto"/>
        <w:rPr>
          <w:sz w:val="20"/>
          <w:szCs w:val="20"/>
          <w:color w:val="auto"/>
        </w:rPr>
      </w:pPr>
      <w:r>
        <w:rPr>
          <w:rFonts w:ascii="Arial" w:cs="Arial" w:eastAsia="Arial" w:hAnsi="Arial"/>
          <w:sz w:val="18"/>
          <w:szCs w:val="18"/>
          <w:color w:val="auto"/>
        </w:rPr>
        <w:t>File No. 333-207091 Brighthouse Shield Level Selector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3-Year Annuity File No. 333-276468 Registered Fixed Account Option</w:t>
      </w:r>
    </w:p>
    <w:p>
      <w:pPr>
        <w:ind w:left="580"/>
        <w:spacing w:after="0" w:line="235" w:lineRule="auto"/>
        <w:rPr>
          <w:sz w:val="20"/>
          <w:szCs w:val="20"/>
          <w:color w:val="auto"/>
        </w:rPr>
      </w:pPr>
      <w:r>
        <w:rPr>
          <w:rFonts w:ascii="Arial" w:cs="Arial" w:eastAsia="Arial" w:hAnsi="Arial"/>
          <w:sz w:val="18"/>
          <w:szCs w:val="18"/>
          <w:color w:val="auto"/>
        </w:rPr>
        <w:t>File No. 333-276469 Fixed Annuity (Strategic Value Annuity)</w:t>
      </w:r>
    </w:p>
    <w:p>
      <w:pPr>
        <w:ind w:left="580" w:right="4640"/>
        <w:spacing w:after="0" w:line="189" w:lineRule="auto"/>
        <w:rPr>
          <w:sz w:val="20"/>
          <w:szCs w:val="20"/>
          <w:color w:val="auto"/>
        </w:rPr>
      </w:pPr>
      <w:r>
        <w:rPr>
          <w:rFonts w:ascii="Arial" w:cs="Arial" w:eastAsia="Arial" w:hAnsi="Arial"/>
          <w:sz w:val="17"/>
          <w:szCs w:val="17"/>
          <w:color w:val="auto"/>
        </w:rPr>
        <w:t>File No. 333-276470 Brighthouse Retirement Account Liquidity Benefit File No. 333-276599 Brighthouse Shield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Level II 6-Year Annuity File No. 333-276762 Brighthouse Shield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Level II Advisory Annuity</w:t>
      </w:r>
    </w:p>
    <w:p>
      <w:pPr>
        <w:spacing w:after="0" w:line="1" w:lineRule="exact"/>
        <w:rPr>
          <w:sz w:val="20"/>
          <w:szCs w:val="20"/>
          <w:color w:val="auto"/>
        </w:rPr>
      </w:pPr>
    </w:p>
    <w:p>
      <w:pPr>
        <w:ind w:left="580" w:right="100"/>
        <w:spacing w:after="0"/>
        <w:rPr>
          <w:sz w:val="20"/>
          <w:szCs w:val="20"/>
          <w:color w:val="auto"/>
        </w:rPr>
      </w:pPr>
      <w:r>
        <w:rPr>
          <w:rFonts w:ascii="Arial" w:cs="Arial" w:eastAsia="Arial" w:hAnsi="Arial"/>
          <w:sz w:val="18"/>
          <w:szCs w:val="18"/>
          <w:color w:val="auto"/>
        </w:rPr>
        <w:t>File No. 333-276763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Annuity and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Advisory Annuity File No. 333-279302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3-Year Annuity T-Mark Fixed Annuity</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Target Maturity,</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Life Insurance Company (RILA MVA)</w:t>
      </w:r>
    </w:p>
    <w:p>
      <w:pPr>
        <w:spacing w:after="0" w:line="14" w:lineRule="exact"/>
        <w:rPr>
          <w:sz w:val="20"/>
          <w:szCs w:val="20"/>
          <w:color w:val="auto"/>
        </w:rPr>
      </w:pPr>
    </w:p>
    <w:p>
      <w:pPr>
        <w:ind w:left="580" w:right="100"/>
        <w:spacing w:after="0" w:line="181" w:lineRule="auto"/>
        <w:rPr>
          <w:sz w:val="20"/>
          <w:szCs w:val="20"/>
          <w:color w:val="auto"/>
        </w:rPr>
      </w:pPr>
      <w:r>
        <w:rPr>
          <w:rFonts w:ascii="Arial" w:cs="Arial" w:eastAsia="Arial" w:hAnsi="Arial"/>
          <w:sz w:val="18"/>
          <w:szCs w:val="18"/>
          <w:color w:val="auto"/>
        </w:rPr>
        <w:t>File No. 333-282752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Annuity and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Advisory Annuity File No. 333-282871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Advisory Annuity File No. 333-283023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ind w:left="580"/>
        <w:spacing w:after="0"/>
        <w:rPr>
          <w:sz w:val="20"/>
          <w:szCs w:val="20"/>
          <w:color w:val="auto"/>
        </w:rPr>
      </w:pPr>
      <w:r>
        <w:rPr>
          <w:rFonts w:ascii="Arial" w:cs="Arial" w:eastAsia="Arial" w:hAnsi="Arial"/>
          <w:sz w:val="18"/>
          <w:szCs w:val="18"/>
          <w:color w:val="auto"/>
        </w:rPr>
        <w:t>File No. 333-283024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3-Year Annuity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Brighthouse Shield Annuity</w:t>
      </w:r>
    </w:p>
    <w:p>
      <w:pPr>
        <w:ind w:left="580"/>
        <w:spacing w:after="0" w:line="234" w:lineRule="auto"/>
        <w:rPr>
          <w:sz w:val="20"/>
          <w:szCs w:val="20"/>
          <w:color w:val="auto"/>
        </w:rPr>
      </w:pPr>
      <w:r>
        <w:rPr>
          <w:rFonts w:ascii="Arial" w:cs="Arial" w:eastAsia="Arial" w:hAnsi="Arial"/>
          <w:sz w:val="18"/>
          <w:szCs w:val="18"/>
          <w:color w:val="auto"/>
        </w:rPr>
        <w:t>Brighthouse Shield 3-Year Annuity</w:t>
      </w:r>
    </w:p>
    <w:p>
      <w:pPr>
        <w:ind w:left="58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Brighthouse Index-linked Life Insurance Policy,</w:t>
      </w:r>
    </w:p>
    <w:p>
      <w:pPr>
        <w:spacing w:after="0" w:line="19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ectPr>
          <w:pgSz w:w="11900" w:h="16838" w:orient="portrait"/>
          <w:cols w:equalWidth="0" w:num="1">
            <w:col w:w="10800"/>
          </w:cols>
          <w:pgMar w:left="320" w:top="269" w:right="77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I have hereunto set my hand this 7th day of November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A. Rosenbaum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David A. Rosenbaum</w:t>
      </w:r>
    </w:p>
    <w:p>
      <w:pPr>
        <w:sectPr>
          <w:pgSz w:w="11900" w:h="16838" w:orient="portrait"/>
          <w:cols w:equalWidth="0" w:num="1">
            <w:col w:w="10139"/>
          </w:cols>
          <w:pgMar w:left="320" w:top="269" w:right="1440"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Brighthouse Life Insurance Company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Jonathan Rosenthal</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Director, Vice President and Chief Investment Officer</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KNOW ALL MEN BY THESE PRESENTS, that I, Jonathan Rosenthal, a Director, Vice President and Chief Investment Officer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206" w:lineRule="exact"/>
        <w:rPr>
          <w:sz w:val="20"/>
          <w:szCs w:val="20"/>
          <w:color w:val="auto"/>
        </w:rPr>
      </w:pPr>
    </w:p>
    <w:p>
      <w:pPr>
        <w:ind w:left="580" w:right="5940" w:hanging="572"/>
        <w:spacing w:after="0" w:line="200" w:lineRule="auto"/>
        <w:tabs>
          <w:tab w:leader="none" w:pos="23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Brighthouse Fund UL for Variable Life Insurance (811-03927) File No. 002-88637 MarketLife</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and Invest</w:t>
      </w:r>
    </w:p>
    <w:p>
      <w:pPr>
        <w:spacing w:after="0" w:line="1" w:lineRule="exact"/>
        <w:rPr>
          <w:rFonts w:ascii="Arial" w:cs="Arial" w:eastAsia="Arial" w:hAnsi="Arial"/>
          <w:sz w:val="18"/>
          <w:szCs w:val="18"/>
          <w:color w:val="auto"/>
        </w:rPr>
      </w:pPr>
    </w:p>
    <w:p>
      <w:pPr>
        <w:ind w:left="580"/>
        <w:spacing w:after="0" w:line="183" w:lineRule="auto"/>
        <w:rPr>
          <w:rFonts w:ascii="Arial" w:cs="Arial" w:eastAsia="Arial" w:hAnsi="Arial"/>
          <w:sz w:val="18"/>
          <w:szCs w:val="18"/>
          <w:color w:val="auto"/>
        </w:rPr>
      </w:pPr>
      <w:r>
        <w:rPr>
          <w:rFonts w:ascii="Arial" w:cs="Arial" w:eastAsia="Arial" w:hAnsi="Arial"/>
          <w:sz w:val="16"/>
          <w:szCs w:val="16"/>
          <w:color w:val="auto"/>
        </w:rPr>
        <w:t>File No. 333-152219 MarketLife</w:t>
      </w:r>
      <w:r>
        <w:rPr>
          <w:rFonts w:ascii="Arial" w:cs="Arial" w:eastAsia="Arial" w:hAnsi="Arial"/>
          <w:sz w:val="23"/>
          <w:szCs w:val="23"/>
          <w:color w:val="auto"/>
          <w:vertAlign w:val="superscript"/>
        </w:rPr>
        <w:t>SM</w:t>
      </w:r>
    </w:p>
    <w:p>
      <w:pPr>
        <w:ind w:left="580" w:right="5680"/>
        <w:spacing w:after="0" w:line="248" w:lineRule="auto"/>
        <w:rPr>
          <w:rFonts w:ascii="Arial" w:cs="Arial" w:eastAsia="Arial" w:hAnsi="Arial"/>
          <w:sz w:val="18"/>
          <w:szCs w:val="18"/>
          <w:color w:val="auto"/>
        </w:rPr>
      </w:pPr>
      <w:r>
        <w:rPr>
          <w:rFonts w:ascii="Arial" w:cs="Arial" w:eastAsia="Arial" w:hAnsi="Arial"/>
          <w:sz w:val="17"/>
          <w:szCs w:val="17"/>
          <w:color w:val="auto"/>
        </w:rPr>
        <w:t>File No. 333-56952 Brighthouse Variable Survivorship Life II File No. 333-69771 Brighthouse Variable Survivorship Life</w:t>
      </w:r>
    </w:p>
    <w:p>
      <w:pPr>
        <w:spacing w:after="0" w:line="1" w:lineRule="exact"/>
        <w:rPr>
          <w:rFonts w:ascii="Arial" w:cs="Arial" w:eastAsia="Arial" w:hAnsi="Arial"/>
          <w:sz w:val="18"/>
          <w:szCs w:val="18"/>
          <w:color w:val="auto"/>
        </w:rPr>
      </w:pPr>
    </w:p>
    <w:p>
      <w:pPr>
        <w:ind w:left="580" w:right="1560"/>
        <w:spacing w:after="0" w:line="234" w:lineRule="auto"/>
        <w:rPr>
          <w:rFonts w:ascii="Arial" w:cs="Arial" w:eastAsia="Arial" w:hAnsi="Arial"/>
          <w:sz w:val="18"/>
          <w:szCs w:val="18"/>
          <w:color w:val="auto"/>
        </w:rPr>
      </w:pPr>
      <w:r>
        <w:rPr>
          <w:rFonts w:ascii="Arial" w:cs="Arial" w:eastAsia="Arial" w:hAnsi="Arial"/>
          <w:sz w:val="18"/>
          <w:szCs w:val="18"/>
          <w:color w:val="auto"/>
        </w:rPr>
        <w:t>File No. 333-96515 Brighthouse Variable Life Accumulator and Brighthouse Variable Life Accumulator - Series 2 File No. 333-96519 Brighthouse Variable Life</w:t>
      </w:r>
    </w:p>
    <w:p>
      <w:pPr>
        <w:spacing w:after="0" w:line="1" w:lineRule="exact"/>
        <w:rPr>
          <w:rFonts w:ascii="Arial" w:cs="Arial" w:eastAsia="Arial" w:hAnsi="Arial"/>
          <w:sz w:val="18"/>
          <w:szCs w:val="18"/>
          <w:color w:val="auto"/>
        </w:rPr>
      </w:pPr>
    </w:p>
    <w:p>
      <w:pPr>
        <w:ind w:left="580" w:right="4920"/>
        <w:spacing w:after="0" w:line="234" w:lineRule="auto"/>
        <w:rPr>
          <w:rFonts w:ascii="Arial" w:cs="Arial" w:eastAsia="Arial" w:hAnsi="Arial"/>
          <w:sz w:val="18"/>
          <w:szCs w:val="18"/>
          <w:color w:val="auto"/>
        </w:rPr>
      </w:pPr>
      <w:r>
        <w:rPr>
          <w:rFonts w:ascii="Arial" w:cs="Arial" w:eastAsia="Arial" w:hAnsi="Arial"/>
          <w:sz w:val="18"/>
          <w:szCs w:val="18"/>
          <w:color w:val="auto"/>
        </w:rPr>
        <w:t>File No. 333-113109 Brighthouse Variable Life Accumulator - Series 3 File No. 333-152216 Portfolio Architect Life</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File No. 333-152217 VintageLife,</w:t>
      </w:r>
    </w:p>
    <w:p>
      <w:pPr>
        <w:spacing w:after="0" w:line="220" w:lineRule="exact"/>
        <w:rPr>
          <w:rFonts w:ascii="Arial" w:cs="Arial" w:eastAsia="Arial" w:hAnsi="Arial"/>
          <w:sz w:val="18"/>
          <w:szCs w:val="18"/>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Brighthouse Fund UL III for Variable Life Insurance (811-09215)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333-71349 Corporate Owned VUL Series 1</w:t>
      </w:r>
    </w:p>
    <w:p>
      <w:pPr>
        <w:ind w:left="580"/>
        <w:spacing w:after="0" w:line="234" w:lineRule="auto"/>
        <w:rPr>
          <w:sz w:val="20"/>
          <w:szCs w:val="20"/>
          <w:color w:val="auto"/>
        </w:rPr>
      </w:pPr>
      <w:r>
        <w:rPr>
          <w:rFonts w:ascii="Arial" w:cs="Arial" w:eastAsia="Arial" w:hAnsi="Arial"/>
          <w:sz w:val="18"/>
          <w:szCs w:val="18"/>
          <w:color w:val="auto"/>
        </w:rPr>
        <w:t>File No. 333-94779 Corporate Owned VUL 2000 and Corporate Owned VUL III</w:t>
      </w:r>
    </w:p>
    <w:p>
      <w:pPr>
        <w:ind w:left="580"/>
        <w:spacing w:after="0" w:line="235" w:lineRule="auto"/>
        <w:rPr>
          <w:sz w:val="20"/>
          <w:szCs w:val="20"/>
          <w:color w:val="auto"/>
        </w:rPr>
      </w:pPr>
      <w:r>
        <w:rPr>
          <w:rFonts w:ascii="Arial" w:cs="Arial" w:eastAsia="Arial" w:hAnsi="Arial"/>
          <w:sz w:val="18"/>
          <w:szCs w:val="18"/>
          <w:color w:val="auto"/>
        </w:rPr>
        <w:t>File No. 333-105335 Corporate Select Policy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333-113533 Corporate Owned VUL IV,</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Separate Account A (811-03365)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333-200231 Series VA (offered between October 7, 2011 and May 1, 2016)</w:t>
      </w:r>
    </w:p>
    <w:p>
      <w:pPr>
        <w:ind w:left="780" w:right="160" w:hanging="204"/>
        <w:spacing w:after="0" w:line="234" w:lineRule="auto"/>
        <w:rPr>
          <w:sz w:val="20"/>
          <w:szCs w:val="20"/>
          <w:color w:val="auto"/>
        </w:rPr>
      </w:pPr>
      <w:r>
        <w:rPr>
          <w:rFonts w:ascii="Arial" w:cs="Arial" w:eastAsia="Arial" w:hAnsi="Arial"/>
          <w:sz w:val="18"/>
          <w:szCs w:val="18"/>
          <w:color w:val="auto"/>
        </w:rPr>
        <w:t>File No. 333-200232 Series S (offered between October 7, 2011 and May 1, 2016) and Series S-L Share Option (offered between October 7, 2011 and May 1, 2016)</w:t>
      </w:r>
    </w:p>
    <w:p>
      <w:pPr>
        <w:ind w:left="580"/>
        <w:spacing w:after="0" w:line="236" w:lineRule="auto"/>
        <w:rPr>
          <w:sz w:val="20"/>
          <w:szCs w:val="20"/>
          <w:color w:val="auto"/>
        </w:rPr>
      </w:pPr>
      <w:r>
        <w:rPr>
          <w:rFonts w:ascii="Arial" w:cs="Arial" w:eastAsia="Arial" w:hAnsi="Arial"/>
          <w:sz w:val="18"/>
          <w:szCs w:val="18"/>
          <w:color w:val="auto"/>
        </w:rPr>
        <w:t>File No. 333-200233 Series VA-4 (offered between October 7, 2011 and May 1, 2016)</w:t>
      </w:r>
    </w:p>
    <w:p>
      <w:pPr>
        <w:ind w:left="580"/>
        <w:spacing w:after="0" w:line="235" w:lineRule="auto"/>
        <w:rPr>
          <w:sz w:val="20"/>
          <w:szCs w:val="20"/>
          <w:color w:val="auto"/>
        </w:rPr>
      </w:pPr>
      <w:r>
        <w:rPr>
          <w:rFonts w:ascii="Arial" w:cs="Arial" w:eastAsia="Arial" w:hAnsi="Arial"/>
          <w:sz w:val="18"/>
          <w:szCs w:val="18"/>
          <w:color w:val="auto"/>
        </w:rPr>
        <w:t>File No. 333-200234 Series O (offered between April 30, 2012 and July 19, 2015)</w:t>
      </w:r>
    </w:p>
    <w:p>
      <w:pPr>
        <w:ind w:left="580"/>
        <w:spacing w:after="0" w:line="235" w:lineRule="auto"/>
        <w:rPr>
          <w:sz w:val="20"/>
          <w:szCs w:val="20"/>
          <w:color w:val="auto"/>
        </w:rPr>
      </w:pPr>
      <w:r>
        <w:rPr>
          <w:rFonts w:ascii="Arial" w:cs="Arial" w:eastAsia="Arial" w:hAnsi="Arial"/>
          <w:sz w:val="18"/>
          <w:szCs w:val="18"/>
          <w:color w:val="auto"/>
        </w:rPr>
        <w:t>File No. 333-200236 Series L - 4 Year (offered on and after April 29, 2013)</w:t>
      </w:r>
    </w:p>
    <w:p>
      <w:pPr>
        <w:ind w:left="580"/>
        <w:spacing w:after="0" w:line="234" w:lineRule="auto"/>
        <w:rPr>
          <w:sz w:val="20"/>
          <w:szCs w:val="20"/>
          <w:color w:val="auto"/>
        </w:rPr>
      </w:pPr>
      <w:r>
        <w:rPr>
          <w:rFonts w:ascii="Arial" w:cs="Arial" w:eastAsia="Arial" w:hAnsi="Arial"/>
          <w:sz w:val="18"/>
          <w:szCs w:val="18"/>
          <w:color w:val="auto"/>
        </w:rPr>
        <w:t>File No. 333-200237 PrimElite IV</w:t>
      </w:r>
    </w:p>
    <w:p>
      <w:pPr>
        <w:ind w:left="580"/>
        <w:spacing w:after="0" w:line="235" w:lineRule="auto"/>
        <w:rPr>
          <w:sz w:val="20"/>
          <w:szCs w:val="20"/>
          <w:color w:val="auto"/>
        </w:rPr>
      </w:pPr>
      <w:r>
        <w:rPr>
          <w:rFonts w:ascii="Arial" w:cs="Arial" w:eastAsia="Arial" w:hAnsi="Arial"/>
          <w:sz w:val="18"/>
          <w:szCs w:val="18"/>
          <w:color w:val="auto"/>
        </w:rPr>
        <w:t>File No. 333-200238 Marquis Portfolios (offered on and after April 30, 2012)</w:t>
      </w:r>
    </w:p>
    <w:p>
      <w:pPr>
        <w:ind w:left="580"/>
        <w:spacing w:after="0" w:line="235" w:lineRule="auto"/>
        <w:rPr>
          <w:sz w:val="20"/>
          <w:szCs w:val="20"/>
          <w:color w:val="auto"/>
        </w:rPr>
      </w:pPr>
      <w:r>
        <w:rPr>
          <w:rFonts w:ascii="Arial" w:cs="Arial" w:eastAsia="Arial" w:hAnsi="Arial"/>
          <w:sz w:val="18"/>
          <w:szCs w:val="18"/>
          <w:color w:val="auto"/>
        </w:rPr>
        <w:t>File No. 333-200239 Brighthouse Growth and Income</w:t>
      </w:r>
    </w:p>
    <w:p>
      <w:pPr>
        <w:ind w:left="580" w:right="1100"/>
        <w:spacing w:after="0" w:line="234" w:lineRule="auto"/>
        <w:rPr>
          <w:sz w:val="20"/>
          <w:szCs w:val="20"/>
          <w:color w:val="auto"/>
        </w:rPr>
      </w:pPr>
      <w:r>
        <w:rPr>
          <w:rFonts w:ascii="Arial" w:cs="Arial" w:eastAsia="Arial" w:hAnsi="Arial"/>
          <w:sz w:val="18"/>
          <w:szCs w:val="18"/>
          <w:color w:val="auto"/>
        </w:rPr>
        <w:t>File No. 333-200240 Group Flexible Payment Variable Annuity (Flexible Bonus/Retirement Companion/Smart Choice) File No. 333-200243 PrimElite III</w:t>
      </w:r>
    </w:p>
    <w:p>
      <w:pPr>
        <w:ind w:left="580"/>
        <w:spacing w:after="0" w:line="185" w:lineRule="auto"/>
        <w:rPr>
          <w:sz w:val="20"/>
          <w:szCs w:val="20"/>
          <w:color w:val="auto"/>
        </w:rPr>
      </w:pPr>
      <w:r>
        <w:rPr>
          <w:rFonts w:ascii="Arial" w:cs="Arial" w:eastAsia="Arial" w:hAnsi="Arial"/>
          <w:sz w:val="16"/>
          <w:szCs w:val="16"/>
          <w:color w:val="auto"/>
        </w:rPr>
        <w:t>File No. 333-200246 Brighthouse Simple Solutions</w:t>
      </w:r>
      <w:r>
        <w:rPr>
          <w:rFonts w:ascii="Arial" w:cs="Arial" w:eastAsia="Arial" w:hAnsi="Arial"/>
          <w:sz w:val="23"/>
          <w:szCs w:val="23"/>
          <w:color w:val="auto"/>
          <w:vertAlign w:val="superscript"/>
        </w:rPr>
        <w:t>SM</w:t>
      </w:r>
    </w:p>
    <w:p>
      <w:pPr>
        <w:ind w:left="580"/>
        <w:spacing w:after="0" w:line="234" w:lineRule="auto"/>
        <w:rPr>
          <w:sz w:val="20"/>
          <w:szCs w:val="20"/>
          <w:color w:val="auto"/>
        </w:rPr>
      </w:pPr>
      <w:r>
        <w:rPr>
          <w:rFonts w:ascii="Arial" w:cs="Arial" w:eastAsia="Arial" w:hAnsi="Arial"/>
          <w:sz w:val="18"/>
          <w:szCs w:val="18"/>
          <w:color w:val="auto"/>
        </w:rPr>
        <w:t>File No. 333-200250 Marquis Portfolios (offered between November 7, 2005 and April 30, 2012)</w:t>
      </w:r>
    </w:p>
    <w:p>
      <w:pPr>
        <w:ind w:left="580"/>
        <w:spacing w:after="0" w:line="235" w:lineRule="auto"/>
        <w:rPr>
          <w:sz w:val="20"/>
          <w:szCs w:val="20"/>
          <w:color w:val="auto"/>
        </w:rPr>
      </w:pPr>
      <w:r>
        <w:rPr>
          <w:rFonts w:ascii="Arial" w:cs="Arial" w:eastAsia="Arial" w:hAnsi="Arial"/>
          <w:sz w:val="18"/>
          <w:szCs w:val="18"/>
          <w:color w:val="auto"/>
        </w:rPr>
        <w:t>File No. 333-200253 Series XC</w:t>
      </w:r>
    </w:p>
    <w:p>
      <w:pPr>
        <w:ind w:left="580"/>
        <w:spacing w:after="0" w:line="235" w:lineRule="auto"/>
        <w:rPr>
          <w:sz w:val="20"/>
          <w:szCs w:val="20"/>
          <w:color w:val="auto"/>
        </w:rPr>
      </w:pPr>
      <w:r>
        <w:rPr>
          <w:rFonts w:ascii="Arial" w:cs="Arial" w:eastAsia="Arial" w:hAnsi="Arial"/>
          <w:sz w:val="18"/>
          <w:szCs w:val="18"/>
          <w:color w:val="auto"/>
        </w:rPr>
        <w:t>File No. 333-200256 Series VA (offered between March 22, 2001 and October 7, 2011)</w:t>
      </w:r>
    </w:p>
    <w:p>
      <w:pPr>
        <w:ind w:left="580"/>
        <w:spacing w:after="0" w:line="235" w:lineRule="auto"/>
        <w:rPr>
          <w:sz w:val="20"/>
          <w:szCs w:val="20"/>
          <w:color w:val="auto"/>
        </w:rPr>
      </w:pPr>
      <w:r>
        <w:rPr>
          <w:rFonts w:ascii="Arial" w:cs="Arial" w:eastAsia="Arial" w:hAnsi="Arial"/>
          <w:sz w:val="18"/>
          <w:szCs w:val="18"/>
          <w:color w:val="auto"/>
        </w:rPr>
        <w:t>File No. 333-200259 Series L and Series L - 4 Year (offered between November 22, 2004 and October 7, 2011)</w:t>
      </w:r>
    </w:p>
    <w:p>
      <w:pPr>
        <w:ind w:left="580"/>
        <w:spacing w:after="0" w:line="235" w:lineRule="auto"/>
        <w:rPr>
          <w:sz w:val="20"/>
          <w:szCs w:val="20"/>
          <w:color w:val="auto"/>
        </w:rPr>
      </w:pPr>
      <w:r>
        <w:rPr>
          <w:rFonts w:ascii="Arial" w:cs="Arial" w:eastAsia="Arial" w:hAnsi="Arial"/>
          <w:sz w:val="18"/>
          <w:szCs w:val="18"/>
          <w:color w:val="auto"/>
        </w:rPr>
        <w:t>File No. 333-200261 Series C (offered between September 4, 2001 and October 7, 2011)</w:t>
      </w:r>
    </w:p>
    <w:p>
      <w:pPr>
        <w:ind w:left="580"/>
        <w:spacing w:after="0" w:line="234" w:lineRule="auto"/>
        <w:rPr>
          <w:sz w:val="20"/>
          <w:szCs w:val="20"/>
          <w:color w:val="auto"/>
        </w:rPr>
      </w:pPr>
      <w:r>
        <w:rPr>
          <w:rFonts w:ascii="Arial" w:cs="Arial" w:eastAsia="Arial" w:hAnsi="Arial"/>
          <w:sz w:val="18"/>
          <w:szCs w:val="18"/>
          <w:color w:val="auto"/>
        </w:rPr>
        <w:t>File No. 333-200263 Series XTRA</w:t>
      </w:r>
    </w:p>
    <w:p>
      <w:pPr>
        <w:ind w:left="580"/>
        <w:spacing w:after="0" w:line="235" w:lineRule="auto"/>
        <w:rPr>
          <w:sz w:val="20"/>
          <w:szCs w:val="20"/>
          <w:color w:val="auto"/>
        </w:rPr>
      </w:pPr>
      <w:r>
        <w:rPr>
          <w:rFonts w:ascii="Arial" w:cs="Arial" w:eastAsia="Arial" w:hAnsi="Arial"/>
          <w:sz w:val="18"/>
          <w:szCs w:val="18"/>
          <w:color w:val="auto"/>
        </w:rPr>
        <w:t>File No. 333-200265 Series S and Series S-L Share Option (offered between April 30, 2007 and October 7, 2011)</w:t>
      </w:r>
    </w:p>
    <w:p>
      <w:pPr>
        <w:ind w:left="580"/>
        <w:spacing w:after="0" w:line="235" w:lineRule="auto"/>
        <w:rPr>
          <w:sz w:val="20"/>
          <w:szCs w:val="20"/>
          <w:color w:val="auto"/>
        </w:rPr>
      </w:pPr>
      <w:r>
        <w:rPr>
          <w:rFonts w:ascii="Arial" w:cs="Arial" w:eastAsia="Arial" w:hAnsi="Arial"/>
          <w:sz w:val="18"/>
          <w:szCs w:val="18"/>
          <w:color w:val="auto"/>
        </w:rPr>
        <w:t>File No. 333-200268 Series L - 4 Year (offered between October 7, 2011 and April 28, 2013)</w:t>
      </w:r>
    </w:p>
    <w:p>
      <w:pPr>
        <w:ind w:left="580"/>
        <w:spacing w:after="0" w:line="235" w:lineRule="auto"/>
        <w:rPr>
          <w:sz w:val="20"/>
          <w:szCs w:val="20"/>
          <w:color w:val="auto"/>
        </w:rPr>
      </w:pPr>
      <w:r>
        <w:rPr>
          <w:rFonts w:ascii="Arial" w:cs="Arial" w:eastAsia="Arial" w:hAnsi="Arial"/>
          <w:sz w:val="18"/>
          <w:szCs w:val="18"/>
          <w:color w:val="auto"/>
        </w:rPr>
        <w:t>File No. 333-200270 Group Annuity SF 101</w:t>
      </w:r>
    </w:p>
    <w:p>
      <w:pPr>
        <w:ind w:left="580"/>
        <w:spacing w:after="0" w:line="235" w:lineRule="auto"/>
        <w:rPr>
          <w:sz w:val="20"/>
          <w:szCs w:val="20"/>
          <w:color w:val="auto"/>
        </w:rPr>
      </w:pPr>
      <w:r>
        <w:rPr>
          <w:rFonts w:ascii="Arial" w:cs="Arial" w:eastAsia="Arial" w:hAnsi="Arial"/>
          <w:sz w:val="18"/>
          <w:szCs w:val="18"/>
          <w:color w:val="auto"/>
        </w:rPr>
        <w:t>File No. 333-200272 Ultimate Annuity FSL 224</w:t>
      </w:r>
    </w:p>
    <w:p>
      <w:pPr>
        <w:ind w:left="580"/>
        <w:spacing w:after="0" w:line="234" w:lineRule="auto"/>
        <w:rPr>
          <w:sz w:val="20"/>
          <w:szCs w:val="20"/>
          <w:color w:val="auto"/>
        </w:rPr>
      </w:pPr>
      <w:r>
        <w:rPr>
          <w:rFonts w:ascii="Arial" w:cs="Arial" w:eastAsia="Arial" w:hAnsi="Arial"/>
          <w:sz w:val="18"/>
          <w:szCs w:val="18"/>
          <w:color w:val="auto"/>
        </w:rPr>
        <w:t>File No. 333-200275 Foresight SF 137</w:t>
      </w:r>
    </w:p>
    <w:p>
      <w:pPr>
        <w:ind w:left="580"/>
        <w:spacing w:after="0" w:line="235" w:lineRule="auto"/>
        <w:rPr>
          <w:sz w:val="20"/>
          <w:szCs w:val="20"/>
          <w:color w:val="auto"/>
        </w:rPr>
      </w:pPr>
      <w:r>
        <w:rPr>
          <w:rFonts w:ascii="Arial" w:cs="Arial" w:eastAsia="Arial" w:hAnsi="Arial"/>
          <w:sz w:val="18"/>
          <w:szCs w:val="18"/>
          <w:color w:val="auto"/>
        </w:rPr>
        <w:t>File No. 333-200277 SecurAnnuity (CLICO) 224/ SF 1700</w:t>
      </w:r>
    </w:p>
    <w:p>
      <w:pPr>
        <w:ind w:left="580"/>
        <w:spacing w:after="0" w:line="235" w:lineRule="auto"/>
        <w:rPr>
          <w:sz w:val="20"/>
          <w:szCs w:val="20"/>
          <w:color w:val="auto"/>
        </w:rPr>
      </w:pPr>
      <w:r>
        <w:rPr>
          <w:rFonts w:ascii="Arial" w:cs="Arial" w:eastAsia="Arial" w:hAnsi="Arial"/>
          <w:sz w:val="18"/>
          <w:szCs w:val="18"/>
          <w:color w:val="auto"/>
        </w:rPr>
        <w:t>File No. 333-200278 Group VA SF 234 (Texas)</w:t>
      </w:r>
    </w:p>
    <w:p>
      <w:pPr>
        <w:ind w:left="580"/>
        <w:spacing w:after="0" w:line="235" w:lineRule="auto"/>
        <w:rPr>
          <w:sz w:val="20"/>
          <w:szCs w:val="20"/>
          <w:color w:val="auto"/>
        </w:rPr>
      </w:pPr>
      <w:r>
        <w:rPr>
          <w:rFonts w:ascii="Arial" w:cs="Arial" w:eastAsia="Arial" w:hAnsi="Arial"/>
          <w:sz w:val="18"/>
          <w:szCs w:val="18"/>
          <w:color w:val="auto"/>
        </w:rPr>
        <w:t>File No. 333-200280 Sunshine SF 236 FL</w:t>
      </w:r>
    </w:p>
    <w:p>
      <w:pPr>
        <w:ind w:left="580"/>
        <w:spacing w:after="0" w:line="235" w:lineRule="auto"/>
        <w:rPr>
          <w:sz w:val="20"/>
          <w:szCs w:val="20"/>
          <w:color w:val="auto"/>
        </w:rPr>
      </w:pPr>
      <w:r>
        <w:rPr>
          <w:rFonts w:ascii="Arial" w:cs="Arial" w:eastAsia="Arial" w:hAnsi="Arial"/>
          <w:sz w:val="18"/>
          <w:szCs w:val="18"/>
          <w:color w:val="auto"/>
        </w:rPr>
        <w:t>File No. 333-200281 Flexible Value SF 230</w:t>
      </w:r>
    </w:p>
    <w:p>
      <w:pPr>
        <w:ind w:left="580" w:right="1880"/>
        <w:spacing w:after="0" w:line="250" w:lineRule="auto"/>
        <w:rPr>
          <w:sz w:val="20"/>
          <w:szCs w:val="20"/>
          <w:color w:val="auto"/>
        </w:rPr>
      </w:pPr>
      <w:r>
        <w:rPr>
          <w:rFonts w:ascii="Arial" w:cs="Arial" w:eastAsia="Arial" w:hAnsi="Arial"/>
          <w:sz w:val="18"/>
          <w:szCs w:val="18"/>
          <w:color w:val="auto"/>
        </w:rPr>
        <w:t>File No. 333-200282 Investors Choice Annuity, Capital Strategist Annuity, Imprint Annuity and Strive Annuity File No. 333-200283 Protected Equity Portfolio (PEP)</w:t>
      </w:r>
    </w:p>
    <w:p>
      <w:pPr>
        <w:sectPr>
          <w:pgSz w:w="11900" w:h="16838" w:orient="portrait"/>
          <w:cols w:equalWidth="0" w:num="1">
            <w:col w:w="11020"/>
          </w:cols>
          <w:pgMar w:left="320" w:top="269" w:right="559" w:bottom="1440" w:gutter="0" w:footer="0" w:header="0"/>
        </w:sectPr>
      </w:pPr>
    </w:p>
    <w:bookmarkStart w:id="111" w:name="page112"/>
    <w:bookmarkEnd w:id="111"/>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333-200284 Vintage L and Vintage XC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333-200285 Series XTRA 6</w:t>
      </w:r>
    </w:p>
    <w:p>
      <w:pPr>
        <w:ind w:left="580"/>
        <w:spacing w:after="0" w:line="234" w:lineRule="auto"/>
        <w:rPr>
          <w:sz w:val="20"/>
          <w:szCs w:val="20"/>
          <w:color w:val="auto"/>
        </w:rPr>
      </w:pPr>
      <w:r>
        <w:rPr>
          <w:rFonts w:ascii="Arial" w:cs="Arial" w:eastAsia="Arial" w:hAnsi="Arial"/>
          <w:sz w:val="18"/>
          <w:szCs w:val="18"/>
          <w:color w:val="auto"/>
        </w:rPr>
        <w:t>File No. 333-200286 Series VA - 4 (offered between May 1, 2011 and October 7, 2011)</w:t>
      </w:r>
    </w:p>
    <w:p>
      <w:pPr>
        <w:ind w:left="580"/>
        <w:spacing w:after="0" w:line="235" w:lineRule="auto"/>
        <w:rPr>
          <w:sz w:val="20"/>
          <w:szCs w:val="20"/>
          <w:color w:val="auto"/>
        </w:rPr>
      </w:pPr>
      <w:r>
        <w:rPr>
          <w:rFonts w:ascii="Arial" w:cs="Arial" w:eastAsia="Arial" w:hAnsi="Arial"/>
          <w:sz w:val="18"/>
          <w:szCs w:val="18"/>
          <w:color w:val="auto"/>
        </w:rPr>
        <w:t>File No. 333-200287 Series C (offered on and after October 7, 2011)</w:t>
      </w:r>
    </w:p>
    <w:p>
      <w:pPr>
        <w:ind w:left="580"/>
        <w:spacing w:after="0" w:line="235" w:lineRule="auto"/>
        <w:rPr>
          <w:sz w:val="20"/>
          <w:szCs w:val="20"/>
          <w:color w:val="auto"/>
        </w:rPr>
      </w:pPr>
      <w:r>
        <w:rPr>
          <w:rFonts w:ascii="Arial" w:cs="Arial" w:eastAsia="Arial" w:hAnsi="Arial"/>
          <w:sz w:val="18"/>
          <w:szCs w:val="18"/>
          <w:color w:val="auto"/>
        </w:rPr>
        <w:t>File No. 333-200288 Pioneer PRISM</w:t>
      </w:r>
    </w:p>
    <w:p>
      <w:pPr>
        <w:ind w:left="580"/>
        <w:spacing w:after="0" w:line="235" w:lineRule="auto"/>
        <w:rPr>
          <w:sz w:val="20"/>
          <w:szCs w:val="20"/>
          <w:color w:val="auto"/>
        </w:rPr>
      </w:pPr>
      <w:r>
        <w:rPr>
          <w:rFonts w:ascii="Arial" w:cs="Arial" w:eastAsia="Arial" w:hAnsi="Arial"/>
          <w:sz w:val="18"/>
          <w:szCs w:val="18"/>
          <w:color w:val="auto"/>
        </w:rPr>
        <w:t>File No. 333-200289 Pioneer PRISM L</w:t>
      </w:r>
    </w:p>
    <w:p>
      <w:pPr>
        <w:ind w:left="580"/>
        <w:spacing w:after="0" w:line="235" w:lineRule="auto"/>
        <w:rPr>
          <w:sz w:val="20"/>
          <w:szCs w:val="20"/>
          <w:color w:val="auto"/>
        </w:rPr>
      </w:pPr>
      <w:r>
        <w:rPr>
          <w:rFonts w:ascii="Arial" w:cs="Arial" w:eastAsia="Arial" w:hAnsi="Arial"/>
          <w:sz w:val="18"/>
          <w:szCs w:val="18"/>
          <w:color w:val="auto"/>
        </w:rPr>
        <w:t>File No. 333-200290 Pioneer PRISM XC</w:t>
      </w:r>
    </w:p>
    <w:p>
      <w:pPr>
        <w:ind w:left="780" w:right="660" w:hanging="204"/>
        <w:spacing w:after="0" w:line="216" w:lineRule="auto"/>
        <w:rPr>
          <w:sz w:val="20"/>
          <w:szCs w:val="20"/>
          <w:color w:val="auto"/>
        </w:rPr>
      </w:pPr>
      <w:r>
        <w:rPr>
          <w:rFonts w:ascii="Arial" w:cs="Arial" w:eastAsia="Arial" w:hAnsi="Arial"/>
          <w:sz w:val="16"/>
          <w:szCs w:val="16"/>
          <w:color w:val="auto"/>
        </w:rPr>
        <w:t>File No. 333-200323 Brighthouse Investment Portfolio Architect</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 Standard Version and Brighthouse Investment Portfolio Architect</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 C Share Option</w:t>
      </w:r>
    </w:p>
    <w:p>
      <w:pPr>
        <w:ind w:left="580"/>
        <w:spacing w:after="0" w:line="236" w:lineRule="auto"/>
        <w:rPr>
          <w:sz w:val="20"/>
          <w:szCs w:val="20"/>
          <w:color w:val="auto"/>
        </w:rPr>
      </w:pPr>
      <w:r>
        <w:rPr>
          <w:rFonts w:ascii="Arial" w:cs="Arial" w:eastAsia="Arial" w:hAnsi="Arial"/>
          <w:sz w:val="18"/>
          <w:szCs w:val="18"/>
          <w:color w:val="auto"/>
        </w:rPr>
        <w:t>File No. 333-203748 Series O (offered on and after July 20, 2015)</w:t>
      </w:r>
    </w:p>
    <w:p>
      <w:pPr>
        <w:ind w:left="580"/>
        <w:spacing w:after="0" w:line="235" w:lineRule="auto"/>
        <w:rPr>
          <w:sz w:val="20"/>
          <w:szCs w:val="20"/>
          <w:color w:val="auto"/>
        </w:rPr>
      </w:pPr>
      <w:r>
        <w:rPr>
          <w:rFonts w:ascii="Arial" w:cs="Arial" w:eastAsia="Arial" w:hAnsi="Arial"/>
          <w:sz w:val="18"/>
          <w:szCs w:val="18"/>
          <w:color w:val="auto"/>
        </w:rPr>
        <w:t>File No. 333-209053 Series VA (offered on and after May 2, 2016)</w:t>
      </w:r>
    </w:p>
    <w:p>
      <w:pPr>
        <w:ind w:left="580"/>
        <w:spacing w:after="0" w:line="235" w:lineRule="auto"/>
        <w:rPr>
          <w:sz w:val="20"/>
          <w:szCs w:val="20"/>
          <w:color w:val="auto"/>
        </w:rPr>
      </w:pPr>
      <w:r>
        <w:rPr>
          <w:rFonts w:ascii="Arial" w:cs="Arial" w:eastAsia="Arial" w:hAnsi="Arial"/>
          <w:sz w:val="18"/>
          <w:szCs w:val="18"/>
          <w:color w:val="auto"/>
        </w:rPr>
        <w:t>File No. 333-209054 Series VA- 4 (offered on and after May 2, 2016)</w:t>
      </w:r>
    </w:p>
    <w:p>
      <w:pPr>
        <w:ind w:left="580" w:right="160"/>
        <w:spacing w:after="0" w:line="250" w:lineRule="auto"/>
        <w:rPr>
          <w:sz w:val="20"/>
          <w:szCs w:val="20"/>
          <w:color w:val="auto"/>
        </w:rPr>
      </w:pPr>
      <w:r>
        <w:rPr>
          <w:rFonts w:ascii="Arial" w:cs="Arial" w:eastAsia="Arial" w:hAnsi="Arial"/>
          <w:sz w:val="18"/>
          <w:szCs w:val="18"/>
          <w:color w:val="auto"/>
        </w:rPr>
        <w:t>File No. 333-209055 Series S (offered on and after May 2, 2016) and Series S-L Share Option (offered on and after May 2, 2016) File No. 333-209411 Brighthouse Prime Options,</w:t>
      </w:r>
    </w:p>
    <w:p>
      <w:pPr>
        <w:spacing w:after="0" w:line="199"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Separate Account Eleven for Variable Annuities (811-21262)</w:t>
      </w:r>
    </w:p>
    <w:p>
      <w:pPr>
        <w:spacing w:after="0" w:line="14" w:lineRule="exact"/>
        <w:rPr>
          <w:sz w:val="20"/>
          <w:szCs w:val="20"/>
          <w:color w:val="auto"/>
        </w:rPr>
      </w:pPr>
    </w:p>
    <w:p>
      <w:pPr>
        <w:ind w:left="780" w:right="360" w:hanging="204"/>
        <w:spacing w:after="0" w:line="234" w:lineRule="auto"/>
        <w:rPr>
          <w:sz w:val="20"/>
          <w:szCs w:val="20"/>
          <w:color w:val="auto"/>
        </w:rPr>
      </w:pPr>
      <w:r>
        <w:rPr>
          <w:rFonts w:ascii="Arial" w:cs="Arial" w:eastAsia="Arial" w:hAnsi="Arial"/>
          <w:sz w:val="18"/>
          <w:szCs w:val="18"/>
          <w:color w:val="auto"/>
        </w:rPr>
        <w:t>File Nos. 333-101778 and 333-152234 Pioneer AnnuiStar Plus Annuity, Portfolio Architect Plus Annuity and Scudder Advocate Rewards Annuity</w:t>
      </w:r>
    </w:p>
    <w:p>
      <w:pPr>
        <w:ind w:left="580"/>
        <w:spacing w:after="0" w:line="236" w:lineRule="auto"/>
        <w:rPr>
          <w:sz w:val="20"/>
          <w:szCs w:val="20"/>
          <w:color w:val="auto"/>
        </w:rPr>
      </w:pPr>
      <w:r>
        <w:rPr>
          <w:rFonts w:ascii="Arial" w:cs="Arial" w:eastAsia="Arial" w:hAnsi="Arial"/>
          <w:sz w:val="18"/>
          <w:szCs w:val="18"/>
          <w:color w:val="auto"/>
        </w:rPr>
        <w:t>File No. 333-152189 Universal Annuity</w:t>
      </w:r>
    </w:p>
    <w:p>
      <w:pPr>
        <w:ind w:left="580"/>
        <w:spacing w:after="0" w:line="235" w:lineRule="auto"/>
        <w:rPr>
          <w:sz w:val="20"/>
          <w:szCs w:val="20"/>
          <w:color w:val="auto"/>
        </w:rPr>
      </w:pPr>
      <w:r>
        <w:rPr>
          <w:rFonts w:ascii="Arial" w:cs="Arial" w:eastAsia="Arial" w:hAnsi="Arial"/>
          <w:sz w:val="18"/>
          <w:szCs w:val="18"/>
          <w:color w:val="auto"/>
        </w:rPr>
        <w:t>File No. 333-152190 Universal Select Annuity</w:t>
      </w:r>
    </w:p>
    <w:p>
      <w:pPr>
        <w:ind w:left="580"/>
        <w:spacing w:after="0" w:line="235" w:lineRule="auto"/>
        <w:rPr>
          <w:sz w:val="20"/>
          <w:szCs w:val="20"/>
          <w:color w:val="auto"/>
        </w:rPr>
      </w:pPr>
      <w:r>
        <w:rPr>
          <w:rFonts w:ascii="Arial" w:cs="Arial" w:eastAsia="Arial" w:hAnsi="Arial"/>
          <w:sz w:val="18"/>
          <w:szCs w:val="18"/>
          <w:color w:val="auto"/>
        </w:rPr>
        <w:t>File No. 333-152191 Universal Annuity Advantage</w:t>
      </w:r>
    </w:p>
    <w:p>
      <w:pPr>
        <w:ind w:left="580" w:right="4700"/>
        <w:spacing w:after="0" w:line="234" w:lineRule="auto"/>
        <w:rPr>
          <w:sz w:val="20"/>
          <w:szCs w:val="20"/>
          <w:color w:val="auto"/>
        </w:rPr>
      </w:pPr>
      <w:r>
        <w:rPr>
          <w:rFonts w:ascii="Arial" w:cs="Arial" w:eastAsia="Arial" w:hAnsi="Arial"/>
          <w:sz w:val="18"/>
          <w:szCs w:val="18"/>
          <w:color w:val="auto"/>
        </w:rPr>
        <w:t>File Nos. 333-152192 and 333-152193 Brighthouse Retirement Account File No. 333-152194 Gold Track and Gold Track Select</w:t>
      </w:r>
    </w:p>
    <w:p>
      <w:pPr>
        <w:spacing w:after="0" w:line="1" w:lineRule="exact"/>
        <w:rPr>
          <w:sz w:val="20"/>
          <w:szCs w:val="20"/>
          <w:color w:val="auto"/>
        </w:rPr>
      </w:pPr>
    </w:p>
    <w:p>
      <w:pPr>
        <w:ind w:left="580" w:right="1880"/>
        <w:spacing w:after="0" w:line="234" w:lineRule="auto"/>
        <w:rPr>
          <w:sz w:val="20"/>
          <w:szCs w:val="20"/>
          <w:color w:val="auto"/>
        </w:rPr>
      </w:pPr>
      <w:r>
        <w:rPr>
          <w:rFonts w:ascii="Arial" w:cs="Arial" w:eastAsia="Arial" w:hAnsi="Arial"/>
          <w:sz w:val="18"/>
          <w:szCs w:val="18"/>
          <w:color w:val="auto"/>
        </w:rPr>
        <w:t>File Nos. 333-152197 and 333-152198 Brighthouse Access Annuity and Brighthouse Access Select Annuity File Nos. 333-152199 and 333-152200 Vintage Annuity File Nos. 333-152201 and 333-152202 Index Annuity</w:t>
      </w:r>
    </w:p>
    <w:p>
      <w:pPr>
        <w:spacing w:after="0" w:line="2" w:lineRule="exact"/>
        <w:rPr>
          <w:sz w:val="20"/>
          <w:szCs w:val="20"/>
          <w:color w:val="auto"/>
        </w:rPr>
      </w:pPr>
    </w:p>
    <w:p>
      <w:pPr>
        <w:ind w:left="780" w:right="440" w:hanging="204"/>
        <w:spacing w:after="0" w:line="234" w:lineRule="auto"/>
        <w:rPr>
          <w:sz w:val="20"/>
          <w:szCs w:val="20"/>
          <w:color w:val="auto"/>
        </w:rPr>
      </w:pPr>
      <w:r>
        <w:rPr>
          <w:rFonts w:ascii="Arial" w:cs="Arial" w:eastAsia="Arial" w:hAnsi="Arial"/>
          <w:sz w:val="18"/>
          <w:szCs w:val="18"/>
          <w:color w:val="auto"/>
        </w:rPr>
        <w:t>File Nos. 333-152232 and 333-152233 Portfolio Architect Annuity, Portfolio Architect Select Annuity, Premier Advisers Annuity (Class I) and Premier Advisers Annuity (Class II)</w:t>
      </w:r>
    </w:p>
    <w:p>
      <w:pPr>
        <w:spacing w:after="0" w:line="1" w:lineRule="exact"/>
        <w:rPr>
          <w:sz w:val="20"/>
          <w:szCs w:val="20"/>
          <w:color w:val="auto"/>
        </w:rPr>
      </w:pPr>
    </w:p>
    <w:p>
      <w:pPr>
        <w:ind w:left="780" w:right="540" w:hanging="204"/>
        <w:spacing w:after="0" w:line="234" w:lineRule="auto"/>
        <w:rPr>
          <w:sz w:val="20"/>
          <w:szCs w:val="20"/>
          <w:color w:val="auto"/>
        </w:rPr>
      </w:pPr>
      <w:r>
        <w:rPr>
          <w:rFonts w:ascii="Arial" w:cs="Arial" w:eastAsia="Arial" w:hAnsi="Arial"/>
          <w:sz w:val="18"/>
          <w:szCs w:val="18"/>
          <w:color w:val="auto"/>
        </w:rPr>
        <w:t>File Nos. 333-152235 and 333-152236 Pioneer AnnuiStar Annuity, Portfolio Architect II Annuity and Pioneer AnnuiStar Value Annuity</w:t>
      </w:r>
    </w:p>
    <w:p>
      <w:pPr>
        <w:spacing w:after="0" w:line="1" w:lineRule="exact"/>
        <w:rPr>
          <w:sz w:val="20"/>
          <w:szCs w:val="20"/>
          <w:color w:val="auto"/>
        </w:rPr>
      </w:pPr>
    </w:p>
    <w:p>
      <w:pPr>
        <w:ind w:left="780" w:right="60" w:hanging="204"/>
        <w:spacing w:after="0" w:line="234" w:lineRule="auto"/>
        <w:rPr>
          <w:sz w:val="20"/>
          <w:szCs w:val="20"/>
          <w:color w:val="auto"/>
        </w:rPr>
      </w:pPr>
      <w:r>
        <w:rPr>
          <w:rFonts w:ascii="Arial" w:cs="Arial" w:eastAsia="Arial" w:hAnsi="Arial"/>
          <w:sz w:val="18"/>
          <w:szCs w:val="18"/>
          <w:color w:val="auto"/>
        </w:rPr>
        <w:t>File Nos. 333-152237 and 333-152238 Premier Advisers II Annuity, Premier Advisers III (Series I) and Premier Advisers III Annuity (Series II)</w:t>
      </w:r>
    </w:p>
    <w:p>
      <w:pPr>
        <w:spacing w:after="0" w:line="1" w:lineRule="exact"/>
        <w:rPr>
          <w:sz w:val="20"/>
          <w:szCs w:val="20"/>
          <w:color w:val="auto"/>
        </w:rPr>
      </w:pPr>
    </w:p>
    <w:p>
      <w:pPr>
        <w:ind w:left="780" w:hanging="204"/>
        <w:spacing w:after="0" w:line="234" w:lineRule="auto"/>
        <w:rPr>
          <w:sz w:val="20"/>
          <w:szCs w:val="20"/>
          <w:color w:val="auto"/>
        </w:rPr>
      </w:pPr>
      <w:r>
        <w:rPr>
          <w:rFonts w:ascii="Arial" w:cs="Arial" w:eastAsia="Arial" w:hAnsi="Arial"/>
          <w:sz w:val="18"/>
          <w:szCs w:val="18"/>
          <w:color w:val="auto"/>
        </w:rPr>
        <w:t>File Nos. 333-152239 and 333-152240 Premier Advisers AssetManager Annuity, Premier Advisers L Annuity (Series I) and Premier Advisers L Annuity (Series II)</w:t>
      </w:r>
    </w:p>
    <w:p>
      <w:pPr>
        <w:spacing w:after="0" w:line="1" w:lineRule="exact"/>
        <w:rPr>
          <w:sz w:val="20"/>
          <w:szCs w:val="20"/>
          <w:color w:val="auto"/>
        </w:rPr>
      </w:pPr>
    </w:p>
    <w:p>
      <w:pPr>
        <w:ind w:left="780" w:right="20" w:hanging="204"/>
        <w:spacing w:after="0" w:line="234" w:lineRule="auto"/>
        <w:rPr>
          <w:sz w:val="20"/>
          <w:szCs w:val="20"/>
          <w:color w:val="auto"/>
        </w:rPr>
      </w:pPr>
      <w:r>
        <w:rPr>
          <w:rFonts w:ascii="Arial" w:cs="Arial" w:eastAsia="Arial" w:hAnsi="Arial"/>
          <w:sz w:val="18"/>
          <w:szCs w:val="18"/>
          <w:color w:val="auto"/>
        </w:rPr>
        <w:t>File Nos. 333-152255 and 333-152265 Vintage XTRA Annuity, Portfolio Architect XTRA Annuity and Vintage XTRA Annuity (Series II)</w:t>
      </w:r>
    </w:p>
    <w:p>
      <w:pPr>
        <w:spacing w:after="0" w:line="1" w:lineRule="exact"/>
        <w:rPr>
          <w:sz w:val="20"/>
          <w:szCs w:val="20"/>
          <w:color w:val="auto"/>
        </w:rPr>
      </w:pPr>
    </w:p>
    <w:p>
      <w:pPr>
        <w:ind w:left="780" w:right="460" w:hanging="204"/>
        <w:spacing w:after="0" w:line="234" w:lineRule="auto"/>
        <w:rPr>
          <w:sz w:val="20"/>
          <w:szCs w:val="20"/>
          <w:color w:val="auto"/>
        </w:rPr>
      </w:pPr>
      <w:r>
        <w:rPr>
          <w:rFonts w:ascii="Arial" w:cs="Arial" w:eastAsia="Arial" w:hAnsi="Arial"/>
          <w:sz w:val="18"/>
          <w:szCs w:val="18"/>
          <w:color w:val="auto"/>
        </w:rPr>
        <w:t>File Nos. 333-152256 and 333-152292 Vintage 3 Annuity, Portfolio Architect 3 Annuity, Portfolio Architect L Annuity, Vintage L Annuity and Pioneer AnnuiStar Flex Annuity</w:t>
      </w:r>
    </w:p>
    <w:p>
      <w:pPr>
        <w:ind w:left="580"/>
        <w:spacing w:after="0" w:line="236" w:lineRule="auto"/>
        <w:rPr>
          <w:sz w:val="20"/>
          <w:szCs w:val="20"/>
          <w:color w:val="auto"/>
        </w:rPr>
      </w:pPr>
      <w:r>
        <w:rPr>
          <w:rFonts w:ascii="Arial" w:cs="Arial" w:eastAsia="Arial" w:hAnsi="Arial"/>
          <w:sz w:val="18"/>
          <w:szCs w:val="18"/>
          <w:color w:val="auto"/>
        </w:rPr>
        <w:t>File Nos. 333-152258 and 333-152261 PrimElite Annuity</w:t>
      </w:r>
    </w:p>
    <w:p>
      <w:pPr>
        <w:ind w:left="580"/>
        <w:spacing w:after="0" w:line="235" w:lineRule="auto"/>
        <w:rPr>
          <w:sz w:val="20"/>
          <w:szCs w:val="20"/>
          <w:color w:val="auto"/>
        </w:rPr>
      </w:pPr>
      <w:r>
        <w:rPr>
          <w:rFonts w:ascii="Arial" w:cs="Arial" w:eastAsia="Arial" w:hAnsi="Arial"/>
          <w:sz w:val="18"/>
          <w:szCs w:val="18"/>
          <w:color w:val="auto"/>
        </w:rPr>
        <w:t>File Nos. 333-152259 and 333-152262 PrimElite II Annuity</w:t>
      </w:r>
    </w:p>
    <w:p>
      <w:pPr>
        <w:ind w:left="580" w:right="4620"/>
        <w:spacing w:after="0" w:line="234" w:lineRule="auto"/>
        <w:rPr>
          <w:sz w:val="20"/>
          <w:szCs w:val="20"/>
          <w:color w:val="auto"/>
        </w:rPr>
      </w:pPr>
      <w:r>
        <w:rPr>
          <w:rFonts w:ascii="Arial" w:cs="Arial" w:eastAsia="Arial" w:hAnsi="Arial"/>
          <w:sz w:val="18"/>
          <w:szCs w:val="18"/>
          <w:color w:val="auto"/>
        </w:rPr>
        <w:t>File Nos. 333-152260 and 333-152266 Protected Equity Portfolio Annuity File Nos. 333-152263 and 333-152269 Marquis Portfolios</w:t>
      </w:r>
    </w:p>
    <w:p>
      <w:pPr>
        <w:spacing w:after="0" w:line="1" w:lineRule="exact"/>
        <w:rPr>
          <w:sz w:val="20"/>
          <w:szCs w:val="20"/>
          <w:color w:val="auto"/>
        </w:rPr>
      </w:pPr>
    </w:p>
    <w:p>
      <w:pPr>
        <w:ind w:left="780" w:right="620" w:hanging="204"/>
        <w:spacing w:after="0" w:line="234" w:lineRule="auto"/>
        <w:rPr>
          <w:sz w:val="20"/>
          <w:szCs w:val="20"/>
          <w:color w:val="auto"/>
        </w:rPr>
      </w:pPr>
      <w:r>
        <w:rPr>
          <w:rFonts w:ascii="Arial" w:cs="Arial" w:eastAsia="Arial" w:hAnsi="Arial"/>
          <w:sz w:val="18"/>
          <w:szCs w:val="18"/>
          <w:color w:val="auto"/>
        </w:rPr>
        <w:t>File Nos. 333-152264 and 333-152270 Vintage Access, Portfolio Architect Access, Scudder Advocate Advisor and Scudder Advocate Advisor - ST1 Annuity</w:t>
      </w:r>
    </w:p>
    <w:p>
      <w:pPr>
        <w:ind w:left="580"/>
        <w:spacing w:after="0" w:line="236" w:lineRule="auto"/>
        <w:rPr>
          <w:sz w:val="20"/>
          <w:szCs w:val="20"/>
          <w:color w:val="auto"/>
        </w:rPr>
      </w:pPr>
      <w:r>
        <w:rPr>
          <w:rFonts w:ascii="Arial" w:cs="Arial" w:eastAsia="Arial" w:hAnsi="Arial"/>
          <w:sz w:val="18"/>
          <w:szCs w:val="18"/>
          <w:color w:val="auto"/>
        </w:rPr>
        <w:t>File Nos. 333-152267 and 333-152268 Vintage II Annuity and Vintage II Annuity (Series II)</w:t>
      </w:r>
    </w:p>
    <w:p>
      <w:pPr>
        <w:ind w:left="580"/>
        <w:spacing w:after="0" w:line="235" w:lineRule="auto"/>
        <w:rPr>
          <w:sz w:val="20"/>
          <w:szCs w:val="20"/>
          <w:color w:val="auto"/>
        </w:rPr>
      </w:pPr>
      <w:r>
        <w:rPr>
          <w:rFonts w:ascii="Arial" w:cs="Arial" w:eastAsia="Arial" w:hAnsi="Arial"/>
          <w:sz w:val="18"/>
          <w:szCs w:val="18"/>
          <w:color w:val="auto"/>
        </w:rPr>
        <w:t>File No. 333-197658 Brighthouse Accumulation Annuity</w:t>
      </w:r>
    </w:p>
    <w:p>
      <w:pPr>
        <w:ind w:left="580"/>
        <w:spacing w:after="0"/>
        <w:rPr>
          <w:sz w:val="20"/>
          <w:szCs w:val="20"/>
          <w:color w:val="auto"/>
        </w:rPr>
      </w:pPr>
      <w:r>
        <w:rPr>
          <w:rFonts w:ascii="Arial" w:cs="Arial" w:eastAsia="Arial" w:hAnsi="Arial"/>
          <w:sz w:val="18"/>
          <w:szCs w:val="18"/>
          <w:color w:val="auto"/>
        </w:rPr>
        <w:t>File No. 333-208464 Brighthouse Premier Variable Annuity</w:t>
      </w:r>
      <w:r>
        <w:rPr>
          <w:rFonts w:ascii="Arial" w:cs="Arial" w:eastAsia="Arial" w:hAnsi="Arial"/>
          <w:sz w:val="26"/>
          <w:szCs w:val="26"/>
          <w:color w:val="auto"/>
          <w:vertAlign w:val="superscript"/>
        </w:rPr>
        <w:t>SM</w:t>
      </w:r>
      <w:r>
        <w:rPr>
          <w:rFonts w:ascii="Arial" w:cs="Arial" w:eastAsia="Arial" w:hAnsi="Arial"/>
          <w:sz w:val="18"/>
          <w:szCs w:val="18"/>
          <w:color w:val="auto"/>
        </w:rPr>
        <w:t>,</w:t>
      </w:r>
    </w:p>
    <w:p>
      <w:pPr>
        <w:spacing w:after="0" w:line="129" w:lineRule="exact"/>
        <w:rPr>
          <w:sz w:val="20"/>
          <w:szCs w:val="20"/>
          <w:color w:val="auto"/>
        </w:rPr>
      </w:pPr>
    </w:p>
    <w:p>
      <w:pPr>
        <w:ind w:left="580" w:right="5740" w:hanging="572"/>
        <w:spacing w:after="0" w:line="253" w:lineRule="auto"/>
        <w:tabs>
          <w:tab w:leader="none" w:pos="23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Brighthouse Separate Account QPN for Variable Annuities File No. 333-156867 Unallocated Group Variable Annuity File No. 333-156911 Brighthouse Retirement Perspectives,</w:t>
      </w:r>
    </w:p>
    <w:p>
      <w:pPr>
        <w:spacing w:after="0" w:line="195" w:lineRule="exact"/>
        <w:rPr>
          <w:rFonts w:ascii="Arial" w:cs="Arial" w:eastAsia="Arial" w:hAnsi="Arial"/>
          <w:sz w:val="18"/>
          <w:szCs w:val="18"/>
          <w:color w:val="auto"/>
        </w:rPr>
      </w:pPr>
    </w:p>
    <w:p>
      <w:pPr>
        <w:ind w:left="220" w:hanging="212"/>
        <w:spacing w:after="0"/>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Brighthouse Variable Annuity Account C (811-05200)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333-200244 Class XC</w:t>
      </w:r>
    </w:p>
    <w:p>
      <w:pPr>
        <w:ind w:left="580"/>
        <w:spacing w:after="0" w:line="234" w:lineRule="auto"/>
        <w:rPr>
          <w:sz w:val="20"/>
          <w:szCs w:val="20"/>
          <w:color w:val="auto"/>
        </w:rPr>
      </w:pPr>
      <w:r>
        <w:rPr>
          <w:rFonts w:ascii="Arial" w:cs="Arial" w:eastAsia="Arial" w:hAnsi="Arial"/>
          <w:sz w:val="18"/>
          <w:szCs w:val="18"/>
          <w:color w:val="auto"/>
        </w:rPr>
        <w:t>File No. 333-200247 Class VA, Class AA and Class B</w:t>
      </w:r>
    </w:p>
    <w:p>
      <w:pPr>
        <w:ind w:left="580"/>
        <w:spacing w:after="0" w:line="235" w:lineRule="auto"/>
        <w:rPr>
          <w:sz w:val="20"/>
          <w:szCs w:val="20"/>
          <w:color w:val="auto"/>
        </w:rPr>
      </w:pPr>
      <w:r>
        <w:rPr>
          <w:rFonts w:ascii="Arial" w:cs="Arial" w:eastAsia="Arial" w:hAnsi="Arial"/>
          <w:sz w:val="18"/>
          <w:szCs w:val="18"/>
          <w:color w:val="auto"/>
        </w:rPr>
        <w:t>File No. 333-200249 Class L and Class L - 4 Year</w:t>
      </w:r>
    </w:p>
    <w:p>
      <w:pPr>
        <w:ind w:left="580"/>
        <w:spacing w:after="0" w:line="235" w:lineRule="auto"/>
        <w:rPr>
          <w:sz w:val="20"/>
          <w:szCs w:val="20"/>
          <w:color w:val="auto"/>
        </w:rPr>
      </w:pPr>
      <w:r>
        <w:rPr>
          <w:rFonts w:ascii="Arial" w:cs="Arial" w:eastAsia="Arial" w:hAnsi="Arial"/>
          <w:sz w:val="18"/>
          <w:szCs w:val="18"/>
          <w:color w:val="auto"/>
        </w:rPr>
        <w:t>File No. 333-200252 Class A</w:t>
      </w:r>
    </w:p>
    <w:p>
      <w:pPr>
        <w:ind w:left="580"/>
        <w:spacing w:after="0" w:line="235" w:lineRule="auto"/>
        <w:rPr>
          <w:sz w:val="20"/>
          <w:szCs w:val="20"/>
          <w:color w:val="auto"/>
        </w:rPr>
      </w:pPr>
      <w:r>
        <w:rPr>
          <w:rFonts w:ascii="Arial" w:cs="Arial" w:eastAsia="Arial" w:hAnsi="Arial"/>
          <w:sz w:val="18"/>
          <w:szCs w:val="18"/>
          <w:color w:val="auto"/>
        </w:rPr>
        <w:t>File No. 333-200255 COVA VA, Firstar Summit VA, Premier Advisor VA, Destiny Select VA and Prevail VA</w:t>
      </w:r>
    </w:p>
    <w:p>
      <w:pPr>
        <w:ind w:left="580"/>
        <w:spacing w:after="0" w:line="235" w:lineRule="auto"/>
        <w:rPr>
          <w:sz w:val="20"/>
          <w:szCs w:val="20"/>
          <w:color w:val="auto"/>
        </w:rPr>
      </w:pPr>
      <w:r>
        <w:rPr>
          <w:rFonts w:ascii="Arial" w:cs="Arial" w:eastAsia="Arial" w:hAnsi="Arial"/>
          <w:sz w:val="18"/>
          <w:szCs w:val="18"/>
          <w:color w:val="auto"/>
        </w:rPr>
        <w:t>File No. 333-200258 COVA VA SPDA</w:t>
      </w:r>
    </w:p>
    <w:p>
      <w:pPr>
        <w:ind w:left="580"/>
        <w:spacing w:after="0" w:line="234" w:lineRule="auto"/>
        <w:rPr>
          <w:sz w:val="20"/>
          <w:szCs w:val="20"/>
          <w:color w:val="auto"/>
        </w:rPr>
      </w:pPr>
      <w:r>
        <w:rPr>
          <w:rFonts w:ascii="Arial" w:cs="Arial" w:eastAsia="Arial" w:hAnsi="Arial"/>
          <w:sz w:val="18"/>
          <w:szCs w:val="18"/>
          <w:color w:val="auto"/>
        </w:rPr>
        <w:t>File No. 333-200260 COVA Series 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333-200262 Navigator-Select/Custom-Select/Russell-Select</w:t>
      </w:r>
    </w:p>
    <w:p>
      <w:pPr>
        <w:sectPr>
          <w:pgSz w:w="11900" w:h="16838" w:orient="portrait"/>
          <w:cols w:equalWidth="0" w:num="1">
            <w:col w:w="11000"/>
          </w:cols>
          <w:pgMar w:left="320" w:top="269" w:right="579" w:bottom="1440" w:gutter="0" w:footer="0" w:header="0"/>
        </w:sectPr>
      </w:pPr>
    </w:p>
    <w:bookmarkStart w:id="112" w:name="page113"/>
    <w:bookmarkEnd w:id="112"/>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333-200264 Navigator-Select/Custom-Select/Russell-Select (CA)</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333-200266 COVA VA and Premier Advisor (CA)</w:t>
      </w:r>
    </w:p>
    <w:p>
      <w:pPr>
        <w:ind w:left="580"/>
        <w:spacing w:after="0" w:line="234" w:lineRule="auto"/>
        <w:rPr>
          <w:sz w:val="20"/>
          <w:szCs w:val="20"/>
          <w:color w:val="auto"/>
        </w:rPr>
      </w:pPr>
      <w:r>
        <w:rPr>
          <w:rFonts w:ascii="Arial" w:cs="Arial" w:eastAsia="Arial" w:hAnsi="Arial"/>
          <w:sz w:val="18"/>
          <w:szCs w:val="18"/>
          <w:color w:val="auto"/>
        </w:rPr>
        <w:t>File No. 333-200267 COVA Series A (CA)</w:t>
      </w:r>
    </w:p>
    <w:p>
      <w:pPr>
        <w:ind w:left="580"/>
        <w:spacing w:after="0" w:line="235" w:lineRule="auto"/>
        <w:rPr>
          <w:sz w:val="20"/>
          <w:szCs w:val="20"/>
          <w:color w:val="auto"/>
        </w:rPr>
      </w:pPr>
      <w:r>
        <w:rPr>
          <w:rFonts w:ascii="Arial" w:cs="Arial" w:eastAsia="Arial" w:hAnsi="Arial"/>
          <w:sz w:val="18"/>
          <w:szCs w:val="18"/>
          <w:color w:val="auto"/>
        </w:rPr>
        <w:t>File No. 333-200269 Class C</w:t>
      </w:r>
    </w:p>
    <w:p>
      <w:pPr>
        <w:ind w:left="580"/>
        <w:spacing w:after="0" w:line="235" w:lineRule="auto"/>
        <w:rPr>
          <w:sz w:val="20"/>
          <w:szCs w:val="20"/>
          <w:color w:val="auto"/>
        </w:rPr>
      </w:pPr>
      <w:r>
        <w:rPr>
          <w:rFonts w:ascii="Arial" w:cs="Arial" w:eastAsia="Arial" w:hAnsi="Arial"/>
          <w:sz w:val="18"/>
          <w:szCs w:val="18"/>
          <w:color w:val="auto"/>
        </w:rPr>
        <w:t>File No. 333-200271 Class VA (CA), Class AA (CA), and Class B (CA)</w:t>
      </w:r>
    </w:p>
    <w:p>
      <w:pPr>
        <w:ind w:left="580"/>
        <w:spacing w:after="0" w:line="235" w:lineRule="auto"/>
        <w:rPr>
          <w:sz w:val="20"/>
          <w:szCs w:val="20"/>
          <w:color w:val="auto"/>
        </w:rPr>
      </w:pPr>
      <w:r>
        <w:rPr>
          <w:rFonts w:ascii="Arial" w:cs="Arial" w:eastAsia="Arial" w:hAnsi="Arial"/>
          <w:sz w:val="18"/>
          <w:szCs w:val="18"/>
          <w:color w:val="auto"/>
        </w:rPr>
        <w:t>File No. 333-200273 Class XC (CA)</w:t>
      </w:r>
    </w:p>
    <w:p>
      <w:pPr>
        <w:ind w:left="580"/>
        <w:spacing w:after="0" w:line="235" w:lineRule="auto"/>
        <w:rPr>
          <w:sz w:val="20"/>
          <w:szCs w:val="20"/>
          <w:color w:val="auto"/>
        </w:rPr>
      </w:pPr>
      <w:r>
        <w:rPr>
          <w:rFonts w:ascii="Arial" w:cs="Arial" w:eastAsia="Arial" w:hAnsi="Arial"/>
          <w:sz w:val="18"/>
          <w:szCs w:val="18"/>
          <w:color w:val="auto"/>
        </w:rPr>
        <w:t>File No. 333-200274 Class L (CA) and Class L - 4 Year (CA)</w:t>
      </w:r>
    </w:p>
    <w:p>
      <w:pPr>
        <w:ind w:left="580"/>
        <w:spacing w:after="0" w:line="234" w:lineRule="auto"/>
        <w:rPr>
          <w:sz w:val="20"/>
          <w:szCs w:val="20"/>
          <w:color w:val="auto"/>
        </w:rPr>
      </w:pPr>
      <w:r>
        <w:rPr>
          <w:rFonts w:ascii="Arial" w:cs="Arial" w:eastAsia="Arial" w:hAnsi="Arial"/>
          <w:sz w:val="18"/>
          <w:szCs w:val="18"/>
          <w:color w:val="auto"/>
        </w:rPr>
        <w:t>File No. 333-200276 Class A (CA)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333-200279 Class C (CA),</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Variable Life Account A (811-21851)</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333-200241 Equity Advantage Variable Universal Life,</w:t>
      </w:r>
    </w:p>
    <w:p>
      <w:pPr>
        <w:spacing w:after="0" w:line="221" w:lineRule="exact"/>
        <w:rPr>
          <w:sz w:val="20"/>
          <w:szCs w:val="20"/>
          <w:color w:val="auto"/>
        </w:rPr>
      </w:pPr>
    </w:p>
    <w:p>
      <w:pPr>
        <w:ind w:left="580" w:right="6480" w:hanging="572"/>
        <w:spacing w:after="0" w:line="245" w:lineRule="auto"/>
        <w:tabs>
          <w:tab w:leader="none" w:pos="23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Brighthouse Variable Life Account One (811-07971) File No. 333-200242 Class VL</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File No. 333-200245 Class VL (CA)</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File No. 333-200248 Modified Single Premium Variable Life</w:t>
      </w:r>
    </w:p>
    <w:p>
      <w:pPr>
        <w:ind w:left="580" w:right="4800"/>
        <w:spacing w:after="0" w:line="242" w:lineRule="auto"/>
        <w:rPr>
          <w:rFonts w:ascii="Arial" w:cs="Arial" w:eastAsia="Arial" w:hAnsi="Arial"/>
          <w:sz w:val="18"/>
          <w:szCs w:val="18"/>
          <w:color w:val="auto"/>
        </w:rPr>
      </w:pPr>
      <w:r>
        <w:rPr>
          <w:rFonts w:ascii="Arial" w:cs="Arial" w:eastAsia="Arial" w:hAnsi="Arial"/>
          <w:sz w:val="18"/>
          <w:szCs w:val="18"/>
          <w:color w:val="auto"/>
        </w:rPr>
        <w:t>File No. 333-200251 Custom Select and Russell Select Variable Life File No. 333-200254 Modified Single Premium Variable Life (CA) File No. 333-200257 Custom Select Variable Life,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And pertaining to:</w:t>
      </w:r>
    </w:p>
    <w:p>
      <w:pPr>
        <w:ind w:left="580"/>
        <w:spacing w:after="0" w:line="180" w:lineRule="auto"/>
        <w:rPr>
          <w:sz w:val="20"/>
          <w:szCs w:val="20"/>
          <w:color w:val="auto"/>
        </w:rPr>
      </w:pPr>
      <w:r>
        <w:rPr>
          <w:rFonts w:ascii="Arial" w:cs="Arial" w:eastAsia="Arial" w:hAnsi="Arial"/>
          <w:sz w:val="17"/>
          <w:szCs w:val="17"/>
          <w:color w:val="auto"/>
        </w:rPr>
        <w:t>File No. 333-268618 Brighthouse SmartGuard Plus</w:t>
      </w:r>
      <w:r>
        <w:rPr>
          <w:rFonts w:ascii="Arial" w:cs="Arial" w:eastAsia="Arial" w:hAnsi="Arial"/>
          <w:sz w:val="25"/>
          <w:szCs w:val="25"/>
          <w:color w:val="auto"/>
          <w:vertAlign w:val="superscript"/>
        </w:rPr>
        <w:t>SM</w:t>
      </w:r>
    </w:p>
    <w:p>
      <w:pPr>
        <w:ind w:left="580"/>
        <w:spacing w:after="0" w:line="183" w:lineRule="auto"/>
        <w:rPr>
          <w:sz w:val="20"/>
          <w:szCs w:val="20"/>
          <w:color w:val="auto"/>
        </w:rPr>
      </w:pPr>
      <w:r>
        <w:rPr>
          <w:rFonts w:ascii="Arial" w:cs="Arial" w:eastAsia="Arial" w:hAnsi="Arial"/>
          <w:sz w:val="16"/>
          <w:szCs w:val="16"/>
          <w:color w:val="auto"/>
        </w:rPr>
        <w:t>File No. 333-262390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Pay Plus</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Annuity and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Pay Plus</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Advisory Annuity File No. 333-259505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spacing w:after="0" w:line="2" w:lineRule="exact"/>
        <w:rPr>
          <w:sz w:val="20"/>
          <w:szCs w:val="20"/>
          <w:color w:val="auto"/>
        </w:rPr>
      </w:pPr>
    </w:p>
    <w:p>
      <w:pPr>
        <w:ind w:left="580" w:right="4520"/>
        <w:spacing w:after="0" w:line="183" w:lineRule="auto"/>
        <w:rPr>
          <w:sz w:val="20"/>
          <w:szCs w:val="20"/>
          <w:color w:val="auto"/>
        </w:rPr>
      </w:pPr>
      <w:r>
        <w:rPr>
          <w:rFonts w:ascii="Arial" w:cs="Arial" w:eastAsia="Arial" w:hAnsi="Arial"/>
          <w:sz w:val="16"/>
          <w:szCs w:val="16"/>
          <w:color w:val="auto"/>
        </w:rPr>
        <w:t>File No. 333-233240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Advisory Annuity File No. 333-268427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Advisory Annuity File No. 333-263492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File No. 333-263495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 File No. 333-238213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ind w:left="580"/>
        <w:spacing w:after="0" w:line="187" w:lineRule="auto"/>
        <w:rPr>
          <w:sz w:val="20"/>
          <w:szCs w:val="20"/>
          <w:color w:val="auto"/>
        </w:rPr>
      </w:pPr>
      <w:r>
        <w:rPr>
          <w:rFonts w:ascii="Arial" w:cs="Arial" w:eastAsia="Arial" w:hAnsi="Arial"/>
          <w:sz w:val="16"/>
          <w:szCs w:val="16"/>
          <w:color w:val="auto"/>
        </w:rPr>
        <w:t>File No. 333-208664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Annuity</w:t>
      </w:r>
    </w:p>
    <w:p>
      <w:pPr>
        <w:spacing w:after="0" w:line="1" w:lineRule="exact"/>
        <w:rPr>
          <w:sz w:val="20"/>
          <w:szCs w:val="20"/>
          <w:color w:val="auto"/>
        </w:rPr>
      </w:pPr>
    </w:p>
    <w:p>
      <w:pPr>
        <w:ind w:left="580" w:right="4520"/>
        <w:spacing w:after="0" w:line="192" w:lineRule="auto"/>
        <w:rPr>
          <w:sz w:val="20"/>
          <w:szCs w:val="20"/>
          <w:color w:val="auto"/>
        </w:rPr>
      </w:pPr>
      <w:r>
        <w:rPr>
          <w:rFonts w:ascii="Arial" w:cs="Arial" w:eastAsia="Arial" w:hAnsi="Arial"/>
          <w:sz w:val="18"/>
          <w:szCs w:val="18"/>
          <w:color w:val="auto"/>
        </w:rPr>
        <w:t>File No. 333-207091 Brighthouse Shield Level Selector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3-Year Annuity File No. 333-276468 Registered Fixed Account Option</w:t>
      </w:r>
    </w:p>
    <w:p>
      <w:pPr>
        <w:ind w:left="580"/>
        <w:spacing w:after="0" w:line="235" w:lineRule="auto"/>
        <w:rPr>
          <w:sz w:val="20"/>
          <w:szCs w:val="20"/>
          <w:color w:val="auto"/>
        </w:rPr>
      </w:pPr>
      <w:r>
        <w:rPr>
          <w:rFonts w:ascii="Arial" w:cs="Arial" w:eastAsia="Arial" w:hAnsi="Arial"/>
          <w:sz w:val="18"/>
          <w:szCs w:val="18"/>
          <w:color w:val="auto"/>
        </w:rPr>
        <w:t>File No. 333-276469 Fixed Annuity (Strategic Value Annuity)</w:t>
      </w:r>
    </w:p>
    <w:p>
      <w:pPr>
        <w:ind w:left="580" w:right="4640"/>
        <w:spacing w:after="0" w:line="189" w:lineRule="auto"/>
        <w:rPr>
          <w:sz w:val="20"/>
          <w:szCs w:val="20"/>
          <w:color w:val="auto"/>
        </w:rPr>
      </w:pPr>
      <w:r>
        <w:rPr>
          <w:rFonts w:ascii="Arial" w:cs="Arial" w:eastAsia="Arial" w:hAnsi="Arial"/>
          <w:sz w:val="17"/>
          <w:szCs w:val="17"/>
          <w:color w:val="auto"/>
        </w:rPr>
        <w:t>File No. 333-276470 Brighthouse Retirement Account Liquidity Benefit File No. 333-276599 Brighthouse Shield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Level II 6-Year Annuity File No. 333-276762 Brighthouse Shield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Level II Advisory Annuity</w:t>
      </w:r>
    </w:p>
    <w:p>
      <w:pPr>
        <w:spacing w:after="0" w:line="1" w:lineRule="exact"/>
        <w:rPr>
          <w:sz w:val="20"/>
          <w:szCs w:val="20"/>
          <w:color w:val="auto"/>
        </w:rPr>
      </w:pPr>
    </w:p>
    <w:p>
      <w:pPr>
        <w:ind w:left="580" w:right="100"/>
        <w:spacing w:after="0"/>
        <w:rPr>
          <w:sz w:val="20"/>
          <w:szCs w:val="20"/>
          <w:color w:val="auto"/>
        </w:rPr>
      </w:pPr>
      <w:r>
        <w:rPr>
          <w:rFonts w:ascii="Arial" w:cs="Arial" w:eastAsia="Arial" w:hAnsi="Arial"/>
          <w:sz w:val="18"/>
          <w:szCs w:val="18"/>
          <w:color w:val="auto"/>
        </w:rPr>
        <w:t>File No. 333-276763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Annuity and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Advisory Annuity File No. 333-279302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3-Year Annuity T-Mark Fixed Annuity</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Target Maturity,</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Life Insurance Company (RILA MVA)</w:t>
      </w:r>
    </w:p>
    <w:p>
      <w:pPr>
        <w:spacing w:after="0" w:line="14" w:lineRule="exact"/>
        <w:rPr>
          <w:sz w:val="20"/>
          <w:szCs w:val="20"/>
          <w:color w:val="auto"/>
        </w:rPr>
      </w:pPr>
    </w:p>
    <w:p>
      <w:pPr>
        <w:ind w:left="580" w:right="100"/>
        <w:spacing w:after="0" w:line="181" w:lineRule="auto"/>
        <w:rPr>
          <w:sz w:val="20"/>
          <w:szCs w:val="20"/>
          <w:color w:val="auto"/>
        </w:rPr>
      </w:pPr>
      <w:r>
        <w:rPr>
          <w:rFonts w:ascii="Arial" w:cs="Arial" w:eastAsia="Arial" w:hAnsi="Arial"/>
          <w:sz w:val="18"/>
          <w:szCs w:val="18"/>
          <w:color w:val="auto"/>
        </w:rPr>
        <w:t>File No. 333-282752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Annuity and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Advisory Annuity File No. 333-282871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Advisory Annuity File No. 333-283023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ind w:left="580"/>
        <w:spacing w:after="0"/>
        <w:rPr>
          <w:sz w:val="20"/>
          <w:szCs w:val="20"/>
          <w:color w:val="auto"/>
        </w:rPr>
      </w:pPr>
      <w:r>
        <w:rPr>
          <w:rFonts w:ascii="Arial" w:cs="Arial" w:eastAsia="Arial" w:hAnsi="Arial"/>
          <w:sz w:val="18"/>
          <w:szCs w:val="18"/>
          <w:color w:val="auto"/>
        </w:rPr>
        <w:t>File No. 333-283024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3-Year Annuity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Brighthouse Shield Annuity</w:t>
      </w:r>
    </w:p>
    <w:p>
      <w:pPr>
        <w:ind w:left="580"/>
        <w:spacing w:after="0" w:line="234" w:lineRule="auto"/>
        <w:rPr>
          <w:sz w:val="20"/>
          <w:szCs w:val="20"/>
          <w:color w:val="auto"/>
        </w:rPr>
      </w:pPr>
      <w:r>
        <w:rPr>
          <w:rFonts w:ascii="Arial" w:cs="Arial" w:eastAsia="Arial" w:hAnsi="Arial"/>
          <w:sz w:val="18"/>
          <w:szCs w:val="18"/>
          <w:color w:val="auto"/>
        </w:rPr>
        <w:t>Brighthouse Shield 3-Year Annuity</w:t>
      </w:r>
    </w:p>
    <w:p>
      <w:pPr>
        <w:ind w:left="58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Brighthouse Index-linked Life Insurance Policy,</w:t>
      </w:r>
    </w:p>
    <w:p>
      <w:pPr>
        <w:spacing w:after="0" w:line="19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ectPr>
          <w:pgSz w:w="11900" w:h="16838" w:orient="portrait"/>
          <w:cols w:equalWidth="0" w:num="1">
            <w:col w:w="10800"/>
          </w:cols>
          <w:pgMar w:left="320" w:top="269" w:right="77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I have hereunto set my hand this 7th day of November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Rosenthal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Jonathan Rosenthal</w:t>
      </w:r>
    </w:p>
    <w:p>
      <w:pPr>
        <w:sectPr>
          <w:pgSz w:w="11900" w:h="16838" w:orient="portrait"/>
          <w:cols w:equalWidth="0" w:num="1">
            <w:col w:w="10139"/>
          </w:cols>
          <w:pgMar w:left="320" w:top="269" w:right="1440"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Brighthouse Life Insurance Company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Edward A. Spehar</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Director, Vice President and Chief Financial Officer</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KNOW ALL MEN BY THESE PRESENTS, that I, Edward A. Spehar, a Director, Vice President and Chief Financial Officer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206" w:lineRule="exact"/>
        <w:rPr>
          <w:sz w:val="20"/>
          <w:szCs w:val="20"/>
          <w:color w:val="auto"/>
        </w:rPr>
      </w:pPr>
    </w:p>
    <w:p>
      <w:pPr>
        <w:ind w:left="580" w:right="5920" w:hanging="572"/>
        <w:spacing w:after="0" w:line="200" w:lineRule="auto"/>
        <w:tabs>
          <w:tab w:leader="none" w:pos="23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Brighthouse Fund UL for Variable Life Insurance (811-03927) File No. 002-88637 MarketLife</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and Invest</w:t>
      </w:r>
    </w:p>
    <w:p>
      <w:pPr>
        <w:spacing w:after="0" w:line="1" w:lineRule="exact"/>
        <w:rPr>
          <w:rFonts w:ascii="Arial" w:cs="Arial" w:eastAsia="Arial" w:hAnsi="Arial"/>
          <w:sz w:val="18"/>
          <w:szCs w:val="18"/>
          <w:color w:val="auto"/>
        </w:rPr>
      </w:pPr>
    </w:p>
    <w:p>
      <w:pPr>
        <w:ind w:left="580"/>
        <w:spacing w:after="0" w:line="183" w:lineRule="auto"/>
        <w:rPr>
          <w:rFonts w:ascii="Arial" w:cs="Arial" w:eastAsia="Arial" w:hAnsi="Arial"/>
          <w:sz w:val="18"/>
          <w:szCs w:val="18"/>
          <w:color w:val="auto"/>
        </w:rPr>
      </w:pPr>
      <w:r>
        <w:rPr>
          <w:rFonts w:ascii="Arial" w:cs="Arial" w:eastAsia="Arial" w:hAnsi="Arial"/>
          <w:sz w:val="16"/>
          <w:szCs w:val="16"/>
          <w:color w:val="auto"/>
        </w:rPr>
        <w:t>File No. 333-152219 MarketLife</w:t>
      </w:r>
      <w:r>
        <w:rPr>
          <w:rFonts w:ascii="Arial" w:cs="Arial" w:eastAsia="Arial" w:hAnsi="Arial"/>
          <w:sz w:val="23"/>
          <w:szCs w:val="23"/>
          <w:color w:val="auto"/>
          <w:vertAlign w:val="superscript"/>
        </w:rPr>
        <w:t>SM</w:t>
      </w:r>
    </w:p>
    <w:p>
      <w:pPr>
        <w:ind w:left="580" w:right="5660"/>
        <w:spacing w:after="0" w:line="248" w:lineRule="auto"/>
        <w:rPr>
          <w:rFonts w:ascii="Arial" w:cs="Arial" w:eastAsia="Arial" w:hAnsi="Arial"/>
          <w:sz w:val="18"/>
          <w:szCs w:val="18"/>
          <w:color w:val="auto"/>
        </w:rPr>
      </w:pPr>
      <w:r>
        <w:rPr>
          <w:rFonts w:ascii="Arial" w:cs="Arial" w:eastAsia="Arial" w:hAnsi="Arial"/>
          <w:sz w:val="17"/>
          <w:szCs w:val="17"/>
          <w:color w:val="auto"/>
        </w:rPr>
        <w:t>File No. 333-56952 Brighthouse Variable Survivorship Life II File No. 333-69771 Brighthouse Variable Survivorship Life</w:t>
      </w:r>
    </w:p>
    <w:p>
      <w:pPr>
        <w:spacing w:after="0" w:line="1" w:lineRule="exact"/>
        <w:rPr>
          <w:rFonts w:ascii="Arial" w:cs="Arial" w:eastAsia="Arial" w:hAnsi="Arial"/>
          <w:sz w:val="18"/>
          <w:szCs w:val="18"/>
          <w:color w:val="auto"/>
        </w:rPr>
      </w:pPr>
    </w:p>
    <w:p>
      <w:pPr>
        <w:ind w:left="580" w:right="1540"/>
        <w:spacing w:after="0" w:line="234" w:lineRule="auto"/>
        <w:rPr>
          <w:rFonts w:ascii="Arial" w:cs="Arial" w:eastAsia="Arial" w:hAnsi="Arial"/>
          <w:sz w:val="18"/>
          <w:szCs w:val="18"/>
          <w:color w:val="auto"/>
        </w:rPr>
      </w:pPr>
      <w:r>
        <w:rPr>
          <w:rFonts w:ascii="Arial" w:cs="Arial" w:eastAsia="Arial" w:hAnsi="Arial"/>
          <w:sz w:val="18"/>
          <w:szCs w:val="18"/>
          <w:color w:val="auto"/>
        </w:rPr>
        <w:t>File No. 333-96515 Brighthouse Variable Life Accumulator and Brighthouse Variable Life Accumulator - Series 2 File No. 333-96519 Brighthouse Variable Life</w:t>
      </w:r>
    </w:p>
    <w:p>
      <w:pPr>
        <w:spacing w:after="0" w:line="1" w:lineRule="exact"/>
        <w:rPr>
          <w:rFonts w:ascii="Arial" w:cs="Arial" w:eastAsia="Arial" w:hAnsi="Arial"/>
          <w:sz w:val="18"/>
          <w:szCs w:val="18"/>
          <w:color w:val="auto"/>
        </w:rPr>
      </w:pPr>
    </w:p>
    <w:p>
      <w:pPr>
        <w:ind w:left="580" w:right="4900"/>
        <w:spacing w:after="0" w:line="234" w:lineRule="auto"/>
        <w:rPr>
          <w:rFonts w:ascii="Arial" w:cs="Arial" w:eastAsia="Arial" w:hAnsi="Arial"/>
          <w:sz w:val="18"/>
          <w:szCs w:val="18"/>
          <w:color w:val="auto"/>
        </w:rPr>
      </w:pPr>
      <w:r>
        <w:rPr>
          <w:rFonts w:ascii="Arial" w:cs="Arial" w:eastAsia="Arial" w:hAnsi="Arial"/>
          <w:sz w:val="18"/>
          <w:szCs w:val="18"/>
          <w:color w:val="auto"/>
        </w:rPr>
        <w:t>File No. 333-113109 Brighthouse Variable Life Accumulator - Series 3 File No. 333-152216 Portfolio Architect Life</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File No. 333-152217 VintageLife,</w:t>
      </w:r>
    </w:p>
    <w:p>
      <w:pPr>
        <w:spacing w:after="0" w:line="220" w:lineRule="exact"/>
        <w:rPr>
          <w:rFonts w:ascii="Arial" w:cs="Arial" w:eastAsia="Arial" w:hAnsi="Arial"/>
          <w:sz w:val="18"/>
          <w:szCs w:val="18"/>
          <w:color w:val="auto"/>
        </w:rPr>
      </w:pPr>
    </w:p>
    <w:p>
      <w:pPr>
        <w:ind w:left="220" w:hanging="212"/>
        <w:spacing w:after="0"/>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Brighthouse Fund UL III for Variable Life Insurance (811-09215)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333-71349 Corporate Owned VUL Series 1</w:t>
      </w:r>
    </w:p>
    <w:p>
      <w:pPr>
        <w:ind w:left="580"/>
        <w:spacing w:after="0" w:line="234" w:lineRule="auto"/>
        <w:rPr>
          <w:sz w:val="20"/>
          <w:szCs w:val="20"/>
          <w:color w:val="auto"/>
        </w:rPr>
      </w:pPr>
      <w:r>
        <w:rPr>
          <w:rFonts w:ascii="Arial" w:cs="Arial" w:eastAsia="Arial" w:hAnsi="Arial"/>
          <w:sz w:val="18"/>
          <w:szCs w:val="18"/>
          <w:color w:val="auto"/>
        </w:rPr>
        <w:t>File No. 333-94779 Corporate Owned VUL 2000 and Corporate Owned VUL III</w:t>
      </w:r>
    </w:p>
    <w:p>
      <w:pPr>
        <w:ind w:left="580"/>
        <w:spacing w:after="0" w:line="235" w:lineRule="auto"/>
        <w:rPr>
          <w:sz w:val="20"/>
          <w:szCs w:val="20"/>
          <w:color w:val="auto"/>
        </w:rPr>
      </w:pPr>
      <w:r>
        <w:rPr>
          <w:rFonts w:ascii="Arial" w:cs="Arial" w:eastAsia="Arial" w:hAnsi="Arial"/>
          <w:sz w:val="18"/>
          <w:szCs w:val="18"/>
          <w:color w:val="auto"/>
        </w:rPr>
        <w:t>File No. 333-105335 Corporate Select Policy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333-113533 Corporate Owned VUL IV,</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Separate Account A (811-03365)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333-200231 Series VA (offered between October 7, 2011 and May 1, 2016)</w:t>
      </w:r>
    </w:p>
    <w:p>
      <w:pPr>
        <w:ind w:left="780" w:right="140" w:hanging="204"/>
        <w:spacing w:after="0" w:line="234" w:lineRule="auto"/>
        <w:rPr>
          <w:sz w:val="20"/>
          <w:szCs w:val="20"/>
          <w:color w:val="auto"/>
        </w:rPr>
      </w:pPr>
      <w:r>
        <w:rPr>
          <w:rFonts w:ascii="Arial" w:cs="Arial" w:eastAsia="Arial" w:hAnsi="Arial"/>
          <w:sz w:val="18"/>
          <w:szCs w:val="18"/>
          <w:color w:val="auto"/>
        </w:rPr>
        <w:t>File No. 333-200232 Series S (offered between October 7, 2011 and May 1, 2016) and Series S-L Share Option (offered between October 7, 2011 and May 1, 2016)</w:t>
      </w:r>
    </w:p>
    <w:p>
      <w:pPr>
        <w:ind w:left="580"/>
        <w:spacing w:after="0" w:line="236" w:lineRule="auto"/>
        <w:rPr>
          <w:sz w:val="20"/>
          <w:szCs w:val="20"/>
          <w:color w:val="auto"/>
        </w:rPr>
      </w:pPr>
      <w:r>
        <w:rPr>
          <w:rFonts w:ascii="Arial" w:cs="Arial" w:eastAsia="Arial" w:hAnsi="Arial"/>
          <w:sz w:val="18"/>
          <w:szCs w:val="18"/>
          <w:color w:val="auto"/>
        </w:rPr>
        <w:t>File No. 333-200233 Series VA-4 (offered between October 7, 2011 and May 1, 2016)</w:t>
      </w:r>
    </w:p>
    <w:p>
      <w:pPr>
        <w:ind w:left="580"/>
        <w:spacing w:after="0" w:line="235" w:lineRule="auto"/>
        <w:rPr>
          <w:sz w:val="20"/>
          <w:szCs w:val="20"/>
          <w:color w:val="auto"/>
        </w:rPr>
      </w:pPr>
      <w:r>
        <w:rPr>
          <w:rFonts w:ascii="Arial" w:cs="Arial" w:eastAsia="Arial" w:hAnsi="Arial"/>
          <w:sz w:val="18"/>
          <w:szCs w:val="18"/>
          <w:color w:val="auto"/>
        </w:rPr>
        <w:t>File No. 333-200234 Series O (offered between April 30, 2012 and July 19, 2015)</w:t>
      </w:r>
    </w:p>
    <w:p>
      <w:pPr>
        <w:ind w:left="580"/>
        <w:spacing w:after="0" w:line="235" w:lineRule="auto"/>
        <w:rPr>
          <w:sz w:val="20"/>
          <w:szCs w:val="20"/>
          <w:color w:val="auto"/>
        </w:rPr>
      </w:pPr>
      <w:r>
        <w:rPr>
          <w:rFonts w:ascii="Arial" w:cs="Arial" w:eastAsia="Arial" w:hAnsi="Arial"/>
          <w:sz w:val="18"/>
          <w:szCs w:val="18"/>
          <w:color w:val="auto"/>
        </w:rPr>
        <w:t>File No. 333-200236 Series L - 4 Year (offered on and after April 29, 2013)</w:t>
      </w:r>
    </w:p>
    <w:p>
      <w:pPr>
        <w:ind w:left="580"/>
        <w:spacing w:after="0" w:line="234" w:lineRule="auto"/>
        <w:rPr>
          <w:sz w:val="20"/>
          <w:szCs w:val="20"/>
          <w:color w:val="auto"/>
        </w:rPr>
      </w:pPr>
      <w:r>
        <w:rPr>
          <w:rFonts w:ascii="Arial" w:cs="Arial" w:eastAsia="Arial" w:hAnsi="Arial"/>
          <w:sz w:val="18"/>
          <w:szCs w:val="18"/>
          <w:color w:val="auto"/>
        </w:rPr>
        <w:t>File No. 333-200237 PrimElite IV</w:t>
      </w:r>
    </w:p>
    <w:p>
      <w:pPr>
        <w:ind w:left="580"/>
        <w:spacing w:after="0" w:line="235" w:lineRule="auto"/>
        <w:rPr>
          <w:sz w:val="20"/>
          <w:szCs w:val="20"/>
          <w:color w:val="auto"/>
        </w:rPr>
      </w:pPr>
      <w:r>
        <w:rPr>
          <w:rFonts w:ascii="Arial" w:cs="Arial" w:eastAsia="Arial" w:hAnsi="Arial"/>
          <w:sz w:val="18"/>
          <w:szCs w:val="18"/>
          <w:color w:val="auto"/>
        </w:rPr>
        <w:t>File No. 333-200238 Marquis Portfolios (offered on and after April 30, 2012)</w:t>
      </w:r>
    </w:p>
    <w:p>
      <w:pPr>
        <w:ind w:left="580"/>
        <w:spacing w:after="0" w:line="235" w:lineRule="auto"/>
        <w:rPr>
          <w:sz w:val="20"/>
          <w:szCs w:val="20"/>
          <w:color w:val="auto"/>
        </w:rPr>
      </w:pPr>
      <w:r>
        <w:rPr>
          <w:rFonts w:ascii="Arial" w:cs="Arial" w:eastAsia="Arial" w:hAnsi="Arial"/>
          <w:sz w:val="18"/>
          <w:szCs w:val="18"/>
          <w:color w:val="auto"/>
        </w:rPr>
        <w:t>File No. 333-200239 Brighthouse Growth and Income</w:t>
      </w:r>
    </w:p>
    <w:p>
      <w:pPr>
        <w:ind w:left="580" w:right="1080"/>
        <w:spacing w:after="0" w:line="234" w:lineRule="auto"/>
        <w:rPr>
          <w:sz w:val="20"/>
          <w:szCs w:val="20"/>
          <w:color w:val="auto"/>
        </w:rPr>
      </w:pPr>
      <w:r>
        <w:rPr>
          <w:rFonts w:ascii="Arial" w:cs="Arial" w:eastAsia="Arial" w:hAnsi="Arial"/>
          <w:sz w:val="18"/>
          <w:szCs w:val="18"/>
          <w:color w:val="auto"/>
        </w:rPr>
        <w:t>File No. 333-200240 Group Flexible Payment Variable Annuity (Flexible Bonus/Retirement Companion/Smart Choice) File No. 333-200243 PrimElite III</w:t>
      </w:r>
    </w:p>
    <w:p>
      <w:pPr>
        <w:ind w:left="580"/>
        <w:spacing w:after="0" w:line="185" w:lineRule="auto"/>
        <w:rPr>
          <w:sz w:val="20"/>
          <w:szCs w:val="20"/>
          <w:color w:val="auto"/>
        </w:rPr>
      </w:pPr>
      <w:r>
        <w:rPr>
          <w:rFonts w:ascii="Arial" w:cs="Arial" w:eastAsia="Arial" w:hAnsi="Arial"/>
          <w:sz w:val="16"/>
          <w:szCs w:val="16"/>
          <w:color w:val="auto"/>
        </w:rPr>
        <w:t>File No. 333-200246 Brighthouse Simple Solutions</w:t>
      </w:r>
      <w:r>
        <w:rPr>
          <w:rFonts w:ascii="Arial" w:cs="Arial" w:eastAsia="Arial" w:hAnsi="Arial"/>
          <w:sz w:val="23"/>
          <w:szCs w:val="23"/>
          <w:color w:val="auto"/>
          <w:vertAlign w:val="superscript"/>
        </w:rPr>
        <w:t>SM</w:t>
      </w:r>
    </w:p>
    <w:p>
      <w:pPr>
        <w:ind w:left="580"/>
        <w:spacing w:after="0" w:line="234" w:lineRule="auto"/>
        <w:rPr>
          <w:sz w:val="20"/>
          <w:szCs w:val="20"/>
          <w:color w:val="auto"/>
        </w:rPr>
      </w:pPr>
      <w:r>
        <w:rPr>
          <w:rFonts w:ascii="Arial" w:cs="Arial" w:eastAsia="Arial" w:hAnsi="Arial"/>
          <w:sz w:val="18"/>
          <w:szCs w:val="18"/>
          <w:color w:val="auto"/>
        </w:rPr>
        <w:t>File No. 333-200250 Marquis Portfolios (offered between November 7, 2005 and April 30, 2012)</w:t>
      </w:r>
    </w:p>
    <w:p>
      <w:pPr>
        <w:ind w:left="580"/>
        <w:spacing w:after="0" w:line="235" w:lineRule="auto"/>
        <w:rPr>
          <w:sz w:val="20"/>
          <w:szCs w:val="20"/>
          <w:color w:val="auto"/>
        </w:rPr>
      </w:pPr>
      <w:r>
        <w:rPr>
          <w:rFonts w:ascii="Arial" w:cs="Arial" w:eastAsia="Arial" w:hAnsi="Arial"/>
          <w:sz w:val="18"/>
          <w:szCs w:val="18"/>
          <w:color w:val="auto"/>
        </w:rPr>
        <w:t>File No. 333-200253 Series XC</w:t>
      </w:r>
    </w:p>
    <w:p>
      <w:pPr>
        <w:ind w:left="580"/>
        <w:spacing w:after="0" w:line="235" w:lineRule="auto"/>
        <w:rPr>
          <w:sz w:val="20"/>
          <w:szCs w:val="20"/>
          <w:color w:val="auto"/>
        </w:rPr>
      </w:pPr>
      <w:r>
        <w:rPr>
          <w:rFonts w:ascii="Arial" w:cs="Arial" w:eastAsia="Arial" w:hAnsi="Arial"/>
          <w:sz w:val="18"/>
          <w:szCs w:val="18"/>
          <w:color w:val="auto"/>
        </w:rPr>
        <w:t>File No. 333-200256 Series VA (offered between March 22, 2001 and October 7, 2011)</w:t>
      </w:r>
    </w:p>
    <w:p>
      <w:pPr>
        <w:ind w:left="580"/>
        <w:spacing w:after="0" w:line="235" w:lineRule="auto"/>
        <w:rPr>
          <w:sz w:val="20"/>
          <w:szCs w:val="20"/>
          <w:color w:val="auto"/>
        </w:rPr>
      </w:pPr>
      <w:r>
        <w:rPr>
          <w:rFonts w:ascii="Arial" w:cs="Arial" w:eastAsia="Arial" w:hAnsi="Arial"/>
          <w:sz w:val="18"/>
          <w:szCs w:val="18"/>
          <w:color w:val="auto"/>
        </w:rPr>
        <w:t>File No. 333-200259 Series L and Series L - 4 Year (offered between November 22, 2004 and October 7, 2011)</w:t>
      </w:r>
    </w:p>
    <w:p>
      <w:pPr>
        <w:ind w:left="580"/>
        <w:spacing w:after="0" w:line="235" w:lineRule="auto"/>
        <w:rPr>
          <w:sz w:val="20"/>
          <w:szCs w:val="20"/>
          <w:color w:val="auto"/>
        </w:rPr>
      </w:pPr>
      <w:r>
        <w:rPr>
          <w:rFonts w:ascii="Arial" w:cs="Arial" w:eastAsia="Arial" w:hAnsi="Arial"/>
          <w:sz w:val="18"/>
          <w:szCs w:val="18"/>
          <w:color w:val="auto"/>
        </w:rPr>
        <w:t>File No. 333-200261 Series C (offered between September 4, 2001 and October 7, 2011)</w:t>
      </w:r>
    </w:p>
    <w:p>
      <w:pPr>
        <w:ind w:left="580"/>
        <w:spacing w:after="0" w:line="234" w:lineRule="auto"/>
        <w:rPr>
          <w:sz w:val="20"/>
          <w:szCs w:val="20"/>
          <w:color w:val="auto"/>
        </w:rPr>
      </w:pPr>
      <w:r>
        <w:rPr>
          <w:rFonts w:ascii="Arial" w:cs="Arial" w:eastAsia="Arial" w:hAnsi="Arial"/>
          <w:sz w:val="18"/>
          <w:szCs w:val="18"/>
          <w:color w:val="auto"/>
        </w:rPr>
        <w:t>File No. 333-200263 Series XTRA</w:t>
      </w:r>
    </w:p>
    <w:p>
      <w:pPr>
        <w:ind w:left="580"/>
        <w:spacing w:after="0" w:line="235" w:lineRule="auto"/>
        <w:rPr>
          <w:sz w:val="20"/>
          <w:szCs w:val="20"/>
          <w:color w:val="auto"/>
        </w:rPr>
      </w:pPr>
      <w:r>
        <w:rPr>
          <w:rFonts w:ascii="Arial" w:cs="Arial" w:eastAsia="Arial" w:hAnsi="Arial"/>
          <w:sz w:val="18"/>
          <w:szCs w:val="18"/>
          <w:color w:val="auto"/>
        </w:rPr>
        <w:t>File No. 333-200265 Series S and Series S-L Share Option (offered between April 30, 2007 and October 7, 2011)</w:t>
      </w:r>
    </w:p>
    <w:p>
      <w:pPr>
        <w:ind w:left="580"/>
        <w:spacing w:after="0" w:line="235" w:lineRule="auto"/>
        <w:rPr>
          <w:sz w:val="20"/>
          <w:szCs w:val="20"/>
          <w:color w:val="auto"/>
        </w:rPr>
      </w:pPr>
      <w:r>
        <w:rPr>
          <w:rFonts w:ascii="Arial" w:cs="Arial" w:eastAsia="Arial" w:hAnsi="Arial"/>
          <w:sz w:val="18"/>
          <w:szCs w:val="18"/>
          <w:color w:val="auto"/>
        </w:rPr>
        <w:t>File No. 333-200268 Series L - 4 Year (offered between October 7, 2011 and April 28, 2013)</w:t>
      </w:r>
    </w:p>
    <w:p>
      <w:pPr>
        <w:ind w:left="580"/>
        <w:spacing w:after="0" w:line="235" w:lineRule="auto"/>
        <w:rPr>
          <w:sz w:val="20"/>
          <w:szCs w:val="20"/>
          <w:color w:val="auto"/>
        </w:rPr>
      </w:pPr>
      <w:r>
        <w:rPr>
          <w:rFonts w:ascii="Arial" w:cs="Arial" w:eastAsia="Arial" w:hAnsi="Arial"/>
          <w:sz w:val="18"/>
          <w:szCs w:val="18"/>
          <w:color w:val="auto"/>
        </w:rPr>
        <w:t>File No. 333-200270 Group Annuity SF 101</w:t>
      </w:r>
    </w:p>
    <w:p>
      <w:pPr>
        <w:ind w:left="580"/>
        <w:spacing w:after="0" w:line="235" w:lineRule="auto"/>
        <w:rPr>
          <w:sz w:val="20"/>
          <w:szCs w:val="20"/>
          <w:color w:val="auto"/>
        </w:rPr>
      </w:pPr>
      <w:r>
        <w:rPr>
          <w:rFonts w:ascii="Arial" w:cs="Arial" w:eastAsia="Arial" w:hAnsi="Arial"/>
          <w:sz w:val="18"/>
          <w:szCs w:val="18"/>
          <w:color w:val="auto"/>
        </w:rPr>
        <w:t>File No. 333-200272 Ultimate Annuity FSL 224</w:t>
      </w:r>
    </w:p>
    <w:p>
      <w:pPr>
        <w:ind w:left="580"/>
        <w:spacing w:after="0" w:line="234" w:lineRule="auto"/>
        <w:rPr>
          <w:sz w:val="20"/>
          <w:szCs w:val="20"/>
          <w:color w:val="auto"/>
        </w:rPr>
      </w:pPr>
      <w:r>
        <w:rPr>
          <w:rFonts w:ascii="Arial" w:cs="Arial" w:eastAsia="Arial" w:hAnsi="Arial"/>
          <w:sz w:val="18"/>
          <w:szCs w:val="18"/>
          <w:color w:val="auto"/>
        </w:rPr>
        <w:t>File No. 333-200275 Foresight SF 137</w:t>
      </w:r>
    </w:p>
    <w:p>
      <w:pPr>
        <w:ind w:left="580"/>
        <w:spacing w:after="0" w:line="235" w:lineRule="auto"/>
        <w:rPr>
          <w:sz w:val="20"/>
          <w:szCs w:val="20"/>
          <w:color w:val="auto"/>
        </w:rPr>
      </w:pPr>
      <w:r>
        <w:rPr>
          <w:rFonts w:ascii="Arial" w:cs="Arial" w:eastAsia="Arial" w:hAnsi="Arial"/>
          <w:sz w:val="18"/>
          <w:szCs w:val="18"/>
          <w:color w:val="auto"/>
        </w:rPr>
        <w:t>File No. 333-200277 SecurAnnuity (CLICO) 224/ SF 1700</w:t>
      </w:r>
    </w:p>
    <w:p>
      <w:pPr>
        <w:ind w:left="580"/>
        <w:spacing w:after="0" w:line="235" w:lineRule="auto"/>
        <w:rPr>
          <w:sz w:val="20"/>
          <w:szCs w:val="20"/>
          <w:color w:val="auto"/>
        </w:rPr>
      </w:pPr>
      <w:r>
        <w:rPr>
          <w:rFonts w:ascii="Arial" w:cs="Arial" w:eastAsia="Arial" w:hAnsi="Arial"/>
          <w:sz w:val="18"/>
          <w:szCs w:val="18"/>
          <w:color w:val="auto"/>
        </w:rPr>
        <w:t>File No. 333-200278 Group VA SF 234 (Texas)</w:t>
      </w:r>
    </w:p>
    <w:p>
      <w:pPr>
        <w:ind w:left="580"/>
        <w:spacing w:after="0" w:line="235" w:lineRule="auto"/>
        <w:rPr>
          <w:sz w:val="20"/>
          <w:szCs w:val="20"/>
          <w:color w:val="auto"/>
        </w:rPr>
      </w:pPr>
      <w:r>
        <w:rPr>
          <w:rFonts w:ascii="Arial" w:cs="Arial" w:eastAsia="Arial" w:hAnsi="Arial"/>
          <w:sz w:val="18"/>
          <w:szCs w:val="18"/>
          <w:color w:val="auto"/>
        </w:rPr>
        <w:t>File No. 333-200280 Sunshine SF 236 FL</w:t>
      </w:r>
    </w:p>
    <w:p>
      <w:pPr>
        <w:ind w:left="580"/>
        <w:spacing w:after="0" w:line="235" w:lineRule="auto"/>
        <w:rPr>
          <w:sz w:val="20"/>
          <w:szCs w:val="20"/>
          <w:color w:val="auto"/>
        </w:rPr>
      </w:pPr>
      <w:r>
        <w:rPr>
          <w:rFonts w:ascii="Arial" w:cs="Arial" w:eastAsia="Arial" w:hAnsi="Arial"/>
          <w:sz w:val="18"/>
          <w:szCs w:val="18"/>
          <w:color w:val="auto"/>
        </w:rPr>
        <w:t>File No. 333-200281 Flexible Value SF 230</w:t>
      </w:r>
    </w:p>
    <w:p>
      <w:pPr>
        <w:ind w:left="580" w:right="1860"/>
        <w:spacing w:after="0" w:line="250" w:lineRule="auto"/>
        <w:rPr>
          <w:sz w:val="20"/>
          <w:szCs w:val="20"/>
          <w:color w:val="auto"/>
        </w:rPr>
      </w:pPr>
      <w:r>
        <w:rPr>
          <w:rFonts w:ascii="Arial" w:cs="Arial" w:eastAsia="Arial" w:hAnsi="Arial"/>
          <w:sz w:val="18"/>
          <w:szCs w:val="18"/>
          <w:color w:val="auto"/>
        </w:rPr>
        <w:t>File No. 333-200282 Investors Choice Annuity, Capital Strategist Annuity, Imprint Annuity and Strive Annuity File No. 333-200283 Protected Equity Portfolio (PEP)</w:t>
      </w:r>
    </w:p>
    <w:p>
      <w:pPr>
        <w:sectPr>
          <w:pgSz w:w="11900" w:h="16838" w:orient="portrait"/>
          <w:cols w:equalWidth="0" w:num="1">
            <w:col w:w="11000"/>
          </w:cols>
          <w:pgMar w:left="320" w:top="269" w:right="579" w:bottom="1440" w:gutter="0" w:footer="0" w:header="0"/>
        </w:sectPr>
      </w:pPr>
    </w:p>
    <w:bookmarkStart w:id="115" w:name="page116"/>
    <w:bookmarkEnd w:id="115"/>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333-200284 Vintage L and Vintage XC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333-200285 Series XTRA 6</w:t>
      </w:r>
    </w:p>
    <w:p>
      <w:pPr>
        <w:ind w:left="580"/>
        <w:spacing w:after="0" w:line="234" w:lineRule="auto"/>
        <w:rPr>
          <w:sz w:val="20"/>
          <w:szCs w:val="20"/>
          <w:color w:val="auto"/>
        </w:rPr>
      </w:pPr>
      <w:r>
        <w:rPr>
          <w:rFonts w:ascii="Arial" w:cs="Arial" w:eastAsia="Arial" w:hAnsi="Arial"/>
          <w:sz w:val="18"/>
          <w:szCs w:val="18"/>
          <w:color w:val="auto"/>
        </w:rPr>
        <w:t>File No. 333-200286 Series VA - 4 (offered between May 1, 2011 and October 7, 2011)</w:t>
      </w:r>
    </w:p>
    <w:p>
      <w:pPr>
        <w:ind w:left="580"/>
        <w:spacing w:after="0" w:line="235" w:lineRule="auto"/>
        <w:rPr>
          <w:sz w:val="20"/>
          <w:szCs w:val="20"/>
          <w:color w:val="auto"/>
        </w:rPr>
      </w:pPr>
      <w:r>
        <w:rPr>
          <w:rFonts w:ascii="Arial" w:cs="Arial" w:eastAsia="Arial" w:hAnsi="Arial"/>
          <w:sz w:val="18"/>
          <w:szCs w:val="18"/>
          <w:color w:val="auto"/>
        </w:rPr>
        <w:t>File No. 333-200287 Series C (offered on and after October 7, 2011)</w:t>
      </w:r>
    </w:p>
    <w:p>
      <w:pPr>
        <w:ind w:left="580"/>
        <w:spacing w:after="0" w:line="235" w:lineRule="auto"/>
        <w:rPr>
          <w:sz w:val="20"/>
          <w:szCs w:val="20"/>
          <w:color w:val="auto"/>
        </w:rPr>
      </w:pPr>
      <w:r>
        <w:rPr>
          <w:rFonts w:ascii="Arial" w:cs="Arial" w:eastAsia="Arial" w:hAnsi="Arial"/>
          <w:sz w:val="18"/>
          <w:szCs w:val="18"/>
          <w:color w:val="auto"/>
        </w:rPr>
        <w:t>File No. 333-200288 Pioneer PRISM</w:t>
      </w:r>
    </w:p>
    <w:p>
      <w:pPr>
        <w:ind w:left="580"/>
        <w:spacing w:after="0" w:line="235" w:lineRule="auto"/>
        <w:rPr>
          <w:sz w:val="20"/>
          <w:szCs w:val="20"/>
          <w:color w:val="auto"/>
        </w:rPr>
      </w:pPr>
      <w:r>
        <w:rPr>
          <w:rFonts w:ascii="Arial" w:cs="Arial" w:eastAsia="Arial" w:hAnsi="Arial"/>
          <w:sz w:val="18"/>
          <w:szCs w:val="18"/>
          <w:color w:val="auto"/>
        </w:rPr>
        <w:t>File No. 333-200289 Pioneer PRISM L</w:t>
      </w:r>
    </w:p>
    <w:p>
      <w:pPr>
        <w:ind w:left="580"/>
        <w:spacing w:after="0" w:line="235" w:lineRule="auto"/>
        <w:rPr>
          <w:sz w:val="20"/>
          <w:szCs w:val="20"/>
          <w:color w:val="auto"/>
        </w:rPr>
      </w:pPr>
      <w:r>
        <w:rPr>
          <w:rFonts w:ascii="Arial" w:cs="Arial" w:eastAsia="Arial" w:hAnsi="Arial"/>
          <w:sz w:val="18"/>
          <w:szCs w:val="18"/>
          <w:color w:val="auto"/>
        </w:rPr>
        <w:t>File No. 333-200290 Pioneer PRISM XC</w:t>
      </w:r>
    </w:p>
    <w:p>
      <w:pPr>
        <w:ind w:left="780" w:right="660" w:hanging="204"/>
        <w:spacing w:after="0" w:line="216" w:lineRule="auto"/>
        <w:rPr>
          <w:sz w:val="20"/>
          <w:szCs w:val="20"/>
          <w:color w:val="auto"/>
        </w:rPr>
      </w:pPr>
      <w:r>
        <w:rPr>
          <w:rFonts w:ascii="Arial" w:cs="Arial" w:eastAsia="Arial" w:hAnsi="Arial"/>
          <w:sz w:val="16"/>
          <w:szCs w:val="16"/>
          <w:color w:val="auto"/>
        </w:rPr>
        <w:t>File No. 333-200323 Brighthouse Investment Portfolio Architect</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 Standard Version and Brighthouse Investment Portfolio Architect</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 C Share Option</w:t>
      </w:r>
    </w:p>
    <w:p>
      <w:pPr>
        <w:ind w:left="580"/>
        <w:spacing w:after="0" w:line="236" w:lineRule="auto"/>
        <w:rPr>
          <w:sz w:val="20"/>
          <w:szCs w:val="20"/>
          <w:color w:val="auto"/>
        </w:rPr>
      </w:pPr>
      <w:r>
        <w:rPr>
          <w:rFonts w:ascii="Arial" w:cs="Arial" w:eastAsia="Arial" w:hAnsi="Arial"/>
          <w:sz w:val="18"/>
          <w:szCs w:val="18"/>
          <w:color w:val="auto"/>
        </w:rPr>
        <w:t>File No. 333-203748 Series O (offered on and after July 20, 2015)</w:t>
      </w:r>
    </w:p>
    <w:p>
      <w:pPr>
        <w:ind w:left="580"/>
        <w:spacing w:after="0" w:line="235" w:lineRule="auto"/>
        <w:rPr>
          <w:sz w:val="20"/>
          <w:szCs w:val="20"/>
          <w:color w:val="auto"/>
        </w:rPr>
      </w:pPr>
      <w:r>
        <w:rPr>
          <w:rFonts w:ascii="Arial" w:cs="Arial" w:eastAsia="Arial" w:hAnsi="Arial"/>
          <w:sz w:val="18"/>
          <w:szCs w:val="18"/>
          <w:color w:val="auto"/>
        </w:rPr>
        <w:t>File No. 333-209053 Series VA (offered on and after May 2, 2016)</w:t>
      </w:r>
    </w:p>
    <w:p>
      <w:pPr>
        <w:ind w:left="580"/>
        <w:spacing w:after="0" w:line="235" w:lineRule="auto"/>
        <w:rPr>
          <w:sz w:val="20"/>
          <w:szCs w:val="20"/>
          <w:color w:val="auto"/>
        </w:rPr>
      </w:pPr>
      <w:r>
        <w:rPr>
          <w:rFonts w:ascii="Arial" w:cs="Arial" w:eastAsia="Arial" w:hAnsi="Arial"/>
          <w:sz w:val="18"/>
          <w:szCs w:val="18"/>
          <w:color w:val="auto"/>
        </w:rPr>
        <w:t>File No. 333-209054 Series VA- 4 (offered on and after May 2, 2016)</w:t>
      </w:r>
    </w:p>
    <w:p>
      <w:pPr>
        <w:ind w:left="580" w:right="160"/>
        <w:spacing w:after="0" w:line="250" w:lineRule="auto"/>
        <w:rPr>
          <w:sz w:val="20"/>
          <w:szCs w:val="20"/>
          <w:color w:val="auto"/>
        </w:rPr>
      </w:pPr>
      <w:r>
        <w:rPr>
          <w:rFonts w:ascii="Arial" w:cs="Arial" w:eastAsia="Arial" w:hAnsi="Arial"/>
          <w:sz w:val="18"/>
          <w:szCs w:val="18"/>
          <w:color w:val="auto"/>
        </w:rPr>
        <w:t>File No. 333-209055 Series S (offered on and after May 2, 2016) and Series S-L Share Option (offered on and after May 2, 2016) File No. 333-209411 Brighthouse Prime Options,</w:t>
      </w:r>
    </w:p>
    <w:p>
      <w:pPr>
        <w:spacing w:after="0" w:line="199"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Separate Account Eleven for Variable Annuities (811-21262)</w:t>
      </w:r>
    </w:p>
    <w:p>
      <w:pPr>
        <w:spacing w:after="0" w:line="14" w:lineRule="exact"/>
        <w:rPr>
          <w:sz w:val="20"/>
          <w:szCs w:val="20"/>
          <w:color w:val="auto"/>
        </w:rPr>
      </w:pPr>
    </w:p>
    <w:p>
      <w:pPr>
        <w:ind w:left="780" w:right="360" w:hanging="204"/>
        <w:spacing w:after="0" w:line="234" w:lineRule="auto"/>
        <w:rPr>
          <w:sz w:val="20"/>
          <w:szCs w:val="20"/>
          <w:color w:val="auto"/>
        </w:rPr>
      </w:pPr>
      <w:r>
        <w:rPr>
          <w:rFonts w:ascii="Arial" w:cs="Arial" w:eastAsia="Arial" w:hAnsi="Arial"/>
          <w:sz w:val="18"/>
          <w:szCs w:val="18"/>
          <w:color w:val="auto"/>
        </w:rPr>
        <w:t>File Nos. 333-101778 and 333-152234 Pioneer AnnuiStar Plus Annuity, Portfolio Architect Plus Annuity and Scudder Advocate Rewards Annuity</w:t>
      </w:r>
    </w:p>
    <w:p>
      <w:pPr>
        <w:ind w:left="580"/>
        <w:spacing w:after="0" w:line="236" w:lineRule="auto"/>
        <w:rPr>
          <w:sz w:val="20"/>
          <w:szCs w:val="20"/>
          <w:color w:val="auto"/>
        </w:rPr>
      </w:pPr>
      <w:r>
        <w:rPr>
          <w:rFonts w:ascii="Arial" w:cs="Arial" w:eastAsia="Arial" w:hAnsi="Arial"/>
          <w:sz w:val="18"/>
          <w:szCs w:val="18"/>
          <w:color w:val="auto"/>
        </w:rPr>
        <w:t>File No. 333-152189 Universal Annuity</w:t>
      </w:r>
    </w:p>
    <w:p>
      <w:pPr>
        <w:ind w:left="580"/>
        <w:spacing w:after="0" w:line="235" w:lineRule="auto"/>
        <w:rPr>
          <w:sz w:val="20"/>
          <w:szCs w:val="20"/>
          <w:color w:val="auto"/>
        </w:rPr>
      </w:pPr>
      <w:r>
        <w:rPr>
          <w:rFonts w:ascii="Arial" w:cs="Arial" w:eastAsia="Arial" w:hAnsi="Arial"/>
          <w:sz w:val="18"/>
          <w:szCs w:val="18"/>
          <w:color w:val="auto"/>
        </w:rPr>
        <w:t>File No. 333-152190 Universal Select Annuity</w:t>
      </w:r>
    </w:p>
    <w:p>
      <w:pPr>
        <w:ind w:left="580"/>
        <w:spacing w:after="0" w:line="235" w:lineRule="auto"/>
        <w:rPr>
          <w:sz w:val="20"/>
          <w:szCs w:val="20"/>
          <w:color w:val="auto"/>
        </w:rPr>
      </w:pPr>
      <w:r>
        <w:rPr>
          <w:rFonts w:ascii="Arial" w:cs="Arial" w:eastAsia="Arial" w:hAnsi="Arial"/>
          <w:sz w:val="18"/>
          <w:szCs w:val="18"/>
          <w:color w:val="auto"/>
        </w:rPr>
        <w:t>File No. 333-152191 Universal Annuity Advantage</w:t>
      </w:r>
    </w:p>
    <w:p>
      <w:pPr>
        <w:ind w:left="580" w:right="4700"/>
        <w:spacing w:after="0" w:line="234" w:lineRule="auto"/>
        <w:rPr>
          <w:sz w:val="20"/>
          <w:szCs w:val="20"/>
          <w:color w:val="auto"/>
        </w:rPr>
      </w:pPr>
      <w:r>
        <w:rPr>
          <w:rFonts w:ascii="Arial" w:cs="Arial" w:eastAsia="Arial" w:hAnsi="Arial"/>
          <w:sz w:val="18"/>
          <w:szCs w:val="18"/>
          <w:color w:val="auto"/>
        </w:rPr>
        <w:t>File Nos. 333-152192 and 333-152193 Brighthouse Retirement Account File No. 333-152194 Gold Track and Gold Track Select</w:t>
      </w:r>
    </w:p>
    <w:p>
      <w:pPr>
        <w:spacing w:after="0" w:line="1" w:lineRule="exact"/>
        <w:rPr>
          <w:sz w:val="20"/>
          <w:szCs w:val="20"/>
          <w:color w:val="auto"/>
        </w:rPr>
      </w:pPr>
    </w:p>
    <w:p>
      <w:pPr>
        <w:ind w:left="580" w:right="1880"/>
        <w:spacing w:after="0" w:line="234" w:lineRule="auto"/>
        <w:rPr>
          <w:sz w:val="20"/>
          <w:szCs w:val="20"/>
          <w:color w:val="auto"/>
        </w:rPr>
      </w:pPr>
      <w:r>
        <w:rPr>
          <w:rFonts w:ascii="Arial" w:cs="Arial" w:eastAsia="Arial" w:hAnsi="Arial"/>
          <w:sz w:val="18"/>
          <w:szCs w:val="18"/>
          <w:color w:val="auto"/>
        </w:rPr>
        <w:t>File Nos. 333-152197 and 333-152198 Brighthouse Access Annuity and Brighthouse Access Select Annuity File Nos. 333-152199 and 333-152200 Vintage Annuity File Nos. 333-152201 and 333-152202 Index Annuity</w:t>
      </w:r>
    </w:p>
    <w:p>
      <w:pPr>
        <w:spacing w:after="0" w:line="2" w:lineRule="exact"/>
        <w:rPr>
          <w:sz w:val="20"/>
          <w:szCs w:val="20"/>
          <w:color w:val="auto"/>
        </w:rPr>
      </w:pPr>
    </w:p>
    <w:p>
      <w:pPr>
        <w:ind w:left="780" w:right="440" w:hanging="204"/>
        <w:spacing w:after="0" w:line="234" w:lineRule="auto"/>
        <w:rPr>
          <w:sz w:val="20"/>
          <w:szCs w:val="20"/>
          <w:color w:val="auto"/>
        </w:rPr>
      </w:pPr>
      <w:r>
        <w:rPr>
          <w:rFonts w:ascii="Arial" w:cs="Arial" w:eastAsia="Arial" w:hAnsi="Arial"/>
          <w:sz w:val="18"/>
          <w:szCs w:val="18"/>
          <w:color w:val="auto"/>
        </w:rPr>
        <w:t>File Nos. 333-152232 and 333-152233 Portfolio Architect Annuity, Portfolio Architect Select Annuity, Premier Advisers Annuity (Class I) and Premier Advisers Annuity (Class II)</w:t>
      </w:r>
    </w:p>
    <w:p>
      <w:pPr>
        <w:spacing w:after="0" w:line="1" w:lineRule="exact"/>
        <w:rPr>
          <w:sz w:val="20"/>
          <w:szCs w:val="20"/>
          <w:color w:val="auto"/>
        </w:rPr>
      </w:pPr>
    </w:p>
    <w:p>
      <w:pPr>
        <w:ind w:left="780" w:right="540" w:hanging="204"/>
        <w:spacing w:after="0" w:line="234" w:lineRule="auto"/>
        <w:rPr>
          <w:sz w:val="20"/>
          <w:szCs w:val="20"/>
          <w:color w:val="auto"/>
        </w:rPr>
      </w:pPr>
      <w:r>
        <w:rPr>
          <w:rFonts w:ascii="Arial" w:cs="Arial" w:eastAsia="Arial" w:hAnsi="Arial"/>
          <w:sz w:val="18"/>
          <w:szCs w:val="18"/>
          <w:color w:val="auto"/>
        </w:rPr>
        <w:t>File Nos. 333-152235 and 333-152236 Pioneer AnnuiStar Annuity, Portfolio Architect II Annuity and Pioneer AnnuiStar Value Annuity</w:t>
      </w:r>
    </w:p>
    <w:p>
      <w:pPr>
        <w:spacing w:after="0" w:line="1" w:lineRule="exact"/>
        <w:rPr>
          <w:sz w:val="20"/>
          <w:szCs w:val="20"/>
          <w:color w:val="auto"/>
        </w:rPr>
      </w:pPr>
    </w:p>
    <w:p>
      <w:pPr>
        <w:ind w:left="780" w:right="60" w:hanging="204"/>
        <w:spacing w:after="0" w:line="234" w:lineRule="auto"/>
        <w:rPr>
          <w:sz w:val="20"/>
          <w:szCs w:val="20"/>
          <w:color w:val="auto"/>
        </w:rPr>
      </w:pPr>
      <w:r>
        <w:rPr>
          <w:rFonts w:ascii="Arial" w:cs="Arial" w:eastAsia="Arial" w:hAnsi="Arial"/>
          <w:sz w:val="18"/>
          <w:szCs w:val="18"/>
          <w:color w:val="auto"/>
        </w:rPr>
        <w:t>File Nos. 333-152237 and 333-152238 Premier Advisers II Annuity, Premier Advisers III (Series I) and Premier Advisers III Annuity (Series II)</w:t>
      </w:r>
    </w:p>
    <w:p>
      <w:pPr>
        <w:spacing w:after="0" w:line="1" w:lineRule="exact"/>
        <w:rPr>
          <w:sz w:val="20"/>
          <w:szCs w:val="20"/>
          <w:color w:val="auto"/>
        </w:rPr>
      </w:pPr>
    </w:p>
    <w:p>
      <w:pPr>
        <w:ind w:left="780" w:hanging="204"/>
        <w:spacing w:after="0" w:line="234" w:lineRule="auto"/>
        <w:rPr>
          <w:sz w:val="20"/>
          <w:szCs w:val="20"/>
          <w:color w:val="auto"/>
        </w:rPr>
      </w:pPr>
      <w:r>
        <w:rPr>
          <w:rFonts w:ascii="Arial" w:cs="Arial" w:eastAsia="Arial" w:hAnsi="Arial"/>
          <w:sz w:val="18"/>
          <w:szCs w:val="18"/>
          <w:color w:val="auto"/>
        </w:rPr>
        <w:t>File Nos. 333-152239 and 333-152240 Premier Advisers AssetManager Annuity, Premier Advisers L Annuity (Series I) and Premier Advisers L Annuity (Series II)</w:t>
      </w:r>
    </w:p>
    <w:p>
      <w:pPr>
        <w:spacing w:after="0" w:line="1" w:lineRule="exact"/>
        <w:rPr>
          <w:sz w:val="20"/>
          <w:szCs w:val="20"/>
          <w:color w:val="auto"/>
        </w:rPr>
      </w:pPr>
    </w:p>
    <w:p>
      <w:pPr>
        <w:ind w:left="780" w:right="20" w:hanging="204"/>
        <w:spacing w:after="0" w:line="234" w:lineRule="auto"/>
        <w:rPr>
          <w:sz w:val="20"/>
          <w:szCs w:val="20"/>
          <w:color w:val="auto"/>
        </w:rPr>
      </w:pPr>
      <w:r>
        <w:rPr>
          <w:rFonts w:ascii="Arial" w:cs="Arial" w:eastAsia="Arial" w:hAnsi="Arial"/>
          <w:sz w:val="18"/>
          <w:szCs w:val="18"/>
          <w:color w:val="auto"/>
        </w:rPr>
        <w:t>File Nos. 333-152255 and 333-152265 Vintage XTRA Annuity, Portfolio Architect XTRA Annuity and Vintage XTRA Annuity (Series II)</w:t>
      </w:r>
    </w:p>
    <w:p>
      <w:pPr>
        <w:spacing w:after="0" w:line="1" w:lineRule="exact"/>
        <w:rPr>
          <w:sz w:val="20"/>
          <w:szCs w:val="20"/>
          <w:color w:val="auto"/>
        </w:rPr>
      </w:pPr>
    </w:p>
    <w:p>
      <w:pPr>
        <w:ind w:left="780" w:right="460" w:hanging="204"/>
        <w:spacing w:after="0" w:line="234" w:lineRule="auto"/>
        <w:rPr>
          <w:sz w:val="20"/>
          <w:szCs w:val="20"/>
          <w:color w:val="auto"/>
        </w:rPr>
      </w:pPr>
      <w:r>
        <w:rPr>
          <w:rFonts w:ascii="Arial" w:cs="Arial" w:eastAsia="Arial" w:hAnsi="Arial"/>
          <w:sz w:val="18"/>
          <w:szCs w:val="18"/>
          <w:color w:val="auto"/>
        </w:rPr>
        <w:t>File Nos. 333-152256 and 333-152292 Vintage 3 Annuity, Portfolio Architect 3 Annuity, Portfolio Architect L Annuity, Vintage L Annuity and Pioneer AnnuiStar Flex Annuity</w:t>
      </w:r>
    </w:p>
    <w:p>
      <w:pPr>
        <w:ind w:left="580"/>
        <w:spacing w:after="0" w:line="236" w:lineRule="auto"/>
        <w:rPr>
          <w:sz w:val="20"/>
          <w:szCs w:val="20"/>
          <w:color w:val="auto"/>
        </w:rPr>
      </w:pPr>
      <w:r>
        <w:rPr>
          <w:rFonts w:ascii="Arial" w:cs="Arial" w:eastAsia="Arial" w:hAnsi="Arial"/>
          <w:sz w:val="18"/>
          <w:szCs w:val="18"/>
          <w:color w:val="auto"/>
        </w:rPr>
        <w:t>File Nos. 333-152258 and 333-152261 PrimElite Annuity</w:t>
      </w:r>
    </w:p>
    <w:p>
      <w:pPr>
        <w:ind w:left="580"/>
        <w:spacing w:after="0" w:line="235" w:lineRule="auto"/>
        <w:rPr>
          <w:sz w:val="20"/>
          <w:szCs w:val="20"/>
          <w:color w:val="auto"/>
        </w:rPr>
      </w:pPr>
      <w:r>
        <w:rPr>
          <w:rFonts w:ascii="Arial" w:cs="Arial" w:eastAsia="Arial" w:hAnsi="Arial"/>
          <w:sz w:val="18"/>
          <w:szCs w:val="18"/>
          <w:color w:val="auto"/>
        </w:rPr>
        <w:t>File Nos. 333-152259 and 333-152262 PrimElite II Annuity</w:t>
      </w:r>
    </w:p>
    <w:p>
      <w:pPr>
        <w:ind w:left="580" w:right="4620"/>
        <w:spacing w:after="0" w:line="234" w:lineRule="auto"/>
        <w:rPr>
          <w:sz w:val="20"/>
          <w:szCs w:val="20"/>
          <w:color w:val="auto"/>
        </w:rPr>
      </w:pPr>
      <w:r>
        <w:rPr>
          <w:rFonts w:ascii="Arial" w:cs="Arial" w:eastAsia="Arial" w:hAnsi="Arial"/>
          <w:sz w:val="18"/>
          <w:szCs w:val="18"/>
          <w:color w:val="auto"/>
        </w:rPr>
        <w:t>File Nos. 333-152260 and 333-152266 Protected Equity Portfolio Annuity File Nos. 333-152263 and 333-152269 Marquis Portfolios</w:t>
      </w:r>
    </w:p>
    <w:p>
      <w:pPr>
        <w:spacing w:after="0" w:line="1" w:lineRule="exact"/>
        <w:rPr>
          <w:sz w:val="20"/>
          <w:szCs w:val="20"/>
          <w:color w:val="auto"/>
        </w:rPr>
      </w:pPr>
    </w:p>
    <w:p>
      <w:pPr>
        <w:ind w:left="780" w:right="620" w:hanging="204"/>
        <w:spacing w:after="0" w:line="234" w:lineRule="auto"/>
        <w:rPr>
          <w:sz w:val="20"/>
          <w:szCs w:val="20"/>
          <w:color w:val="auto"/>
        </w:rPr>
      </w:pPr>
      <w:r>
        <w:rPr>
          <w:rFonts w:ascii="Arial" w:cs="Arial" w:eastAsia="Arial" w:hAnsi="Arial"/>
          <w:sz w:val="18"/>
          <w:szCs w:val="18"/>
          <w:color w:val="auto"/>
        </w:rPr>
        <w:t>File Nos. 333-152264 and 333-152270 Vintage Access, Portfolio Architect Access, Scudder Advocate Advisor and Scudder Advocate Advisor - ST1 Annuity</w:t>
      </w:r>
    </w:p>
    <w:p>
      <w:pPr>
        <w:ind w:left="580"/>
        <w:spacing w:after="0" w:line="236" w:lineRule="auto"/>
        <w:rPr>
          <w:sz w:val="20"/>
          <w:szCs w:val="20"/>
          <w:color w:val="auto"/>
        </w:rPr>
      </w:pPr>
      <w:r>
        <w:rPr>
          <w:rFonts w:ascii="Arial" w:cs="Arial" w:eastAsia="Arial" w:hAnsi="Arial"/>
          <w:sz w:val="18"/>
          <w:szCs w:val="18"/>
          <w:color w:val="auto"/>
        </w:rPr>
        <w:t>File Nos. 333-152267 and 333-152268 Vintage II Annuity and Vintage II Annuity (Series II)</w:t>
      </w:r>
    </w:p>
    <w:p>
      <w:pPr>
        <w:ind w:left="580"/>
        <w:spacing w:after="0" w:line="235" w:lineRule="auto"/>
        <w:rPr>
          <w:sz w:val="20"/>
          <w:szCs w:val="20"/>
          <w:color w:val="auto"/>
        </w:rPr>
      </w:pPr>
      <w:r>
        <w:rPr>
          <w:rFonts w:ascii="Arial" w:cs="Arial" w:eastAsia="Arial" w:hAnsi="Arial"/>
          <w:sz w:val="18"/>
          <w:szCs w:val="18"/>
          <w:color w:val="auto"/>
        </w:rPr>
        <w:t>File No. 333-197658 Brighthouse Accumulation Annuity</w:t>
      </w:r>
    </w:p>
    <w:p>
      <w:pPr>
        <w:ind w:left="580"/>
        <w:spacing w:after="0"/>
        <w:rPr>
          <w:sz w:val="20"/>
          <w:szCs w:val="20"/>
          <w:color w:val="auto"/>
        </w:rPr>
      </w:pPr>
      <w:r>
        <w:rPr>
          <w:rFonts w:ascii="Arial" w:cs="Arial" w:eastAsia="Arial" w:hAnsi="Arial"/>
          <w:sz w:val="18"/>
          <w:szCs w:val="18"/>
          <w:color w:val="auto"/>
        </w:rPr>
        <w:t>File No. 333-208464 Brighthouse Premier Variable Annuity</w:t>
      </w:r>
      <w:r>
        <w:rPr>
          <w:rFonts w:ascii="Arial" w:cs="Arial" w:eastAsia="Arial" w:hAnsi="Arial"/>
          <w:sz w:val="26"/>
          <w:szCs w:val="26"/>
          <w:color w:val="auto"/>
          <w:vertAlign w:val="superscript"/>
        </w:rPr>
        <w:t>SM</w:t>
      </w:r>
      <w:r>
        <w:rPr>
          <w:rFonts w:ascii="Arial" w:cs="Arial" w:eastAsia="Arial" w:hAnsi="Arial"/>
          <w:sz w:val="18"/>
          <w:szCs w:val="18"/>
          <w:color w:val="auto"/>
        </w:rPr>
        <w:t>,</w:t>
      </w:r>
    </w:p>
    <w:p>
      <w:pPr>
        <w:spacing w:after="0" w:line="129" w:lineRule="exact"/>
        <w:rPr>
          <w:sz w:val="20"/>
          <w:szCs w:val="20"/>
          <w:color w:val="auto"/>
        </w:rPr>
      </w:pPr>
    </w:p>
    <w:p>
      <w:pPr>
        <w:ind w:left="580" w:right="5740" w:hanging="572"/>
        <w:spacing w:after="0" w:line="253" w:lineRule="auto"/>
        <w:tabs>
          <w:tab w:leader="none" w:pos="23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Brighthouse Separate Account QPN for Variable Annuities File No. 333-156867 Unallocated Group Variable Annuity File No. 333-156911 Brighthouse Retirement Perspectives,</w:t>
      </w:r>
    </w:p>
    <w:p>
      <w:pPr>
        <w:spacing w:after="0" w:line="195" w:lineRule="exact"/>
        <w:rPr>
          <w:rFonts w:ascii="Arial" w:cs="Arial" w:eastAsia="Arial" w:hAnsi="Arial"/>
          <w:sz w:val="18"/>
          <w:szCs w:val="18"/>
          <w:color w:val="auto"/>
        </w:rPr>
      </w:pPr>
    </w:p>
    <w:p>
      <w:pPr>
        <w:ind w:left="220" w:hanging="212"/>
        <w:spacing w:after="0"/>
        <w:tabs>
          <w:tab w:leader="none" w:pos="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Brighthouse Variable Annuity Account C (811-05200)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333-200244 Class XC</w:t>
      </w:r>
    </w:p>
    <w:p>
      <w:pPr>
        <w:ind w:left="580"/>
        <w:spacing w:after="0" w:line="234" w:lineRule="auto"/>
        <w:rPr>
          <w:sz w:val="20"/>
          <w:szCs w:val="20"/>
          <w:color w:val="auto"/>
        </w:rPr>
      </w:pPr>
      <w:r>
        <w:rPr>
          <w:rFonts w:ascii="Arial" w:cs="Arial" w:eastAsia="Arial" w:hAnsi="Arial"/>
          <w:sz w:val="18"/>
          <w:szCs w:val="18"/>
          <w:color w:val="auto"/>
        </w:rPr>
        <w:t>File No. 333-200247 Class VA, Class AA and Class B</w:t>
      </w:r>
    </w:p>
    <w:p>
      <w:pPr>
        <w:ind w:left="580"/>
        <w:spacing w:after="0" w:line="235" w:lineRule="auto"/>
        <w:rPr>
          <w:sz w:val="20"/>
          <w:szCs w:val="20"/>
          <w:color w:val="auto"/>
        </w:rPr>
      </w:pPr>
      <w:r>
        <w:rPr>
          <w:rFonts w:ascii="Arial" w:cs="Arial" w:eastAsia="Arial" w:hAnsi="Arial"/>
          <w:sz w:val="18"/>
          <w:szCs w:val="18"/>
          <w:color w:val="auto"/>
        </w:rPr>
        <w:t>File No. 333-200249 Class L and Class L - 4 Year</w:t>
      </w:r>
    </w:p>
    <w:p>
      <w:pPr>
        <w:ind w:left="580"/>
        <w:spacing w:after="0" w:line="235" w:lineRule="auto"/>
        <w:rPr>
          <w:sz w:val="20"/>
          <w:szCs w:val="20"/>
          <w:color w:val="auto"/>
        </w:rPr>
      </w:pPr>
      <w:r>
        <w:rPr>
          <w:rFonts w:ascii="Arial" w:cs="Arial" w:eastAsia="Arial" w:hAnsi="Arial"/>
          <w:sz w:val="18"/>
          <w:szCs w:val="18"/>
          <w:color w:val="auto"/>
        </w:rPr>
        <w:t>File No. 333-200252 Class A</w:t>
      </w:r>
    </w:p>
    <w:p>
      <w:pPr>
        <w:ind w:left="580"/>
        <w:spacing w:after="0" w:line="235" w:lineRule="auto"/>
        <w:rPr>
          <w:sz w:val="20"/>
          <w:szCs w:val="20"/>
          <w:color w:val="auto"/>
        </w:rPr>
      </w:pPr>
      <w:r>
        <w:rPr>
          <w:rFonts w:ascii="Arial" w:cs="Arial" w:eastAsia="Arial" w:hAnsi="Arial"/>
          <w:sz w:val="18"/>
          <w:szCs w:val="18"/>
          <w:color w:val="auto"/>
        </w:rPr>
        <w:t>File No. 333-200255 COVA VA, Firstar Summit VA, Premier Advisor VA, Destiny Select VA and Prevail VA</w:t>
      </w:r>
    </w:p>
    <w:p>
      <w:pPr>
        <w:ind w:left="580"/>
        <w:spacing w:after="0" w:line="235" w:lineRule="auto"/>
        <w:rPr>
          <w:sz w:val="20"/>
          <w:szCs w:val="20"/>
          <w:color w:val="auto"/>
        </w:rPr>
      </w:pPr>
      <w:r>
        <w:rPr>
          <w:rFonts w:ascii="Arial" w:cs="Arial" w:eastAsia="Arial" w:hAnsi="Arial"/>
          <w:sz w:val="18"/>
          <w:szCs w:val="18"/>
          <w:color w:val="auto"/>
        </w:rPr>
        <w:t>File No. 333-200258 COVA VA SPDA</w:t>
      </w:r>
    </w:p>
    <w:p>
      <w:pPr>
        <w:ind w:left="580"/>
        <w:spacing w:after="0" w:line="234" w:lineRule="auto"/>
        <w:rPr>
          <w:sz w:val="20"/>
          <w:szCs w:val="20"/>
          <w:color w:val="auto"/>
        </w:rPr>
      </w:pPr>
      <w:r>
        <w:rPr>
          <w:rFonts w:ascii="Arial" w:cs="Arial" w:eastAsia="Arial" w:hAnsi="Arial"/>
          <w:sz w:val="18"/>
          <w:szCs w:val="18"/>
          <w:color w:val="auto"/>
        </w:rPr>
        <w:t>File No. 333-200260 COVA Series 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333-200262 Navigator-Select/Custom-Select/Russell-Select</w:t>
      </w:r>
    </w:p>
    <w:p>
      <w:pPr>
        <w:sectPr>
          <w:pgSz w:w="11900" w:h="16838" w:orient="portrait"/>
          <w:cols w:equalWidth="0" w:num="1">
            <w:col w:w="11000"/>
          </w:cols>
          <w:pgMar w:left="320" w:top="269" w:right="579" w:bottom="1440" w:gutter="0" w:footer="0" w:header="0"/>
        </w:sectPr>
      </w:pPr>
    </w:p>
    <w:bookmarkStart w:id="116" w:name="page117"/>
    <w:bookmarkEnd w:id="116"/>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333-200264 Navigator-Select/Custom-Select/Russell-Select (CA)</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333-200266 COVA VA and Premier Advisor (CA)</w:t>
      </w:r>
    </w:p>
    <w:p>
      <w:pPr>
        <w:ind w:left="580"/>
        <w:spacing w:after="0" w:line="234" w:lineRule="auto"/>
        <w:rPr>
          <w:sz w:val="20"/>
          <w:szCs w:val="20"/>
          <w:color w:val="auto"/>
        </w:rPr>
      </w:pPr>
      <w:r>
        <w:rPr>
          <w:rFonts w:ascii="Arial" w:cs="Arial" w:eastAsia="Arial" w:hAnsi="Arial"/>
          <w:sz w:val="18"/>
          <w:szCs w:val="18"/>
          <w:color w:val="auto"/>
        </w:rPr>
        <w:t>File No. 333-200267 COVA Series A (CA)</w:t>
      </w:r>
    </w:p>
    <w:p>
      <w:pPr>
        <w:ind w:left="580"/>
        <w:spacing w:after="0" w:line="235" w:lineRule="auto"/>
        <w:rPr>
          <w:sz w:val="20"/>
          <w:szCs w:val="20"/>
          <w:color w:val="auto"/>
        </w:rPr>
      </w:pPr>
      <w:r>
        <w:rPr>
          <w:rFonts w:ascii="Arial" w:cs="Arial" w:eastAsia="Arial" w:hAnsi="Arial"/>
          <w:sz w:val="18"/>
          <w:szCs w:val="18"/>
          <w:color w:val="auto"/>
        </w:rPr>
        <w:t>File No. 333-200269 Class C</w:t>
      </w:r>
    </w:p>
    <w:p>
      <w:pPr>
        <w:ind w:left="580"/>
        <w:spacing w:after="0" w:line="235" w:lineRule="auto"/>
        <w:rPr>
          <w:sz w:val="20"/>
          <w:szCs w:val="20"/>
          <w:color w:val="auto"/>
        </w:rPr>
      </w:pPr>
      <w:r>
        <w:rPr>
          <w:rFonts w:ascii="Arial" w:cs="Arial" w:eastAsia="Arial" w:hAnsi="Arial"/>
          <w:sz w:val="18"/>
          <w:szCs w:val="18"/>
          <w:color w:val="auto"/>
        </w:rPr>
        <w:t>File No. 333-200271 Class VA (CA), Class AA (CA), and Class B (CA)</w:t>
      </w:r>
    </w:p>
    <w:p>
      <w:pPr>
        <w:ind w:left="580"/>
        <w:spacing w:after="0" w:line="235" w:lineRule="auto"/>
        <w:rPr>
          <w:sz w:val="20"/>
          <w:szCs w:val="20"/>
          <w:color w:val="auto"/>
        </w:rPr>
      </w:pPr>
      <w:r>
        <w:rPr>
          <w:rFonts w:ascii="Arial" w:cs="Arial" w:eastAsia="Arial" w:hAnsi="Arial"/>
          <w:sz w:val="18"/>
          <w:szCs w:val="18"/>
          <w:color w:val="auto"/>
        </w:rPr>
        <w:t>File No. 333-200273 Class XC (CA)</w:t>
      </w:r>
    </w:p>
    <w:p>
      <w:pPr>
        <w:ind w:left="580"/>
        <w:spacing w:after="0" w:line="235" w:lineRule="auto"/>
        <w:rPr>
          <w:sz w:val="20"/>
          <w:szCs w:val="20"/>
          <w:color w:val="auto"/>
        </w:rPr>
      </w:pPr>
      <w:r>
        <w:rPr>
          <w:rFonts w:ascii="Arial" w:cs="Arial" w:eastAsia="Arial" w:hAnsi="Arial"/>
          <w:sz w:val="18"/>
          <w:szCs w:val="18"/>
          <w:color w:val="auto"/>
        </w:rPr>
        <w:t>File No. 333-200274 Class L (CA) and Class L - 4 Year (CA)</w:t>
      </w:r>
    </w:p>
    <w:p>
      <w:pPr>
        <w:ind w:left="580"/>
        <w:spacing w:after="0" w:line="234" w:lineRule="auto"/>
        <w:rPr>
          <w:sz w:val="20"/>
          <w:szCs w:val="20"/>
          <w:color w:val="auto"/>
        </w:rPr>
      </w:pPr>
      <w:r>
        <w:rPr>
          <w:rFonts w:ascii="Arial" w:cs="Arial" w:eastAsia="Arial" w:hAnsi="Arial"/>
          <w:sz w:val="18"/>
          <w:szCs w:val="18"/>
          <w:color w:val="auto"/>
        </w:rPr>
        <w:t>File No. 333-200276 Class A (CA)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333-200279 Class C (CA),</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Variable Life Account A (811-21851)</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333-200241 Equity Advantage Variable Universal Life,</w:t>
      </w:r>
    </w:p>
    <w:p>
      <w:pPr>
        <w:spacing w:after="0" w:line="221" w:lineRule="exact"/>
        <w:rPr>
          <w:sz w:val="20"/>
          <w:szCs w:val="20"/>
          <w:color w:val="auto"/>
        </w:rPr>
      </w:pPr>
    </w:p>
    <w:p>
      <w:pPr>
        <w:ind w:left="580" w:right="6480" w:hanging="572"/>
        <w:spacing w:after="0" w:line="245" w:lineRule="auto"/>
        <w:tabs>
          <w:tab w:leader="none" w:pos="23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Brighthouse Variable Life Account One (811-07971) File No. 333-200242 Class VL</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File No. 333-200245 Class VL (CA)</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File No. 333-200248 Modified Single Premium Variable Life</w:t>
      </w:r>
    </w:p>
    <w:p>
      <w:pPr>
        <w:ind w:left="580" w:right="4800"/>
        <w:spacing w:after="0" w:line="242" w:lineRule="auto"/>
        <w:rPr>
          <w:rFonts w:ascii="Arial" w:cs="Arial" w:eastAsia="Arial" w:hAnsi="Arial"/>
          <w:sz w:val="18"/>
          <w:szCs w:val="18"/>
          <w:color w:val="auto"/>
        </w:rPr>
      </w:pPr>
      <w:r>
        <w:rPr>
          <w:rFonts w:ascii="Arial" w:cs="Arial" w:eastAsia="Arial" w:hAnsi="Arial"/>
          <w:sz w:val="18"/>
          <w:szCs w:val="18"/>
          <w:color w:val="auto"/>
        </w:rPr>
        <w:t>File No. 333-200251 Custom Select and Russell Select Variable Life File No. 333-200254 Modified Single Premium Variable Life (CA) File No. 333-200257 Custom Select Variable Life,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And pertaining to:</w:t>
      </w:r>
    </w:p>
    <w:p>
      <w:pPr>
        <w:ind w:left="580"/>
        <w:spacing w:after="0" w:line="180" w:lineRule="auto"/>
        <w:rPr>
          <w:sz w:val="20"/>
          <w:szCs w:val="20"/>
          <w:color w:val="auto"/>
        </w:rPr>
      </w:pPr>
      <w:r>
        <w:rPr>
          <w:rFonts w:ascii="Arial" w:cs="Arial" w:eastAsia="Arial" w:hAnsi="Arial"/>
          <w:sz w:val="17"/>
          <w:szCs w:val="17"/>
          <w:color w:val="auto"/>
        </w:rPr>
        <w:t>File No. 333-268618 Brighthouse SmartGuard Plus</w:t>
      </w:r>
      <w:r>
        <w:rPr>
          <w:rFonts w:ascii="Arial" w:cs="Arial" w:eastAsia="Arial" w:hAnsi="Arial"/>
          <w:sz w:val="25"/>
          <w:szCs w:val="25"/>
          <w:color w:val="auto"/>
          <w:vertAlign w:val="superscript"/>
        </w:rPr>
        <w:t>SM</w:t>
      </w:r>
    </w:p>
    <w:p>
      <w:pPr>
        <w:ind w:left="580"/>
        <w:spacing w:after="0" w:line="183" w:lineRule="auto"/>
        <w:rPr>
          <w:sz w:val="20"/>
          <w:szCs w:val="20"/>
          <w:color w:val="auto"/>
        </w:rPr>
      </w:pPr>
      <w:r>
        <w:rPr>
          <w:rFonts w:ascii="Arial" w:cs="Arial" w:eastAsia="Arial" w:hAnsi="Arial"/>
          <w:sz w:val="16"/>
          <w:szCs w:val="16"/>
          <w:color w:val="auto"/>
        </w:rPr>
        <w:t>File No. 333-262390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Pay Plus</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Annuity and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Pay Plus</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Advisory Annuity File No. 333-259505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spacing w:after="0" w:line="2" w:lineRule="exact"/>
        <w:rPr>
          <w:sz w:val="20"/>
          <w:szCs w:val="20"/>
          <w:color w:val="auto"/>
        </w:rPr>
      </w:pPr>
    </w:p>
    <w:p>
      <w:pPr>
        <w:ind w:left="580" w:right="4520"/>
        <w:spacing w:after="0" w:line="183" w:lineRule="auto"/>
        <w:rPr>
          <w:sz w:val="20"/>
          <w:szCs w:val="20"/>
          <w:color w:val="auto"/>
        </w:rPr>
      </w:pPr>
      <w:r>
        <w:rPr>
          <w:rFonts w:ascii="Arial" w:cs="Arial" w:eastAsia="Arial" w:hAnsi="Arial"/>
          <w:sz w:val="16"/>
          <w:szCs w:val="16"/>
          <w:color w:val="auto"/>
        </w:rPr>
        <w:t>File No. 333-233240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Advisory Annuity File No. 333-268427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Advisory Annuity File No. 333-263492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File No. 333-263495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 File No. 333-238213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ind w:left="580"/>
        <w:spacing w:after="0" w:line="187" w:lineRule="auto"/>
        <w:rPr>
          <w:sz w:val="20"/>
          <w:szCs w:val="20"/>
          <w:color w:val="auto"/>
        </w:rPr>
      </w:pPr>
      <w:r>
        <w:rPr>
          <w:rFonts w:ascii="Arial" w:cs="Arial" w:eastAsia="Arial" w:hAnsi="Arial"/>
          <w:sz w:val="16"/>
          <w:szCs w:val="16"/>
          <w:color w:val="auto"/>
        </w:rPr>
        <w:t>File No. 333-208664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Annuity</w:t>
      </w:r>
    </w:p>
    <w:p>
      <w:pPr>
        <w:spacing w:after="0" w:line="1" w:lineRule="exact"/>
        <w:rPr>
          <w:sz w:val="20"/>
          <w:szCs w:val="20"/>
          <w:color w:val="auto"/>
        </w:rPr>
      </w:pPr>
    </w:p>
    <w:p>
      <w:pPr>
        <w:ind w:left="580" w:right="4520"/>
        <w:spacing w:after="0" w:line="192" w:lineRule="auto"/>
        <w:rPr>
          <w:sz w:val="20"/>
          <w:szCs w:val="20"/>
          <w:color w:val="auto"/>
        </w:rPr>
      </w:pPr>
      <w:r>
        <w:rPr>
          <w:rFonts w:ascii="Arial" w:cs="Arial" w:eastAsia="Arial" w:hAnsi="Arial"/>
          <w:sz w:val="18"/>
          <w:szCs w:val="18"/>
          <w:color w:val="auto"/>
        </w:rPr>
        <w:t>File No. 333-207091 Brighthouse Shield Level Selector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3-Year Annuity File No. 333-276468 Registered Fixed Account Option</w:t>
      </w:r>
    </w:p>
    <w:p>
      <w:pPr>
        <w:ind w:left="580"/>
        <w:spacing w:after="0" w:line="235" w:lineRule="auto"/>
        <w:rPr>
          <w:sz w:val="20"/>
          <w:szCs w:val="20"/>
          <w:color w:val="auto"/>
        </w:rPr>
      </w:pPr>
      <w:r>
        <w:rPr>
          <w:rFonts w:ascii="Arial" w:cs="Arial" w:eastAsia="Arial" w:hAnsi="Arial"/>
          <w:sz w:val="18"/>
          <w:szCs w:val="18"/>
          <w:color w:val="auto"/>
        </w:rPr>
        <w:t>File No. 333-276469 Fixed Annuity (Strategic Value Annuity)</w:t>
      </w:r>
    </w:p>
    <w:p>
      <w:pPr>
        <w:ind w:left="580" w:right="4640"/>
        <w:spacing w:after="0" w:line="189" w:lineRule="auto"/>
        <w:rPr>
          <w:sz w:val="20"/>
          <w:szCs w:val="20"/>
          <w:color w:val="auto"/>
        </w:rPr>
      </w:pPr>
      <w:r>
        <w:rPr>
          <w:rFonts w:ascii="Arial" w:cs="Arial" w:eastAsia="Arial" w:hAnsi="Arial"/>
          <w:sz w:val="17"/>
          <w:szCs w:val="17"/>
          <w:color w:val="auto"/>
        </w:rPr>
        <w:t>File No. 333-276470 Brighthouse Retirement Account Liquidity Benefit File No. 333-276599 Brighthouse Shield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Level II 6-Year Annuity File No. 333-276762 Brighthouse Shield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Level II Advisory Annuity</w:t>
      </w:r>
    </w:p>
    <w:p>
      <w:pPr>
        <w:spacing w:after="0" w:line="1" w:lineRule="exact"/>
        <w:rPr>
          <w:sz w:val="20"/>
          <w:szCs w:val="20"/>
          <w:color w:val="auto"/>
        </w:rPr>
      </w:pPr>
    </w:p>
    <w:p>
      <w:pPr>
        <w:ind w:left="580" w:right="100"/>
        <w:spacing w:after="0"/>
        <w:rPr>
          <w:sz w:val="20"/>
          <w:szCs w:val="20"/>
          <w:color w:val="auto"/>
        </w:rPr>
      </w:pPr>
      <w:r>
        <w:rPr>
          <w:rFonts w:ascii="Arial" w:cs="Arial" w:eastAsia="Arial" w:hAnsi="Arial"/>
          <w:sz w:val="18"/>
          <w:szCs w:val="18"/>
          <w:color w:val="auto"/>
        </w:rPr>
        <w:t>File No. 333-276763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Annuity and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Advisory Annuity File No. 333-279302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3-Year Annuity T-Mark Fixed Annuity</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Target Maturity,</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Life Insurance Company (RILA MVA)</w:t>
      </w:r>
    </w:p>
    <w:p>
      <w:pPr>
        <w:spacing w:after="0" w:line="14" w:lineRule="exact"/>
        <w:rPr>
          <w:sz w:val="20"/>
          <w:szCs w:val="20"/>
          <w:color w:val="auto"/>
        </w:rPr>
      </w:pPr>
    </w:p>
    <w:p>
      <w:pPr>
        <w:ind w:left="580" w:right="100"/>
        <w:spacing w:after="0" w:line="181" w:lineRule="auto"/>
        <w:rPr>
          <w:sz w:val="20"/>
          <w:szCs w:val="20"/>
          <w:color w:val="auto"/>
        </w:rPr>
      </w:pPr>
      <w:r>
        <w:rPr>
          <w:rFonts w:ascii="Arial" w:cs="Arial" w:eastAsia="Arial" w:hAnsi="Arial"/>
          <w:sz w:val="18"/>
          <w:szCs w:val="18"/>
          <w:color w:val="auto"/>
        </w:rPr>
        <w:t>File No. 333-282752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Annuity and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Advisory Annuity File No. 333-282871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Advisory Annuity File No. 333-283023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ind w:left="580"/>
        <w:spacing w:after="0"/>
        <w:rPr>
          <w:sz w:val="20"/>
          <w:szCs w:val="20"/>
          <w:color w:val="auto"/>
        </w:rPr>
      </w:pPr>
      <w:r>
        <w:rPr>
          <w:rFonts w:ascii="Arial" w:cs="Arial" w:eastAsia="Arial" w:hAnsi="Arial"/>
          <w:sz w:val="18"/>
          <w:szCs w:val="18"/>
          <w:color w:val="auto"/>
        </w:rPr>
        <w:t>File No. 333-283024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3-Year Annuity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Brighthouse Shield Annuity</w:t>
      </w:r>
    </w:p>
    <w:p>
      <w:pPr>
        <w:ind w:left="580"/>
        <w:spacing w:after="0" w:line="234" w:lineRule="auto"/>
        <w:rPr>
          <w:sz w:val="20"/>
          <w:szCs w:val="20"/>
          <w:color w:val="auto"/>
        </w:rPr>
      </w:pPr>
      <w:r>
        <w:rPr>
          <w:rFonts w:ascii="Arial" w:cs="Arial" w:eastAsia="Arial" w:hAnsi="Arial"/>
          <w:sz w:val="18"/>
          <w:szCs w:val="18"/>
          <w:color w:val="auto"/>
        </w:rPr>
        <w:t>Brighthouse Shield 3-Year Annuity</w:t>
      </w:r>
    </w:p>
    <w:p>
      <w:pPr>
        <w:ind w:left="58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Brighthouse Index-linked Life Insurance Policy,</w:t>
      </w:r>
    </w:p>
    <w:p>
      <w:pPr>
        <w:spacing w:after="0" w:line="19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ectPr>
          <w:pgSz w:w="11900" w:h="16838" w:orient="portrait"/>
          <w:cols w:equalWidth="0" w:num="1">
            <w:col w:w="10800"/>
          </w:cols>
          <w:pgMar w:left="320" w:top="269" w:right="77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I have hereunto set my hand this 7th day of November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Edward A. Spehar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Edward A. Spehar</w:t>
      </w:r>
    </w:p>
    <w:p>
      <w:pPr>
        <w:sectPr>
          <w:pgSz w:w="11900" w:h="16838" w:orient="portrait"/>
          <w:cols w:equalWidth="0" w:num="1">
            <w:col w:w="10139"/>
          </w:cols>
          <w:pgMar w:left="320" w:top="269" w:right="1440"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Brighthouse Life Insurance Company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Richard A. Cook</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Vice President and Chief Accounting Officer</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KNOW ALL MEN BY THESE PRESENTS, that I, Richard A. Cook, Vice President and Chief Accounting Officer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206" w:lineRule="exact"/>
        <w:rPr>
          <w:sz w:val="20"/>
          <w:szCs w:val="20"/>
          <w:color w:val="auto"/>
        </w:rPr>
      </w:pPr>
    </w:p>
    <w:p>
      <w:pPr>
        <w:ind w:left="580" w:right="5940" w:hanging="572"/>
        <w:spacing w:after="0" w:line="200" w:lineRule="auto"/>
        <w:tabs>
          <w:tab w:leader="none" w:pos="23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Brighthouse Fund UL for Variable Life Insurance (811-03927) File No. 002-88637 MarketLife</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and Invest</w:t>
      </w:r>
    </w:p>
    <w:p>
      <w:pPr>
        <w:spacing w:after="0" w:line="1" w:lineRule="exact"/>
        <w:rPr>
          <w:rFonts w:ascii="Arial" w:cs="Arial" w:eastAsia="Arial" w:hAnsi="Arial"/>
          <w:sz w:val="18"/>
          <w:szCs w:val="18"/>
          <w:color w:val="auto"/>
        </w:rPr>
      </w:pPr>
    </w:p>
    <w:p>
      <w:pPr>
        <w:ind w:left="580"/>
        <w:spacing w:after="0" w:line="183" w:lineRule="auto"/>
        <w:rPr>
          <w:rFonts w:ascii="Arial" w:cs="Arial" w:eastAsia="Arial" w:hAnsi="Arial"/>
          <w:sz w:val="18"/>
          <w:szCs w:val="18"/>
          <w:color w:val="auto"/>
        </w:rPr>
      </w:pPr>
      <w:r>
        <w:rPr>
          <w:rFonts w:ascii="Arial" w:cs="Arial" w:eastAsia="Arial" w:hAnsi="Arial"/>
          <w:sz w:val="16"/>
          <w:szCs w:val="16"/>
          <w:color w:val="auto"/>
        </w:rPr>
        <w:t>File No. 333-152219 MarketLife</w:t>
      </w:r>
      <w:r>
        <w:rPr>
          <w:rFonts w:ascii="Arial" w:cs="Arial" w:eastAsia="Arial" w:hAnsi="Arial"/>
          <w:sz w:val="23"/>
          <w:szCs w:val="23"/>
          <w:color w:val="auto"/>
          <w:vertAlign w:val="superscript"/>
        </w:rPr>
        <w:t>SM</w:t>
      </w:r>
    </w:p>
    <w:p>
      <w:pPr>
        <w:ind w:left="580" w:right="5680"/>
        <w:spacing w:after="0" w:line="248" w:lineRule="auto"/>
        <w:rPr>
          <w:rFonts w:ascii="Arial" w:cs="Arial" w:eastAsia="Arial" w:hAnsi="Arial"/>
          <w:sz w:val="18"/>
          <w:szCs w:val="18"/>
          <w:color w:val="auto"/>
        </w:rPr>
      </w:pPr>
      <w:r>
        <w:rPr>
          <w:rFonts w:ascii="Arial" w:cs="Arial" w:eastAsia="Arial" w:hAnsi="Arial"/>
          <w:sz w:val="17"/>
          <w:szCs w:val="17"/>
          <w:color w:val="auto"/>
        </w:rPr>
        <w:t>File No. 333-56952 Brighthouse Variable Survivorship Life II File No. 333-69771 Brighthouse Variable Survivorship Life</w:t>
      </w:r>
    </w:p>
    <w:p>
      <w:pPr>
        <w:spacing w:after="0" w:line="1" w:lineRule="exact"/>
        <w:rPr>
          <w:rFonts w:ascii="Arial" w:cs="Arial" w:eastAsia="Arial" w:hAnsi="Arial"/>
          <w:sz w:val="18"/>
          <w:szCs w:val="18"/>
          <w:color w:val="auto"/>
        </w:rPr>
      </w:pPr>
    </w:p>
    <w:p>
      <w:pPr>
        <w:ind w:left="580" w:right="1560"/>
        <w:spacing w:after="0" w:line="234" w:lineRule="auto"/>
        <w:rPr>
          <w:rFonts w:ascii="Arial" w:cs="Arial" w:eastAsia="Arial" w:hAnsi="Arial"/>
          <w:sz w:val="18"/>
          <w:szCs w:val="18"/>
          <w:color w:val="auto"/>
        </w:rPr>
      </w:pPr>
      <w:r>
        <w:rPr>
          <w:rFonts w:ascii="Arial" w:cs="Arial" w:eastAsia="Arial" w:hAnsi="Arial"/>
          <w:sz w:val="18"/>
          <w:szCs w:val="18"/>
          <w:color w:val="auto"/>
        </w:rPr>
        <w:t>File No. 333-96515 Brighthouse Variable Life Accumulator and Brighthouse Variable Life Accumulator - Series 2 File No. 333-96519 Brighthouse Variable Life</w:t>
      </w:r>
    </w:p>
    <w:p>
      <w:pPr>
        <w:spacing w:after="0" w:line="1" w:lineRule="exact"/>
        <w:rPr>
          <w:rFonts w:ascii="Arial" w:cs="Arial" w:eastAsia="Arial" w:hAnsi="Arial"/>
          <w:sz w:val="18"/>
          <w:szCs w:val="18"/>
          <w:color w:val="auto"/>
        </w:rPr>
      </w:pPr>
    </w:p>
    <w:p>
      <w:pPr>
        <w:ind w:left="580" w:right="4920"/>
        <w:spacing w:after="0" w:line="234" w:lineRule="auto"/>
        <w:rPr>
          <w:rFonts w:ascii="Arial" w:cs="Arial" w:eastAsia="Arial" w:hAnsi="Arial"/>
          <w:sz w:val="18"/>
          <w:szCs w:val="18"/>
          <w:color w:val="auto"/>
        </w:rPr>
      </w:pPr>
      <w:r>
        <w:rPr>
          <w:rFonts w:ascii="Arial" w:cs="Arial" w:eastAsia="Arial" w:hAnsi="Arial"/>
          <w:sz w:val="18"/>
          <w:szCs w:val="18"/>
          <w:color w:val="auto"/>
        </w:rPr>
        <w:t>File No. 333-113109 Brighthouse Variable Life Accumulator - Series 3 File No. 333-152216 Portfolio Architect Life</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File No. 333-152217 VintageLife,</w:t>
      </w:r>
    </w:p>
    <w:p>
      <w:pPr>
        <w:spacing w:after="0" w:line="220" w:lineRule="exact"/>
        <w:rPr>
          <w:rFonts w:ascii="Arial" w:cs="Arial" w:eastAsia="Arial" w:hAnsi="Arial"/>
          <w:sz w:val="18"/>
          <w:szCs w:val="18"/>
          <w:color w:val="auto"/>
        </w:rPr>
      </w:pPr>
    </w:p>
    <w:p>
      <w:pPr>
        <w:ind w:left="220" w:hanging="212"/>
        <w:spacing w:after="0"/>
        <w:tabs>
          <w:tab w:leader="none" w:pos="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Brighthouse Fund UL III for Variable Life Insurance (811-09215)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333-71349 Corporate Owned VUL Series 1</w:t>
      </w:r>
    </w:p>
    <w:p>
      <w:pPr>
        <w:ind w:left="580"/>
        <w:spacing w:after="0" w:line="234" w:lineRule="auto"/>
        <w:rPr>
          <w:sz w:val="20"/>
          <w:szCs w:val="20"/>
          <w:color w:val="auto"/>
        </w:rPr>
      </w:pPr>
      <w:r>
        <w:rPr>
          <w:rFonts w:ascii="Arial" w:cs="Arial" w:eastAsia="Arial" w:hAnsi="Arial"/>
          <w:sz w:val="18"/>
          <w:szCs w:val="18"/>
          <w:color w:val="auto"/>
        </w:rPr>
        <w:t>File No. 333-94779 Corporate Owned VUL 2000 and Corporate Owned VUL III</w:t>
      </w:r>
    </w:p>
    <w:p>
      <w:pPr>
        <w:ind w:left="580"/>
        <w:spacing w:after="0" w:line="235" w:lineRule="auto"/>
        <w:rPr>
          <w:sz w:val="20"/>
          <w:szCs w:val="20"/>
          <w:color w:val="auto"/>
        </w:rPr>
      </w:pPr>
      <w:r>
        <w:rPr>
          <w:rFonts w:ascii="Arial" w:cs="Arial" w:eastAsia="Arial" w:hAnsi="Arial"/>
          <w:sz w:val="18"/>
          <w:szCs w:val="18"/>
          <w:color w:val="auto"/>
        </w:rPr>
        <w:t>File No. 333-105335 Corporate Select Policy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333-113533 Corporate Owned VUL IV,</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Separate Account A (811-03365)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333-200231 Series VA (offered between October 7, 2011 and May 1, 2016)</w:t>
      </w:r>
    </w:p>
    <w:p>
      <w:pPr>
        <w:ind w:left="780" w:right="160" w:hanging="204"/>
        <w:spacing w:after="0" w:line="234" w:lineRule="auto"/>
        <w:rPr>
          <w:sz w:val="20"/>
          <w:szCs w:val="20"/>
          <w:color w:val="auto"/>
        </w:rPr>
      </w:pPr>
      <w:r>
        <w:rPr>
          <w:rFonts w:ascii="Arial" w:cs="Arial" w:eastAsia="Arial" w:hAnsi="Arial"/>
          <w:sz w:val="18"/>
          <w:szCs w:val="18"/>
          <w:color w:val="auto"/>
        </w:rPr>
        <w:t>File No. 333-200232 Series S (offered between October 7, 2011 and May 1, 2016) and Series S-L Share Option (offered between October 7, 2011 and May 1, 2016)</w:t>
      </w:r>
    </w:p>
    <w:p>
      <w:pPr>
        <w:ind w:left="580"/>
        <w:spacing w:after="0" w:line="236" w:lineRule="auto"/>
        <w:rPr>
          <w:sz w:val="20"/>
          <w:szCs w:val="20"/>
          <w:color w:val="auto"/>
        </w:rPr>
      </w:pPr>
      <w:r>
        <w:rPr>
          <w:rFonts w:ascii="Arial" w:cs="Arial" w:eastAsia="Arial" w:hAnsi="Arial"/>
          <w:sz w:val="18"/>
          <w:szCs w:val="18"/>
          <w:color w:val="auto"/>
        </w:rPr>
        <w:t>File No. 333-200233 Series VA-4 (offered between October 7, 2011 and May 1, 2016)</w:t>
      </w:r>
    </w:p>
    <w:p>
      <w:pPr>
        <w:ind w:left="580"/>
        <w:spacing w:after="0" w:line="235" w:lineRule="auto"/>
        <w:rPr>
          <w:sz w:val="20"/>
          <w:szCs w:val="20"/>
          <w:color w:val="auto"/>
        </w:rPr>
      </w:pPr>
      <w:r>
        <w:rPr>
          <w:rFonts w:ascii="Arial" w:cs="Arial" w:eastAsia="Arial" w:hAnsi="Arial"/>
          <w:sz w:val="18"/>
          <w:szCs w:val="18"/>
          <w:color w:val="auto"/>
        </w:rPr>
        <w:t>File No. 333-200234 Series O (offered between April 30, 2012 and July 19, 2015)</w:t>
      </w:r>
    </w:p>
    <w:p>
      <w:pPr>
        <w:ind w:left="580"/>
        <w:spacing w:after="0" w:line="235" w:lineRule="auto"/>
        <w:rPr>
          <w:sz w:val="20"/>
          <w:szCs w:val="20"/>
          <w:color w:val="auto"/>
        </w:rPr>
      </w:pPr>
      <w:r>
        <w:rPr>
          <w:rFonts w:ascii="Arial" w:cs="Arial" w:eastAsia="Arial" w:hAnsi="Arial"/>
          <w:sz w:val="18"/>
          <w:szCs w:val="18"/>
          <w:color w:val="auto"/>
        </w:rPr>
        <w:t>File No. 333-200236 Series L - 4 Year (offered on and after April 29, 2013)</w:t>
      </w:r>
    </w:p>
    <w:p>
      <w:pPr>
        <w:ind w:left="580"/>
        <w:spacing w:after="0" w:line="234" w:lineRule="auto"/>
        <w:rPr>
          <w:sz w:val="20"/>
          <w:szCs w:val="20"/>
          <w:color w:val="auto"/>
        </w:rPr>
      </w:pPr>
      <w:r>
        <w:rPr>
          <w:rFonts w:ascii="Arial" w:cs="Arial" w:eastAsia="Arial" w:hAnsi="Arial"/>
          <w:sz w:val="18"/>
          <w:szCs w:val="18"/>
          <w:color w:val="auto"/>
        </w:rPr>
        <w:t>File No. 333-200237 PrimElite IV</w:t>
      </w:r>
    </w:p>
    <w:p>
      <w:pPr>
        <w:ind w:left="580"/>
        <w:spacing w:after="0" w:line="235" w:lineRule="auto"/>
        <w:rPr>
          <w:sz w:val="20"/>
          <w:szCs w:val="20"/>
          <w:color w:val="auto"/>
        </w:rPr>
      </w:pPr>
      <w:r>
        <w:rPr>
          <w:rFonts w:ascii="Arial" w:cs="Arial" w:eastAsia="Arial" w:hAnsi="Arial"/>
          <w:sz w:val="18"/>
          <w:szCs w:val="18"/>
          <w:color w:val="auto"/>
        </w:rPr>
        <w:t>File No. 333-200238 Marquis Portfolios (offered on and after April 30, 2012)</w:t>
      </w:r>
    </w:p>
    <w:p>
      <w:pPr>
        <w:ind w:left="580"/>
        <w:spacing w:after="0" w:line="235" w:lineRule="auto"/>
        <w:rPr>
          <w:sz w:val="20"/>
          <w:szCs w:val="20"/>
          <w:color w:val="auto"/>
        </w:rPr>
      </w:pPr>
      <w:r>
        <w:rPr>
          <w:rFonts w:ascii="Arial" w:cs="Arial" w:eastAsia="Arial" w:hAnsi="Arial"/>
          <w:sz w:val="18"/>
          <w:szCs w:val="18"/>
          <w:color w:val="auto"/>
        </w:rPr>
        <w:t>File No. 333-200239 Brighthouse Growth and Income</w:t>
      </w:r>
    </w:p>
    <w:p>
      <w:pPr>
        <w:ind w:left="580" w:right="1100"/>
        <w:spacing w:after="0" w:line="234" w:lineRule="auto"/>
        <w:rPr>
          <w:sz w:val="20"/>
          <w:szCs w:val="20"/>
          <w:color w:val="auto"/>
        </w:rPr>
      </w:pPr>
      <w:r>
        <w:rPr>
          <w:rFonts w:ascii="Arial" w:cs="Arial" w:eastAsia="Arial" w:hAnsi="Arial"/>
          <w:sz w:val="18"/>
          <w:szCs w:val="18"/>
          <w:color w:val="auto"/>
        </w:rPr>
        <w:t>File No. 333-200240 Group Flexible Payment Variable Annuity (Flexible Bonus/Retirement Companion/Smart Choice) File No. 333-200243 PrimElite III</w:t>
      </w:r>
    </w:p>
    <w:p>
      <w:pPr>
        <w:ind w:left="580"/>
        <w:spacing w:after="0" w:line="185" w:lineRule="auto"/>
        <w:rPr>
          <w:sz w:val="20"/>
          <w:szCs w:val="20"/>
          <w:color w:val="auto"/>
        </w:rPr>
      </w:pPr>
      <w:r>
        <w:rPr>
          <w:rFonts w:ascii="Arial" w:cs="Arial" w:eastAsia="Arial" w:hAnsi="Arial"/>
          <w:sz w:val="16"/>
          <w:szCs w:val="16"/>
          <w:color w:val="auto"/>
        </w:rPr>
        <w:t>File No. 333-200246 Brighthouse Simple Solutions</w:t>
      </w:r>
      <w:r>
        <w:rPr>
          <w:rFonts w:ascii="Arial" w:cs="Arial" w:eastAsia="Arial" w:hAnsi="Arial"/>
          <w:sz w:val="23"/>
          <w:szCs w:val="23"/>
          <w:color w:val="auto"/>
          <w:vertAlign w:val="superscript"/>
        </w:rPr>
        <w:t>SM</w:t>
      </w:r>
    </w:p>
    <w:p>
      <w:pPr>
        <w:ind w:left="580"/>
        <w:spacing w:after="0" w:line="234" w:lineRule="auto"/>
        <w:rPr>
          <w:sz w:val="20"/>
          <w:szCs w:val="20"/>
          <w:color w:val="auto"/>
        </w:rPr>
      </w:pPr>
      <w:r>
        <w:rPr>
          <w:rFonts w:ascii="Arial" w:cs="Arial" w:eastAsia="Arial" w:hAnsi="Arial"/>
          <w:sz w:val="18"/>
          <w:szCs w:val="18"/>
          <w:color w:val="auto"/>
        </w:rPr>
        <w:t>File No. 333-200250 Marquis Portfolios (offered between November 7, 2005 and April 30, 2012)</w:t>
      </w:r>
    </w:p>
    <w:p>
      <w:pPr>
        <w:ind w:left="580"/>
        <w:spacing w:after="0" w:line="235" w:lineRule="auto"/>
        <w:rPr>
          <w:sz w:val="20"/>
          <w:szCs w:val="20"/>
          <w:color w:val="auto"/>
        </w:rPr>
      </w:pPr>
      <w:r>
        <w:rPr>
          <w:rFonts w:ascii="Arial" w:cs="Arial" w:eastAsia="Arial" w:hAnsi="Arial"/>
          <w:sz w:val="18"/>
          <w:szCs w:val="18"/>
          <w:color w:val="auto"/>
        </w:rPr>
        <w:t>File No. 333-200253 Series XC</w:t>
      </w:r>
    </w:p>
    <w:p>
      <w:pPr>
        <w:ind w:left="580"/>
        <w:spacing w:after="0" w:line="235" w:lineRule="auto"/>
        <w:rPr>
          <w:sz w:val="20"/>
          <w:szCs w:val="20"/>
          <w:color w:val="auto"/>
        </w:rPr>
      </w:pPr>
      <w:r>
        <w:rPr>
          <w:rFonts w:ascii="Arial" w:cs="Arial" w:eastAsia="Arial" w:hAnsi="Arial"/>
          <w:sz w:val="18"/>
          <w:szCs w:val="18"/>
          <w:color w:val="auto"/>
        </w:rPr>
        <w:t>File No. 333-200256 Series VA (offered between March 22, 2001 and October 7, 2011)</w:t>
      </w:r>
    </w:p>
    <w:p>
      <w:pPr>
        <w:ind w:left="580"/>
        <w:spacing w:after="0" w:line="235" w:lineRule="auto"/>
        <w:rPr>
          <w:sz w:val="20"/>
          <w:szCs w:val="20"/>
          <w:color w:val="auto"/>
        </w:rPr>
      </w:pPr>
      <w:r>
        <w:rPr>
          <w:rFonts w:ascii="Arial" w:cs="Arial" w:eastAsia="Arial" w:hAnsi="Arial"/>
          <w:sz w:val="18"/>
          <w:szCs w:val="18"/>
          <w:color w:val="auto"/>
        </w:rPr>
        <w:t>File No. 333-200259 Series L and Series L - 4 Year (offered between November 22, 2004 and October 7, 2011)</w:t>
      </w:r>
    </w:p>
    <w:p>
      <w:pPr>
        <w:ind w:left="580"/>
        <w:spacing w:after="0" w:line="235" w:lineRule="auto"/>
        <w:rPr>
          <w:sz w:val="20"/>
          <w:szCs w:val="20"/>
          <w:color w:val="auto"/>
        </w:rPr>
      </w:pPr>
      <w:r>
        <w:rPr>
          <w:rFonts w:ascii="Arial" w:cs="Arial" w:eastAsia="Arial" w:hAnsi="Arial"/>
          <w:sz w:val="18"/>
          <w:szCs w:val="18"/>
          <w:color w:val="auto"/>
        </w:rPr>
        <w:t>File No. 333-200261 Series C (offered between September 4, 2001 and October 7, 2011)</w:t>
      </w:r>
    </w:p>
    <w:p>
      <w:pPr>
        <w:ind w:left="580"/>
        <w:spacing w:after="0" w:line="234" w:lineRule="auto"/>
        <w:rPr>
          <w:sz w:val="20"/>
          <w:szCs w:val="20"/>
          <w:color w:val="auto"/>
        </w:rPr>
      </w:pPr>
      <w:r>
        <w:rPr>
          <w:rFonts w:ascii="Arial" w:cs="Arial" w:eastAsia="Arial" w:hAnsi="Arial"/>
          <w:sz w:val="18"/>
          <w:szCs w:val="18"/>
          <w:color w:val="auto"/>
        </w:rPr>
        <w:t>File No. 333-200263 Series XTRA</w:t>
      </w:r>
    </w:p>
    <w:p>
      <w:pPr>
        <w:ind w:left="580"/>
        <w:spacing w:after="0" w:line="235" w:lineRule="auto"/>
        <w:rPr>
          <w:sz w:val="20"/>
          <w:szCs w:val="20"/>
          <w:color w:val="auto"/>
        </w:rPr>
      </w:pPr>
      <w:r>
        <w:rPr>
          <w:rFonts w:ascii="Arial" w:cs="Arial" w:eastAsia="Arial" w:hAnsi="Arial"/>
          <w:sz w:val="18"/>
          <w:szCs w:val="18"/>
          <w:color w:val="auto"/>
        </w:rPr>
        <w:t>File No. 333-200265 Series S and Series S-L Share Option (offered between April 30, 2007 and October 7, 2011)</w:t>
      </w:r>
    </w:p>
    <w:p>
      <w:pPr>
        <w:ind w:left="580"/>
        <w:spacing w:after="0" w:line="235" w:lineRule="auto"/>
        <w:rPr>
          <w:sz w:val="20"/>
          <w:szCs w:val="20"/>
          <w:color w:val="auto"/>
        </w:rPr>
      </w:pPr>
      <w:r>
        <w:rPr>
          <w:rFonts w:ascii="Arial" w:cs="Arial" w:eastAsia="Arial" w:hAnsi="Arial"/>
          <w:sz w:val="18"/>
          <w:szCs w:val="18"/>
          <w:color w:val="auto"/>
        </w:rPr>
        <w:t>File No. 333-200268 Series L - 4 Year (offered between October 7, 2011 and April 28, 2013)</w:t>
      </w:r>
    </w:p>
    <w:p>
      <w:pPr>
        <w:ind w:left="580"/>
        <w:spacing w:after="0" w:line="235" w:lineRule="auto"/>
        <w:rPr>
          <w:sz w:val="20"/>
          <w:szCs w:val="20"/>
          <w:color w:val="auto"/>
        </w:rPr>
      </w:pPr>
      <w:r>
        <w:rPr>
          <w:rFonts w:ascii="Arial" w:cs="Arial" w:eastAsia="Arial" w:hAnsi="Arial"/>
          <w:sz w:val="18"/>
          <w:szCs w:val="18"/>
          <w:color w:val="auto"/>
        </w:rPr>
        <w:t>File No. 333-200270 Group Annuity SF 101</w:t>
      </w:r>
    </w:p>
    <w:p>
      <w:pPr>
        <w:ind w:left="580"/>
        <w:spacing w:after="0" w:line="235" w:lineRule="auto"/>
        <w:rPr>
          <w:sz w:val="20"/>
          <w:szCs w:val="20"/>
          <w:color w:val="auto"/>
        </w:rPr>
      </w:pPr>
      <w:r>
        <w:rPr>
          <w:rFonts w:ascii="Arial" w:cs="Arial" w:eastAsia="Arial" w:hAnsi="Arial"/>
          <w:sz w:val="18"/>
          <w:szCs w:val="18"/>
          <w:color w:val="auto"/>
        </w:rPr>
        <w:t>File No. 333-200272 Ultimate Annuity FSL 224</w:t>
      </w:r>
    </w:p>
    <w:p>
      <w:pPr>
        <w:ind w:left="580"/>
        <w:spacing w:after="0" w:line="234" w:lineRule="auto"/>
        <w:rPr>
          <w:sz w:val="20"/>
          <w:szCs w:val="20"/>
          <w:color w:val="auto"/>
        </w:rPr>
      </w:pPr>
      <w:r>
        <w:rPr>
          <w:rFonts w:ascii="Arial" w:cs="Arial" w:eastAsia="Arial" w:hAnsi="Arial"/>
          <w:sz w:val="18"/>
          <w:szCs w:val="18"/>
          <w:color w:val="auto"/>
        </w:rPr>
        <w:t>File No. 333-200275 Foresight SF 137</w:t>
      </w:r>
    </w:p>
    <w:p>
      <w:pPr>
        <w:ind w:left="580"/>
        <w:spacing w:after="0" w:line="235" w:lineRule="auto"/>
        <w:rPr>
          <w:sz w:val="20"/>
          <w:szCs w:val="20"/>
          <w:color w:val="auto"/>
        </w:rPr>
      </w:pPr>
      <w:r>
        <w:rPr>
          <w:rFonts w:ascii="Arial" w:cs="Arial" w:eastAsia="Arial" w:hAnsi="Arial"/>
          <w:sz w:val="18"/>
          <w:szCs w:val="18"/>
          <w:color w:val="auto"/>
        </w:rPr>
        <w:t>File No. 333-200277 SecurAnnuity (CLICO) 224/ SF 1700</w:t>
      </w:r>
    </w:p>
    <w:p>
      <w:pPr>
        <w:ind w:left="580"/>
        <w:spacing w:after="0" w:line="235" w:lineRule="auto"/>
        <w:rPr>
          <w:sz w:val="20"/>
          <w:szCs w:val="20"/>
          <w:color w:val="auto"/>
        </w:rPr>
      </w:pPr>
      <w:r>
        <w:rPr>
          <w:rFonts w:ascii="Arial" w:cs="Arial" w:eastAsia="Arial" w:hAnsi="Arial"/>
          <w:sz w:val="18"/>
          <w:szCs w:val="18"/>
          <w:color w:val="auto"/>
        </w:rPr>
        <w:t>File No. 333-200278 Group VA SF 234 (Texas)</w:t>
      </w:r>
    </w:p>
    <w:p>
      <w:pPr>
        <w:ind w:left="580"/>
        <w:spacing w:after="0" w:line="235" w:lineRule="auto"/>
        <w:rPr>
          <w:sz w:val="20"/>
          <w:szCs w:val="20"/>
          <w:color w:val="auto"/>
        </w:rPr>
      </w:pPr>
      <w:r>
        <w:rPr>
          <w:rFonts w:ascii="Arial" w:cs="Arial" w:eastAsia="Arial" w:hAnsi="Arial"/>
          <w:sz w:val="18"/>
          <w:szCs w:val="18"/>
          <w:color w:val="auto"/>
        </w:rPr>
        <w:t>File No. 333-200280 Sunshine SF 236 FL</w:t>
      </w:r>
    </w:p>
    <w:p>
      <w:pPr>
        <w:ind w:left="580"/>
        <w:spacing w:after="0" w:line="235" w:lineRule="auto"/>
        <w:rPr>
          <w:sz w:val="20"/>
          <w:szCs w:val="20"/>
          <w:color w:val="auto"/>
        </w:rPr>
      </w:pPr>
      <w:r>
        <w:rPr>
          <w:rFonts w:ascii="Arial" w:cs="Arial" w:eastAsia="Arial" w:hAnsi="Arial"/>
          <w:sz w:val="18"/>
          <w:szCs w:val="18"/>
          <w:color w:val="auto"/>
        </w:rPr>
        <w:t>File No. 333-200281 Flexible Value SF 230</w:t>
      </w:r>
    </w:p>
    <w:p>
      <w:pPr>
        <w:ind w:left="580" w:right="1880"/>
        <w:spacing w:after="0" w:line="250" w:lineRule="auto"/>
        <w:rPr>
          <w:sz w:val="20"/>
          <w:szCs w:val="20"/>
          <w:color w:val="auto"/>
        </w:rPr>
      </w:pPr>
      <w:r>
        <w:rPr>
          <w:rFonts w:ascii="Arial" w:cs="Arial" w:eastAsia="Arial" w:hAnsi="Arial"/>
          <w:sz w:val="18"/>
          <w:szCs w:val="18"/>
          <w:color w:val="auto"/>
        </w:rPr>
        <w:t>File No. 333-200282 Investors Choice Annuity, Capital Strategist Annuity, Imprint Annuity and Strive Annuity File No. 333-200283 Protected Equity Portfolio (PEP)</w:t>
      </w:r>
    </w:p>
    <w:p>
      <w:pPr>
        <w:sectPr>
          <w:pgSz w:w="11900" w:h="16838" w:orient="portrait"/>
          <w:cols w:equalWidth="0" w:num="1">
            <w:col w:w="11020"/>
          </w:cols>
          <w:pgMar w:left="320" w:top="269" w:right="559" w:bottom="1440" w:gutter="0" w:footer="0" w:header="0"/>
        </w:sectPr>
      </w:pPr>
    </w:p>
    <w:bookmarkStart w:id="119" w:name="page120"/>
    <w:bookmarkEnd w:id="119"/>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333-200284 Vintage L and Vintage XC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333-200285 Series XTRA 6</w:t>
      </w:r>
    </w:p>
    <w:p>
      <w:pPr>
        <w:ind w:left="580"/>
        <w:spacing w:after="0" w:line="234" w:lineRule="auto"/>
        <w:rPr>
          <w:sz w:val="20"/>
          <w:szCs w:val="20"/>
          <w:color w:val="auto"/>
        </w:rPr>
      </w:pPr>
      <w:r>
        <w:rPr>
          <w:rFonts w:ascii="Arial" w:cs="Arial" w:eastAsia="Arial" w:hAnsi="Arial"/>
          <w:sz w:val="18"/>
          <w:szCs w:val="18"/>
          <w:color w:val="auto"/>
        </w:rPr>
        <w:t>File No. 333-200286 Series VA - 4 (offered between May 1, 2011 and October 7, 2011)</w:t>
      </w:r>
    </w:p>
    <w:p>
      <w:pPr>
        <w:ind w:left="580"/>
        <w:spacing w:after="0" w:line="235" w:lineRule="auto"/>
        <w:rPr>
          <w:sz w:val="20"/>
          <w:szCs w:val="20"/>
          <w:color w:val="auto"/>
        </w:rPr>
      </w:pPr>
      <w:r>
        <w:rPr>
          <w:rFonts w:ascii="Arial" w:cs="Arial" w:eastAsia="Arial" w:hAnsi="Arial"/>
          <w:sz w:val="18"/>
          <w:szCs w:val="18"/>
          <w:color w:val="auto"/>
        </w:rPr>
        <w:t>File No. 333-200287 Series C (offered on and after October 7, 2011)</w:t>
      </w:r>
    </w:p>
    <w:p>
      <w:pPr>
        <w:ind w:left="580"/>
        <w:spacing w:after="0" w:line="235" w:lineRule="auto"/>
        <w:rPr>
          <w:sz w:val="20"/>
          <w:szCs w:val="20"/>
          <w:color w:val="auto"/>
        </w:rPr>
      </w:pPr>
      <w:r>
        <w:rPr>
          <w:rFonts w:ascii="Arial" w:cs="Arial" w:eastAsia="Arial" w:hAnsi="Arial"/>
          <w:sz w:val="18"/>
          <w:szCs w:val="18"/>
          <w:color w:val="auto"/>
        </w:rPr>
        <w:t>File No. 333-200288 Pioneer PRISM</w:t>
      </w:r>
    </w:p>
    <w:p>
      <w:pPr>
        <w:ind w:left="580"/>
        <w:spacing w:after="0" w:line="235" w:lineRule="auto"/>
        <w:rPr>
          <w:sz w:val="20"/>
          <w:szCs w:val="20"/>
          <w:color w:val="auto"/>
        </w:rPr>
      </w:pPr>
      <w:r>
        <w:rPr>
          <w:rFonts w:ascii="Arial" w:cs="Arial" w:eastAsia="Arial" w:hAnsi="Arial"/>
          <w:sz w:val="18"/>
          <w:szCs w:val="18"/>
          <w:color w:val="auto"/>
        </w:rPr>
        <w:t>File No. 333-200289 Pioneer PRISM L</w:t>
      </w:r>
    </w:p>
    <w:p>
      <w:pPr>
        <w:ind w:left="580"/>
        <w:spacing w:after="0" w:line="235" w:lineRule="auto"/>
        <w:rPr>
          <w:sz w:val="20"/>
          <w:szCs w:val="20"/>
          <w:color w:val="auto"/>
        </w:rPr>
      </w:pPr>
      <w:r>
        <w:rPr>
          <w:rFonts w:ascii="Arial" w:cs="Arial" w:eastAsia="Arial" w:hAnsi="Arial"/>
          <w:sz w:val="18"/>
          <w:szCs w:val="18"/>
          <w:color w:val="auto"/>
        </w:rPr>
        <w:t>File No. 333-200290 Pioneer PRISM XC</w:t>
      </w:r>
    </w:p>
    <w:p>
      <w:pPr>
        <w:ind w:left="780" w:right="660" w:hanging="204"/>
        <w:spacing w:after="0" w:line="216" w:lineRule="auto"/>
        <w:rPr>
          <w:sz w:val="20"/>
          <w:szCs w:val="20"/>
          <w:color w:val="auto"/>
        </w:rPr>
      </w:pPr>
      <w:r>
        <w:rPr>
          <w:rFonts w:ascii="Arial" w:cs="Arial" w:eastAsia="Arial" w:hAnsi="Arial"/>
          <w:sz w:val="16"/>
          <w:szCs w:val="16"/>
          <w:color w:val="auto"/>
        </w:rPr>
        <w:t>File No. 333-200323 Brighthouse Investment Portfolio Architect</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 Standard Version and Brighthouse Investment Portfolio Architect</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 C Share Option</w:t>
      </w:r>
    </w:p>
    <w:p>
      <w:pPr>
        <w:ind w:left="580"/>
        <w:spacing w:after="0" w:line="236" w:lineRule="auto"/>
        <w:rPr>
          <w:sz w:val="20"/>
          <w:szCs w:val="20"/>
          <w:color w:val="auto"/>
        </w:rPr>
      </w:pPr>
      <w:r>
        <w:rPr>
          <w:rFonts w:ascii="Arial" w:cs="Arial" w:eastAsia="Arial" w:hAnsi="Arial"/>
          <w:sz w:val="18"/>
          <w:szCs w:val="18"/>
          <w:color w:val="auto"/>
        </w:rPr>
        <w:t>File No. 333-203748 Series O (offered on and after July 20, 2015)</w:t>
      </w:r>
    </w:p>
    <w:p>
      <w:pPr>
        <w:ind w:left="580"/>
        <w:spacing w:after="0" w:line="235" w:lineRule="auto"/>
        <w:rPr>
          <w:sz w:val="20"/>
          <w:szCs w:val="20"/>
          <w:color w:val="auto"/>
        </w:rPr>
      </w:pPr>
      <w:r>
        <w:rPr>
          <w:rFonts w:ascii="Arial" w:cs="Arial" w:eastAsia="Arial" w:hAnsi="Arial"/>
          <w:sz w:val="18"/>
          <w:szCs w:val="18"/>
          <w:color w:val="auto"/>
        </w:rPr>
        <w:t>File No. 333-209053 Series VA (offered on and after May 2, 2016)</w:t>
      </w:r>
    </w:p>
    <w:p>
      <w:pPr>
        <w:ind w:left="580"/>
        <w:spacing w:after="0" w:line="235" w:lineRule="auto"/>
        <w:rPr>
          <w:sz w:val="20"/>
          <w:szCs w:val="20"/>
          <w:color w:val="auto"/>
        </w:rPr>
      </w:pPr>
      <w:r>
        <w:rPr>
          <w:rFonts w:ascii="Arial" w:cs="Arial" w:eastAsia="Arial" w:hAnsi="Arial"/>
          <w:sz w:val="18"/>
          <w:szCs w:val="18"/>
          <w:color w:val="auto"/>
        </w:rPr>
        <w:t>File No. 333-209054 Series VA- 4 (offered on and after May 2, 2016)</w:t>
      </w:r>
    </w:p>
    <w:p>
      <w:pPr>
        <w:ind w:left="580" w:right="160"/>
        <w:spacing w:after="0" w:line="250" w:lineRule="auto"/>
        <w:rPr>
          <w:sz w:val="20"/>
          <w:szCs w:val="20"/>
          <w:color w:val="auto"/>
        </w:rPr>
      </w:pPr>
      <w:r>
        <w:rPr>
          <w:rFonts w:ascii="Arial" w:cs="Arial" w:eastAsia="Arial" w:hAnsi="Arial"/>
          <w:sz w:val="18"/>
          <w:szCs w:val="18"/>
          <w:color w:val="auto"/>
        </w:rPr>
        <w:t>File No. 333-209055 Series S (offered on and after May 2, 2016) and Series S-L Share Option (offered on and after May 2, 2016) File No. 333-209411 Brighthouse Prime Options,</w:t>
      </w:r>
    </w:p>
    <w:p>
      <w:pPr>
        <w:spacing w:after="0" w:line="199"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Separate Account Eleven for Variable Annuities (811-21262)</w:t>
      </w:r>
    </w:p>
    <w:p>
      <w:pPr>
        <w:spacing w:after="0" w:line="14" w:lineRule="exact"/>
        <w:rPr>
          <w:sz w:val="20"/>
          <w:szCs w:val="20"/>
          <w:color w:val="auto"/>
        </w:rPr>
      </w:pPr>
    </w:p>
    <w:p>
      <w:pPr>
        <w:ind w:left="780" w:right="360" w:hanging="204"/>
        <w:spacing w:after="0" w:line="234" w:lineRule="auto"/>
        <w:rPr>
          <w:sz w:val="20"/>
          <w:szCs w:val="20"/>
          <w:color w:val="auto"/>
        </w:rPr>
      </w:pPr>
      <w:r>
        <w:rPr>
          <w:rFonts w:ascii="Arial" w:cs="Arial" w:eastAsia="Arial" w:hAnsi="Arial"/>
          <w:sz w:val="18"/>
          <w:szCs w:val="18"/>
          <w:color w:val="auto"/>
        </w:rPr>
        <w:t>File Nos. 333-101778 and 333-152234 Pioneer AnnuiStar Plus Annuity, Portfolio Architect Plus Annuity and Scudder Advocate Rewards Annuity</w:t>
      </w:r>
    </w:p>
    <w:p>
      <w:pPr>
        <w:ind w:left="580"/>
        <w:spacing w:after="0" w:line="236" w:lineRule="auto"/>
        <w:rPr>
          <w:sz w:val="20"/>
          <w:szCs w:val="20"/>
          <w:color w:val="auto"/>
        </w:rPr>
      </w:pPr>
      <w:r>
        <w:rPr>
          <w:rFonts w:ascii="Arial" w:cs="Arial" w:eastAsia="Arial" w:hAnsi="Arial"/>
          <w:sz w:val="18"/>
          <w:szCs w:val="18"/>
          <w:color w:val="auto"/>
        </w:rPr>
        <w:t>File No. 333-152189 Universal Annuity</w:t>
      </w:r>
    </w:p>
    <w:p>
      <w:pPr>
        <w:ind w:left="580"/>
        <w:spacing w:after="0" w:line="235" w:lineRule="auto"/>
        <w:rPr>
          <w:sz w:val="20"/>
          <w:szCs w:val="20"/>
          <w:color w:val="auto"/>
        </w:rPr>
      </w:pPr>
      <w:r>
        <w:rPr>
          <w:rFonts w:ascii="Arial" w:cs="Arial" w:eastAsia="Arial" w:hAnsi="Arial"/>
          <w:sz w:val="18"/>
          <w:szCs w:val="18"/>
          <w:color w:val="auto"/>
        </w:rPr>
        <w:t>File No. 333-152190 Universal Select Annuity</w:t>
      </w:r>
    </w:p>
    <w:p>
      <w:pPr>
        <w:ind w:left="580"/>
        <w:spacing w:after="0" w:line="235" w:lineRule="auto"/>
        <w:rPr>
          <w:sz w:val="20"/>
          <w:szCs w:val="20"/>
          <w:color w:val="auto"/>
        </w:rPr>
      </w:pPr>
      <w:r>
        <w:rPr>
          <w:rFonts w:ascii="Arial" w:cs="Arial" w:eastAsia="Arial" w:hAnsi="Arial"/>
          <w:sz w:val="18"/>
          <w:szCs w:val="18"/>
          <w:color w:val="auto"/>
        </w:rPr>
        <w:t>File No. 333-152191 Universal Annuity Advantage</w:t>
      </w:r>
    </w:p>
    <w:p>
      <w:pPr>
        <w:ind w:left="580" w:right="4700"/>
        <w:spacing w:after="0" w:line="234" w:lineRule="auto"/>
        <w:rPr>
          <w:sz w:val="20"/>
          <w:szCs w:val="20"/>
          <w:color w:val="auto"/>
        </w:rPr>
      </w:pPr>
      <w:r>
        <w:rPr>
          <w:rFonts w:ascii="Arial" w:cs="Arial" w:eastAsia="Arial" w:hAnsi="Arial"/>
          <w:sz w:val="18"/>
          <w:szCs w:val="18"/>
          <w:color w:val="auto"/>
        </w:rPr>
        <w:t>File Nos. 333-152192 and 333-152193 Brighthouse Retirement Account File No. 333-152194 Gold Track and Gold Track Select</w:t>
      </w:r>
    </w:p>
    <w:p>
      <w:pPr>
        <w:spacing w:after="0" w:line="1" w:lineRule="exact"/>
        <w:rPr>
          <w:sz w:val="20"/>
          <w:szCs w:val="20"/>
          <w:color w:val="auto"/>
        </w:rPr>
      </w:pPr>
    </w:p>
    <w:p>
      <w:pPr>
        <w:ind w:left="580" w:right="1880"/>
        <w:spacing w:after="0" w:line="234" w:lineRule="auto"/>
        <w:rPr>
          <w:sz w:val="20"/>
          <w:szCs w:val="20"/>
          <w:color w:val="auto"/>
        </w:rPr>
      </w:pPr>
      <w:r>
        <w:rPr>
          <w:rFonts w:ascii="Arial" w:cs="Arial" w:eastAsia="Arial" w:hAnsi="Arial"/>
          <w:sz w:val="18"/>
          <w:szCs w:val="18"/>
          <w:color w:val="auto"/>
        </w:rPr>
        <w:t>File Nos. 333-152197 and 333-152198 Brighthouse Access Annuity and Brighthouse Access Select Annuity File Nos. 333-152199 and 333-152200 Vintage Annuity File Nos. 333-152201 and 333-152202 Index Annuity</w:t>
      </w:r>
    </w:p>
    <w:p>
      <w:pPr>
        <w:spacing w:after="0" w:line="2" w:lineRule="exact"/>
        <w:rPr>
          <w:sz w:val="20"/>
          <w:szCs w:val="20"/>
          <w:color w:val="auto"/>
        </w:rPr>
      </w:pPr>
    </w:p>
    <w:p>
      <w:pPr>
        <w:ind w:left="780" w:right="440" w:hanging="204"/>
        <w:spacing w:after="0" w:line="234" w:lineRule="auto"/>
        <w:rPr>
          <w:sz w:val="20"/>
          <w:szCs w:val="20"/>
          <w:color w:val="auto"/>
        </w:rPr>
      </w:pPr>
      <w:r>
        <w:rPr>
          <w:rFonts w:ascii="Arial" w:cs="Arial" w:eastAsia="Arial" w:hAnsi="Arial"/>
          <w:sz w:val="18"/>
          <w:szCs w:val="18"/>
          <w:color w:val="auto"/>
        </w:rPr>
        <w:t>File Nos. 333-152232 and 333-152233 Portfolio Architect Annuity, Portfolio Architect Select Annuity, Premier Advisers Annuity (Class I) and Premier Advisers Annuity (Class II)</w:t>
      </w:r>
    </w:p>
    <w:p>
      <w:pPr>
        <w:spacing w:after="0" w:line="1" w:lineRule="exact"/>
        <w:rPr>
          <w:sz w:val="20"/>
          <w:szCs w:val="20"/>
          <w:color w:val="auto"/>
        </w:rPr>
      </w:pPr>
    </w:p>
    <w:p>
      <w:pPr>
        <w:ind w:left="780" w:right="540" w:hanging="204"/>
        <w:spacing w:after="0" w:line="234" w:lineRule="auto"/>
        <w:rPr>
          <w:sz w:val="20"/>
          <w:szCs w:val="20"/>
          <w:color w:val="auto"/>
        </w:rPr>
      </w:pPr>
      <w:r>
        <w:rPr>
          <w:rFonts w:ascii="Arial" w:cs="Arial" w:eastAsia="Arial" w:hAnsi="Arial"/>
          <w:sz w:val="18"/>
          <w:szCs w:val="18"/>
          <w:color w:val="auto"/>
        </w:rPr>
        <w:t>File Nos. 333-152235 and 333-152236 Pioneer AnnuiStar Annuity, Portfolio Architect II Annuity and Pioneer AnnuiStar Value Annuity</w:t>
      </w:r>
    </w:p>
    <w:p>
      <w:pPr>
        <w:spacing w:after="0" w:line="1" w:lineRule="exact"/>
        <w:rPr>
          <w:sz w:val="20"/>
          <w:szCs w:val="20"/>
          <w:color w:val="auto"/>
        </w:rPr>
      </w:pPr>
    </w:p>
    <w:p>
      <w:pPr>
        <w:ind w:left="780" w:right="60" w:hanging="204"/>
        <w:spacing w:after="0" w:line="234" w:lineRule="auto"/>
        <w:rPr>
          <w:sz w:val="20"/>
          <w:szCs w:val="20"/>
          <w:color w:val="auto"/>
        </w:rPr>
      </w:pPr>
      <w:r>
        <w:rPr>
          <w:rFonts w:ascii="Arial" w:cs="Arial" w:eastAsia="Arial" w:hAnsi="Arial"/>
          <w:sz w:val="18"/>
          <w:szCs w:val="18"/>
          <w:color w:val="auto"/>
        </w:rPr>
        <w:t>File Nos. 333-152237 and 333-152238 Premier Advisers II Annuity, Premier Advisers III (Series I) and Premier Advisers III Annuity (Series II)</w:t>
      </w:r>
    </w:p>
    <w:p>
      <w:pPr>
        <w:spacing w:after="0" w:line="1" w:lineRule="exact"/>
        <w:rPr>
          <w:sz w:val="20"/>
          <w:szCs w:val="20"/>
          <w:color w:val="auto"/>
        </w:rPr>
      </w:pPr>
    </w:p>
    <w:p>
      <w:pPr>
        <w:ind w:left="780" w:hanging="204"/>
        <w:spacing w:after="0" w:line="234" w:lineRule="auto"/>
        <w:rPr>
          <w:sz w:val="20"/>
          <w:szCs w:val="20"/>
          <w:color w:val="auto"/>
        </w:rPr>
      </w:pPr>
      <w:r>
        <w:rPr>
          <w:rFonts w:ascii="Arial" w:cs="Arial" w:eastAsia="Arial" w:hAnsi="Arial"/>
          <w:sz w:val="18"/>
          <w:szCs w:val="18"/>
          <w:color w:val="auto"/>
        </w:rPr>
        <w:t>File Nos. 333-152239 and 333-152240 Premier Advisers AssetManager Annuity, Premier Advisers L Annuity (Series I) and Premier Advisers L Annuity (Series II)</w:t>
      </w:r>
    </w:p>
    <w:p>
      <w:pPr>
        <w:spacing w:after="0" w:line="1" w:lineRule="exact"/>
        <w:rPr>
          <w:sz w:val="20"/>
          <w:szCs w:val="20"/>
          <w:color w:val="auto"/>
        </w:rPr>
      </w:pPr>
    </w:p>
    <w:p>
      <w:pPr>
        <w:ind w:left="780" w:right="20" w:hanging="204"/>
        <w:spacing w:after="0" w:line="234" w:lineRule="auto"/>
        <w:rPr>
          <w:sz w:val="20"/>
          <w:szCs w:val="20"/>
          <w:color w:val="auto"/>
        </w:rPr>
      </w:pPr>
      <w:r>
        <w:rPr>
          <w:rFonts w:ascii="Arial" w:cs="Arial" w:eastAsia="Arial" w:hAnsi="Arial"/>
          <w:sz w:val="18"/>
          <w:szCs w:val="18"/>
          <w:color w:val="auto"/>
        </w:rPr>
        <w:t>File Nos. 333-152255 and 333-152265 Vintage XTRA Annuity, Portfolio Architect XTRA Annuity and Vintage XTRA Annuity (Series II)</w:t>
      </w:r>
    </w:p>
    <w:p>
      <w:pPr>
        <w:spacing w:after="0" w:line="1" w:lineRule="exact"/>
        <w:rPr>
          <w:sz w:val="20"/>
          <w:szCs w:val="20"/>
          <w:color w:val="auto"/>
        </w:rPr>
      </w:pPr>
    </w:p>
    <w:p>
      <w:pPr>
        <w:ind w:left="780" w:right="460" w:hanging="204"/>
        <w:spacing w:after="0" w:line="234" w:lineRule="auto"/>
        <w:rPr>
          <w:sz w:val="20"/>
          <w:szCs w:val="20"/>
          <w:color w:val="auto"/>
        </w:rPr>
      </w:pPr>
      <w:r>
        <w:rPr>
          <w:rFonts w:ascii="Arial" w:cs="Arial" w:eastAsia="Arial" w:hAnsi="Arial"/>
          <w:sz w:val="18"/>
          <w:szCs w:val="18"/>
          <w:color w:val="auto"/>
        </w:rPr>
        <w:t>File Nos. 333-152256 and 333-152292 Vintage 3 Annuity, Portfolio Architect 3 Annuity, Portfolio Architect L Annuity, Vintage L Annuity and Pioneer AnnuiStar Flex Annuity</w:t>
      </w:r>
    </w:p>
    <w:p>
      <w:pPr>
        <w:ind w:left="580"/>
        <w:spacing w:after="0" w:line="236" w:lineRule="auto"/>
        <w:rPr>
          <w:sz w:val="20"/>
          <w:szCs w:val="20"/>
          <w:color w:val="auto"/>
        </w:rPr>
      </w:pPr>
      <w:r>
        <w:rPr>
          <w:rFonts w:ascii="Arial" w:cs="Arial" w:eastAsia="Arial" w:hAnsi="Arial"/>
          <w:sz w:val="18"/>
          <w:szCs w:val="18"/>
          <w:color w:val="auto"/>
        </w:rPr>
        <w:t>File Nos. 333-152258 and 333-152261 PrimElite Annuity</w:t>
      </w:r>
    </w:p>
    <w:p>
      <w:pPr>
        <w:ind w:left="580"/>
        <w:spacing w:after="0" w:line="235" w:lineRule="auto"/>
        <w:rPr>
          <w:sz w:val="20"/>
          <w:szCs w:val="20"/>
          <w:color w:val="auto"/>
        </w:rPr>
      </w:pPr>
      <w:r>
        <w:rPr>
          <w:rFonts w:ascii="Arial" w:cs="Arial" w:eastAsia="Arial" w:hAnsi="Arial"/>
          <w:sz w:val="18"/>
          <w:szCs w:val="18"/>
          <w:color w:val="auto"/>
        </w:rPr>
        <w:t>File Nos. 333-152259 and 333-152262 PrimElite II Annuity</w:t>
      </w:r>
    </w:p>
    <w:p>
      <w:pPr>
        <w:ind w:left="580" w:right="4620"/>
        <w:spacing w:after="0" w:line="234" w:lineRule="auto"/>
        <w:rPr>
          <w:sz w:val="20"/>
          <w:szCs w:val="20"/>
          <w:color w:val="auto"/>
        </w:rPr>
      </w:pPr>
      <w:r>
        <w:rPr>
          <w:rFonts w:ascii="Arial" w:cs="Arial" w:eastAsia="Arial" w:hAnsi="Arial"/>
          <w:sz w:val="18"/>
          <w:szCs w:val="18"/>
          <w:color w:val="auto"/>
        </w:rPr>
        <w:t>File Nos. 333-152260 and 333-152266 Protected Equity Portfolio Annuity File Nos. 333-152263 and 333-152269 Marquis Portfolios</w:t>
      </w:r>
    </w:p>
    <w:p>
      <w:pPr>
        <w:spacing w:after="0" w:line="1" w:lineRule="exact"/>
        <w:rPr>
          <w:sz w:val="20"/>
          <w:szCs w:val="20"/>
          <w:color w:val="auto"/>
        </w:rPr>
      </w:pPr>
    </w:p>
    <w:p>
      <w:pPr>
        <w:ind w:left="780" w:right="620" w:hanging="204"/>
        <w:spacing w:after="0" w:line="234" w:lineRule="auto"/>
        <w:rPr>
          <w:sz w:val="20"/>
          <w:szCs w:val="20"/>
          <w:color w:val="auto"/>
        </w:rPr>
      </w:pPr>
      <w:r>
        <w:rPr>
          <w:rFonts w:ascii="Arial" w:cs="Arial" w:eastAsia="Arial" w:hAnsi="Arial"/>
          <w:sz w:val="18"/>
          <w:szCs w:val="18"/>
          <w:color w:val="auto"/>
        </w:rPr>
        <w:t>File Nos. 333-152264 and 333-152270 Vintage Access, Portfolio Architect Access, Scudder Advocate Advisor and Scudder Advocate Advisor - ST1 Annuity</w:t>
      </w:r>
    </w:p>
    <w:p>
      <w:pPr>
        <w:ind w:left="580"/>
        <w:spacing w:after="0" w:line="236" w:lineRule="auto"/>
        <w:rPr>
          <w:sz w:val="20"/>
          <w:szCs w:val="20"/>
          <w:color w:val="auto"/>
        </w:rPr>
      </w:pPr>
      <w:r>
        <w:rPr>
          <w:rFonts w:ascii="Arial" w:cs="Arial" w:eastAsia="Arial" w:hAnsi="Arial"/>
          <w:sz w:val="18"/>
          <w:szCs w:val="18"/>
          <w:color w:val="auto"/>
        </w:rPr>
        <w:t>File Nos. 333-152267 and 333-152268 Vintage II Annuity and Vintage II Annuity (Series II)</w:t>
      </w:r>
    </w:p>
    <w:p>
      <w:pPr>
        <w:ind w:left="580"/>
        <w:spacing w:after="0" w:line="235" w:lineRule="auto"/>
        <w:rPr>
          <w:sz w:val="20"/>
          <w:szCs w:val="20"/>
          <w:color w:val="auto"/>
        </w:rPr>
      </w:pPr>
      <w:r>
        <w:rPr>
          <w:rFonts w:ascii="Arial" w:cs="Arial" w:eastAsia="Arial" w:hAnsi="Arial"/>
          <w:sz w:val="18"/>
          <w:szCs w:val="18"/>
          <w:color w:val="auto"/>
        </w:rPr>
        <w:t>File No. 333-197658 Brighthouse Accumulation Annuity</w:t>
      </w:r>
    </w:p>
    <w:p>
      <w:pPr>
        <w:ind w:left="580"/>
        <w:spacing w:after="0"/>
        <w:rPr>
          <w:sz w:val="20"/>
          <w:szCs w:val="20"/>
          <w:color w:val="auto"/>
        </w:rPr>
      </w:pPr>
      <w:r>
        <w:rPr>
          <w:rFonts w:ascii="Arial" w:cs="Arial" w:eastAsia="Arial" w:hAnsi="Arial"/>
          <w:sz w:val="18"/>
          <w:szCs w:val="18"/>
          <w:color w:val="auto"/>
        </w:rPr>
        <w:t>File No. 333-208464 Brighthouse Premier Variable Annuity</w:t>
      </w:r>
      <w:r>
        <w:rPr>
          <w:rFonts w:ascii="Arial" w:cs="Arial" w:eastAsia="Arial" w:hAnsi="Arial"/>
          <w:sz w:val="26"/>
          <w:szCs w:val="26"/>
          <w:color w:val="auto"/>
          <w:vertAlign w:val="superscript"/>
        </w:rPr>
        <w:t>SM</w:t>
      </w:r>
      <w:r>
        <w:rPr>
          <w:rFonts w:ascii="Arial" w:cs="Arial" w:eastAsia="Arial" w:hAnsi="Arial"/>
          <w:sz w:val="18"/>
          <w:szCs w:val="18"/>
          <w:color w:val="auto"/>
        </w:rPr>
        <w:t>,</w:t>
      </w:r>
    </w:p>
    <w:p>
      <w:pPr>
        <w:spacing w:after="0" w:line="129" w:lineRule="exact"/>
        <w:rPr>
          <w:sz w:val="20"/>
          <w:szCs w:val="20"/>
          <w:color w:val="auto"/>
        </w:rPr>
      </w:pPr>
    </w:p>
    <w:p>
      <w:pPr>
        <w:ind w:left="580" w:right="5740" w:hanging="572"/>
        <w:spacing w:after="0" w:line="253" w:lineRule="auto"/>
        <w:tabs>
          <w:tab w:leader="none" w:pos="23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Brighthouse Separate Account QPN for Variable Annuities File No. 333-156867 Unallocated Group Variable Annuity File No. 333-156911 Brighthouse Retirement Perspectives,</w:t>
      </w:r>
    </w:p>
    <w:p>
      <w:pPr>
        <w:spacing w:after="0" w:line="195" w:lineRule="exact"/>
        <w:rPr>
          <w:rFonts w:ascii="Arial" w:cs="Arial" w:eastAsia="Arial" w:hAnsi="Arial"/>
          <w:sz w:val="18"/>
          <w:szCs w:val="18"/>
          <w:color w:val="auto"/>
        </w:rPr>
      </w:pPr>
    </w:p>
    <w:p>
      <w:pPr>
        <w:ind w:left="220" w:hanging="212"/>
        <w:spacing w:after="0"/>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Brighthouse Variable Annuity Account C (811-05200)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333-200244 Class XC</w:t>
      </w:r>
    </w:p>
    <w:p>
      <w:pPr>
        <w:ind w:left="580"/>
        <w:spacing w:after="0" w:line="234" w:lineRule="auto"/>
        <w:rPr>
          <w:sz w:val="20"/>
          <w:szCs w:val="20"/>
          <w:color w:val="auto"/>
        </w:rPr>
      </w:pPr>
      <w:r>
        <w:rPr>
          <w:rFonts w:ascii="Arial" w:cs="Arial" w:eastAsia="Arial" w:hAnsi="Arial"/>
          <w:sz w:val="18"/>
          <w:szCs w:val="18"/>
          <w:color w:val="auto"/>
        </w:rPr>
        <w:t>File No. 333-200247 Class VA, Class AA and Class B</w:t>
      </w:r>
    </w:p>
    <w:p>
      <w:pPr>
        <w:ind w:left="580"/>
        <w:spacing w:after="0" w:line="235" w:lineRule="auto"/>
        <w:rPr>
          <w:sz w:val="20"/>
          <w:szCs w:val="20"/>
          <w:color w:val="auto"/>
        </w:rPr>
      </w:pPr>
      <w:r>
        <w:rPr>
          <w:rFonts w:ascii="Arial" w:cs="Arial" w:eastAsia="Arial" w:hAnsi="Arial"/>
          <w:sz w:val="18"/>
          <w:szCs w:val="18"/>
          <w:color w:val="auto"/>
        </w:rPr>
        <w:t>File No. 333-200249 Class L and Class L - 4 Year</w:t>
      </w:r>
    </w:p>
    <w:p>
      <w:pPr>
        <w:ind w:left="580"/>
        <w:spacing w:after="0" w:line="235" w:lineRule="auto"/>
        <w:rPr>
          <w:sz w:val="20"/>
          <w:szCs w:val="20"/>
          <w:color w:val="auto"/>
        </w:rPr>
      </w:pPr>
      <w:r>
        <w:rPr>
          <w:rFonts w:ascii="Arial" w:cs="Arial" w:eastAsia="Arial" w:hAnsi="Arial"/>
          <w:sz w:val="18"/>
          <w:szCs w:val="18"/>
          <w:color w:val="auto"/>
        </w:rPr>
        <w:t>File No. 333-200252 Class A</w:t>
      </w:r>
    </w:p>
    <w:p>
      <w:pPr>
        <w:ind w:left="580"/>
        <w:spacing w:after="0" w:line="235" w:lineRule="auto"/>
        <w:rPr>
          <w:sz w:val="20"/>
          <w:szCs w:val="20"/>
          <w:color w:val="auto"/>
        </w:rPr>
      </w:pPr>
      <w:r>
        <w:rPr>
          <w:rFonts w:ascii="Arial" w:cs="Arial" w:eastAsia="Arial" w:hAnsi="Arial"/>
          <w:sz w:val="18"/>
          <w:szCs w:val="18"/>
          <w:color w:val="auto"/>
        </w:rPr>
        <w:t>File No. 333-200255 COVA VA, Firstar Summit VA, Premier Advisor VA, Destiny Select VA and Prevail VA</w:t>
      </w:r>
    </w:p>
    <w:p>
      <w:pPr>
        <w:ind w:left="580"/>
        <w:spacing w:after="0" w:line="235" w:lineRule="auto"/>
        <w:rPr>
          <w:sz w:val="20"/>
          <w:szCs w:val="20"/>
          <w:color w:val="auto"/>
        </w:rPr>
      </w:pPr>
      <w:r>
        <w:rPr>
          <w:rFonts w:ascii="Arial" w:cs="Arial" w:eastAsia="Arial" w:hAnsi="Arial"/>
          <w:sz w:val="18"/>
          <w:szCs w:val="18"/>
          <w:color w:val="auto"/>
        </w:rPr>
        <w:t>File No. 333-200258 COVA VA SPDA</w:t>
      </w:r>
    </w:p>
    <w:p>
      <w:pPr>
        <w:ind w:left="580"/>
        <w:spacing w:after="0" w:line="234" w:lineRule="auto"/>
        <w:rPr>
          <w:sz w:val="20"/>
          <w:szCs w:val="20"/>
          <w:color w:val="auto"/>
        </w:rPr>
      </w:pPr>
      <w:r>
        <w:rPr>
          <w:rFonts w:ascii="Arial" w:cs="Arial" w:eastAsia="Arial" w:hAnsi="Arial"/>
          <w:sz w:val="18"/>
          <w:szCs w:val="18"/>
          <w:color w:val="auto"/>
        </w:rPr>
        <w:t>File No. 333-200260 COVA Series 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333-200262 Navigator-Select/Custom-Select/Russell-Select</w:t>
      </w:r>
    </w:p>
    <w:p>
      <w:pPr>
        <w:sectPr>
          <w:pgSz w:w="11900" w:h="16838" w:orient="portrait"/>
          <w:cols w:equalWidth="0" w:num="1">
            <w:col w:w="11000"/>
          </w:cols>
          <w:pgMar w:left="320" w:top="269" w:right="579" w:bottom="1440" w:gutter="0" w:footer="0" w:header="0"/>
        </w:sectPr>
      </w:pPr>
    </w:p>
    <w:bookmarkStart w:id="120" w:name="page121"/>
    <w:bookmarkEnd w:id="120"/>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333-200264 Navigator-Select/Custom-Select/Russell-Select (CA)</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333-200266 COVA VA and Premier Advisor (CA)</w:t>
      </w:r>
    </w:p>
    <w:p>
      <w:pPr>
        <w:ind w:left="580"/>
        <w:spacing w:after="0" w:line="234" w:lineRule="auto"/>
        <w:rPr>
          <w:sz w:val="20"/>
          <w:szCs w:val="20"/>
          <w:color w:val="auto"/>
        </w:rPr>
      </w:pPr>
      <w:r>
        <w:rPr>
          <w:rFonts w:ascii="Arial" w:cs="Arial" w:eastAsia="Arial" w:hAnsi="Arial"/>
          <w:sz w:val="18"/>
          <w:szCs w:val="18"/>
          <w:color w:val="auto"/>
        </w:rPr>
        <w:t>File No. 333-200267 COVA Series A (CA)</w:t>
      </w:r>
    </w:p>
    <w:p>
      <w:pPr>
        <w:ind w:left="580"/>
        <w:spacing w:after="0" w:line="235" w:lineRule="auto"/>
        <w:rPr>
          <w:sz w:val="20"/>
          <w:szCs w:val="20"/>
          <w:color w:val="auto"/>
        </w:rPr>
      </w:pPr>
      <w:r>
        <w:rPr>
          <w:rFonts w:ascii="Arial" w:cs="Arial" w:eastAsia="Arial" w:hAnsi="Arial"/>
          <w:sz w:val="18"/>
          <w:szCs w:val="18"/>
          <w:color w:val="auto"/>
        </w:rPr>
        <w:t>File No. 333-200269 Class C</w:t>
      </w:r>
    </w:p>
    <w:p>
      <w:pPr>
        <w:ind w:left="580"/>
        <w:spacing w:after="0" w:line="235" w:lineRule="auto"/>
        <w:rPr>
          <w:sz w:val="20"/>
          <w:szCs w:val="20"/>
          <w:color w:val="auto"/>
        </w:rPr>
      </w:pPr>
      <w:r>
        <w:rPr>
          <w:rFonts w:ascii="Arial" w:cs="Arial" w:eastAsia="Arial" w:hAnsi="Arial"/>
          <w:sz w:val="18"/>
          <w:szCs w:val="18"/>
          <w:color w:val="auto"/>
        </w:rPr>
        <w:t>File No. 333-200271 Class VA (CA), Class AA (CA), and Class B (CA)</w:t>
      </w:r>
    </w:p>
    <w:p>
      <w:pPr>
        <w:ind w:left="580"/>
        <w:spacing w:after="0" w:line="235" w:lineRule="auto"/>
        <w:rPr>
          <w:sz w:val="20"/>
          <w:szCs w:val="20"/>
          <w:color w:val="auto"/>
        </w:rPr>
      </w:pPr>
      <w:r>
        <w:rPr>
          <w:rFonts w:ascii="Arial" w:cs="Arial" w:eastAsia="Arial" w:hAnsi="Arial"/>
          <w:sz w:val="18"/>
          <w:szCs w:val="18"/>
          <w:color w:val="auto"/>
        </w:rPr>
        <w:t>File No. 333-200273 Class XC (CA)</w:t>
      </w:r>
    </w:p>
    <w:p>
      <w:pPr>
        <w:ind w:left="580"/>
        <w:spacing w:after="0" w:line="235" w:lineRule="auto"/>
        <w:rPr>
          <w:sz w:val="20"/>
          <w:szCs w:val="20"/>
          <w:color w:val="auto"/>
        </w:rPr>
      </w:pPr>
      <w:r>
        <w:rPr>
          <w:rFonts w:ascii="Arial" w:cs="Arial" w:eastAsia="Arial" w:hAnsi="Arial"/>
          <w:sz w:val="18"/>
          <w:szCs w:val="18"/>
          <w:color w:val="auto"/>
        </w:rPr>
        <w:t>File No. 333-200274 Class L (CA) and Class L - 4 Year (CA)</w:t>
      </w:r>
    </w:p>
    <w:p>
      <w:pPr>
        <w:ind w:left="580"/>
        <w:spacing w:after="0" w:line="234" w:lineRule="auto"/>
        <w:rPr>
          <w:sz w:val="20"/>
          <w:szCs w:val="20"/>
          <w:color w:val="auto"/>
        </w:rPr>
      </w:pPr>
      <w:r>
        <w:rPr>
          <w:rFonts w:ascii="Arial" w:cs="Arial" w:eastAsia="Arial" w:hAnsi="Arial"/>
          <w:sz w:val="18"/>
          <w:szCs w:val="18"/>
          <w:color w:val="auto"/>
        </w:rPr>
        <w:t>File No. 333-200276 Class A (CA)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333-200279 Class C (CA),</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Variable Life Account A (811-21851)</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333-200241 Equity Advantage Variable Universal Life,</w:t>
      </w:r>
    </w:p>
    <w:p>
      <w:pPr>
        <w:spacing w:after="0" w:line="221" w:lineRule="exact"/>
        <w:rPr>
          <w:sz w:val="20"/>
          <w:szCs w:val="20"/>
          <w:color w:val="auto"/>
        </w:rPr>
      </w:pPr>
    </w:p>
    <w:p>
      <w:pPr>
        <w:ind w:left="580" w:right="6480" w:hanging="572"/>
        <w:spacing w:after="0" w:line="245" w:lineRule="auto"/>
        <w:tabs>
          <w:tab w:leader="none" w:pos="23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Brighthouse Variable Life Account One (811-07971) File No. 333-200242 Class VL</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File No. 333-200245 Class VL (CA)</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File No. 333-200248 Modified Single Premium Variable Life</w:t>
      </w:r>
    </w:p>
    <w:p>
      <w:pPr>
        <w:ind w:left="580" w:right="4800"/>
        <w:spacing w:after="0" w:line="242" w:lineRule="auto"/>
        <w:rPr>
          <w:rFonts w:ascii="Arial" w:cs="Arial" w:eastAsia="Arial" w:hAnsi="Arial"/>
          <w:sz w:val="18"/>
          <w:szCs w:val="18"/>
          <w:color w:val="auto"/>
        </w:rPr>
      </w:pPr>
      <w:r>
        <w:rPr>
          <w:rFonts w:ascii="Arial" w:cs="Arial" w:eastAsia="Arial" w:hAnsi="Arial"/>
          <w:sz w:val="18"/>
          <w:szCs w:val="18"/>
          <w:color w:val="auto"/>
        </w:rPr>
        <w:t>File No. 333-200251 Custom Select and Russell Select Variable Life File No. 333-200254 Modified Single Premium Variable Life (CA) File No. 333-200257 Custom Select Variable Life,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And pertaining to:</w:t>
      </w:r>
    </w:p>
    <w:p>
      <w:pPr>
        <w:ind w:left="580"/>
        <w:spacing w:after="0" w:line="180" w:lineRule="auto"/>
        <w:rPr>
          <w:sz w:val="20"/>
          <w:szCs w:val="20"/>
          <w:color w:val="auto"/>
        </w:rPr>
      </w:pPr>
      <w:r>
        <w:rPr>
          <w:rFonts w:ascii="Arial" w:cs="Arial" w:eastAsia="Arial" w:hAnsi="Arial"/>
          <w:sz w:val="17"/>
          <w:szCs w:val="17"/>
          <w:color w:val="auto"/>
        </w:rPr>
        <w:t>File No. 333-268618 Brighthouse SmartGuard Plus</w:t>
      </w:r>
      <w:r>
        <w:rPr>
          <w:rFonts w:ascii="Arial" w:cs="Arial" w:eastAsia="Arial" w:hAnsi="Arial"/>
          <w:sz w:val="25"/>
          <w:szCs w:val="25"/>
          <w:color w:val="auto"/>
          <w:vertAlign w:val="superscript"/>
        </w:rPr>
        <w:t>SM</w:t>
      </w:r>
    </w:p>
    <w:p>
      <w:pPr>
        <w:ind w:left="580"/>
        <w:spacing w:after="0" w:line="183" w:lineRule="auto"/>
        <w:rPr>
          <w:sz w:val="20"/>
          <w:szCs w:val="20"/>
          <w:color w:val="auto"/>
        </w:rPr>
      </w:pPr>
      <w:r>
        <w:rPr>
          <w:rFonts w:ascii="Arial" w:cs="Arial" w:eastAsia="Arial" w:hAnsi="Arial"/>
          <w:sz w:val="16"/>
          <w:szCs w:val="16"/>
          <w:color w:val="auto"/>
        </w:rPr>
        <w:t>File No. 333-262390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Pay Plus</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Annuity and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Pay Plus</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Advisory Annuity File No. 333-259505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spacing w:after="0" w:line="2" w:lineRule="exact"/>
        <w:rPr>
          <w:sz w:val="20"/>
          <w:szCs w:val="20"/>
          <w:color w:val="auto"/>
        </w:rPr>
      </w:pPr>
    </w:p>
    <w:p>
      <w:pPr>
        <w:ind w:left="580" w:right="4520"/>
        <w:spacing w:after="0" w:line="183" w:lineRule="auto"/>
        <w:rPr>
          <w:sz w:val="20"/>
          <w:szCs w:val="20"/>
          <w:color w:val="auto"/>
        </w:rPr>
      </w:pPr>
      <w:r>
        <w:rPr>
          <w:rFonts w:ascii="Arial" w:cs="Arial" w:eastAsia="Arial" w:hAnsi="Arial"/>
          <w:sz w:val="16"/>
          <w:szCs w:val="16"/>
          <w:color w:val="auto"/>
        </w:rPr>
        <w:t>File No. 333-233240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Advisory Annuity File No. 333-268427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Advisory Annuity File No. 333-263492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File No. 333-263495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 File No. 333-238213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ind w:left="580"/>
        <w:spacing w:after="0" w:line="187" w:lineRule="auto"/>
        <w:rPr>
          <w:sz w:val="20"/>
          <w:szCs w:val="20"/>
          <w:color w:val="auto"/>
        </w:rPr>
      </w:pPr>
      <w:r>
        <w:rPr>
          <w:rFonts w:ascii="Arial" w:cs="Arial" w:eastAsia="Arial" w:hAnsi="Arial"/>
          <w:sz w:val="16"/>
          <w:szCs w:val="16"/>
          <w:color w:val="auto"/>
        </w:rPr>
        <w:t>File No. 333-208664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Annuity</w:t>
      </w:r>
    </w:p>
    <w:p>
      <w:pPr>
        <w:spacing w:after="0" w:line="1" w:lineRule="exact"/>
        <w:rPr>
          <w:sz w:val="20"/>
          <w:szCs w:val="20"/>
          <w:color w:val="auto"/>
        </w:rPr>
      </w:pPr>
    </w:p>
    <w:p>
      <w:pPr>
        <w:ind w:left="580" w:right="4520"/>
        <w:spacing w:after="0" w:line="192" w:lineRule="auto"/>
        <w:rPr>
          <w:sz w:val="20"/>
          <w:szCs w:val="20"/>
          <w:color w:val="auto"/>
        </w:rPr>
      </w:pPr>
      <w:r>
        <w:rPr>
          <w:rFonts w:ascii="Arial" w:cs="Arial" w:eastAsia="Arial" w:hAnsi="Arial"/>
          <w:sz w:val="18"/>
          <w:szCs w:val="18"/>
          <w:color w:val="auto"/>
        </w:rPr>
        <w:t>File No. 333-207091 Brighthouse Shield Level Selector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3-Year Annuity File No. 333-276468 Registered Fixed Account Option</w:t>
      </w:r>
    </w:p>
    <w:p>
      <w:pPr>
        <w:ind w:left="580"/>
        <w:spacing w:after="0" w:line="235" w:lineRule="auto"/>
        <w:rPr>
          <w:sz w:val="20"/>
          <w:szCs w:val="20"/>
          <w:color w:val="auto"/>
        </w:rPr>
      </w:pPr>
      <w:r>
        <w:rPr>
          <w:rFonts w:ascii="Arial" w:cs="Arial" w:eastAsia="Arial" w:hAnsi="Arial"/>
          <w:sz w:val="18"/>
          <w:szCs w:val="18"/>
          <w:color w:val="auto"/>
        </w:rPr>
        <w:t>File No. 333-276469 Fixed Annuity (Strategic Value Annuity)</w:t>
      </w:r>
    </w:p>
    <w:p>
      <w:pPr>
        <w:ind w:left="580" w:right="4640"/>
        <w:spacing w:after="0" w:line="189" w:lineRule="auto"/>
        <w:rPr>
          <w:sz w:val="20"/>
          <w:szCs w:val="20"/>
          <w:color w:val="auto"/>
        </w:rPr>
      </w:pPr>
      <w:r>
        <w:rPr>
          <w:rFonts w:ascii="Arial" w:cs="Arial" w:eastAsia="Arial" w:hAnsi="Arial"/>
          <w:sz w:val="17"/>
          <w:szCs w:val="17"/>
          <w:color w:val="auto"/>
        </w:rPr>
        <w:t>File No. 333-276470 Brighthouse Retirement Account Liquidity Benefit File No. 333-276599 Brighthouse Shield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Level II 6-Year Annuity File No. 333-276762 Brighthouse Shield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Level II Advisory Annuity</w:t>
      </w:r>
    </w:p>
    <w:p>
      <w:pPr>
        <w:spacing w:after="0" w:line="1" w:lineRule="exact"/>
        <w:rPr>
          <w:sz w:val="20"/>
          <w:szCs w:val="20"/>
          <w:color w:val="auto"/>
        </w:rPr>
      </w:pPr>
    </w:p>
    <w:p>
      <w:pPr>
        <w:ind w:left="580" w:right="100"/>
        <w:spacing w:after="0"/>
        <w:rPr>
          <w:sz w:val="20"/>
          <w:szCs w:val="20"/>
          <w:color w:val="auto"/>
        </w:rPr>
      </w:pPr>
      <w:r>
        <w:rPr>
          <w:rFonts w:ascii="Arial" w:cs="Arial" w:eastAsia="Arial" w:hAnsi="Arial"/>
          <w:sz w:val="18"/>
          <w:szCs w:val="18"/>
          <w:color w:val="auto"/>
        </w:rPr>
        <w:t>File No. 333-276763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Annuity and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Advisory Annuity File No. 333-279302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3-Year Annuity T-Mark Fixed Annuity</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Target Maturity,</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Life Insurance Company (RILA MVA)</w:t>
      </w:r>
    </w:p>
    <w:p>
      <w:pPr>
        <w:spacing w:after="0" w:line="14" w:lineRule="exact"/>
        <w:rPr>
          <w:sz w:val="20"/>
          <w:szCs w:val="20"/>
          <w:color w:val="auto"/>
        </w:rPr>
      </w:pPr>
    </w:p>
    <w:p>
      <w:pPr>
        <w:ind w:left="580" w:right="100"/>
        <w:spacing w:after="0" w:line="181" w:lineRule="auto"/>
        <w:rPr>
          <w:sz w:val="20"/>
          <w:szCs w:val="20"/>
          <w:color w:val="auto"/>
        </w:rPr>
      </w:pPr>
      <w:r>
        <w:rPr>
          <w:rFonts w:ascii="Arial" w:cs="Arial" w:eastAsia="Arial" w:hAnsi="Arial"/>
          <w:sz w:val="18"/>
          <w:szCs w:val="18"/>
          <w:color w:val="auto"/>
        </w:rPr>
        <w:t>File No. 333-282752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Annuity and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Advisory Annuity File No. 333-282871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Advisory Annuity File No. 333-283023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ind w:left="580"/>
        <w:spacing w:after="0"/>
        <w:rPr>
          <w:sz w:val="20"/>
          <w:szCs w:val="20"/>
          <w:color w:val="auto"/>
        </w:rPr>
      </w:pPr>
      <w:r>
        <w:rPr>
          <w:rFonts w:ascii="Arial" w:cs="Arial" w:eastAsia="Arial" w:hAnsi="Arial"/>
          <w:sz w:val="18"/>
          <w:szCs w:val="18"/>
          <w:color w:val="auto"/>
        </w:rPr>
        <w:t>File No. 333-283024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3-Year Annuity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Brighthouse Shield Annuity</w:t>
      </w:r>
    </w:p>
    <w:p>
      <w:pPr>
        <w:ind w:left="580"/>
        <w:spacing w:after="0" w:line="234" w:lineRule="auto"/>
        <w:rPr>
          <w:sz w:val="20"/>
          <w:szCs w:val="20"/>
          <w:color w:val="auto"/>
        </w:rPr>
      </w:pPr>
      <w:r>
        <w:rPr>
          <w:rFonts w:ascii="Arial" w:cs="Arial" w:eastAsia="Arial" w:hAnsi="Arial"/>
          <w:sz w:val="18"/>
          <w:szCs w:val="18"/>
          <w:color w:val="auto"/>
        </w:rPr>
        <w:t>Brighthouse Shield 3-Year Annuity</w:t>
      </w:r>
    </w:p>
    <w:p>
      <w:pPr>
        <w:ind w:left="58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Brighthouse Index-linked Life Insurance Policy,</w:t>
      </w:r>
    </w:p>
    <w:p>
      <w:pPr>
        <w:spacing w:after="0" w:line="19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ectPr>
          <w:pgSz w:w="11900" w:h="16838" w:orient="portrait"/>
          <w:cols w:equalWidth="0" w:num="1">
            <w:col w:w="10800"/>
          </w:cols>
          <w:pgMar w:left="320" w:top="269" w:right="77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I have hereunto set my hand this 12th day of November 2024.</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Richard A. Cook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Richard A. Cook</w:t>
      </w:r>
    </w:p>
    <w:p>
      <w:pPr>
        <w:sectPr>
          <w:pgSz w:w="11900" w:h="16838" w:orient="portrait"/>
          <w:cols w:equalWidth="0" w:num="1">
            <w:col w:w="10139"/>
          </w:cols>
          <w:pgMar w:left="320" w:top="269" w:right="1440"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Brighthouse Life Insurance Company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Gianna H. Figaro-Sterling</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Vice President and Controller</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KNOW ALL MEN BY THESE PRESENTS, that I, Gianna H. Figaro-Sterling, Vice President and Controller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206" w:lineRule="exact"/>
        <w:rPr>
          <w:sz w:val="20"/>
          <w:szCs w:val="20"/>
          <w:color w:val="auto"/>
        </w:rPr>
      </w:pPr>
    </w:p>
    <w:p>
      <w:pPr>
        <w:ind w:left="580" w:right="5900" w:hanging="572"/>
        <w:spacing w:after="0" w:line="200" w:lineRule="auto"/>
        <w:tabs>
          <w:tab w:leader="none" w:pos="23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Brighthouse Fund UL for Variable Life Insurance (811-03927) File No. 002-88637 MarketLife</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and Invest</w:t>
      </w:r>
    </w:p>
    <w:p>
      <w:pPr>
        <w:spacing w:after="0" w:line="1" w:lineRule="exact"/>
        <w:rPr>
          <w:rFonts w:ascii="Arial" w:cs="Arial" w:eastAsia="Arial" w:hAnsi="Arial"/>
          <w:sz w:val="18"/>
          <w:szCs w:val="18"/>
          <w:color w:val="auto"/>
        </w:rPr>
      </w:pPr>
    </w:p>
    <w:p>
      <w:pPr>
        <w:ind w:left="580"/>
        <w:spacing w:after="0" w:line="183" w:lineRule="auto"/>
        <w:rPr>
          <w:rFonts w:ascii="Arial" w:cs="Arial" w:eastAsia="Arial" w:hAnsi="Arial"/>
          <w:sz w:val="18"/>
          <w:szCs w:val="18"/>
          <w:color w:val="auto"/>
        </w:rPr>
      </w:pPr>
      <w:r>
        <w:rPr>
          <w:rFonts w:ascii="Arial" w:cs="Arial" w:eastAsia="Arial" w:hAnsi="Arial"/>
          <w:sz w:val="16"/>
          <w:szCs w:val="16"/>
          <w:color w:val="auto"/>
        </w:rPr>
        <w:t>File No. 333-152219 MarketLife</w:t>
      </w:r>
      <w:r>
        <w:rPr>
          <w:rFonts w:ascii="Arial" w:cs="Arial" w:eastAsia="Arial" w:hAnsi="Arial"/>
          <w:sz w:val="23"/>
          <w:szCs w:val="23"/>
          <w:color w:val="auto"/>
          <w:vertAlign w:val="superscript"/>
        </w:rPr>
        <w:t>SM</w:t>
      </w:r>
    </w:p>
    <w:p>
      <w:pPr>
        <w:ind w:left="580" w:right="5640"/>
        <w:spacing w:after="0" w:line="248" w:lineRule="auto"/>
        <w:rPr>
          <w:rFonts w:ascii="Arial" w:cs="Arial" w:eastAsia="Arial" w:hAnsi="Arial"/>
          <w:sz w:val="18"/>
          <w:szCs w:val="18"/>
          <w:color w:val="auto"/>
        </w:rPr>
      </w:pPr>
      <w:r>
        <w:rPr>
          <w:rFonts w:ascii="Arial" w:cs="Arial" w:eastAsia="Arial" w:hAnsi="Arial"/>
          <w:sz w:val="17"/>
          <w:szCs w:val="17"/>
          <w:color w:val="auto"/>
        </w:rPr>
        <w:t>File No. 333-56952 Brighthouse Variable Survivorship Life II File No. 333-69771 Brighthouse Variable Survivorship Life</w:t>
      </w:r>
    </w:p>
    <w:p>
      <w:pPr>
        <w:spacing w:after="0" w:line="1" w:lineRule="exact"/>
        <w:rPr>
          <w:rFonts w:ascii="Arial" w:cs="Arial" w:eastAsia="Arial" w:hAnsi="Arial"/>
          <w:sz w:val="18"/>
          <w:szCs w:val="18"/>
          <w:color w:val="auto"/>
        </w:rPr>
      </w:pPr>
    </w:p>
    <w:p>
      <w:pPr>
        <w:ind w:left="580" w:right="1520"/>
        <w:spacing w:after="0" w:line="234" w:lineRule="auto"/>
        <w:rPr>
          <w:rFonts w:ascii="Arial" w:cs="Arial" w:eastAsia="Arial" w:hAnsi="Arial"/>
          <w:sz w:val="18"/>
          <w:szCs w:val="18"/>
          <w:color w:val="auto"/>
        </w:rPr>
      </w:pPr>
      <w:r>
        <w:rPr>
          <w:rFonts w:ascii="Arial" w:cs="Arial" w:eastAsia="Arial" w:hAnsi="Arial"/>
          <w:sz w:val="18"/>
          <w:szCs w:val="18"/>
          <w:color w:val="auto"/>
        </w:rPr>
        <w:t>File No. 333-96515 Brighthouse Variable Life Accumulator and Brighthouse Variable Life Accumulator - Series 2 File No. 333-96519 Brighthouse Variable Life</w:t>
      </w:r>
    </w:p>
    <w:p>
      <w:pPr>
        <w:spacing w:after="0" w:line="1" w:lineRule="exact"/>
        <w:rPr>
          <w:rFonts w:ascii="Arial" w:cs="Arial" w:eastAsia="Arial" w:hAnsi="Arial"/>
          <w:sz w:val="18"/>
          <w:szCs w:val="18"/>
          <w:color w:val="auto"/>
        </w:rPr>
      </w:pPr>
    </w:p>
    <w:p>
      <w:pPr>
        <w:ind w:left="580" w:right="4880"/>
        <w:spacing w:after="0" w:line="234" w:lineRule="auto"/>
        <w:rPr>
          <w:rFonts w:ascii="Arial" w:cs="Arial" w:eastAsia="Arial" w:hAnsi="Arial"/>
          <w:sz w:val="18"/>
          <w:szCs w:val="18"/>
          <w:color w:val="auto"/>
        </w:rPr>
      </w:pPr>
      <w:r>
        <w:rPr>
          <w:rFonts w:ascii="Arial" w:cs="Arial" w:eastAsia="Arial" w:hAnsi="Arial"/>
          <w:sz w:val="18"/>
          <w:szCs w:val="18"/>
          <w:color w:val="auto"/>
        </w:rPr>
        <w:t>File No. 333-113109 Brighthouse Variable Life Accumulator - Series 3 File No. 333-152216 Portfolio Architect Life</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File No. 333-152217 VintageLife,</w:t>
      </w:r>
    </w:p>
    <w:p>
      <w:pPr>
        <w:spacing w:after="0" w:line="220" w:lineRule="exact"/>
        <w:rPr>
          <w:rFonts w:ascii="Arial" w:cs="Arial" w:eastAsia="Arial" w:hAnsi="Arial"/>
          <w:sz w:val="18"/>
          <w:szCs w:val="18"/>
          <w:color w:val="auto"/>
        </w:rPr>
      </w:pPr>
    </w:p>
    <w:p>
      <w:pPr>
        <w:ind w:left="220" w:hanging="212"/>
        <w:spacing w:after="0"/>
        <w:tabs>
          <w:tab w:leader="none" w:pos="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Brighthouse Fund UL III for Variable Life Insurance (811-09215)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333-71349 Corporate Owned VUL Series 1</w:t>
      </w:r>
    </w:p>
    <w:p>
      <w:pPr>
        <w:ind w:left="580"/>
        <w:spacing w:after="0" w:line="234" w:lineRule="auto"/>
        <w:rPr>
          <w:sz w:val="20"/>
          <w:szCs w:val="20"/>
          <w:color w:val="auto"/>
        </w:rPr>
      </w:pPr>
      <w:r>
        <w:rPr>
          <w:rFonts w:ascii="Arial" w:cs="Arial" w:eastAsia="Arial" w:hAnsi="Arial"/>
          <w:sz w:val="18"/>
          <w:szCs w:val="18"/>
          <w:color w:val="auto"/>
        </w:rPr>
        <w:t>File No. 333-94779 Corporate Owned VUL 2000 and Corporate Owned VUL III</w:t>
      </w:r>
    </w:p>
    <w:p>
      <w:pPr>
        <w:ind w:left="580"/>
        <w:spacing w:after="0" w:line="235" w:lineRule="auto"/>
        <w:rPr>
          <w:sz w:val="20"/>
          <w:szCs w:val="20"/>
          <w:color w:val="auto"/>
        </w:rPr>
      </w:pPr>
      <w:r>
        <w:rPr>
          <w:rFonts w:ascii="Arial" w:cs="Arial" w:eastAsia="Arial" w:hAnsi="Arial"/>
          <w:sz w:val="18"/>
          <w:szCs w:val="18"/>
          <w:color w:val="auto"/>
        </w:rPr>
        <w:t>File No. 333-105335 Corporate Select Policy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333-113533 Corporate Owned VUL IV,</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Separate Account A (811-03365)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333-200231 Series VA (offered between October 7, 2011 and May 1, 2016)</w:t>
      </w:r>
    </w:p>
    <w:p>
      <w:pPr>
        <w:ind w:left="780" w:right="120" w:hanging="204"/>
        <w:spacing w:after="0" w:line="234" w:lineRule="auto"/>
        <w:rPr>
          <w:sz w:val="20"/>
          <w:szCs w:val="20"/>
          <w:color w:val="auto"/>
        </w:rPr>
      </w:pPr>
      <w:r>
        <w:rPr>
          <w:rFonts w:ascii="Arial" w:cs="Arial" w:eastAsia="Arial" w:hAnsi="Arial"/>
          <w:sz w:val="18"/>
          <w:szCs w:val="18"/>
          <w:color w:val="auto"/>
        </w:rPr>
        <w:t>File No. 333-200232 Series S (offered between October 7, 2011 and May 1, 2016) and Series S-L Share Option (offered between October 7, 2011 and May 1, 2016)</w:t>
      </w:r>
    </w:p>
    <w:p>
      <w:pPr>
        <w:ind w:left="580"/>
        <w:spacing w:after="0" w:line="236" w:lineRule="auto"/>
        <w:rPr>
          <w:sz w:val="20"/>
          <w:szCs w:val="20"/>
          <w:color w:val="auto"/>
        </w:rPr>
      </w:pPr>
      <w:r>
        <w:rPr>
          <w:rFonts w:ascii="Arial" w:cs="Arial" w:eastAsia="Arial" w:hAnsi="Arial"/>
          <w:sz w:val="18"/>
          <w:szCs w:val="18"/>
          <w:color w:val="auto"/>
        </w:rPr>
        <w:t>File No. 333-200233 Series VA-4 (offered between October 7, 2011 and May 1, 2016)</w:t>
      </w:r>
    </w:p>
    <w:p>
      <w:pPr>
        <w:ind w:left="580"/>
        <w:spacing w:after="0" w:line="235" w:lineRule="auto"/>
        <w:rPr>
          <w:sz w:val="20"/>
          <w:szCs w:val="20"/>
          <w:color w:val="auto"/>
        </w:rPr>
      </w:pPr>
      <w:r>
        <w:rPr>
          <w:rFonts w:ascii="Arial" w:cs="Arial" w:eastAsia="Arial" w:hAnsi="Arial"/>
          <w:sz w:val="18"/>
          <w:szCs w:val="18"/>
          <w:color w:val="auto"/>
        </w:rPr>
        <w:t>File No. 333-200234 Series O (offered between April 30, 2012 and July 19, 2015)</w:t>
      </w:r>
    </w:p>
    <w:p>
      <w:pPr>
        <w:ind w:left="580"/>
        <w:spacing w:after="0" w:line="235" w:lineRule="auto"/>
        <w:rPr>
          <w:sz w:val="20"/>
          <w:szCs w:val="20"/>
          <w:color w:val="auto"/>
        </w:rPr>
      </w:pPr>
      <w:r>
        <w:rPr>
          <w:rFonts w:ascii="Arial" w:cs="Arial" w:eastAsia="Arial" w:hAnsi="Arial"/>
          <w:sz w:val="18"/>
          <w:szCs w:val="18"/>
          <w:color w:val="auto"/>
        </w:rPr>
        <w:t>File No. 333-200236 Series L - 4 Year (offered on and after April 29, 2013)</w:t>
      </w:r>
    </w:p>
    <w:p>
      <w:pPr>
        <w:ind w:left="580"/>
        <w:spacing w:after="0" w:line="234" w:lineRule="auto"/>
        <w:rPr>
          <w:sz w:val="20"/>
          <w:szCs w:val="20"/>
          <w:color w:val="auto"/>
        </w:rPr>
      </w:pPr>
      <w:r>
        <w:rPr>
          <w:rFonts w:ascii="Arial" w:cs="Arial" w:eastAsia="Arial" w:hAnsi="Arial"/>
          <w:sz w:val="18"/>
          <w:szCs w:val="18"/>
          <w:color w:val="auto"/>
        </w:rPr>
        <w:t>File No. 333-200237 PrimElite IV</w:t>
      </w:r>
    </w:p>
    <w:p>
      <w:pPr>
        <w:ind w:left="580"/>
        <w:spacing w:after="0" w:line="235" w:lineRule="auto"/>
        <w:rPr>
          <w:sz w:val="20"/>
          <w:szCs w:val="20"/>
          <w:color w:val="auto"/>
        </w:rPr>
      </w:pPr>
      <w:r>
        <w:rPr>
          <w:rFonts w:ascii="Arial" w:cs="Arial" w:eastAsia="Arial" w:hAnsi="Arial"/>
          <w:sz w:val="18"/>
          <w:szCs w:val="18"/>
          <w:color w:val="auto"/>
        </w:rPr>
        <w:t>File No. 333-200238 Marquis Portfolios (offered on and after April 30, 2012)</w:t>
      </w:r>
    </w:p>
    <w:p>
      <w:pPr>
        <w:ind w:left="580"/>
        <w:spacing w:after="0" w:line="235" w:lineRule="auto"/>
        <w:rPr>
          <w:sz w:val="20"/>
          <w:szCs w:val="20"/>
          <w:color w:val="auto"/>
        </w:rPr>
      </w:pPr>
      <w:r>
        <w:rPr>
          <w:rFonts w:ascii="Arial" w:cs="Arial" w:eastAsia="Arial" w:hAnsi="Arial"/>
          <w:sz w:val="18"/>
          <w:szCs w:val="18"/>
          <w:color w:val="auto"/>
        </w:rPr>
        <w:t>File No. 333-200239 Brighthouse Growth and Income</w:t>
      </w:r>
    </w:p>
    <w:p>
      <w:pPr>
        <w:ind w:left="580" w:right="1060"/>
        <w:spacing w:after="0" w:line="234" w:lineRule="auto"/>
        <w:rPr>
          <w:sz w:val="20"/>
          <w:szCs w:val="20"/>
          <w:color w:val="auto"/>
        </w:rPr>
      </w:pPr>
      <w:r>
        <w:rPr>
          <w:rFonts w:ascii="Arial" w:cs="Arial" w:eastAsia="Arial" w:hAnsi="Arial"/>
          <w:sz w:val="18"/>
          <w:szCs w:val="18"/>
          <w:color w:val="auto"/>
        </w:rPr>
        <w:t>File No. 333-200240 Group Flexible Payment Variable Annuity (Flexible Bonus/Retirement Companion/Smart Choice) File No. 333-200243 PrimElite III</w:t>
      </w:r>
    </w:p>
    <w:p>
      <w:pPr>
        <w:ind w:left="580"/>
        <w:spacing w:after="0" w:line="185" w:lineRule="auto"/>
        <w:rPr>
          <w:sz w:val="20"/>
          <w:szCs w:val="20"/>
          <w:color w:val="auto"/>
        </w:rPr>
      </w:pPr>
      <w:r>
        <w:rPr>
          <w:rFonts w:ascii="Arial" w:cs="Arial" w:eastAsia="Arial" w:hAnsi="Arial"/>
          <w:sz w:val="16"/>
          <w:szCs w:val="16"/>
          <w:color w:val="auto"/>
        </w:rPr>
        <w:t>File No. 333-200246 Brighthouse Simple Solutions</w:t>
      </w:r>
      <w:r>
        <w:rPr>
          <w:rFonts w:ascii="Arial" w:cs="Arial" w:eastAsia="Arial" w:hAnsi="Arial"/>
          <w:sz w:val="23"/>
          <w:szCs w:val="23"/>
          <w:color w:val="auto"/>
          <w:vertAlign w:val="superscript"/>
        </w:rPr>
        <w:t>SM</w:t>
      </w:r>
    </w:p>
    <w:p>
      <w:pPr>
        <w:ind w:left="580"/>
        <w:spacing w:after="0" w:line="234" w:lineRule="auto"/>
        <w:rPr>
          <w:sz w:val="20"/>
          <w:szCs w:val="20"/>
          <w:color w:val="auto"/>
        </w:rPr>
      </w:pPr>
      <w:r>
        <w:rPr>
          <w:rFonts w:ascii="Arial" w:cs="Arial" w:eastAsia="Arial" w:hAnsi="Arial"/>
          <w:sz w:val="18"/>
          <w:szCs w:val="18"/>
          <w:color w:val="auto"/>
        </w:rPr>
        <w:t>File No. 333-200250 Marquis Portfolios (offered between November 7, 2005 and April 30, 2012)</w:t>
      </w:r>
    </w:p>
    <w:p>
      <w:pPr>
        <w:ind w:left="580"/>
        <w:spacing w:after="0" w:line="235" w:lineRule="auto"/>
        <w:rPr>
          <w:sz w:val="20"/>
          <w:szCs w:val="20"/>
          <w:color w:val="auto"/>
        </w:rPr>
      </w:pPr>
      <w:r>
        <w:rPr>
          <w:rFonts w:ascii="Arial" w:cs="Arial" w:eastAsia="Arial" w:hAnsi="Arial"/>
          <w:sz w:val="18"/>
          <w:szCs w:val="18"/>
          <w:color w:val="auto"/>
        </w:rPr>
        <w:t>File No. 333-200253 Series XC</w:t>
      </w:r>
    </w:p>
    <w:p>
      <w:pPr>
        <w:ind w:left="580"/>
        <w:spacing w:after="0" w:line="235" w:lineRule="auto"/>
        <w:rPr>
          <w:sz w:val="20"/>
          <w:szCs w:val="20"/>
          <w:color w:val="auto"/>
        </w:rPr>
      </w:pPr>
      <w:r>
        <w:rPr>
          <w:rFonts w:ascii="Arial" w:cs="Arial" w:eastAsia="Arial" w:hAnsi="Arial"/>
          <w:sz w:val="18"/>
          <w:szCs w:val="18"/>
          <w:color w:val="auto"/>
        </w:rPr>
        <w:t>File No. 333-200256 Series VA (offered between March 22, 2001 and October 7, 2011)</w:t>
      </w:r>
    </w:p>
    <w:p>
      <w:pPr>
        <w:ind w:left="580"/>
        <w:spacing w:after="0" w:line="235" w:lineRule="auto"/>
        <w:rPr>
          <w:sz w:val="20"/>
          <w:szCs w:val="20"/>
          <w:color w:val="auto"/>
        </w:rPr>
      </w:pPr>
      <w:r>
        <w:rPr>
          <w:rFonts w:ascii="Arial" w:cs="Arial" w:eastAsia="Arial" w:hAnsi="Arial"/>
          <w:sz w:val="18"/>
          <w:szCs w:val="18"/>
          <w:color w:val="auto"/>
        </w:rPr>
        <w:t>File No. 333-200259 Series L and Series L - 4 Year (offered between November 22, 2004 and October 7, 2011)</w:t>
      </w:r>
    </w:p>
    <w:p>
      <w:pPr>
        <w:ind w:left="580"/>
        <w:spacing w:after="0" w:line="235" w:lineRule="auto"/>
        <w:rPr>
          <w:sz w:val="20"/>
          <w:szCs w:val="20"/>
          <w:color w:val="auto"/>
        </w:rPr>
      </w:pPr>
      <w:r>
        <w:rPr>
          <w:rFonts w:ascii="Arial" w:cs="Arial" w:eastAsia="Arial" w:hAnsi="Arial"/>
          <w:sz w:val="18"/>
          <w:szCs w:val="18"/>
          <w:color w:val="auto"/>
        </w:rPr>
        <w:t>File No. 333-200261 Series C (offered between September 4, 2001 and October 7, 2011)</w:t>
      </w:r>
    </w:p>
    <w:p>
      <w:pPr>
        <w:ind w:left="580"/>
        <w:spacing w:after="0" w:line="234" w:lineRule="auto"/>
        <w:rPr>
          <w:sz w:val="20"/>
          <w:szCs w:val="20"/>
          <w:color w:val="auto"/>
        </w:rPr>
      </w:pPr>
      <w:r>
        <w:rPr>
          <w:rFonts w:ascii="Arial" w:cs="Arial" w:eastAsia="Arial" w:hAnsi="Arial"/>
          <w:sz w:val="18"/>
          <w:szCs w:val="18"/>
          <w:color w:val="auto"/>
        </w:rPr>
        <w:t>File No. 333-200263 Series XTRA</w:t>
      </w:r>
    </w:p>
    <w:p>
      <w:pPr>
        <w:ind w:left="580"/>
        <w:spacing w:after="0" w:line="235" w:lineRule="auto"/>
        <w:rPr>
          <w:sz w:val="20"/>
          <w:szCs w:val="20"/>
          <w:color w:val="auto"/>
        </w:rPr>
      </w:pPr>
      <w:r>
        <w:rPr>
          <w:rFonts w:ascii="Arial" w:cs="Arial" w:eastAsia="Arial" w:hAnsi="Arial"/>
          <w:sz w:val="18"/>
          <w:szCs w:val="18"/>
          <w:color w:val="auto"/>
        </w:rPr>
        <w:t>File No. 333-200265 Series S and Series S-L Share Option (offered between April 30, 2007 and October 7, 2011)</w:t>
      </w:r>
    </w:p>
    <w:p>
      <w:pPr>
        <w:ind w:left="580"/>
        <w:spacing w:after="0" w:line="235" w:lineRule="auto"/>
        <w:rPr>
          <w:sz w:val="20"/>
          <w:szCs w:val="20"/>
          <w:color w:val="auto"/>
        </w:rPr>
      </w:pPr>
      <w:r>
        <w:rPr>
          <w:rFonts w:ascii="Arial" w:cs="Arial" w:eastAsia="Arial" w:hAnsi="Arial"/>
          <w:sz w:val="18"/>
          <w:szCs w:val="18"/>
          <w:color w:val="auto"/>
        </w:rPr>
        <w:t>File No. 333-200268 Series L - 4 Year (offered between October 7, 2011 and April 28, 2013)</w:t>
      </w:r>
    </w:p>
    <w:p>
      <w:pPr>
        <w:ind w:left="580"/>
        <w:spacing w:after="0" w:line="235" w:lineRule="auto"/>
        <w:rPr>
          <w:sz w:val="20"/>
          <w:szCs w:val="20"/>
          <w:color w:val="auto"/>
        </w:rPr>
      </w:pPr>
      <w:r>
        <w:rPr>
          <w:rFonts w:ascii="Arial" w:cs="Arial" w:eastAsia="Arial" w:hAnsi="Arial"/>
          <w:sz w:val="18"/>
          <w:szCs w:val="18"/>
          <w:color w:val="auto"/>
        </w:rPr>
        <w:t>File No. 333-200270 Group Annuity SF 101</w:t>
      </w:r>
    </w:p>
    <w:p>
      <w:pPr>
        <w:ind w:left="580"/>
        <w:spacing w:after="0" w:line="235" w:lineRule="auto"/>
        <w:rPr>
          <w:sz w:val="20"/>
          <w:szCs w:val="20"/>
          <w:color w:val="auto"/>
        </w:rPr>
      </w:pPr>
      <w:r>
        <w:rPr>
          <w:rFonts w:ascii="Arial" w:cs="Arial" w:eastAsia="Arial" w:hAnsi="Arial"/>
          <w:sz w:val="18"/>
          <w:szCs w:val="18"/>
          <w:color w:val="auto"/>
        </w:rPr>
        <w:t>File No. 333-200272 Ultimate Annuity FSL 224</w:t>
      </w:r>
    </w:p>
    <w:p>
      <w:pPr>
        <w:ind w:left="580"/>
        <w:spacing w:after="0" w:line="234" w:lineRule="auto"/>
        <w:rPr>
          <w:sz w:val="20"/>
          <w:szCs w:val="20"/>
          <w:color w:val="auto"/>
        </w:rPr>
      </w:pPr>
      <w:r>
        <w:rPr>
          <w:rFonts w:ascii="Arial" w:cs="Arial" w:eastAsia="Arial" w:hAnsi="Arial"/>
          <w:sz w:val="18"/>
          <w:szCs w:val="18"/>
          <w:color w:val="auto"/>
        </w:rPr>
        <w:t>File No. 333-200275 Foresight SF 137</w:t>
      </w:r>
    </w:p>
    <w:p>
      <w:pPr>
        <w:ind w:left="580"/>
        <w:spacing w:after="0" w:line="235" w:lineRule="auto"/>
        <w:rPr>
          <w:sz w:val="20"/>
          <w:szCs w:val="20"/>
          <w:color w:val="auto"/>
        </w:rPr>
      </w:pPr>
      <w:r>
        <w:rPr>
          <w:rFonts w:ascii="Arial" w:cs="Arial" w:eastAsia="Arial" w:hAnsi="Arial"/>
          <w:sz w:val="18"/>
          <w:szCs w:val="18"/>
          <w:color w:val="auto"/>
        </w:rPr>
        <w:t>File No. 333-200277 SecurAnnuity (CLICO) 224/ SF 1700</w:t>
      </w:r>
    </w:p>
    <w:p>
      <w:pPr>
        <w:ind w:left="580"/>
        <w:spacing w:after="0" w:line="235" w:lineRule="auto"/>
        <w:rPr>
          <w:sz w:val="20"/>
          <w:szCs w:val="20"/>
          <w:color w:val="auto"/>
        </w:rPr>
      </w:pPr>
      <w:r>
        <w:rPr>
          <w:rFonts w:ascii="Arial" w:cs="Arial" w:eastAsia="Arial" w:hAnsi="Arial"/>
          <w:sz w:val="18"/>
          <w:szCs w:val="18"/>
          <w:color w:val="auto"/>
        </w:rPr>
        <w:t>File No. 333-200278 Group VA SF 234 (Texas)</w:t>
      </w:r>
    </w:p>
    <w:p>
      <w:pPr>
        <w:ind w:left="580"/>
        <w:spacing w:after="0" w:line="235" w:lineRule="auto"/>
        <w:rPr>
          <w:sz w:val="20"/>
          <w:szCs w:val="20"/>
          <w:color w:val="auto"/>
        </w:rPr>
      </w:pPr>
      <w:r>
        <w:rPr>
          <w:rFonts w:ascii="Arial" w:cs="Arial" w:eastAsia="Arial" w:hAnsi="Arial"/>
          <w:sz w:val="18"/>
          <w:szCs w:val="18"/>
          <w:color w:val="auto"/>
        </w:rPr>
        <w:t>File No. 333-200280 Sunshine SF 236 FL</w:t>
      </w:r>
    </w:p>
    <w:p>
      <w:pPr>
        <w:ind w:left="580"/>
        <w:spacing w:after="0" w:line="235" w:lineRule="auto"/>
        <w:rPr>
          <w:sz w:val="20"/>
          <w:szCs w:val="20"/>
          <w:color w:val="auto"/>
        </w:rPr>
      </w:pPr>
      <w:r>
        <w:rPr>
          <w:rFonts w:ascii="Arial" w:cs="Arial" w:eastAsia="Arial" w:hAnsi="Arial"/>
          <w:sz w:val="18"/>
          <w:szCs w:val="18"/>
          <w:color w:val="auto"/>
        </w:rPr>
        <w:t>File No. 333-200281 Flexible Value SF 230</w:t>
      </w:r>
    </w:p>
    <w:p>
      <w:pPr>
        <w:ind w:left="580" w:right="1840"/>
        <w:spacing w:after="0" w:line="250" w:lineRule="auto"/>
        <w:rPr>
          <w:sz w:val="20"/>
          <w:szCs w:val="20"/>
          <w:color w:val="auto"/>
        </w:rPr>
      </w:pPr>
      <w:r>
        <w:rPr>
          <w:rFonts w:ascii="Arial" w:cs="Arial" w:eastAsia="Arial" w:hAnsi="Arial"/>
          <w:sz w:val="18"/>
          <w:szCs w:val="18"/>
          <w:color w:val="auto"/>
        </w:rPr>
        <w:t>File No. 333-200282 Investors Choice Annuity, Capital Strategist Annuity, Imprint Annuity and Strive Annuity File No. 333-200283 Protected Equity Portfolio (PEP)</w:t>
      </w:r>
    </w:p>
    <w:p>
      <w:pPr>
        <w:sectPr>
          <w:pgSz w:w="11900" w:h="16838" w:orient="portrait"/>
          <w:cols w:equalWidth="0" w:num="1">
            <w:col w:w="10980"/>
          </w:cols>
          <w:pgMar w:left="320" w:top="269" w:right="599" w:bottom="1440" w:gutter="0" w:footer="0" w:header="0"/>
        </w:sectPr>
      </w:pPr>
    </w:p>
    <w:bookmarkStart w:id="123" w:name="page124"/>
    <w:bookmarkEnd w:id="123"/>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333-200284 Vintage L and Vintage XC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333-200285 Series XTRA 6</w:t>
      </w:r>
    </w:p>
    <w:p>
      <w:pPr>
        <w:ind w:left="580"/>
        <w:spacing w:after="0" w:line="234" w:lineRule="auto"/>
        <w:rPr>
          <w:sz w:val="20"/>
          <w:szCs w:val="20"/>
          <w:color w:val="auto"/>
        </w:rPr>
      </w:pPr>
      <w:r>
        <w:rPr>
          <w:rFonts w:ascii="Arial" w:cs="Arial" w:eastAsia="Arial" w:hAnsi="Arial"/>
          <w:sz w:val="18"/>
          <w:szCs w:val="18"/>
          <w:color w:val="auto"/>
        </w:rPr>
        <w:t>File No. 333-200286 Series VA - 4 (offered between May 1, 2011 and October 7, 2011)</w:t>
      </w:r>
    </w:p>
    <w:p>
      <w:pPr>
        <w:ind w:left="580"/>
        <w:spacing w:after="0" w:line="235" w:lineRule="auto"/>
        <w:rPr>
          <w:sz w:val="20"/>
          <w:szCs w:val="20"/>
          <w:color w:val="auto"/>
        </w:rPr>
      </w:pPr>
      <w:r>
        <w:rPr>
          <w:rFonts w:ascii="Arial" w:cs="Arial" w:eastAsia="Arial" w:hAnsi="Arial"/>
          <w:sz w:val="18"/>
          <w:szCs w:val="18"/>
          <w:color w:val="auto"/>
        </w:rPr>
        <w:t>File No. 333-200287 Series C (offered on and after October 7, 2011)</w:t>
      </w:r>
    </w:p>
    <w:p>
      <w:pPr>
        <w:ind w:left="580"/>
        <w:spacing w:after="0" w:line="235" w:lineRule="auto"/>
        <w:rPr>
          <w:sz w:val="20"/>
          <w:szCs w:val="20"/>
          <w:color w:val="auto"/>
        </w:rPr>
      </w:pPr>
      <w:r>
        <w:rPr>
          <w:rFonts w:ascii="Arial" w:cs="Arial" w:eastAsia="Arial" w:hAnsi="Arial"/>
          <w:sz w:val="18"/>
          <w:szCs w:val="18"/>
          <w:color w:val="auto"/>
        </w:rPr>
        <w:t>File No. 333-200288 Pioneer PRISM</w:t>
      </w:r>
    </w:p>
    <w:p>
      <w:pPr>
        <w:ind w:left="580"/>
        <w:spacing w:after="0" w:line="235" w:lineRule="auto"/>
        <w:rPr>
          <w:sz w:val="20"/>
          <w:szCs w:val="20"/>
          <w:color w:val="auto"/>
        </w:rPr>
      </w:pPr>
      <w:r>
        <w:rPr>
          <w:rFonts w:ascii="Arial" w:cs="Arial" w:eastAsia="Arial" w:hAnsi="Arial"/>
          <w:sz w:val="18"/>
          <w:szCs w:val="18"/>
          <w:color w:val="auto"/>
        </w:rPr>
        <w:t>File No. 333-200289 Pioneer PRISM L</w:t>
      </w:r>
    </w:p>
    <w:p>
      <w:pPr>
        <w:ind w:left="580"/>
        <w:spacing w:after="0" w:line="235" w:lineRule="auto"/>
        <w:rPr>
          <w:sz w:val="20"/>
          <w:szCs w:val="20"/>
          <w:color w:val="auto"/>
        </w:rPr>
      </w:pPr>
      <w:r>
        <w:rPr>
          <w:rFonts w:ascii="Arial" w:cs="Arial" w:eastAsia="Arial" w:hAnsi="Arial"/>
          <w:sz w:val="18"/>
          <w:szCs w:val="18"/>
          <w:color w:val="auto"/>
        </w:rPr>
        <w:t>File No. 333-200290 Pioneer PRISM XC</w:t>
      </w:r>
    </w:p>
    <w:p>
      <w:pPr>
        <w:ind w:left="780" w:right="660" w:hanging="204"/>
        <w:spacing w:after="0" w:line="216" w:lineRule="auto"/>
        <w:rPr>
          <w:sz w:val="20"/>
          <w:szCs w:val="20"/>
          <w:color w:val="auto"/>
        </w:rPr>
      </w:pPr>
      <w:r>
        <w:rPr>
          <w:rFonts w:ascii="Arial" w:cs="Arial" w:eastAsia="Arial" w:hAnsi="Arial"/>
          <w:sz w:val="16"/>
          <w:szCs w:val="16"/>
          <w:color w:val="auto"/>
        </w:rPr>
        <w:t>File No. 333-200323 Brighthouse Investment Portfolio Architect</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 Standard Version and Brighthouse Investment Portfolio Architect</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 C Share Option</w:t>
      </w:r>
    </w:p>
    <w:p>
      <w:pPr>
        <w:ind w:left="580"/>
        <w:spacing w:after="0" w:line="236" w:lineRule="auto"/>
        <w:rPr>
          <w:sz w:val="20"/>
          <w:szCs w:val="20"/>
          <w:color w:val="auto"/>
        </w:rPr>
      </w:pPr>
      <w:r>
        <w:rPr>
          <w:rFonts w:ascii="Arial" w:cs="Arial" w:eastAsia="Arial" w:hAnsi="Arial"/>
          <w:sz w:val="18"/>
          <w:szCs w:val="18"/>
          <w:color w:val="auto"/>
        </w:rPr>
        <w:t>File No. 333-203748 Series O (offered on and after July 20, 2015)</w:t>
      </w:r>
    </w:p>
    <w:p>
      <w:pPr>
        <w:ind w:left="580"/>
        <w:spacing w:after="0" w:line="235" w:lineRule="auto"/>
        <w:rPr>
          <w:sz w:val="20"/>
          <w:szCs w:val="20"/>
          <w:color w:val="auto"/>
        </w:rPr>
      </w:pPr>
      <w:r>
        <w:rPr>
          <w:rFonts w:ascii="Arial" w:cs="Arial" w:eastAsia="Arial" w:hAnsi="Arial"/>
          <w:sz w:val="18"/>
          <w:szCs w:val="18"/>
          <w:color w:val="auto"/>
        </w:rPr>
        <w:t>File No. 333-209053 Series VA (offered on and after May 2, 2016)</w:t>
      </w:r>
    </w:p>
    <w:p>
      <w:pPr>
        <w:ind w:left="580"/>
        <w:spacing w:after="0" w:line="235" w:lineRule="auto"/>
        <w:rPr>
          <w:sz w:val="20"/>
          <w:szCs w:val="20"/>
          <w:color w:val="auto"/>
        </w:rPr>
      </w:pPr>
      <w:r>
        <w:rPr>
          <w:rFonts w:ascii="Arial" w:cs="Arial" w:eastAsia="Arial" w:hAnsi="Arial"/>
          <w:sz w:val="18"/>
          <w:szCs w:val="18"/>
          <w:color w:val="auto"/>
        </w:rPr>
        <w:t>File No. 333-209054 Series VA- 4 (offered on and after May 2, 2016)</w:t>
      </w:r>
    </w:p>
    <w:p>
      <w:pPr>
        <w:ind w:left="580" w:right="160"/>
        <w:spacing w:after="0" w:line="250" w:lineRule="auto"/>
        <w:rPr>
          <w:sz w:val="20"/>
          <w:szCs w:val="20"/>
          <w:color w:val="auto"/>
        </w:rPr>
      </w:pPr>
      <w:r>
        <w:rPr>
          <w:rFonts w:ascii="Arial" w:cs="Arial" w:eastAsia="Arial" w:hAnsi="Arial"/>
          <w:sz w:val="18"/>
          <w:szCs w:val="18"/>
          <w:color w:val="auto"/>
        </w:rPr>
        <w:t>File No. 333-209055 Series S (offered on and after May 2, 2016) and Series S-L Share Option (offered on and after May 2, 2016) File No. 333-209411 Brighthouse Prime Options,</w:t>
      </w:r>
    </w:p>
    <w:p>
      <w:pPr>
        <w:spacing w:after="0" w:line="199"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Separate Account Eleven for Variable Annuities (811-21262)</w:t>
      </w:r>
    </w:p>
    <w:p>
      <w:pPr>
        <w:spacing w:after="0" w:line="14" w:lineRule="exact"/>
        <w:rPr>
          <w:sz w:val="20"/>
          <w:szCs w:val="20"/>
          <w:color w:val="auto"/>
        </w:rPr>
      </w:pPr>
    </w:p>
    <w:p>
      <w:pPr>
        <w:ind w:left="780" w:right="360" w:hanging="204"/>
        <w:spacing w:after="0" w:line="234" w:lineRule="auto"/>
        <w:rPr>
          <w:sz w:val="20"/>
          <w:szCs w:val="20"/>
          <w:color w:val="auto"/>
        </w:rPr>
      </w:pPr>
      <w:r>
        <w:rPr>
          <w:rFonts w:ascii="Arial" w:cs="Arial" w:eastAsia="Arial" w:hAnsi="Arial"/>
          <w:sz w:val="18"/>
          <w:szCs w:val="18"/>
          <w:color w:val="auto"/>
        </w:rPr>
        <w:t>File Nos. 333-101778 and 333-152234 Pioneer AnnuiStar Plus Annuity, Portfolio Architect Plus Annuity and Scudder Advocate Rewards Annuity</w:t>
      </w:r>
    </w:p>
    <w:p>
      <w:pPr>
        <w:ind w:left="580"/>
        <w:spacing w:after="0" w:line="236" w:lineRule="auto"/>
        <w:rPr>
          <w:sz w:val="20"/>
          <w:szCs w:val="20"/>
          <w:color w:val="auto"/>
        </w:rPr>
      </w:pPr>
      <w:r>
        <w:rPr>
          <w:rFonts w:ascii="Arial" w:cs="Arial" w:eastAsia="Arial" w:hAnsi="Arial"/>
          <w:sz w:val="18"/>
          <w:szCs w:val="18"/>
          <w:color w:val="auto"/>
        </w:rPr>
        <w:t>File No. 333-152189 Universal Annuity</w:t>
      </w:r>
    </w:p>
    <w:p>
      <w:pPr>
        <w:ind w:left="580"/>
        <w:spacing w:after="0" w:line="235" w:lineRule="auto"/>
        <w:rPr>
          <w:sz w:val="20"/>
          <w:szCs w:val="20"/>
          <w:color w:val="auto"/>
        </w:rPr>
      </w:pPr>
      <w:r>
        <w:rPr>
          <w:rFonts w:ascii="Arial" w:cs="Arial" w:eastAsia="Arial" w:hAnsi="Arial"/>
          <w:sz w:val="18"/>
          <w:szCs w:val="18"/>
          <w:color w:val="auto"/>
        </w:rPr>
        <w:t>File No. 333-152190 Universal Select Annuity</w:t>
      </w:r>
    </w:p>
    <w:p>
      <w:pPr>
        <w:ind w:left="580"/>
        <w:spacing w:after="0" w:line="235" w:lineRule="auto"/>
        <w:rPr>
          <w:sz w:val="20"/>
          <w:szCs w:val="20"/>
          <w:color w:val="auto"/>
        </w:rPr>
      </w:pPr>
      <w:r>
        <w:rPr>
          <w:rFonts w:ascii="Arial" w:cs="Arial" w:eastAsia="Arial" w:hAnsi="Arial"/>
          <w:sz w:val="18"/>
          <w:szCs w:val="18"/>
          <w:color w:val="auto"/>
        </w:rPr>
        <w:t>File No. 333-152191 Universal Annuity Advantage</w:t>
      </w:r>
    </w:p>
    <w:p>
      <w:pPr>
        <w:ind w:left="580" w:right="4700"/>
        <w:spacing w:after="0" w:line="234" w:lineRule="auto"/>
        <w:rPr>
          <w:sz w:val="20"/>
          <w:szCs w:val="20"/>
          <w:color w:val="auto"/>
        </w:rPr>
      </w:pPr>
      <w:r>
        <w:rPr>
          <w:rFonts w:ascii="Arial" w:cs="Arial" w:eastAsia="Arial" w:hAnsi="Arial"/>
          <w:sz w:val="18"/>
          <w:szCs w:val="18"/>
          <w:color w:val="auto"/>
        </w:rPr>
        <w:t>File Nos. 333-152192 and 333-152193 Brighthouse Retirement Account File No. 333-152194 Gold Track and Gold Track Select</w:t>
      </w:r>
    </w:p>
    <w:p>
      <w:pPr>
        <w:spacing w:after="0" w:line="1" w:lineRule="exact"/>
        <w:rPr>
          <w:sz w:val="20"/>
          <w:szCs w:val="20"/>
          <w:color w:val="auto"/>
        </w:rPr>
      </w:pPr>
    </w:p>
    <w:p>
      <w:pPr>
        <w:ind w:left="580" w:right="1880"/>
        <w:spacing w:after="0" w:line="234" w:lineRule="auto"/>
        <w:rPr>
          <w:sz w:val="20"/>
          <w:szCs w:val="20"/>
          <w:color w:val="auto"/>
        </w:rPr>
      </w:pPr>
      <w:r>
        <w:rPr>
          <w:rFonts w:ascii="Arial" w:cs="Arial" w:eastAsia="Arial" w:hAnsi="Arial"/>
          <w:sz w:val="18"/>
          <w:szCs w:val="18"/>
          <w:color w:val="auto"/>
        </w:rPr>
        <w:t>File Nos. 333-152197 and 333-152198 Brighthouse Access Annuity and Brighthouse Access Select Annuity File Nos. 333-152199 and 333-152200 Vintage Annuity File Nos. 333-152201 and 333-152202 Index Annuity</w:t>
      </w:r>
    </w:p>
    <w:p>
      <w:pPr>
        <w:spacing w:after="0" w:line="2" w:lineRule="exact"/>
        <w:rPr>
          <w:sz w:val="20"/>
          <w:szCs w:val="20"/>
          <w:color w:val="auto"/>
        </w:rPr>
      </w:pPr>
    </w:p>
    <w:p>
      <w:pPr>
        <w:ind w:left="780" w:right="440" w:hanging="204"/>
        <w:spacing w:after="0" w:line="234" w:lineRule="auto"/>
        <w:rPr>
          <w:sz w:val="20"/>
          <w:szCs w:val="20"/>
          <w:color w:val="auto"/>
        </w:rPr>
      </w:pPr>
      <w:r>
        <w:rPr>
          <w:rFonts w:ascii="Arial" w:cs="Arial" w:eastAsia="Arial" w:hAnsi="Arial"/>
          <w:sz w:val="18"/>
          <w:szCs w:val="18"/>
          <w:color w:val="auto"/>
        </w:rPr>
        <w:t>File Nos. 333-152232 and 333-152233 Portfolio Architect Annuity, Portfolio Architect Select Annuity, Premier Advisers Annuity (Class I) and Premier Advisers Annuity (Class II)</w:t>
      </w:r>
    </w:p>
    <w:p>
      <w:pPr>
        <w:spacing w:after="0" w:line="1" w:lineRule="exact"/>
        <w:rPr>
          <w:sz w:val="20"/>
          <w:szCs w:val="20"/>
          <w:color w:val="auto"/>
        </w:rPr>
      </w:pPr>
    </w:p>
    <w:p>
      <w:pPr>
        <w:ind w:left="780" w:right="540" w:hanging="204"/>
        <w:spacing w:after="0" w:line="234" w:lineRule="auto"/>
        <w:rPr>
          <w:sz w:val="20"/>
          <w:szCs w:val="20"/>
          <w:color w:val="auto"/>
        </w:rPr>
      </w:pPr>
      <w:r>
        <w:rPr>
          <w:rFonts w:ascii="Arial" w:cs="Arial" w:eastAsia="Arial" w:hAnsi="Arial"/>
          <w:sz w:val="18"/>
          <w:szCs w:val="18"/>
          <w:color w:val="auto"/>
        </w:rPr>
        <w:t>File Nos. 333-152235 and 333-152236 Pioneer AnnuiStar Annuity, Portfolio Architect II Annuity and Pioneer AnnuiStar Value Annuity</w:t>
      </w:r>
    </w:p>
    <w:p>
      <w:pPr>
        <w:spacing w:after="0" w:line="1" w:lineRule="exact"/>
        <w:rPr>
          <w:sz w:val="20"/>
          <w:szCs w:val="20"/>
          <w:color w:val="auto"/>
        </w:rPr>
      </w:pPr>
    </w:p>
    <w:p>
      <w:pPr>
        <w:ind w:left="780" w:right="60" w:hanging="204"/>
        <w:spacing w:after="0" w:line="234" w:lineRule="auto"/>
        <w:rPr>
          <w:sz w:val="20"/>
          <w:szCs w:val="20"/>
          <w:color w:val="auto"/>
        </w:rPr>
      </w:pPr>
      <w:r>
        <w:rPr>
          <w:rFonts w:ascii="Arial" w:cs="Arial" w:eastAsia="Arial" w:hAnsi="Arial"/>
          <w:sz w:val="18"/>
          <w:szCs w:val="18"/>
          <w:color w:val="auto"/>
        </w:rPr>
        <w:t>File Nos. 333-152237 and 333-152238 Premier Advisers II Annuity, Premier Advisers III (Series I) and Premier Advisers III Annuity (Series II)</w:t>
      </w:r>
    </w:p>
    <w:p>
      <w:pPr>
        <w:spacing w:after="0" w:line="1" w:lineRule="exact"/>
        <w:rPr>
          <w:sz w:val="20"/>
          <w:szCs w:val="20"/>
          <w:color w:val="auto"/>
        </w:rPr>
      </w:pPr>
    </w:p>
    <w:p>
      <w:pPr>
        <w:ind w:left="780" w:hanging="204"/>
        <w:spacing w:after="0" w:line="234" w:lineRule="auto"/>
        <w:rPr>
          <w:sz w:val="20"/>
          <w:szCs w:val="20"/>
          <w:color w:val="auto"/>
        </w:rPr>
      </w:pPr>
      <w:r>
        <w:rPr>
          <w:rFonts w:ascii="Arial" w:cs="Arial" w:eastAsia="Arial" w:hAnsi="Arial"/>
          <w:sz w:val="18"/>
          <w:szCs w:val="18"/>
          <w:color w:val="auto"/>
        </w:rPr>
        <w:t>File Nos. 333-152239 and 333-152240 Premier Advisers AssetManager Annuity, Premier Advisers L Annuity (Series I) and Premier Advisers L Annuity (Series II)</w:t>
      </w:r>
    </w:p>
    <w:p>
      <w:pPr>
        <w:spacing w:after="0" w:line="1" w:lineRule="exact"/>
        <w:rPr>
          <w:sz w:val="20"/>
          <w:szCs w:val="20"/>
          <w:color w:val="auto"/>
        </w:rPr>
      </w:pPr>
    </w:p>
    <w:p>
      <w:pPr>
        <w:ind w:left="780" w:right="20" w:hanging="204"/>
        <w:spacing w:after="0" w:line="234" w:lineRule="auto"/>
        <w:rPr>
          <w:sz w:val="20"/>
          <w:szCs w:val="20"/>
          <w:color w:val="auto"/>
        </w:rPr>
      </w:pPr>
      <w:r>
        <w:rPr>
          <w:rFonts w:ascii="Arial" w:cs="Arial" w:eastAsia="Arial" w:hAnsi="Arial"/>
          <w:sz w:val="18"/>
          <w:szCs w:val="18"/>
          <w:color w:val="auto"/>
        </w:rPr>
        <w:t>File Nos. 333-152255 and 333-152265 Vintage XTRA Annuity, Portfolio Architect XTRA Annuity and Vintage XTRA Annuity (Series II)</w:t>
      </w:r>
    </w:p>
    <w:p>
      <w:pPr>
        <w:spacing w:after="0" w:line="1" w:lineRule="exact"/>
        <w:rPr>
          <w:sz w:val="20"/>
          <w:szCs w:val="20"/>
          <w:color w:val="auto"/>
        </w:rPr>
      </w:pPr>
    </w:p>
    <w:p>
      <w:pPr>
        <w:ind w:left="780" w:right="460" w:hanging="204"/>
        <w:spacing w:after="0" w:line="234" w:lineRule="auto"/>
        <w:rPr>
          <w:sz w:val="20"/>
          <w:szCs w:val="20"/>
          <w:color w:val="auto"/>
        </w:rPr>
      </w:pPr>
      <w:r>
        <w:rPr>
          <w:rFonts w:ascii="Arial" w:cs="Arial" w:eastAsia="Arial" w:hAnsi="Arial"/>
          <w:sz w:val="18"/>
          <w:szCs w:val="18"/>
          <w:color w:val="auto"/>
        </w:rPr>
        <w:t>File Nos. 333-152256 and 333-152292 Vintage 3 Annuity, Portfolio Architect 3 Annuity, Portfolio Architect L Annuity, Vintage L Annuity and Pioneer AnnuiStar Flex Annuity</w:t>
      </w:r>
    </w:p>
    <w:p>
      <w:pPr>
        <w:ind w:left="580"/>
        <w:spacing w:after="0" w:line="236" w:lineRule="auto"/>
        <w:rPr>
          <w:sz w:val="20"/>
          <w:szCs w:val="20"/>
          <w:color w:val="auto"/>
        </w:rPr>
      </w:pPr>
      <w:r>
        <w:rPr>
          <w:rFonts w:ascii="Arial" w:cs="Arial" w:eastAsia="Arial" w:hAnsi="Arial"/>
          <w:sz w:val="18"/>
          <w:szCs w:val="18"/>
          <w:color w:val="auto"/>
        </w:rPr>
        <w:t>File Nos. 333-152258 and 333-152261 PrimElite Annuity</w:t>
      </w:r>
    </w:p>
    <w:p>
      <w:pPr>
        <w:ind w:left="580"/>
        <w:spacing w:after="0" w:line="235" w:lineRule="auto"/>
        <w:rPr>
          <w:sz w:val="20"/>
          <w:szCs w:val="20"/>
          <w:color w:val="auto"/>
        </w:rPr>
      </w:pPr>
      <w:r>
        <w:rPr>
          <w:rFonts w:ascii="Arial" w:cs="Arial" w:eastAsia="Arial" w:hAnsi="Arial"/>
          <w:sz w:val="18"/>
          <w:szCs w:val="18"/>
          <w:color w:val="auto"/>
        </w:rPr>
        <w:t>File Nos. 333-152259 and 333-152262 PrimElite II Annuity</w:t>
      </w:r>
    </w:p>
    <w:p>
      <w:pPr>
        <w:ind w:left="580" w:right="4620"/>
        <w:spacing w:after="0" w:line="234" w:lineRule="auto"/>
        <w:rPr>
          <w:sz w:val="20"/>
          <w:szCs w:val="20"/>
          <w:color w:val="auto"/>
        </w:rPr>
      </w:pPr>
      <w:r>
        <w:rPr>
          <w:rFonts w:ascii="Arial" w:cs="Arial" w:eastAsia="Arial" w:hAnsi="Arial"/>
          <w:sz w:val="18"/>
          <w:szCs w:val="18"/>
          <w:color w:val="auto"/>
        </w:rPr>
        <w:t>File Nos. 333-152260 and 333-152266 Protected Equity Portfolio Annuity File Nos. 333-152263 and 333-152269 Marquis Portfolios</w:t>
      </w:r>
    </w:p>
    <w:p>
      <w:pPr>
        <w:spacing w:after="0" w:line="1" w:lineRule="exact"/>
        <w:rPr>
          <w:sz w:val="20"/>
          <w:szCs w:val="20"/>
          <w:color w:val="auto"/>
        </w:rPr>
      </w:pPr>
    </w:p>
    <w:p>
      <w:pPr>
        <w:ind w:left="780" w:right="620" w:hanging="204"/>
        <w:spacing w:after="0" w:line="234" w:lineRule="auto"/>
        <w:rPr>
          <w:sz w:val="20"/>
          <w:szCs w:val="20"/>
          <w:color w:val="auto"/>
        </w:rPr>
      </w:pPr>
      <w:r>
        <w:rPr>
          <w:rFonts w:ascii="Arial" w:cs="Arial" w:eastAsia="Arial" w:hAnsi="Arial"/>
          <w:sz w:val="18"/>
          <w:szCs w:val="18"/>
          <w:color w:val="auto"/>
        </w:rPr>
        <w:t>File Nos. 333-152264 and 333-152270 Vintage Access, Portfolio Architect Access, Scudder Advocate Advisor and Scudder Advocate Advisor - ST1 Annuity</w:t>
      </w:r>
    </w:p>
    <w:p>
      <w:pPr>
        <w:ind w:left="580"/>
        <w:spacing w:after="0" w:line="236" w:lineRule="auto"/>
        <w:rPr>
          <w:sz w:val="20"/>
          <w:szCs w:val="20"/>
          <w:color w:val="auto"/>
        </w:rPr>
      </w:pPr>
      <w:r>
        <w:rPr>
          <w:rFonts w:ascii="Arial" w:cs="Arial" w:eastAsia="Arial" w:hAnsi="Arial"/>
          <w:sz w:val="18"/>
          <w:szCs w:val="18"/>
          <w:color w:val="auto"/>
        </w:rPr>
        <w:t>File Nos. 333-152267 and 333-152268 Vintage II Annuity and Vintage II Annuity (Series II)</w:t>
      </w:r>
    </w:p>
    <w:p>
      <w:pPr>
        <w:ind w:left="580"/>
        <w:spacing w:after="0" w:line="235" w:lineRule="auto"/>
        <w:rPr>
          <w:sz w:val="20"/>
          <w:szCs w:val="20"/>
          <w:color w:val="auto"/>
        </w:rPr>
      </w:pPr>
      <w:r>
        <w:rPr>
          <w:rFonts w:ascii="Arial" w:cs="Arial" w:eastAsia="Arial" w:hAnsi="Arial"/>
          <w:sz w:val="18"/>
          <w:szCs w:val="18"/>
          <w:color w:val="auto"/>
        </w:rPr>
        <w:t>File No. 333-197658 Brighthouse Accumulation Annuity</w:t>
      </w:r>
    </w:p>
    <w:p>
      <w:pPr>
        <w:ind w:left="580"/>
        <w:spacing w:after="0"/>
        <w:rPr>
          <w:sz w:val="20"/>
          <w:szCs w:val="20"/>
          <w:color w:val="auto"/>
        </w:rPr>
      </w:pPr>
      <w:r>
        <w:rPr>
          <w:rFonts w:ascii="Arial" w:cs="Arial" w:eastAsia="Arial" w:hAnsi="Arial"/>
          <w:sz w:val="18"/>
          <w:szCs w:val="18"/>
          <w:color w:val="auto"/>
        </w:rPr>
        <w:t>File No. 333-208464 Brighthouse Premier Variable Annuity</w:t>
      </w:r>
      <w:r>
        <w:rPr>
          <w:rFonts w:ascii="Arial" w:cs="Arial" w:eastAsia="Arial" w:hAnsi="Arial"/>
          <w:sz w:val="26"/>
          <w:szCs w:val="26"/>
          <w:color w:val="auto"/>
          <w:vertAlign w:val="superscript"/>
        </w:rPr>
        <w:t>SM</w:t>
      </w:r>
      <w:r>
        <w:rPr>
          <w:rFonts w:ascii="Arial" w:cs="Arial" w:eastAsia="Arial" w:hAnsi="Arial"/>
          <w:sz w:val="18"/>
          <w:szCs w:val="18"/>
          <w:color w:val="auto"/>
        </w:rPr>
        <w:t>,</w:t>
      </w:r>
    </w:p>
    <w:p>
      <w:pPr>
        <w:spacing w:after="0" w:line="129" w:lineRule="exact"/>
        <w:rPr>
          <w:sz w:val="20"/>
          <w:szCs w:val="20"/>
          <w:color w:val="auto"/>
        </w:rPr>
      </w:pPr>
    </w:p>
    <w:p>
      <w:pPr>
        <w:ind w:left="580" w:right="5740" w:hanging="572"/>
        <w:spacing w:after="0" w:line="253" w:lineRule="auto"/>
        <w:tabs>
          <w:tab w:leader="none" w:pos="23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Brighthouse Separate Account QPN for Variable Annuities File No. 333-156867 Unallocated Group Variable Annuity File No. 333-156911 Brighthouse Retirement Perspectives,</w:t>
      </w:r>
    </w:p>
    <w:p>
      <w:pPr>
        <w:spacing w:after="0" w:line="195" w:lineRule="exact"/>
        <w:rPr>
          <w:rFonts w:ascii="Arial" w:cs="Arial" w:eastAsia="Arial" w:hAnsi="Arial"/>
          <w:sz w:val="18"/>
          <w:szCs w:val="18"/>
          <w:color w:val="auto"/>
        </w:rPr>
      </w:pPr>
    </w:p>
    <w:p>
      <w:pPr>
        <w:ind w:left="220" w:hanging="212"/>
        <w:spacing w:after="0"/>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Brighthouse Variable Annuity Account C (811-05200)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333-200244 Class XC</w:t>
      </w:r>
    </w:p>
    <w:p>
      <w:pPr>
        <w:ind w:left="580"/>
        <w:spacing w:after="0" w:line="234" w:lineRule="auto"/>
        <w:rPr>
          <w:sz w:val="20"/>
          <w:szCs w:val="20"/>
          <w:color w:val="auto"/>
        </w:rPr>
      </w:pPr>
      <w:r>
        <w:rPr>
          <w:rFonts w:ascii="Arial" w:cs="Arial" w:eastAsia="Arial" w:hAnsi="Arial"/>
          <w:sz w:val="18"/>
          <w:szCs w:val="18"/>
          <w:color w:val="auto"/>
        </w:rPr>
        <w:t>File No. 333-200247 Class VA, Class AA and Class B</w:t>
      </w:r>
    </w:p>
    <w:p>
      <w:pPr>
        <w:ind w:left="580"/>
        <w:spacing w:after="0" w:line="235" w:lineRule="auto"/>
        <w:rPr>
          <w:sz w:val="20"/>
          <w:szCs w:val="20"/>
          <w:color w:val="auto"/>
        </w:rPr>
      </w:pPr>
      <w:r>
        <w:rPr>
          <w:rFonts w:ascii="Arial" w:cs="Arial" w:eastAsia="Arial" w:hAnsi="Arial"/>
          <w:sz w:val="18"/>
          <w:szCs w:val="18"/>
          <w:color w:val="auto"/>
        </w:rPr>
        <w:t>File No. 333-200249 Class L and Class L - 4 Year</w:t>
      </w:r>
    </w:p>
    <w:p>
      <w:pPr>
        <w:ind w:left="580"/>
        <w:spacing w:after="0" w:line="235" w:lineRule="auto"/>
        <w:rPr>
          <w:sz w:val="20"/>
          <w:szCs w:val="20"/>
          <w:color w:val="auto"/>
        </w:rPr>
      </w:pPr>
      <w:r>
        <w:rPr>
          <w:rFonts w:ascii="Arial" w:cs="Arial" w:eastAsia="Arial" w:hAnsi="Arial"/>
          <w:sz w:val="18"/>
          <w:szCs w:val="18"/>
          <w:color w:val="auto"/>
        </w:rPr>
        <w:t>File No. 333-200252 Class A</w:t>
      </w:r>
    </w:p>
    <w:p>
      <w:pPr>
        <w:ind w:left="580"/>
        <w:spacing w:after="0" w:line="235" w:lineRule="auto"/>
        <w:rPr>
          <w:sz w:val="20"/>
          <w:szCs w:val="20"/>
          <w:color w:val="auto"/>
        </w:rPr>
      </w:pPr>
      <w:r>
        <w:rPr>
          <w:rFonts w:ascii="Arial" w:cs="Arial" w:eastAsia="Arial" w:hAnsi="Arial"/>
          <w:sz w:val="18"/>
          <w:szCs w:val="18"/>
          <w:color w:val="auto"/>
        </w:rPr>
        <w:t>File No. 333-200255 COVA VA, Firstar Summit VA, Premier Advisor VA, Destiny Select VA and Prevail VA</w:t>
      </w:r>
    </w:p>
    <w:p>
      <w:pPr>
        <w:ind w:left="580"/>
        <w:spacing w:after="0" w:line="235" w:lineRule="auto"/>
        <w:rPr>
          <w:sz w:val="20"/>
          <w:szCs w:val="20"/>
          <w:color w:val="auto"/>
        </w:rPr>
      </w:pPr>
      <w:r>
        <w:rPr>
          <w:rFonts w:ascii="Arial" w:cs="Arial" w:eastAsia="Arial" w:hAnsi="Arial"/>
          <w:sz w:val="18"/>
          <w:szCs w:val="18"/>
          <w:color w:val="auto"/>
        </w:rPr>
        <w:t>File No. 333-200258 COVA VA SPDA</w:t>
      </w:r>
    </w:p>
    <w:p>
      <w:pPr>
        <w:ind w:left="580"/>
        <w:spacing w:after="0" w:line="234" w:lineRule="auto"/>
        <w:rPr>
          <w:sz w:val="20"/>
          <w:szCs w:val="20"/>
          <w:color w:val="auto"/>
        </w:rPr>
      </w:pPr>
      <w:r>
        <w:rPr>
          <w:rFonts w:ascii="Arial" w:cs="Arial" w:eastAsia="Arial" w:hAnsi="Arial"/>
          <w:sz w:val="18"/>
          <w:szCs w:val="18"/>
          <w:color w:val="auto"/>
        </w:rPr>
        <w:t>File No. 333-200260 COVA Series 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333-200262 Navigator-Select/Custom-Select/Russell-Select</w:t>
      </w:r>
    </w:p>
    <w:p>
      <w:pPr>
        <w:sectPr>
          <w:pgSz w:w="11900" w:h="16838" w:orient="portrait"/>
          <w:cols w:equalWidth="0" w:num="1">
            <w:col w:w="11000"/>
          </w:cols>
          <w:pgMar w:left="320" w:top="269" w:right="579" w:bottom="1440" w:gutter="0" w:footer="0" w:header="0"/>
        </w:sectPr>
      </w:pPr>
    </w:p>
    <w:bookmarkStart w:id="124" w:name="page125"/>
    <w:bookmarkEnd w:id="124"/>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333-200264 Navigator-Select/Custom-Select/Russell-Select (CA)</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333-200266 COVA VA and Premier Advisor (CA)</w:t>
      </w:r>
    </w:p>
    <w:p>
      <w:pPr>
        <w:ind w:left="580"/>
        <w:spacing w:after="0" w:line="234" w:lineRule="auto"/>
        <w:rPr>
          <w:sz w:val="20"/>
          <w:szCs w:val="20"/>
          <w:color w:val="auto"/>
        </w:rPr>
      </w:pPr>
      <w:r>
        <w:rPr>
          <w:rFonts w:ascii="Arial" w:cs="Arial" w:eastAsia="Arial" w:hAnsi="Arial"/>
          <w:sz w:val="18"/>
          <w:szCs w:val="18"/>
          <w:color w:val="auto"/>
        </w:rPr>
        <w:t>File No. 333-200267 COVA Series A (CA)</w:t>
      </w:r>
    </w:p>
    <w:p>
      <w:pPr>
        <w:ind w:left="580"/>
        <w:spacing w:after="0" w:line="235" w:lineRule="auto"/>
        <w:rPr>
          <w:sz w:val="20"/>
          <w:szCs w:val="20"/>
          <w:color w:val="auto"/>
        </w:rPr>
      </w:pPr>
      <w:r>
        <w:rPr>
          <w:rFonts w:ascii="Arial" w:cs="Arial" w:eastAsia="Arial" w:hAnsi="Arial"/>
          <w:sz w:val="18"/>
          <w:szCs w:val="18"/>
          <w:color w:val="auto"/>
        </w:rPr>
        <w:t>File No. 333-200269 Class C</w:t>
      </w:r>
    </w:p>
    <w:p>
      <w:pPr>
        <w:ind w:left="580"/>
        <w:spacing w:after="0" w:line="235" w:lineRule="auto"/>
        <w:rPr>
          <w:sz w:val="20"/>
          <w:szCs w:val="20"/>
          <w:color w:val="auto"/>
        </w:rPr>
      </w:pPr>
      <w:r>
        <w:rPr>
          <w:rFonts w:ascii="Arial" w:cs="Arial" w:eastAsia="Arial" w:hAnsi="Arial"/>
          <w:sz w:val="18"/>
          <w:szCs w:val="18"/>
          <w:color w:val="auto"/>
        </w:rPr>
        <w:t>File No. 333-200271 Class VA (CA), Class AA (CA), and Class B (CA)</w:t>
      </w:r>
    </w:p>
    <w:p>
      <w:pPr>
        <w:ind w:left="580"/>
        <w:spacing w:after="0" w:line="235" w:lineRule="auto"/>
        <w:rPr>
          <w:sz w:val="20"/>
          <w:szCs w:val="20"/>
          <w:color w:val="auto"/>
        </w:rPr>
      </w:pPr>
      <w:r>
        <w:rPr>
          <w:rFonts w:ascii="Arial" w:cs="Arial" w:eastAsia="Arial" w:hAnsi="Arial"/>
          <w:sz w:val="18"/>
          <w:szCs w:val="18"/>
          <w:color w:val="auto"/>
        </w:rPr>
        <w:t>File No. 333-200273 Class XC (CA)</w:t>
      </w:r>
    </w:p>
    <w:p>
      <w:pPr>
        <w:ind w:left="580"/>
        <w:spacing w:after="0" w:line="235" w:lineRule="auto"/>
        <w:rPr>
          <w:sz w:val="20"/>
          <w:szCs w:val="20"/>
          <w:color w:val="auto"/>
        </w:rPr>
      </w:pPr>
      <w:r>
        <w:rPr>
          <w:rFonts w:ascii="Arial" w:cs="Arial" w:eastAsia="Arial" w:hAnsi="Arial"/>
          <w:sz w:val="18"/>
          <w:szCs w:val="18"/>
          <w:color w:val="auto"/>
        </w:rPr>
        <w:t>File No. 333-200274 Class L (CA) and Class L - 4 Year (CA)</w:t>
      </w:r>
    </w:p>
    <w:p>
      <w:pPr>
        <w:ind w:left="580"/>
        <w:spacing w:after="0" w:line="234" w:lineRule="auto"/>
        <w:rPr>
          <w:sz w:val="20"/>
          <w:szCs w:val="20"/>
          <w:color w:val="auto"/>
        </w:rPr>
      </w:pPr>
      <w:r>
        <w:rPr>
          <w:rFonts w:ascii="Arial" w:cs="Arial" w:eastAsia="Arial" w:hAnsi="Arial"/>
          <w:sz w:val="18"/>
          <w:szCs w:val="18"/>
          <w:color w:val="auto"/>
        </w:rPr>
        <w:t>File No. 333-200276 Class A (CA)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333-200279 Class C (CA),</w:t>
      </w: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Brighthouse Variable Life Account A (811-21851)</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 No. 333-200241 Equity Advantage Variable Universal Life,</w:t>
      </w:r>
    </w:p>
    <w:p>
      <w:pPr>
        <w:spacing w:after="0" w:line="221" w:lineRule="exact"/>
        <w:rPr>
          <w:sz w:val="20"/>
          <w:szCs w:val="20"/>
          <w:color w:val="auto"/>
        </w:rPr>
      </w:pPr>
    </w:p>
    <w:p>
      <w:pPr>
        <w:ind w:left="580" w:right="6480" w:hanging="572"/>
        <w:spacing w:after="0" w:line="245" w:lineRule="auto"/>
        <w:tabs>
          <w:tab w:leader="none" w:pos="23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Brighthouse Variable Life Account One (811-07971) File No. 333-200242 Class VL</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File No. 333-200245 Class VL (CA)</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File No. 333-200248 Modified Single Premium Variable Life</w:t>
      </w:r>
    </w:p>
    <w:p>
      <w:pPr>
        <w:ind w:left="580" w:right="4800"/>
        <w:spacing w:after="0" w:line="222" w:lineRule="auto"/>
        <w:rPr>
          <w:rFonts w:ascii="Arial" w:cs="Arial" w:eastAsia="Arial" w:hAnsi="Arial"/>
          <w:sz w:val="18"/>
          <w:szCs w:val="18"/>
          <w:color w:val="auto"/>
        </w:rPr>
      </w:pPr>
      <w:r>
        <w:rPr>
          <w:rFonts w:ascii="Arial" w:cs="Arial" w:eastAsia="Arial" w:hAnsi="Arial"/>
          <w:sz w:val="17"/>
          <w:szCs w:val="17"/>
          <w:color w:val="auto"/>
        </w:rPr>
        <w:t>File No. 333-200251 Custom Select and Russell Select Variable Life File No. 333-200254 Modified Single Premium Variable Life (CA) File No. 333-200257 Custom Select Variable Life, And pertaining to: File No. 333-268618 Brighthouse SmartGuard Plus</w:t>
      </w:r>
      <w:r>
        <w:rPr>
          <w:rFonts w:ascii="Arial" w:cs="Arial" w:eastAsia="Arial" w:hAnsi="Arial"/>
          <w:sz w:val="25"/>
          <w:szCs w:val="25"/>
          <w:color w:val="auto"/>
          <w:vertAlign w:val="superscript"/>
        </w:rPr>
        <w:t>SM</w:t>
      </w:r>
    </w:p>
    <w:p>
      <w:pPr>
        <w:spacing w:after="0" w:line="1" w:lineRule="exact"/>
        <w:rPr>
          <w:rFonts w:ascii="Arial" w:cs="Arial" w:eastAsia="Arial" w:hAnsi="Arial"/>
          <w:sz w:val="18"/>
          <w:szCs w:val="18"/>
          <w:color w:val="auto"/>
        </w:rPr>
      </w:pPr>
    </w:p>
    <w:p>
      <w:pPr>
        <w:ind w:left="580"/>
        <w:spacing w:after="0" w:line="183" w:lineRule="auto"/>
        <w:rPr>
          <w:rFonts w:ascii="Arial" w:cs="Arial" w:eastAsia="Arial" w:hAnsi="Arial"/>
          <w:sz w:val="18"/>
          <w:szCs w:val="18"/>
          <w:color w:val="auto"/>
        </w:rPr>
      </w:pPr>
      <w:r>
        <w:rPr>
          <w:rFonts w:ascii="Arial" w:cs="Arial" w:eastAsia="Arial" w:hAnsi="Arial"/>
          <w:sz w:val="16"/>
          <w:szCs w:val="16"/>
          <w:color w:val="auto"/>
        </w:rPr>
        <w:t>File No. 333-262390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Pay Plus</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Annuity and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Pay Plus</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Advisory Annuity File No. 333-259505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spacing w:after="0" w:line="1" w:lineRule="exact"/>
        <w:rPr>
          <w:rFonts w:ascii="Arial" w:cs="Arial" w:eastAsia="Arial" w:hAnsi="Arial"/>
          <w:sz w:val="18"/>
          <w:szCs w:val="18"/>
          <w:color w:val="auto"/>
        </w:rPr>
      </w:pPr>
    </w:p>
    <w:p>
      <w:pPr>
        <w:ind w:left="580" w:right="4520"/>
        <w:spacing w:after="0" w:line="183" w:lineRule="auto"/>
        <w:rPr>
          <w:rFonts w:ascii="Arial" w:cs="Arial" w:eastAsia="Arial" w:hAnsi="Arial"/>
          <w:sz w:val="18"/>
          <w:szCs w:val="18"/>
          <w:color w:val="auto"/>
        </w:rPr>
      </w:pPr>
      <w:r>
        <w:rPr>
          <w:rFonts w:ascii="Arial" w:cs="Arial" w:eastAsia="Arial" w:hAnsi="Arial"/>
          <w:sz w:val="16"/>
          <w:szCs w:val="16"/>
          <w:color w:val="auto"/>
        </w:rPr>
        <w:t>File No. 333-233240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Advisory Annuity File No. 333-268427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Advisory Annuity File No. 333-263492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File No. 333-263495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 File No. 333-238213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spacing w:after="0" w:line="4" w:lineRule="exact"/>
        <w:rPr>
          <w:rFonts w:ascii="Arial" w:cs="Arial" w:eastAsia="Arial" w:hAnsi="Arial"/>
          <w:sz w:val="18"/>
          <w:szCs w:val="18"/>
          <w:color w:val="auto"/>
        </w:rPr>
      </w:pPr>
    </w:p>
    <w:p>
      <w:pPr>
        <w:ind w:left="580"/>
        <w:spacing w:after="0" w:line="183" w:lineRule="auto"/>
        <w:rPr>
          <w:rFonts w:ascii="Arial" w:cs="Arial" w:eastAsia="Arial" w:hAnsi="Arial"/>
          <w:sz w:val="18"/>
          <w:szCs w:val="18"/>
          <w:color w:val="auto"/>
        </w:rPr>
      </w:pPr>
      <w:r>
        <w:rPr>
          <w:rFonts w:ascii="Arial" w:cs="Arial" w:eastAsia="Arial" w:hAnsi="Arial"/>
          <w:sz w:val="16"/>
          <w:szCs w:val="16"/>
          <w:color w:val="auto"/>
        </w:rPr>
        <w:t>File No. 333-208664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Annuity</w:t>
      </w:r>
    </w:p>
    <w:p>
      <w:pPr>
        <w:ind w:left="580" w:right="4520"/>
        <w:spacing w:after="0" w:line="192" w:lineRule="auto"/>
        <w:rPr>
          <w:rFonts w:ascii="Arial" w:cs="Arial" w:eastAsia="Arial" w:hAnsi="Arial"/>
          <w:sz w:val="18"/>
          <w:szCs w:val="18"/>
          <w:color w:val="auto"/>
        </w:rPr>
      </w:pPr>
      <w:r>
        <w:rPr>
          <w:rFonts w:ascii="Arial" w:cs="Arial" w:eastAsia="Arial" w:hAnsi="Arial"/>
          <w:sz w:val="18"/>
          <w:szCs w:val="18"/>
          <w:color w:val="auto"/>
        </w:rPr>
        <w:t>File No. 333-207091 Brighthouse Shield Level Selector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3-Year Annuity File No. 333-276468 Registered Fixed Account Option</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File No. 333-276469 Fixed Annuity (Strategic Value Annuity)</w:t>
      </w:r>
    </w:p>
    <w:p>
      <w:pPr>
        <w:ind w:left="580" w:right="4640"/>
        <w:spacing w:after="0" w:line="189" w:lineRule="auto"/>
        <w:rPr>
          <w:rFonts w:ascii="Arial" w:cs="Arial" w:eastAsia="Arial" w:hAnsi="Arial"/>
          <w:sz w:val="18"/>
          <w:szCs w:val="18"/>
          <w:color w:val="auto"/>
        </w:rPr>
      </w:pPr>
      <w:r>
        <w:rPr>
          <w:rFonts w:ascii="Arial" w:cs="Arial" w:eastAsia="Arial" w:hAnsi="Arial"/>
          <w:sz w:val="17"/>
          <w:szCs w:val="17"/>
          <w:color w:val="auto"/>
        </w:rPr>
        <w:t>File No. 333-276470 Brighthouse Retirement Account Liquidity Benefit File No. 333-276599 Brighthouse Shield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Level II 6-Year Annuity File No. 333-276762 Brighthouse Shield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Level II Advisory Annuity</w:t>
      </w:r>
    </w:p>
    <w:p>
      <w:pPr>
        <w:ind w:left="580" w:right="100"/>
        <w:spacing w:after="0" w:line="183" w:lineRule="auto"/>
        <w:rPr>
          <w:rFonts w:ascii="Arial" w:cs="Arial" w:eastAsia="Arial" w:hAnsi="Arial"/>
          <w:sz w:val="18"/>
          <w:szCs w:val="18"/>
          <w:color w:val="auto"/>
        </w:rPr>
      </w:pPr>
      <w:r>
        <w:rPr>
          <w:rFonts w:ascii="Arial" w:cs="Arial" w:eastAsia="Arial" w:hAnsi="Arial"/>
          <w:sz w:val="16"/>
          <w:szCs w:val="16"/>
          <w:color w:val="auto"/>
        </w:rPr>
        <w:t>File No. 333-276763 Brighthouse Shield Level Pay Plus</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II Annuity and Brighthouse Shield Level Pay Plus</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II Advisory Annuity File No. 333-279302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II 3-Year Annuity</w:t>
      </w:r>
    </w:p>
    <w:p>
      <w:pPr>
        <w:spacing w:after="0" w:line="1" w:lineRule="exact"/>
        <w:rPr>
          <w:rFonts w:ascii="Arial" w:cs="Arial" w:eastAsia="Arial" w:hAnsi="Arial"/>
          <w:sz w:val="18"/>
          <w:szCs w:val="18"/>
          <w:color w:val="auto"/>
        </w:rPr>
      </w:pPr>
    </w:p>
    <w:p>
      <w:pPr>
        <w:ind w:left="580" w:right="8520"/>
        <w:spacing w:after="0" w:line="279" w:lineRule="auto"/>
        <w:rPr>
          <w:rFonts w:ascii="Arial" w:cs="Arial" w:eastAsia="Arial" w:hAnsi="Arial"/>
          <w:sz w:val="18"/>
          <w:szCs w:val="18"/>
          <w:color w:val="auto"/>
        </w:rPr>
      </w:pPr>
      <w:r>
        <w:rPr>
          <w:rFonts w:ascii="Arial" w:cs="Arial" w:eastAsia="Arial" w:hAnsi="Arial"/>
          <w:sz w:val="17"/>
          <w:szCs w:val="17"/>
          <w:color w:val="auto"/>
        </w:rPr>
        <w:t>T-Mark Fixed Annuity Target Maturity,</w:t>
      </w:r>
    </w:p>
    <w:p>
      <w:pPr>
        <w:spacing w:after="0" w:line="175" w:lineRule="exact"/>
        <w:rPr>
          <w:rFonts w:ascii="Arial" w:cs="Arial" w:eastAsia="Arial" w:hAnsi="Arial"/>
          <w:sz w:val="18"/>
          <w:szCs w:val="18"/>
          <w:color w:val="auto"/>
        </w:rPr>
      </w:pPr>
    </w:p>
    <w:p>
      <w:pPr>
        <w:ind w:left="220" w:hanging="212"/>
        <w:spacing w:after="0"/>
        <w:tabs>
          <w:tab w:leader="none" w:pos="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Brighthouse Life Insurance Company (RILA MVA)</w:t>
      </w:r>
    </w:p>
    <w:p>
      <w:pPr>
        <w:spacing w:after="0" w:line="14" w:lineRule="exact"/>
        <w:rPr>
          <w:sz w:val="20"/>
          <w:szCs w:val="20"/>
          <w:color w:val="auto"/>
        </w:rPr>
      </w:pPr>
    </w:p>
    <w:p>
      <w:pPr>
        <w:ind w:left="580" w:right="100"/>
        <w:spacing w:after="0" w:line="181" w:lineRule="auto"/>
        <w:rPr>
          <w:sz w:val="20"/>
          <w:szCs w:val="20"/>
          <w:color w:val="auto"/>
        </w:rPr>
      </w:pPr>
      <w:r>
        <w:rPr>
          <w:rFonts w:ascii="Arial" w:cs="Arial" w:eastAsia="Arial" w:hAnsi="Arial"/>
          <w:sz w:val="18"/>
          <w:szCs w:val="18"/>
          <w:color w:val="auto"/>
        </w:rPr>
        <w:t>File No. 333-282752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Annuity and Brighthouse Shield Level Pay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II Advisory Annuity File No. 333-282871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Advisory Annuity File No. 333-283023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ind w:left="580"/>
        <w:spacing w:after="0"/>
        <w:rPr>
          <w:sz w:val="20"/>
          <w:szCs w:val="20"/>
          <w:color w:val="auto"/>
        </w:rPr>
      </w:pPr>
      <w:r>
        <w:rPr>
          <w:rFonts w:ascii="Arial" w:cs="Arial" w:eastAsia="Arial" w:hAnsi="Arial"/>
          <w:sz w:val="18"/>
          <w:szCs w:val="18"/>
          <w:color w:val="auto"/>
        </w:rPr>
        <w:t>File No. 333-283024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3-Year Annuity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Brighthouse Shield Annuity</w:t>
      </w:r>
    </w:p>
    <w:p>
      <w:pPr>
        <w:ind w:left="580"/>
        <w:spacing w:after="0" w:line="234" w:lineRule="auto"/>
        <w:rPr>
          <w:sz w:val="20"/>
          <w:szCs w:val="20"/>
          <w:color w:val="auto"/>
        </w:rPr>
      </w:pPr>
      <w:r>
        <w:rPr>
          <w:rFonts w:ascii="Arial" w:cs="Arial" w:eastAsia="Arial" w:hAnsi="Arial"/>
          <w:sz w:val="18"/>
          <w:szCs w:val="18"/>
          <w:color w:val="auto"/>
        </w:rPr>
        <w:t>Brighthouse Shield 3-Year Annuity</w:t>
      </w:r>
    </w:p>
    <w:p>
      <w:pPr>
        <w:ind w:left="58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Brighthouse Index-linked Life Insurance Policy,</w:t>
      </w:r>
    </w:p>
    <w:p>
      <w:pPr>
        <w:spacing w:after="0" w:line="19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ectPr>
          <w:pgSz w:w="11900" w:h="16838" w:orient="portrait"/>
          <w:cols w:equalWidth="0" w:num="1">
            <w:col w:w="10800"/>
          </w:cols>
          <w:pgMar w:left="320" w:top="269" w:right="77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I have hereunto set my hand this 7th day of November 2024.</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Gianna H. Figaro-Sterling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Gianna H. Figaro-Sterling</w:t>
      </w:r>
    </w:p>
    <w:p>
      <w:pPr>
        <w:sectPr>
          <w:pgSz w:w="11900" w:h="16838" w:orient="portrait"/>
          <w:cols w:equalWidth="0" w:num="1">
            <w:col w:w="10139"/>
          </w:cols>
          <w:pgMar w:left="320" w:top="269"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10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(Form Type)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Brighthouse Life Insurance Company</w:t>
      </w:r>
    </w:p>
    <w:p>
      <w:pPr>
        <w:spacing w:after="0" w:line="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w:t>
      </w: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Table 1: Newly Registered and Carry Forward Securities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320" w:type="dxa"/>
            <w:vAlign w:val="bottom"/>
            <w:tcBorders>
              <w:top w:val="single" w:sz="8" w:color="auto"/>
              <w:left w:val="single" w:sz="8" w:color="auto"/>
              <w:right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82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92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8"/>
        </w:trPr>
        <w:tc>
          <w:tcPr>
            <w:tcW w:w="13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148"/>
        </w:trPr>
        <w:tc>
          <w:tcPr>
            <w:tcW w:w="13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82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Carry</w:t>
            </w:r>
          </w:p>
        </w:tc>
        <w:tc>
          <w:tcPr>
            <w:tcW w:w="6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 In</w:t>
            </w:r>
          </w:p>
        </w:tc>
        <w:tc>
          <w:tcPr>
            <w:tcW w:w="0" w:type="dxa"/>
            <w:vAlign w:val="bottom"/>
          </w:tcPr>
          <w:p>
            <w:pPr>
              <w:spacing w:after="0"/>
              <w:rPr>
                <w:sz w:val="1"/>
                <w:szCs w:val="1"/>
                <w:color w:val="auto"/>
              </w:rPr>
            </w:pPr>
          </w:p>
        </w:tc>
      </w:tr>
      <w:tr>
        <w:trPr>
          <w:trHeight w:val="79"/>
        </w:trPr>
        <w:tc>
          <w:tcPr>
            <w:tcW w:w="132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8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6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90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68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92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70"/>
        </w:trPr>
        <w:tc>
          <w:tcPr>
            <w:tcW w:w="132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8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90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68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3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Class</w:t>
            </w:r>
          </w:p>
        </w:tc>
        <w:tc>
          <w:tcPr>
            <w:tcW w:w="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6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jc w:val="center"/>
              <w:ind w:left="6"/>
              <w:spacing w:after="0" w:line="146"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9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68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Initial</w:t>
            </w:r>
          </w:p>
        </w:tc>
        <w:tc>
          <w:tcPr>
            <w:tcW w:w="9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with Unsold</w:t>
            </w:r>
          </w:p>
        </w:tc>
        <w:tc>
          <w:tcPr>
            <w:tcW w:w="0" w:type="dxa"/>
            <w:vAlign w:val="bottom"/>
          </w:tcPr>
          <w:p>
            <w:pPr>
              <w:spacing w:after="0"/>
              <w:rPr>
                <w:sz w:val="1"/>
                <w:szCs w:val="1"/>
                <w:color w:val="auto"/>
              </w:rPr>
            </w:pPr>
          </w:p>
        </w:tc>
      </w:tr>
      <w:tr>
        <w:trPr>
          <w:trHeight w:val="148"/>
        </w:trPr>
        <w:tc>
          <w:tcPr>
            <w:tcW w:w="13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8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Title</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60" w:type="dxa"/>
            <w:vAlign w:val="bottom"/>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Registered</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Fee</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51"/>
        </w:trPr>
        <w:tc>
          <w:tcPr>
            <w:tcW w:w="1320" w:type="dxa"/>
            <w:vAlign w:val="bottom"/>
            <w:tcBorders>
              <w:left w:val="single" w:sz="8" w:color="auto"/>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jc w:val="center"/>
              <w:ind w:left="8"/>
              <w:spacing w:after="0" w:line="151" w:lineRule="exact"/>
              <w:rPr>
                <w:sz w:val="20"/>
                <w:szCs w:val="20"/>
                <w:color w:val="auto"/>
              </w:rPr>
            </w:pPr>
            <w:r>
              <w:rPr>
                <w:rFonts w:ascii="Times New Roman" w:cs="Times New Roman" w:eastAsia="Times New Roman" w:hAnsi="Times New Roman"/>
                <w:sz w:val="14"/>
                <w:szCs w:val="14"/>
                <w:b w:val="1"/>
                <w:bCs w:val="1"/>
                <w:color w:val="auto"/>
                <w:w w:val="99"/>
              </w:rPr>
              <w:t>Rule</w:t>
            </w:r>
          </w:p>
        </w:tc>
        <w:tc>
          <w:tcPr>
            <w:tcW w:w="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jc w:val="center"/>
              <w:ind w:left="6"/>
              <w:spacing w:after="0" w:line="151" w:lineRule="exact"/>
              <w:rPr>
                <w:sz w:val="20"/>
                <w:szCs w:val="20"/>
                <w:color w:val="auto"/>
              </w:rPr>
            </w:pPr>
            <w:r>
              <w:rPr>
                <w:rFonts w:ascii="Times New Roman" w:cs="Times New Roman" w:eastAsia="Times New Roman" w:hAnsi="Times New Roman"/>
                <w:sz w:val="14"/>
                <w:szCs w:val="14"/>
                <w:b w:val="1"/>
                <w:bCs w:val="1"/>
                <w:color w:val="auto"/>
              </w:rPr>
              <w:t>Unit</w:t>
            </w:r>
            <w:r>
              <w:rPr>
                <w:rFonts w:ascii="Times New Roman" w:cs="Times New Roman" w:eastAsia="Times New Roman" w:hAnsi="Times New Roman"/>
                <w:sz w:val="10"/>
                <w:szCs w:val="10"/>
                <w:b w:val="1"/>
                <w:bCs w:val="1"/>
                <w:color w:val="auto"/>
              </w:rPr>
              <w:t>(1)</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7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date</w:t>
            </w:r>
          </w:p>
        </w:tc>
        <w:tc>
          <w:tcPr>
            <w:tcW w:w="92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48"/>
        </w:trPr>
        <w:tc>
          <w:tcPr>
            <w:tcW w:w="13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187"/>
        </w:trPr>
        <w:tc>
          <w:tcPr>
            <w:tcW w:w="1320" w:type="dxa"/>
            <w:vAlign w:val="bottom"/>
            <w:tcBorders>
              <w:left w:val="single" w:sz="8" w:color="auto"/>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209"/>
        </w:trPr>
        <w:tc>
          <w:tcPr>
            <w:tcW w:w="132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center"/>
              <w:ind w:left="244"/>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320" w:type="dxa"/>
            <w:vAlign w:val="bottom"/>
            <w:tcBorders>
              <w:left w:val="single" w:sz="8" w:color="auto"/>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To be</w:t>
            </w:r>
          </w:p>
        </w:tc>
        <w:tc>
          <w:tcPr>
            <w:tcW w:w="7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To be</w:t>
            </w:r>
          </w:p>
        </w:tc>
        <w:tc>
          <w:tcPr>
            <w:tcW w:w="68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320" w:type="dxa"/>
            <w:vAlign w:val="bottom"/>
            <w:tcBorders>
              <w:left w:val="single" w:sz="8" w:color="auto"/>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completed</w:t>
            </w:r>
          </w:p>
        </w:tc>
        <w:tc>
          <w:tcPr>
            <w:tcW w:w="78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20" w:type="dxa"/>
            <w:vAlign w:val="bottom"/>
            <w:tcBorders>
              <w:left w:val="single" w:sz="8" w:color="auto"/>
              <w:right w:val="single" w:sz="8" w:color="auto"/>
            </w:tcBorders>
            <w:vMerge w:val="restart"/>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Fees to Be</w:t>
            </w:r>
          </w:p>
        </w:tc>
        <w:tc>
          <w:tcPr>
            <w:tcW w:w="6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completed by</w:t>
            </w:r>
          </w:p>
        </w:tc>
        <w:tc>
          <w:tcPr>
            <w:tcW w:w="68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20" w:type="dxa"/>
            <w:vAlign w:val="bottom"/>
            <w:tcBorders>
              <w:left w:val="single" w:sz="8" w:color="auto"/>
              <w:right w:val="single" w:sz="8" w:color="auto"/>
            </w:tcBorders>
            <w:vMerge w:val="continue"/>
          </w:tcPr>
          <w:p>
            <w:pPr>
              <w:spacing w:after="0"/>
              <w:rPr>
                <w:sz w:val="5"/>
                <w:szCs w:val="5"/>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N/A</w:t>
            </w:r>
          </w:p>
        </w:tc>
        <w:tc>
          <w:tcPr>
            <w:tcW w:w="8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Rule 457(o)</w:t>
            </w:r>
          </w:p>
        </w:tc>
        <w:tc>
          <w:tcPr>
            <w:tcW w:w="60" w:type="dxa"/>
            <w:vAlign w:val="bottom"/>
          </w:tcPr>
          <w:p>
            <w:pPr>
              <w:spacing w:after="0"/>
              <w:rPr>
                <w:sz w:val="5"/>
                <w:szCs w:val="5"/>
                <w:color w:val="auto"/>
              </w:rPr>
            </w:pPr>
          </w:p>
        </w:tc>
        <w:tc>
          <w:tcPr>
            <w:tcW w:w="700" w:type="dxa"/>
            <w:vAlign w:val="bottom"/>
            <w:tcBorders>
              <w:right w:val="single" w:sz="8" w:color="auto"/>
            </w:tcBorders>
            <w:vMerge w:val="restart"/>
          </w:tcPr>
          <w:p>
            <w:pPr>
              <w:jc w:val="right"/>
              <w:ind w:right="184"/>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right w:val="single" w:sz="8" w:color="auto"/>
            </w:tcBorders>
            <w:vMerge w:val="restart"/>
          </w:tcPr>
          <w:p>
            <w:pPr>
              <w:jc w:val="center"/>
              <w:ind w:left="6"/>
              <w:spacing w:after="0"/>
              <w:rPr>
                <w:sz w:val="20"/>
                <w:szCs w:val="20"/>
                <w:color w:val="auto"/>
              </w:rPr>
            </w:pPr>
            <w:r>
              <w:rPr>
                <w:rFonts w:ascii="Times New Roman" w:cs="Times New Roman" w:eastAsia="Times New Roman" w:hAnsi="Times New Roman"/>
                <w:sz w:val="14"/>
                <w:szCs w:val="14"/>
                <w:color w:val="auto"/>
                <w:w w:val="97"/>
              </w:rPr>
              <w:t>(1)</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by</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0.00015310</w:t>
            </w:r>
          </w:p>
        </w:tc>
        <w:tc>
          <w:tcPr>
            <w:tcW w:w="9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N/A</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44"/>
        </w:trPr>
        <w:tc>
          <w:tcPr>
            <w:tcW w:w="1320" w:type="dxa"/>
            <w:vAlign w:val="bottom"/>
            <w:tcBorders>
              <w:left w:val="single" w:sz="8" w:color="auto"/>
              <w:right w:val="single" w:sz="8" w:color="auto"/>
            </w:tcBorders>
          </w:tcPr>
          <w:p>
            <w:pPr>
              <w:jc w:val="center"/>
              <w:ind w:left="68"/>
              <w:spacing w:after="0" w:line="145" w:lineRule="exact"/>
              <w:rPr>
                <w:sz w:val="20"/>
                <w:szCs w:val="20"/>
                <w:color w:val="auto"/>
              </w:rPr>
            </w:pPr>
            <w:r>
              <w:rPr>
                <w:rFonts w:ascii="Times New Roman" w:cs="Times New Roman" w:eastAsia="Times New Roman" w:hAnsi="Times New Roman"/>
                <w:sz w:val="14"/>
                <w:szCs w:val="14"/>
                <w:color w:val="auto"/>
              </w:rPr>
              <w:t>Paid</w:t>
            </w:r>
          </w:p>
        </w:tc>
        <w:tc>
          <w:tcPr>
            <w:tcW w:w="64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Pre-Effective</w:t>
            </w:r>
          </w:p>
        </w:tc>
        <w:tc>
          <w:tcPr>
            <w:tcW w:w="68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320" w:type="dxa"/>
            <w:vAlign w:val="bottom"/>
            <w:tcBorders>
              <w:left w:val="single" w:sz="8" w:color="auto"/>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jc w:val="center"/>
              <w:spacing w:after="0" w:line="85" w:lineRule="exact"/>
              <w:rPr>
                <w:sz w:val="20"/>
                <w:szCs w:val="20"/>
                <w:color w:val="auto"/>
              </w:rPr>
            </w:pPr>
            <w:r>
              <w:rPr>
                <w:rFonts w:ascii="Times New Roman" w:cs="Times New Roman" w:eastAsia="Times New Roman" w:hAnsi="Times New Roman"/>
                <w:sz w:val="9"/>
                <w:szCs w:val="9"/>
                <w:color w:val="auto"/>
              </w:rPr>
              <w:t>Pre-Effective</w:t>
            </w:r>
          </w:p>
        </w:tc>
        <w:tc>
          <w:tcPr>
            <w:tcW w:w="7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Amendment</w:t>
            </w:r>
          </w:p>
        </w:tc>
        <w:tc>
          <w:tcPr>
            <w:tcW w:w="68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320" w:type="dxa"/>
            <w:vAlign w:val="bottom"/>
            <w:tcBorders>
              <w:left w:val="single" w:sz="8" w:color="auto"/>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Amendment</w:t>
            </w:r>
          </w:p>
        </w:tc>
        <w:tc>
          <w:tcPr>
            <w:tcW w:w="7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320" w:type="dxa"/>
            <w:vAlign w:val="bottom"/>
            <w:tcBorders>
              <w:left w:val="single" w:sz="8" w:color="auto"/>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32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center"/>
              <w:ind w:right="288"/>
              <w:spacing w:after="0"/>
              <w:rPr>
                <w:sz w:val="20"/>
                <w:szCs w:val="20"/>
                <w:color w:val="auto"/>
              </w:rPr>
            </w:pPr>
            <w:r>
              <w:rPr>
                <w:rFonts w:ascii="Times New Roman" w:cs="Times New Roman" w:eastAsia="Times New Roman" w:hAnsi="Times New Roman"/>
                <w:sz w:val="18"/>
                <w:szCs w:val="18"/>
                <w:b w:val="1"/>
                <w:bCs w:val="1"/>
                <w:color w:val="auto"/>
              </w:rPr>
              <w:t>Carry Forward Securities</w:t>
            </w: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320" w:type="dxa"/>
            <w:vAlign w:val="bottom"/>
            <w:tcBorders>
              <w:left w:val="single" w:sz="8" w:color="auto"/>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ind w:left="8"/>
              <w:spacing w:after="0" w:line="119" w:lineRule="exact"/>
              <w:rPr>
                <w:sz w:val="20"/>
                <w:szCs w:val="20"/>
                <w:color w:val="auto"/>
              </w:rPr>
            </w:pPr>
            <w:r>
              <w:rPr>
                <w:rFonts w:ascii="Times New Roman" w:cs="Times New Roman" w:eastAsia="Times New Roman" w:hAnsi="Times New Roman"/>
                <w:sz w:val="13"/>
                <w:szCs w:val="13"/>
                <w:color w:val="auto"/>
              </w:rPr>
              <w:t>Individual</w:t>
            </w:r>
          </w:p>
        </w:tc>
        <w:tc>
          <w:tcPr>
            <w:tcW w:w="8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Single</w:t>
            </w:r>
          </w:p>
        </w:tc>
        <w:tc>
          <w:tcPr>
            <w:tcW w:w="8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To be</w:t>
            </w: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To be</w:t>
            </w:r>
          </w:p>
        </w:tc>
        <w:tc>
          <w:tcPr>
            <w:tcW w:w="0" w:type="dxa"/>
            <w:vAlign w:val="bottom"/>
          </w:tcPr>
          <w:p>
            <w:pPr>
              <w:spacing w:after="0"/>
              <w:rPr>
                <w:sz w:val="1"/>
                <w:szCs w:val="1"/>
                <w:color w:val="auto"/>
              </w:rPr>
            </w:pPr>
          </w:p>
        </w:tc>
      </w:tr>
      <w:tr>
        <w:trPr>
          <w:trHeight w:val="148"/>
        </w:trPr>
        <w:tc>
          <w:tcPr>
            <w:tcW w:w="13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Premium</w:t>
            </w:r>
          </w:p>
        </w:tc>
        <w:tc>
          <w:tcPr>
            <w:tcW w:w="8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Borders>
              <w:left w:val="single" w:sz="8" w:color="auto"/>
              <w:right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Carry Forward</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Deferred</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415(a)(6)</w:t>
            </w:r>
          </w:p>
        </w:tc>
        <w:tc>
          <w:tcPr>
            <w:tcW w:w="60" w:type="dxa"/>
            <w:vAlign w:val="bottom"/>
          </w:tcPr>
          <w:p>
            <w:pPr>
              <w:spacing w:after="0"/>
              <w:rPr>
                <w:sz w:val="12"/>
                <w:szCs w:val="12"/>
                <w:color w:val="auto"/>
              </w:rPr>
            </w:pPr>
          </w:p>
        </w:tc>
        <w:tc>
          <w:tcPr>
            <w:tcW w:w="700" w:type="dxa"/>
            <w:vAlign w:val="bottom"/>
            <w:tcBorders>
              <w:right w:val="single" w:sz="8" w:color="auto"/>
            </w:tcBorders>
            <w:vMerge w:val="restart"/>
          </w:tcPr>
          <w:p>
            <w:pPr>
              <w:jc w:val="right"/>
              <w:ind w:right="104"/>
              <w:spacing w:after="0"/>
              <w:rPr>
                <w:sz w:val="20"/>
                <w:szCs w:val="20"/>
                <w:color w:val="auto"/>
              </w:rPr>
            </w:pPr>
            <w:r>
              <w:rPr>
                <w:rFonts w:ascii="Times New Roman" w:cs="Times New Roman" w:eastAsia="Times New Roman" w:hAnsi="Times New Roman"/>
                <w:sz w:val="14"/>
                <w:szCs w:val="14"/>
                <w:color w:val="auto"/>
              </w:rPr>
              <w:t>(1)(2)</w:t>
            </w:r>
          </w:p>
        </w:tc>
        <w:tc>
          <w:tcPr>
            <w:tcW w:w="760" w:type="dxa"/>
            <w:vAlign w:val="bottom"/>
            <w:tcBorders>
              <w:right w:val="single" w:sz="8" w:color="auto"/>
            </w:tcBorders>
            <w:vMerge w:val="restart"/>
          </w:tcPr>
          <w:p>
            <w:pPr>
              <w:jc w:val="center"/>
              <w:ind w:left="6"/>
              <w:spacing w:after="0"/>
              <w:rPr>
                <w:sz w:val="20"/>
                <w:szCs w:val="20"/>
                <w:color w:val="auto"/>
              </w:rPr>
            </w:pPr>
            <w:r>
              <w:rPr>
                <w:rFonts w:ascii="Times New Roman" w:cs="Times New Roman" w:eastAsia="Times New Roman" w:hAnsi="Times New Roman"/>
                <w:sz w:val="14"/>
                <w:szCs w:val="14"/>
                <w:color w:val="auto"/>
                <w:w w:val="97"/>
              </w:rPr>
              <w:t>(1)</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completed</w:t>
            </w: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Form S-3</w:t>
            </w:r>
          </w:p>
        </w:tc>
        <w:tc>
          <w:tcPr>
            <w:tcW w:w="82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333-263495</w:t>
            </w:r>
          </w:p>
        </w:tc>
        <w:tc>
          <w:tcPr>
            <w:tcW w:w="68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August 1,</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completed</w:t>
            </w:r>
          </w:p>
        </w:tc>
        <w:tc>
          <w:tcPr>
            <w:tcW w:w="0" w:type="dxa"/>
            <w:vAlign w:val="bottom"/>
          </w:tcPr>
          <w:p>
            <w:pPr>
              <w:spacing w:after="0"/>
              <w:rPr>
                <w:sz w:val="1"/>
                <w:szCs w:val="1"/>
                <w:color w:val="auto"/>
              </w:rPr>
            </w:pPr>
          </w:p>
        </w:tc>
      </w:tr>
      <w:tr>
        <w:trPr>
          <w:trHeight w:val="144"/>
        </w:trPr>
        <w:tc>
          <w:tcPr>
            <w:tcW w:w="1320" w:type="dxa"/>
            <w:vAlign w:val="bottom"/>
            <w:tcBorders>
              <w:left w:val="single" w:sz="8" w:color="auto"/>
              <w:right w:val="single" w:sz="8" w:color="auto"/>
            </w:tcBorders>
            <w:vMerge w:val="continue"/>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Index-Linked</w:t>
            </w:r>
          </w:p>
        </w:tc>
        <w:tc>
          <w:tcPr>
            <w:tcW w:w="8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by</w:t>
            </w: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153"/>
        </w:trPr>
        <w:tc>
          <w:tcPr>
            <w:tcW w:w="1320" w:type="dxa"/>
            <w:vAlign w:val="bottom"/>
            <w:tcBorders>
              <w:left w:val="single" w:sz="8" w:color="auto"/>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64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jc w:val="center"/>
              <w:ind w:left="8"/>
              <w:spacing w:after="0" w:line="153" w:lineRule="exact"/>
              <w:rPr>
                <w:sz w:val="20"/>
                <w:szCs w:val="20"/>
                <w:color w:val="auto"/>
              </w:rPr>
            </w:pPr>
            <w:r>
              <w:rPr>
                <w:rFonts w:ascii="Times New Roman" w:cs="Times New Roman" w:eastAsia="Times New Roman" w:hAnsi="Times New Roman"/>
                <w:sz w:val="14"/>
                <w:szCs w:val="14"/>
                <w:color w:val="auto"/>
                <w:w w:val="99"/>
              </w:rPr>
              <w:t>Separate</w:t>
            </w:r>
          </w:p>
        </w:tc>
        <w:tc>
          <w:tcPr>
            <w:tcW w:w="8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Pre-Effective</w:t>
            </w:r>
          </w:p>
        </w:tc>
        <w:tc>
          <w:tcPr>
            <w:tcW w:w="7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92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Pre-Effective</w:t>
            </w:r>
          </w:p>
        </w:tc>
        <w:tc>
          <w:tcPr>
            <w:tcW w:w="0" w:type="dxa"/>
            <w:vAlign w:val="bottom"/>
          </w:tcPr>
          <w:p>
            <w:pPr>
              <w:spacing w:after="0"/>
              <w:rPr>
                <w:sz w:val="1"/>
                <w:szCs w:val="1"/>
                <w:color w:val="auto"/>
              </w:rPr>
            </w:pPr>
          </w:p>
        </w:tc>
      </w:tr>
      <w:tr>
        <w:trPr>
          <w:trHeight w:val="148"/>
        </w:trPr>
        <w:tc>
          <w:tcPr>
            <w:tcW w:w="13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Account</w:t>
            </w:r>
          </w:p>
        </w:tc>
        <w:tc>
          <w:tcPr>
            <w:tcW w:w="8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Amendment</w:t>
            </w: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Amendment</w:t>
            </w:r>
          </w:p>
        </w:tc>
        <w:tc>
          <w:tcPr>
            <w:tcW w:w="0" w:type="dxa"/>
            <w:vAlign w:val="bottom"/>
          </w:tcPr>
          <w:p>
            <w:pPr>
              <w:spacing w:after="0"/>
              <w:rPr>
                <w:sz w:val="1"/>
                <w:szCs w:val="1"/>
                <w:color w:val="auto"/>
              </w:rPr>
            </w:pPr>
          </w:p>
        </w:tc>
      </w:tr>
      <w:tr>
        <w:trPr>
          <w:trHeight w:val="148"/>
        </w:trPr>
        <w:tc>
          <w:tcPr>
            <w:tcW w:w="13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Annuity</w:t>
            </w:r>
          </w:p>
        </w:tc>
        <w:tc>
          <w:tcPr>
            <w:tcW w:w="8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Contract</w:t>
            </w:r>
          </w:p>
        </w:tc>
        <w:tc>
          <w:tcPr>
            <w:tcW w:w="88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center"/>
              <w:ind w:left="48"/>
              <w:spacing w:after="0" w:line="142" w:lineRule="exact"/>
              <w:rPr>
                <w:sz w:val="20"/>
                <w:szCs w:val="20"/>
                <w:color w:val="auto"/>
              </w:rPr>
            </w:pPr>
            <w:r>
              <w:rPr>
                <w:rFonts w:ascii="Times New Roman" w:cs="Times New Roman" w:eastAsia="Times New Roman" w:hAnsi="Times New Roman"/>
                <w:sz w:val="14"/>
                <w:szCs w:val="14"/>
                <w:b w:val="1"/>
                <w:bCs w:val="1"/>
                <w:color w:val="auto"/>
              </w:rPr>
              <w:t>Total Offering Amounts</w:t>
            </w:r>
          </w:p>
        </w:tc>
        <w:tc>
          <w:tcPr>
            <w:tcW w:w="7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$________</w:t>
            </w:r>
          </w:p>
        </w:tc>
        <w:tc>
          <w:tcPr>
            <w:tcW w:w="7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$0.00</w:t>
            </w:r>
          </w:p>
        </w:tc>
        <w:tc>
          <w:tcPr>
            <w:tcW w:w="6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center"/>
              <w:ind w:left="48"/>
              <w:spacing w:after="0" w:line="142" w:lineRule="exact"/>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7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$0.00</w:t>
            </w:r>
          </w:p>
        </w:tc>
        <w:tc>
          <w:tcPr>
            <w:tcW w:w="6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center"/>
              <w:ind w:left="48"/>
              <w:spacing w:after="0" w:line="142" w:lineRule="exact"/>
              <w:rPr>
                <w:sz w:val="20"/>
                <w:szCs w:val="20"/>
                <w:color w:val="auto"/>
              </w:rPr>
            </w:pPr>
            <w:r>
              <w:rPr>
                <w:rFonts w:ascii="Times New Roman" w:cs="Times New Roman" w:eastAsia="Times New Roman" w:hAnsi="Times New Roman"/>
                <w:sz w:val="14"/>
                <w:szCs w:val="14"/>
                <w:b w:val="1"/>
                <w:bCs w:val="1"/>
                <w:color w:val="auto"/>
              </w:rPr>
              <w:t>Total Fee Offsets</w:t>
            </w:r>
          </w:p>
        </w:tc>
        <w:tc>
          <w:tcPr>
            <w:tcW w:w="7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$0.00</w:t>
            </w:r>
          </w:p>
        </w:tc>
        <w:tc>
          <w:tcPr>
            <w:tcW w:w="6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center"/>
              <w:ind w:left="48"/>
              <w:spacing w:after="0" w:line="142" w:lineRule="exact"/>
              <w:rPr>
                <w:sz w:val="20"/>
                <w:szCs w:val="20"/>
                <w:color w:val="auto"/>
              </w:rPr>
            </w:pPr>
            <w:r>
              <w:rPr>
                <w:rFonts w:ascii="Times New Roman" w:cs="Times New Roman" w:eastAsia="Times New Roman" w:hAnsi="Times New Roman"/>
                <w:sz w:val="14"/>
                <w:szCs w:val="14"/>
                <w:b w:val="1"/>
                <w:bCs w:val="1"/>
                <w:color w:val="auto"/>
              </w:rPr>
              <w:t>Net Fee Due</w:t>
            </w:r>
          </w:p>
        </w:tc>
        <w:tc>
          <w:tcPr>
            <w:tcW w:w="7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$0.00</w:t>
            </w:r>
          </w:p>
        </w:tc>
        <w:tc>
          <w:tcPr>
            <w:tcW w:w="6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40" w:hanging="432"/>
        <w:spacing w:after="0" w:line="215" w:lineRule="auto"/>
        <w:tabs>
          <w:tab w:leader="none" w:pos="440" w:val="left"/>
        </w:tabs>
        <w:numPr>
          <w:ilvl w:val="0"/>
          <w:numId w:val="1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Amount Registered and the Proposed Maximum Offering Price Per Unit are not applicable because the securities are not issued in predetermined amounts or units.</w:t>
      </w:r>
    </w:p>
    <w:p>
      <w:pPr>
        <w:spacing w:after="0" w:line="60" w:lineRule="exact"/>
        <w:rPr>
          <w:rFonts w:ascii="Times New Roman" w:cs="Times New Roman" w:eastAsia="Times New Roman" w:hAnsi="Times New Roman"/>
          <w:sz w:val="24"/>
          <w:szCs w:val="24"/>
          <w:color w:val="auto"/>
          <w:vertAlign w:val="superscript"/>
        </w:rPr>
      </w:pPr>
    </w:p>
    <w:p>
      <w:pPr>
        <w:jc w:val="both"/>
        <w:ind w:left="440" w:hanging="432"/>
        <w:spacing w:after="0" w:line="229" w:lineRule="auto"/>
        <w:tabs>
          <w:tab w:leader="none" w:pos="440" w:val="left"/>
        </w:tabs>
        <w:numPr>
          <w:ilvl w:val="0"/>
          <w:numId w:val="1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Approximately $__________ of unsold securities previously registered in the Registration Statement on Form S-3, File No. 333-263495 (“Prior Registration Statement”), are hereby carried forward to this Registration Statement on Form S-3. In accordance with Rule 415(a)(6), the offering of securities under the Prior Registration Statement will be deemed terminated as of the Effective Date of this Registration Statement.</w:t>
      </w:r>
    </w:p>
    <w:sectPr>
      <w:pgSz w:w="11900" w:h="16838" w:orient="portrait"/>
      <w:cols w:equalWidth="0" w:num="1">
        <w:col w:w="11020"/>
      </w:cols>
      <w:pgMar w:left="320" w:top="10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1."/>
      <w:numFmt w:val="decimal"/>
      <w:start w:val="1"/>
    </w:lvl>
  </w:abstractNum>
  <w:abstractNum w:abstractNumId="7">
    <w:nsid w:val="15B5AF5C"/>
    <w:multiLevelType w:val="hybridMultilevel"/>
    <w:lvl w:ilvl="0">
      <w:lvlJc w:val="left"/>
      <w:lvlText w:val="(%1)"/>
      <w:numFmt w:val="decimal"/>
      <w:start w:val="1"/>
    </w:lvl>
  </w:abstractNum>
  <w:abstractNum w:abstractNumId="8">
    <w:nsid w:val="741226BB"/>
    <w:multiLevelType w:val="hybridMultilevel"/>
    <w:lvl w:ilvl="0">
      <w:lvlJc w:val="left"/>
      <w:lvlText w:val="(%1)"/>
      <w:numFmt w:val="decimal"/>
      <w:start w:val="2"/>
    </w:lvl>
    <w:lvl w:ilvl="1">
      <w:lvlJc w:val="left"/>
      <w:lvlText w:val="÷"/>
      <w:numFmt w:val="bullet"/>
      <w:start w:val="1"/>
    </w:lvl>
  </w:abstractNum>
  <w:abstractNum w:abstractNumId="9">
    <w:nsid w:val="D34B6A8"/>
    <w:multiLevelType w:val="hybridMultilevel"/>
    <w:lvl w:ilvl="0">
      <w:lvlJc w:val="left"/>
      <w:lvlText w:val="(%1)"/>
      <w:numFmt w:val="decimal"/>
      <w:start w:val="5"/>
    </w:lvl>
  </w:abstractNum>
  <w:abstractNum w:abstractNumId="10">
    <w:nsid w:val="10233C99"/>
    <w:multiLevelType w:val="hybridMultilevel"/>
    <w:lvl w:ilvl="0">
      <w:lvlJc w:val="left"/>
      <w:lvlText w:val="(%1)"/>
      <w:numFmt w:val="decimal"/>
      <w:start w:val="1"/>
    </w:lvl>
  </w:abstractNum>
  <w:abstractNum w:abstractNumId="11">
    <w:nsid w:val="3F6AB60F"/>
    <w:multiLevelType w:val="hybridMultilevel"/>
    <w:lvl w:ilvl="0">
      <w:lvlJc w:val="left"/>
      <w:lvlText w:val="(%1)"/>
      <w:numFmt w:val="decimal"/>
      <w:start w:val="2"/>
    </w:lvl>
    <w:lvl w:ilvl="1">
      <w:lvlJc w:val="left"/>
      <w:lvlText w:val="÷"/>
      <w:numFmt w:val="bullet"/>
      <w:start w:val="1"/>
    </w:lvl>
  </w:abstractNum>
  <w:abstractNum w:abstractNumId="12">
    <w:nsid w:val="61574095"/>
    <w:multiLevelType w:val="hybridMultilevel"/>
    <w:lvl w:ilvl="0">
      <w:lvlJc w:val="left"/>
      <w:lvlText w:val="(%1)"/>
      <w:numFmt w:val="decimal"/>
      <w:start w:val="4"/>
    </w:lvl>
  </w:abstractNum>
  <w:abstractNum w:abstractNumId="13">
    <w:nsid w:val="7E0C57B1"/>
    <w:multiLevelType w:val="hybridMultilevel"/>
    <w:lvl w:ilvl="0">
      <w:lvlJc w:val="left"/>
      <w:lvlText w:val="(%1)"/>
      <w:numFmt w:val="decimal"/>
      <w:start w:val="5"/>
    </w:lvl>
  </w:abstractNum>
  <w:abstractNum w:abstractNumId="14">
    <w:nsid w:val="77AE35EB"/>
    <w:multiLevelType w:val="hybridMultilevel"/>
    <w:lvl w:ilvl="0">
      <w:lvlJc w:val="left"/>
      <w:lvlText w:val="(%1)"/>
      <w:numFmt w:val="decimal"/>
      <w:start w:val="1"/>
    </w:lvl>
  </w:abstractNum>
  <w:abstractNum w:abstractNumId="15">
    <w:nsid w:val="579BE4F1"/>
    <w:multiLevelType w:val="hybridMultilevel"/>
    <w:lvl w:ilvl="0">
      <w:lvlJc w:val="left"/>
      <w:lvlText w:val="(%1)"/>
      <w:numFmt w:val="decimal"/>
      <w:start w:val="2"/>
    </w:lvl>
  </w:abstractNum>
  <w:abstractNum w:abstractNumId="16">
    <w:nsid w:val="310C50B3"/>
    <w:multiLevelType w:val="hybridMultilevel"/>
    <w:lvl w:ilvl="0">
      <w:lvlJc w:val="left"/>
      <w:lvlText w:val="(%1)"/>
      <w:numFmt w:val="decimal"/>
      <w:start w:val="2"/>
    </w:lvl>
    <w:lvl w:ilvl="1">
      <w:lvlJc w:val="left"/>
      <w:lvlText w:val="÷"/>
      <w:numFmt w:val="bullet"/>
      <w:start w:val="1"/>
    </w:lvl>
  </w:abstractNum>
  <w:abstractNum w:abstractNumId="17">
    <w:nsid w:val="5FF87E05"/>
    <w:multiLevelType w:val="hybridMultilevel"/>
    <w:lvl w:ilvl="0">
      <w:lvlJc w:val="left"/>
      <w:lvlText w:val="(%1)"/>
      <w:numFmt w:val="decimal"/>
      <w:start w:val="5"/>
    </w:lvl>
  </w:abstractNum>
  <w:abstractNum w:abstractNumId="18">
    <w:nsid w:val="2F305DEF"/>
    <w:multiLevelType w:val="hybridMultilevel"/>
    <w:lvl w:ilvl="0">
      <w:lvlJc w:val="left"/>
      <w:lvlText w:val="(%1)"/>
      <w:numFmt w:val="decimal"/>
      <w:start w:val="1"/>
    </w:lvl>
  </w:abstractNum>
  <w:abstractNum w:abstractNumId="19">
    <w:nsid w:val="25A70BF7"/>
    <w:multiLevelType w:val="hybridMultilevel"/>
    <w:lvl w:ilvl="0">
      <w:lvlJc w:val="left"/>
      <w:lvlText w:val="(%1)"/>
      <w:numFmt w:val="decimal"/>
      <w:start w:val="1"/>
    </w:lvl>
    <w:lvl w:ilvl="1">
      <w:lvlJc w:val="left"/>
      <w:lvlText w:val="÷"/>
      <w:numFmt w:val="bullet"/>
      <w:start w:val="1"/>
    </w:lvl>
  </w:abstractNum>
  <w:abstractNum w:abstractNumId="20">
    <w:nsid w:val="1DBABF00"/>
    <w:multiLevelType w:val="hybridMultilevel"/>
    <w:lvl w:ilvl="0">
      <w:lvlJc w:val="left"/>
      <w:lvlText w:val="(%1)"/>
      <w:numFmt w:val="decimal"/>
      <w:start w:val="3"/>
    </w:lvl>
  </w:abstractNum>
  <w:abstractNum w:abstractNumId="21">
    <w:nsid w:val="4AD084E9"/>
    <w:multiLevelType w:val="hybridMultilevel"/>
    <w:lvl w:ilvl="0">
      <w:lvlJc w:val="left"/>
      <w:lvlText w:val="(%1)"/>
      <w:numFmt w:val="decimal"/>
      <w:start w:val="5"/>
    </w:lvl>
  </w:abstractNum>
  <w:abstractNum w:abstractNumId="22">
    <w:nsid w:val="1F48EAA1"/>
    <w:multiLevelType w:val="hybridMultilevel"/>
    <w:lvl w:ilvl="0">
      <w:lvlJc w:val="left"/>
      <w:lvlText w:val="(%1)"/>
      <w:numFmt w:val="lowerRoman"/>
      <w:start w:val="1"/>
    </w:lvl>
  </w:abstractNum>
  <w:abstractNum w:abstractNumId="23">
    <w:nsid w:val="1381823A"/>
    <w:multiLevelType w:val="hybridMultilevel"/>
    <w:lvl w:ilvl="0">
      <w:lvlJc w:val="left"/>
      <w:lvlText w:val="(%1)"/>
      <w:numFmt w:val="decimal"/>
      <w:start w:val="5"/>
    </w:lvl>
  </w:abstractNum>
  <w:abstractNum w:abstractNumId="24">
    <w:nsid w:val="5DB70AE5"/>
    <w:multiLevelType w:val="hybridMultilevel"/>
    <w:lvl w:ilvl="0">
      <w:lvlJc w:val="left"/>
      <w:lvlText w:val="(%1)"/>
      <w:numFmt w:val="lowerRoman"/>
      <w:start w:val="1"/>
    </w:lvl>
  </w:abstractNum>
  <w:abstractNum w:abstractNumId="25">
    <w:nsid w:val="100F8FCA"/>
    <w:multiLevelType w:val="hybridMultilevel"/>
    <w:lvl w:ilvl="0">
      <w:lvlJc w:val="left"/>
      <w:lvlText w:val="(%1)"/>
      <w:numFmt w:val="decimal"/>
      <w:start w:val="1"/>
    </w:lvl>
    <w:lvl w:ilvl="1">
      <w:lvlJc w:val="left"/>
      <w:lvlText w:val="÷"/>
      <w:numFmt w:val="bullet"/>
      <w:start w:val="1"/>
    </w:lvl>
  </w:abstractNum>
  <w:abstractNum w:abstractNumId="26">
    <w:nsid w:val="6590700B"/>
    <w:multiLevelType w:val="hybridMultilevel"/>
    <w:lvl w:ilvl="0">
      <w:lvlJc w:val="left"/>
      <w:lvlText w:val="(%1)"/>
      <w:numFmt w:val="decimal"/>
      <w:start w:val="4"/>
    </w:lvl>
  </w:abstractNum>
  <w:abstractNum w:abstractNumId="27">
    <w:nsid w:val="15014ACB"/>
    <w:multiLevelType w:val="hybridMultilevel"/>
    <w:lvl w:ilvl="0">
      <w:lvlJc w:val="left"/>
      <w:lvlText w:val="%1"/>
      <w:numFmt w:val="decimal"/>
      <w:start w:val="1"/>
    </w:lvl>
    <w:lvl w:ilvl="1">
      <w:lvlJc w:val="left"/>
      <w:lvlText w:val="(%2)"/>
      <w:numFmt w:val="lowerRoman"/>
      <w:start w:val="1"/>
    </w:lvl>
  </w:abstractNum>
  <w:abstractNum w:abstractNumId="28">
    <w:nsid w:val="5F5E7FD0"/>
    <w:multiLevelType w:val="hybridMultilevel"/>
    <w:lvl w:ilvl="0">
      <w:lvlJc w:val="left"/>
      <w:lvlText w:val="(%1)"/>
      <w:numFmt w:val="decimal"/>
      <w:start w:val="7"/>
    </w:lvl>
    <w:lvl w:ilvl="1">
      <w:lvlJc w:val="left"/>
      <w:lvlText w:val="%2"/>
      <w:numFmt w:val="lowerRoman"/>
      <w:start w:val="1"/>
    </w:lvl>
  </w:abstractNum>
  <w:abstractNum w:abstractNumId="29">
    <w:nsid w:val="98A3148"/>
    <w:multiLevelType w:val="hybridMultilevel"/>
    <w:lvl w:ilvl="0">
      <w:lvlJc w:val="left"/>
      <w:lvlText w:val="(%1)"/>
      <w:numFmt w:val="decimal"/>
      <w:start w:val="8"/>
    </w:lvl>
  </w:abstractNum>
  <w:abstractNum w:abstractNumId="30">
    <w:nsid w:val="799D0247"/>
    <w:multiLevelType w:val="hybridMultilevel"/>
    <w:lvl w:ilvl="0">
      <w:lvlJc w:val="left"/>
      <w:lvlText w:val="(%1)"/>
      <w:numFmt w:val="decimal"/>
      <w:start w:val="1"/>
    </w:lvl>
    <w:lvl w:ilvl="1">
      <w:lvlJc w:val="left"/>
      <w:lvlText w:val="÷"/>
      <w:numFmt w:val="bullet"/>
      <w:start w:val="1"/>
    </w:lvl>
  </w:abstractNum>
  <w:abstractNum w:abstractNumId="31">
    <w:nsid w:val="6B94764"/>
    <w:multiLevelType w:val="hybridMultilevel"/>
    <w:lvl w:ilvl="0">
      <w:lvlJc w:val="left"/>
      <w:lvlText w:val="(%1)"/>
      <w:numFmt w:val="decimal"/>
      <w:start w:val="4"/>
    </w:lvl>
  </w:abstractNum>
  <w:abstractNum w:abstractNumId="32">
    <w:nsid w:val="42C296BD"/>
    <w:multiLevelType w:val="hybridMultilevel"/>
    <w:lvl w:ilvl="0">
      <w:lvlJc w:val="left"/>
      <w:lvlText w:val="%1"/>
      <w:numFmt w:val="decimal"/>
      <w:start w:val="1"/>
    </w:lvl>
    <w:lvl w:ilvl="1">
      <w:lvlJc w:val="left"/>
      <w:lvlText w:val="(%2)"/>
      <w:numFmt w:val="lowerRoman"/>
      <w:start w:val="1"/>
    </w:lvl>
  </w:abstractNum>
  <w:abstractNum w:abstractNumId="33">
    <w:nsid w:val="168E121F"/>
    <w:multiLevelType w:val="hybridMultilevel"/>
    <w:lvl w:ilvl="0">
      <w:lvlJc w:val="left"/>
      <w:lvlText w:val="(%1)"/>
      <w:numFmt w:val="decimal"/>
      <w:start w:val="7"/>
    </w:lvl>
    <w:lvl w:ilvl="1">
      <w:lvlJc w:val="left"/>
      <w:lvlText w:val="%2"/>
      <w:numFmt w:val="lowerRoman"/>
      <w:start w:val="1"/>
    </w:lvl>
  </w:abstractNum>
  <w:abstractNum w:abstractNumId="34">
    <w:nsid w:val="1EBA5D23"/>
    <w:multiLevelType w:val="hybridMultilevel"/>
    <w:lvl w:ilvl="0">
      <w:lvlJc w:val="left"/>
      <w:lvlText w:val="(%1)"/>
      <w:numFmt w:val="decimal"/>
      <w:start w:val="10"/>
    </w:lvl>
  </w:abstractNum>
  <w:abstractNum w:abstractNumId="35">
    <w:nsid w:val="661E3F1E"/>
    <w:multiLevelType w:val="hybridMultilevel"/>
    <w:lvl w:ilvl="0">
      <w:lvlJc w:val="left"/>
      <w:lvlText w:val="(%1)"/>
      <w:numFmt w:val="lowerRoman"/>
      <w:start w:val="1"/>
    </w:lvl>
  </w:abstractNum>
  <w:abstractNum w:abstractNumId="36">
    <w:nsid w:val="5DC79EA8"/>
    <w:multiLevelType w:val="hybridMultilevel"/>
    <w:lvl w:ilvl="0">
      <w:lvlJc w:val="left"/>
      <w:lvlText w:val="(%1)"/>
      <w:numFmt w:val="lowerRoman"/>
      <w:start w:val="5"/>
    </w:lvl>
  </w:abstractNum>
  <w:abstractNum w:abstractNumId="37">
    <w:nsid w:val="540A471C"/>
    <w:multiLevelType w:val="hybridMultilevel"/>
    <w:lvl w:ilvl="0">
      <w:lvlJc w:val="left"/>
      <w:lvlText w:val="(%1)"/>
      <w:numFmt w:val="lowerRoman"/>
      <w:start w:val="6"/>
    </w:lvl>
  </w:abstractNum>
  <w:abstractNum w:abstractNumId="38">
    <w:nsid w:val="7BD3EE7B"/>
    <w:multiLevelType w:val="hybridMultilevel"/>
    <w:lvl w:ilvl="0">
      <w:lvlJc w:val="left"/>
      <w:lvlText w:val="(%1)"/>
      <w:numFmt w:val="lowerRoman"/>
      <w:start w:val="7"/>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1)"/>
      <w:numFmt w:val="decimal"/>
      <w:start w:val="2"/>
    </w:lvl>
    <w:lvl w:ilvl="1">
      <w:lvlJc w:val="left"/>
      <w:lvlText w:val="÷"/>
      <w:numFmt w:val="bullet"/>
      <w:start w:val="1"/>
    </w:lvl>
  </w:abstractNum>
  <w:abstractNum w:abstractNumId="42">
    <w:nsid w:val="11447B73"/>
    <w:multiLevelType w:val="hybridMultilevel"/>
    <w:lvl w:ilvl="0">
      <w:lvlJc w:val="left"/>
      <w:lvlText w:val="(%1)"/>
      <w:numFmt w:val="decimal"/>
      <w:start w:val="5"/>
    </w:lvl>
  </w:abstractNum>
  <w:abstractNum w:abstractNumId="43">
    <w:nsid w:val="42963E5A"/>
    <w:multiLevelType w:val="hybridMultilevel"/>
    <w:lvl w:ilvl="0">
      <w:lvlJc w:val="left"/>
      <w:lvlText w:val="(%1)"/>
      <w:numFmt w:val="decimal"/>
      <w:start w:val="6"/>
    </w:lvl>
  </w:abstractNum>
  <w:abstractNum w:abstractNumId="44">
    <w:nsid w:val="A0382C5"/>
    <w:multiLevelType w:val="hybridMultilevel"/>
    <w:lvl w:ilvl="0">
      <w:lvlJc w:val="left"/>
      <w:lvlText w:val="(%1)"/>
      <w:numFmt w:val="decimal"/>
      <w:start w:val="8"/>
    </w:lvl>
  </w:abstractNum>
  <w:abstractNum w:abstractNumId="45">
    <w:nsid w:val="8F2B15E"/>
    <w:multiLevelType w:val="hybridMultilevel"/>
    <w:lvl w:ilvl="0">
      <w:lvlJc w:val="left"/>
      <w:lvlText w:val="(%1)"/>
      <w:numFmt w:val="decimal"/>
      <w:start w:val="11"/>
    </w:lvl>
  </w:abstractNum>
  <w:abstractNum w:abstractNumId="46">
    <w:nsid w:val="1A32234B"/>
    <w:multiLevelType w:val="hybridMultilevel"/>
    <w:lvl w:ilvl="0">
      <w:lvlJc w:val="left"/>
      <w:lvlText w:val="(%1)"/>
      <w:numFmt w:val="decimal"/>
      <w:start w:val="1"/>
    </w:lvl>
  </w:abstractNum>
  <w:abstractNum w:abstractNumId="47">
    <w:nsid w:val="3B0FD379"/>
    <w:multiLevelType w:val="hybridMultilevel"/>
    <w:lvl w:ilvl="0">
      <w:lvlJc w:val="left"/>
      <w:lvlText w:val="(%1)"/>
      <w:numFmt w:val="decimal"/>
      <w:start w:val="4"/>
    </w:lvl>
  </w:abstractNum>
  <w:abstractNum w:abstractNumId="48">
    <w:nsid w:val="68EB2F63"/>
    <w:multiLevelType w:val="hybridMultilevel"/>
    <w:lvl w:ilvl="0">
      <w:lvlJc w:val="left"/>
      <w:lvlText w:val="(%1)"/>
      <w:numFmt w:val="decimal"/>
      <w:start w:val="5"/>
    </w:lvl>
  </w:abstractNum>
  <w:abstractNum w:abstractNumId="49">
    <w:nsid w:val="4962813B"/>
    <w:multiLevelType w:val="hybridMultilevel"/>
    <w:lvl w:ilvl="0">
      <w:lvlJc w:val="left"/>
      <w:lvlText w:val="(%1)"/>
      <w:numFmt w:val="decimal"/>
      <w:start w:val="9"/>
    </w:lvl>
  </w:abstractNum>
  <w:abstractNum w:abstractNumId="50">
    <w:nsid w:val="60B6DF70"/>
    <w:multiLevelType w:val="hybridMultilevel"/>
    <w:lvl w:ilvl="0">
      <w:lvlJc w:val="left"/>
      <w:lvlText w:val="(%1)"/>
      <w:numFmt w:val="decimal"/>
      <w:start w:val="10"/>
    </w:lvl>
  </w:abstractNum>
  <w:abstractNum w:abstractNumId="51">
    <w:nsid w:val="6A5EE64"/>
    <w:multiLevelType w:val="hybridMultilevel"/>
    <w:lvl w:ilvl="0">
      <w:lvlJc w:val="left"/>
      <w:lvlText w:val="(%1)"/>
      <w:numFmt w:val="decimal"/>
      <w:start w:val="10"/>
    </w:lvl>
    <w:lvl w:ilvl="1">
      <w:lvlJc w:val="left"/>
      <w:lvlText w:val="÷"/>
      <w:numFmt w:val="bullet"/>
      <w:start w:val="1"/>
    </w:lvl>
  </w:abstractNum>
  <w:abstractNum w:abstractNumId="52">
    <w:nsid w:val="14330624"/>
    <w:multiLevelType w:val="hybridMultilevel"/>
    <w:lvl w:ilvl="0">
      <w:lvlJc w:val="left"/>
      <w:lvlText w:val="(%1)"/>
      <w:numFmt w:val="decimal"/>
      <w:start w:val="1"/>
    </w:lvl>
  </w:abstractNum>
  <w:abstractNum w:abstractNumId="53">
    <w:nsid w:val="7FFFCA11"/>
    <w:multiLevelType w:val="hybridMultilevel"/>
    <w:lvl w:ilvl="0">
      <w:lvlJc w:val="left"/>
      <w:lvlText w:val="(%1)"/>
      <w:numFmt w:val="decimal"/>
      <w:start w:val="3"/>
    </w:lvl>
  </w:abstractNum>
  <w:abstractNum w:abstractNumId="54">
    <w:nsid w:val="1A27709E"/>
    <w:multiLevelType w:val="hybridMultilevel"/>
    <w:lvl w:ilvl="0">
      <w:lvlJc w:val="left"/>
      <w:lvlText w:val="(%1)"/>
      <w:numFmt w:val="decimal"/>
      <w:start w:val="1"/>
    </w:lvl>
  </w:abstractNum>
  <w:abstractNum w:abstractNumId="55">
    <w:nsid w:val="71EA1109"/>
    <w:multiLevelType w:val="hybridMultilevel"/>
    <w:lvl w:ilvl="0">
      <w:lvlJc w:val="left"/>
      <w:lvlText w:val="(%1)"/>
      <w:numFmt w:val="lowerLetter"/>
      <w:start w:val="1"/>
    </w:lvl>
  </w:abstractNum>
  <w:abstractNum w:abstractNumId="56">
    <w:nsid w:val="100F59DC"/>
    <w:multiLevelType w:val="hybridMultilevel"/>
    <w:lvl w:ilvl="0">
      <w:lvlJc w:val="left"/>
      <w:lvlText w:val="(%1)"/>
      <w:numFmt w:val="lowerLetter"/>
      <w:start w:val="3"/>
    </w:lvl>
  </w:abstractNum>
  <w:abstractNum w:abstractNumId="57">
    <w:nsid w:val="7FB7E0AA"/>
    <w:multiLevelType w:val="hybridMultilevel"/>
    <w:lvl w:ilvl="0">
      <w:lvlJc w:val="left"/>
      <w:lvlText w:val="(%1)"/>
      <w:numFmt w:val="lowerLetter"/>
      <w:start w:val="1"/>
    </w:lvl>
  </w:abstractNum>
  <w:abstractNum w:abstractNumId="58">
    <w:nsid w:val="6EB5BD4"/>
    <w:multiLevelType w:val="hybridMultilevel"/>
    <w:lvl w:ilvl="0">
      <w:lvlJc w:val="left"/>
      <w:lvlText w:val="(%1)"/>
      <w:numFmt w:val="lowerLetter"/>
      <w:start w:val="3"/>
    </w:lvl>
  </w:abstractNum>
  <w:abstractNum w:abstractNumId="59">
    <w:nsid w:val="6F6DD9AC"/>
    <w:multiLevelType w:val="hybridMultilevel"/>
    <w:lvl w:ilvl="0">
      <w:lvlJc w:val="left"/>
      <w:lvlText w:val="(%1)"/>
      <w:numFmt w:val="decimal"/>
      <w:start w:val="5"/>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decimal"/>
      <w:start w:val="2"/>
    </w:lvl>
  </w:abstractNum>
  <w:abstractNum w:abstractNumId="62">
    <w:nsid w:val="76272110"/>
    <w:multiLevelType w:val="hybridMultilevel"/>
    <w:lvl w:ilvl="0">
      <w:lvlJc w:val="left"/>
      <w:lvlText w:val="(%1)"/>
      <w:numFmt w:val="lowerLetter"/>
      <w:start w:val="1"/>
    </w:lvl>
  </w:abstractNum>
  <w:abstractNum w:abstractNumId="63">
    <w:nsid w:val="4C04A8AF"/>
    <w:multiLevelType w:val="hybridMultilevel"/>
    <w:lvl w:ilvl="0">
      <w:lvlJc w:val="left"/>
      <w:lvlText w:val="(%1)"/>
      <w:numFmt w:val="lowerLetter"/>
      <w:start w:val="2"/>
    </w:lvl>
  </w:abstractNum>
  <w:abstractNum w:abstractNumId="64">
    <w:nsid w:val="1716703B"/>
    <w:multiLevelType w:val="hybridMultilevel"/>
    <w:lvl w:ilvl="0">
      <w:lvlJc w:val="left"/>
      <w:lvlText w:val="(%1)"/>
      <w:numFmt w:val="lowerLetter"/>
      <w:start w:val="3"/>
    </w:lvl>
  </w:abstractNum>
  <w:abstractNum w:abstractNumId="65">
    <w:nsid w:val="14E17E33"/>
    <w:multiLevelType w:val="hybridMultilevel"/>
    <w:lvl w:ilvl="0">
      <w:lvlJc w:val="left"/>
      <w:lvlText w:val="(%1)"/>
      <w:numFmt w:val="lowerLetter"/>
      <w:start w:val="5"/>
    </w:lvl>
  </w:abstractNum>
  <w:abstractNum w:abstractNumId="66">
    <w:nsid w:val="3222E7CD"/>
    <w:multiLevelType w:val="hybridMultilevel"/>
    <w:lvl w:ilvl="0">
      <w:lvlJc w:val="left"/>
      <w:lvlText w:val="(%1)"/>
      <w:numFmt w:val="lowerLetter"/>
      <w:start w:val="1"/>
    </w:lvl>
  </w:abstractNum>
  <w:abstractNum w:abstractNumId="67">
    <w:nsid w:val="74DE0EE3"/>
    <w:multiLevelType w:val="hybridMultilevel"/>
    <w:lvl w:ilvl="0">
      <w:lvlJc w:val="left"/>
      <w:lvlText w:val="(%1)"/>
      <w:numFmt w:val="lowerLetter"/>
      <w:start w:val="1"/>
    </w:lvl>
  </w:abstractNum>
  <w:abstractNum w:abstractNumId="68">
    <w:nsid w:val="68EBC550"/>
    <w:multiLevelType w:val="hybridMultilevel"/>
    <w:lvl w:ilvl="0">
      <w:lvlJc w:val="left"/>
      <w:lvlText w:val="%1."/>
      <w:numFmt w:val="decimal"/>
      <w:start w:val="63"/>
    </w:lvl>
  </w:abstractNum>
  <w:abstractNum w:abstractNumId="69">
    <w:nsid w:val="2DF6D648"/>
    <w:multiLevelType w:val="hybridMultilevel"/>
    <w:lvl w:ilvl="0">
      <w:lvlJc w:val="left"/>
      <w:lvlText w:val="(%1)"/>
      <w:numFmt w:val="lowerLetter"/>
      <w:start w:val="1"/>
    </w:lvl>
  </w:abstractNum>
  <w:abstractNum w:abstractNumId="70">
    <w:nsid w:val="46B7D447"/>
    <w:multiLevelType w:val="hybridMultilevel"/>
    <w:lvl w:ilvl="0">
      <w:lvlJc w:val="left"/>
      <w:lvlText w:val="(%1)"/>
      <w:numFmt w:val="lowerRoman"/>
      <w:start w:val="1"/>
    </w:lvl>
  </w:abstractNum>
  <w:abstractNum w:abstractNumId="71">
    <w:nsid w:val="4A2AC315"/>
    <w:multiLevelType w:val="hybridMultilevel"/>
    <w:lvl w:ilvl="0">
      <w:lvlJc w:val="left"/>
      <w:lvlText w:val="(%1)"/>
      <w:numFmt w:val="lowerRoman"/>
      <w:start w:val="1"/>
    </w:lvl>
  </w:abstractNum>
  <w:abstractNum w:abstractNumId="72">
    <w:nsid w:val="39EE015C"/>
    <w:multiLevelType w:val="hybridMultilevel"/>
    <w:lvl w:ilvl="0">
      <w:lvlJc w:val="left"/>
      <w:lvlText w:val="(%1)"/>
      <w:numFmt w:val="decimal"/>
      <w:start w:val="1"/>
    </w:lvl>
  </w:abstractNum>
  <w:abstractNum w:abstractNumId="73">
    <w:nsid w:val="57FC4FBB"/>
    <w:multiLevelType w:val="hybridMultilevel"/>
    <w:lvl w:ilvl="0">
      <w:lvlJc w:val="left"/>
      <w:lvlText w:val="(%1)"/>
      <w:numFmt w:val="decimal"/>
      <w:start w:val="2"/>
    </w:lvl>
    <w:lvl w:ilvl="1">
      <w:lvlJc w:val="left"/>
      <w:lvlText w:val="÷"/>
      <w:numFmt w:val="bullet"/>
      <w:start w:val="1"/>
    </w:lvl>
  </w:abstractNum>
  <w:abstractNum w:abstractNumId="74">
    <w:nsid w:val="CC1016F"/>
    <w:multiLevelType w:val="hybridMultilevel"/>
    <w:lvl w:ilvl="0">
      <w:lvlJc w:val="left"/>
      <w:lvlText w:val="(%1)"/>
      <w:numFmt w:val="decimal"/>
      <w:start w:val="5"/>
    </w:lvl>
  </w:abstractNum>
  <w:abstractNum w:abstractNumId="75">
    <w:nsid w:val="43F18422"/>
    <w:multiLevelType w:val="hybridMultilevel"/>
    <w:lvl w:ilvl="0">
      <w:lvlJc w:val="left"/>
      <w:lvlText w:val="%1."/>
      <w:numFmt w:val="decimal"/>
      <w:start w:val="2"/>
    </w:lvl>
  </w:abstractNum>
  <w:abstractNum w:abstractNumId="76">
    <w:nsid w:val="60EF0119"/>
    <w:multiLevelType w:val="hybridMultilevel"/>
    <w:lvl w:ilvl="0">
      <w:lvlJc w:val="left"/>
      <w:lvlText w:val="%1."/>
      <w:numFmt w:val="decimal"/>
      <w:start w:val="5"/>
    </w:lvl>
  </w:abstractNum>
  <w:abstractNum w:abstractNumId="77">
    <w:nsid w:val="26F324BA"/>
    <w:multiLevelType w:val="hybridMultilevel"/>
    <w:lvl w:ilvl="0">
      <w:lvlJc w:val="left"/>
      <w:lvlText w:val="%1."/>
      <w:numFmt w:val="decimal"/>
      <w:start w:val="8"/>
    </w:lvl>
  </w:abstractNum>
  <w:abstractNum w:abstractNumId="78">
    <w:nsid w:val="7F01579B"/>
    <w:multiLevelType w:val="hybridMultilevel"/>
    <w:lvl w:ilvl="0">
      <w:lvlJc w:val="left"/>
      <w:lvlText w:val="%1."/>
      <w:numFmt w:val="decimal"/>
      <w:start w:val="15"/>
    </w:lvl>
  </w:abstractNum>
  <w:abstractNum w:abstractNumId="79">
    <w:nsid w:val="49DA307D"/>
    <w:multiLevelType w:val="hybridMultilevel"/>
    <w:lvl w:ilvl="0">
      <w:lvlJc w:val="left"/>
      <w:lvlText w:val="%1."/>
      <w:numFmt w:val="decimal"/>
      <w:start w:val="22"/>
    </w:lvl>
  </w:abstractNum>
  <w:abstractNum w:abstractNumId="80">
    <w:nsid w:val="7055A5F5"/>
    <w:multiLevelType w:val="hybridMultilevel"/>
    <w:lvl w:ilvl="0">
      <w:lvlJc w:val="left"/>
      <w:lvlText w:val="%1."/>
      <w:numFmt w:val="decimal"/>
      <w:start w:val="99"/>
    </w:lvl>
  </w:abstractNum>
  <w:abstractNum w:abstractNumId="81">
    <w:nsid w:val="5FB8370B"/>
    <w:multiLevelType w:val="hybridMultilevel"/>
    <w:lvl w:ilvl="0">
      <w:lvlJc w:val="left"/>
      <w:lvlText w:val="%1."/>
      <w:numFmt w:val="decimal"/>
      <w:start w:val="101"/>
    </w:lvl>
  </w:abstractNum>
  <w:abstractNum w:abstractNumId="82">
    <w:nsid w:val="50801EE1"/>
    <w:multiLevelType w:val="hybridMultilevel"/>
    <w:lvl w:ilvl="0">
      <w:lvlJc w:val="left"/>
      <w:lvlText w:val="%1."/>
      <w:numFmt w:val="decimal"/>
      <w:start w:val="107"/>
    </w:lvl>
  </w:abstractNum>
  <w:abstractNum w:abstractNumId="83">
    <w:nsid w:val="488AC1A"/>
    <w:multiLevelType w:val="hybridMultilevel"/>
    <w:lvl w:ilvl="0">
      <w:lvlJc w:val="left"/>
      <w:lvlText w:val="%1."/>
      <w:numFmt w:val="decimal"/>
      <w:start w:val="1"/>
    </w:lvl>
    <w:lvl w:ilvl="1">
      <w:lvlJc w:val="left"/>
      <w:lvlText w:val="%2."/>
      <w:numFmt w:val="lowerRoman"/>
      <w:start w:val="1"/>
    </w:lvl>
  </w:abstractNum>
  <w:abstractNum w:abstractNumId="84">
    <w:nsid w:val="5FB8011C"/>
    <w:multiLevelType w:val="hybridMultilevel"/>
    <w:lvl w:ilvl="0">
      <w:lvlJc w:val="left"/>
      <w:lvlText w:val="%1."/>
      <w:numFmt w:val="lowerRoman"/>
      <w:start w:val="3"/>
    </w:lvl>
  </w:abstractNum>
  <w:abstractNum w:abstractNumId="85">
    <w:nsid w:val="6AA78F7F"/>
    <w:multiLevelType w:val="hybridMultilevel"/>
    <w:lvl w:ilvl="0">
      <w:lvlJc w:val="left"/>
      <w:lvlText w:val="%1."/>
      <w:numFmt w:val="decimal"/>
      <w:start w:val="2"/>
    </w:lvl>
    <w:lvl w:ilvl="1">
      <w:lvlJc w:val="left"/>
      <w:lvlText w:val="%2."/>
      <w:numFmt w:val="lowerRoman"/>
      <w:start w:val="1"/>
    </w:lvl>
  </w:abstractNum>
  <w:abstractNum w:abstractNumId="86">
    <w:nsid w:val="7672BD23"/>
    <w:multiLevelType w:val="hybridMultilevel"/>
    <w:lvl w:ilvl="0">
      <w:lvlJc w:val="left"/>
      <w:lvlText w:val="*"/>
      <w:numFmt w:val="bullet"/>
      <w:start w:val="1"/>
    </w:lvl>
  </w:abstractNum>
  <w:abstractNum w:abstractNumId="87">
    <w:nsid w:val="6FC75AF8"/>
    <w:multiLevelType w:val="hybridMultilevel"/>
    <w:lvl w:ilvl="0">
      <w:lvlJc w:val="left"/>
      <w:lvlText w:val="%1."/>
      <w:numFmt w:val="decimal"/>
      <w:start w:val="24"/>
    </w:lvl>
  </w:abstractNum>
  <w:abstractNum w:abstractNumId="88">
    <w:nsid w:val="6A5F7029"/>
    <w:multiLevelType w:val="hybridMultilevel"/>
    <w:lvl w:ilvl="0">
      <w:lvlJc w:val="left"/>
      <w:lvlText w:val="%1."/>
      <w:numFmt w:val="decimal"/>
      <w:start w:val="107"/>
    </w:lvl>
  </w:abstractNum>
  <w:abstractNum w:abstractNumId="89">
    <w:nsid w:val="7D5E18F8"/>
    <w:multiLevelType w:val="hybridMultilevel"/>
    <w:lvl w:ilvl="0">
      <w:lvlJc w:val="left"/>
      <w:lvlText w:val="•"/>
      <w:numFmt w:val="bullet"/>
      <w:start w:val="1"/>
    </w:lvl>
  </w:abstractNum>
  <w:abstractNum w:abstractNumId="90">
    <w:nsid w:val="5F3534A4"/>
    <w:multiLevelType w:val="hybridMultilevel"/>
    <w:lvl w:ilvl="0">
      <w:lvlJc w:val="left"/>
      <w:lvlText w:val="•"/>
      <w:numFmt w:val="bullet"/>
      <w:start w:val="1"/>
    </w:lvl>
  </w:abstractNum>
  <w:abstractNum w:abstractNumId="91">
    <w:nsid w:val="73A1821B"/>
    <w:multiLevelType w:val="hybridMultilevel"/>
    <w:lvl w:ilvl="0">
      <w:lvlJc w:val="left"/>
      <w:lvlText w:val="•"/>
      <w:numFmt w:val="bullet"/>
      <w:start w:val="1"/>
    </w:lvl>
  </w:abstractNum>
  <w:abstractNum w:abstractNumId="92">
    <w:nsid w:val="7DE67713"/>
    <w:multiLevelType w:val="hybridMultilevel"/>
    <w:lvl w:ilvl="0">
      <w:lvlJc w:val="left"/>
      <w:lvlText w:val="•"/>
      <w:numFmt w:val="bullet"/>
      <w:start w:val="1"/>
    </w:lvl>
  </w:abstractNum>
  <w:abstractNum w:abstractNumId="93">
    <w:nsid w:val="555C55B5"/>
    <w:multiLevelType w:val="hybridMultilevel"/>
    <w:lvl w:ilvl="0">
      <w:lvlJc w:val="left"/>
      <w:lvlText w:val="•"/>
      <w:numFmt w:val="bullet"/>
      <w:start w:val="1"/>
    </w:lvl>
  </w:abstractNum>
  <w:abstractNum w:abstractNumId="94">
    <w:nsid w:val="3FA62ACA"/>
    <w:multiLevelType w:val="hybridMultilevel"/>
    <w:lvl w:ilvl="0">
      <w:lvlJc w:val="left"/>
      <w:lvlText w:val="•"/>
      <w:numFmt w:val="bullet"/>
      <w:start w:val="1"/>
    </w:lvl>
  </w:abstractNum>
  <w:abstractNum w:abstractNumId="95">
    <w:nsid w:val="14FCE74E"/>
    <w:multiLevelType w:val="hybridMultilevel"/>
    <w:lvl w:ilvl="0">
      <w:lvlJc w:val="left"/>
      <w:lvlText w:val="•"/>
      <w:numFmt w:val="bullet"/>
      <w:start w:val="1"/>
    </w:lvl>
  </w:abstractNum>
  <w:abstractNum w:abstractNumId="96">
    <w:nsid w:val="6A3DD3E8"/>
    <w:multiLevelType w:val="hybridMultilevel"/>
    <w:lvl w:ilvl="0">
      <w:lvlJc w:val="left"/>
      <w:lvlText w:val="•"/>
      <w:numFmt w:val="bullet"/>
      <w:start w:val="1"/>
    </w:lvl>
  </w:abstractNum>
  <w:abstractNum w:abstractNumId="97">
    <w:nsid w:val="71C91298"/>
    <w:multiLevelType w:val="hybridMultilevel"/>
    <w:lvl w:ilvl="0">
      <w:lvlJc w:val="left"/>
      <w:lvlText w:val="•"/>
      <w:numFmt w:val="bullet"/>
      <w:start w:val="1"/>
    </w:lvl>
  </w:abstractNum>
  <w:abstractNum w:abstractNumId="98">
    <w:nsid w:val="9DAF632"/>
    <w:multiLevelType w:val="hybridMultilevel"/>
    <w:lvl w:ilvl="0">
      <w:lvlJc w:val="left"/>
      <w:lvlText w:val="•"/>
      <w:numFmt w:val="bullet"/>
      <w:start w:val="1"/>
    </w:lvl>
  </w:abstractNum>
  <w:abstractNum w:abstractNumId="99">
    <w:nsid w:val="53299938"/>
    <w:multiLevelType w:val="hybridMultilevel"/>
    <w:lvl w:ilvl="0">
      <w:lvlJc w:val="left"/>
      <w:lvlText w:val="•"/>
      <w:numFmt w:val="bullet"/>
      <w:start w:val="1"/>
    </w:lvl>
  </w:abstractNum>
  <w:abstractNum w:abstractNumId="100">
    <w:nsid w:val="1FBFE8E0"/>
    <w:multiLevelType w:val="hybridMultilevel"/>
    <w:lvl w:ilvl="0">
      <w:lvlJc w:val="left"/>
      <w:lvlText w:val="•"/>
      <w:numFmt w:val="bullet"/>
      <w:start w:val="1"/>
    </w:lvl>
  </w:abstractNum>
  <w:abstractNum w:abstractNumId="101">
    <w:nsid w:val="5092CA79"/>
    <w:multiLevelType w:val="hybridMultilevel"/>
    <w:lvl w:ilvl="0">
      <w:lvlJc w:val="left"/>
      <w:lvlText w:val="•"/>
      <w:numFmt w:val="bullet"/>
      <w:start w:val="1"/>
    </w:lvl>
  </w:abstractNum>
  <w:abstractNum w:abstractNumId="102">
    <w:nsid w:val="1D545C4D"/>
    <w:multiLevelType w:val="hybridMultilevel"/>
    <w:lvl w:ilvl="0">
      <w:lvlJc w:val="left"/>
      <w:lvlText w:val="•"/>
      <w:numFmt w:val="bullet"/>
      <w:start w:val="1"/>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
      <w:numFmt w:val="bullet"/>
      <w:start w:val="1"/>
    </w:lvl>
  </w:abstractNum>
  <w:abstractNum w:abstractNumId="105">
    <w:nsid w:val="2A155DBC"/>
    <w:multiLevelType w:val="hybridMultilevel"/>
    <w:lvl w:ilvl="0">
      <w:lvlJc w:val="left"/>
      <w:lvlText w:val="•"/>
      <w:numFmt w:val="bullet"/>
      <w:start w:val="1"/>
    </w:lvl>
  </w:abstractNum>
  <w:abstractNum w:abstractNumId="106">
    <w:nsid w:val="1D9F6E5F"/>
    <w:multiLevelType w:val="hybridMultilevel"/>
    <w:lvl w:ilvl="0">
      <w:lvlJc w:val="left"/>
      <w:lvlText w:val="•"/>
      <w:numFmt w:val="bullet"/>
      <w:start w:val="1"/>
    </w:lvl>
  </w:abstractNum>
  <w:abstractNum w:abstractNumId="107">
    <w:nsid w:val="97E1B4E"/>
    <w:multiLevelType w:val="hybridMultilevel"/>
    <w:lvl w:ilvl="0">
      <w:lvlJc w:val="left"/>
      <w:lvlText w:val="•"/>
      <w:numFmt w:val="bullet"/>
      <w:start w:val="1"/>
    </w:lvl>
  </w:abstractNum>
  <w:abstractNum w:abstractNumId="108">
    <w:nsid w:val="51088277"/>
    <w:multiLevelType w:val="hybridMultilevel"/>
    <w:lvl w:ilvl="0">
      <w:lvlJc w:val="left"/>
      <w:lvlText w:val="•"/>
      <w:numFmt w:val="bullet"/>
      <w:start w:val="1"/>
    </w:lvl>
  </w:abstractNum>
  <w:abstractNum w:abstractNumId="109">
    <w:nsid w:val="1CA0C5FA"/>
    <w:multiLevelType w:val="hybridMultilevel"/>
    <w:lvl w:ilvl="0">
      <w:lvlJc w:val="left"/>
      <w:lvlText w:val="•"/>
      <w:numFmt w:val="bullet"/>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9"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11" Type="http://schemas.openxmlformats.org/officeDocument/2006/relationships/hyperlink" Target="https://www.sec.gov/Archives/edgar/data/733076/000119312517143295/d366786dex1a.htm" TargetMode="External"/><Relationship Id="rId212" Type="http://schemas.openxmlformats.org/officeDocument/2006/relationships/hyperlink" Target="https://www.sec.gov/Archives/edgar/data/733076/000119312517225969/d382057dex1b.htm" TargetMode="External"/><Relationship Id="rId213" Type="http://schemas.openxmlformats.org/officeDocument/2006/relationships/hyperlink" Target="https://www.sec.gov/Archives/edgar/data/733076/000119312523101389/d399670dex991c.htm" TargetMode="External"/><Relationship Id="rId214" Type="http://schemas.openxmlformats.org/officeDocument/2006/relationships/hyperlink" Target="https://www.sec.gov/Archives/edgar/data/733076/000119312517143295/d366786dex4a.htm" TargetMode="External"/><Relationship Id="rId215" Type="http://schemas.openxmlformats.org/officeDocument/2006/relationships/hyperlink" Target="https://www.sec.gov/Archives/edgar/data/733076/000119312517143295/d366786dex4b.htm" TargetMode="External"/><Relationship Id="rId216" Type="http://schemas.openxmlformats.org/officeDocument/2006/relationships/hyperlink" Target="https://www.sec.gov/Archives/edgar/data/733076/000119312517143295/d366786dex4c.htm" TargetMode="External"/><Relationship Id="rId217" Type="http://schemas.openxmlformats.org/officeDocument/2006/relationships/hyperlink" Target="https://www.sec.gov/Archives/edgar/data/733076/000119312517143295/d366786dex4d.htm" TargetMode="External"/><Relationship Id="rId218" Type="http://schemas.openxmlformats.org/officeDocument/2006/relationships/hyperlink" Target="https://www.sec.gov/Archives/edgar/data/733076/000119312517143295/d366786dex4e.htm" TargetMode="External"/><Relationship Id="rId220" Type="http://schemas.openxmlformats.org/officeDocument/2006/relationships/hyperlink" Target="https://www.sec.gov/Archives/edgar/data/733076/000119312517143295/d366786dex4f.htm" TargetMode="External"/><Relationship Id="rId221" Type="http://schemas.openxmlformats.org/officeDocument/2006/relationships/hyperlink" Target="https://www.sec.gov/Archives/edgar/data/733076/000119312517143295/d366786dex4g.htm" TargetMode="External"/><Relationship Id="rId222" Type="http://schemas.openxmlformats.org/officeDocument/2006/relationships/hyperlink" Target="https://www.sec.gov/Archives/edgar/data/733076/000119312517143295/d366786dex4h.htm" TargetMode="External"/><Relationship Id="rId223" Type="http://schemas.openxmlformats.org/officeDocument/2006/relationships/hyperlink" Target="https://www.sec.gov/Archives/edgar/data/733076/000119312517143295/d366786dex4i.htm" TargetMode="External"/><Relationship Id="rId224" Type="http://schemas.openxmlformats.org/officeDocument/2006/relationships/hyperlink" Target="https://www.sec.gov/Archives/edgar/data/733076/000119312521108508/d121528dex994j.htm" TargetMode="External"/><Relationship Id="rId225" Type="http://schemas.openxmlformats.org/officeDocument/2006/relationships/hyperlink" Target="https://www.sec.gov/Archives/edgar/data/733076/000119312523008283/d426387dex994k.htm" TargetMode="External"/><Relationship Id="rId226" Type="http://schemas.openxmlformats.org/officeDocument/2006/relationships/hyperlink" Target="https://www.sec.gov/Archives/edgar/data/733076/000119312523008283/d426387dex994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2025-07-29T08:36:28Z</dcterms:created>
  <dcterms:modified xsi:type="dcterms:W3CDTF">2025-07-29T08:36:28Z</dcterms:modified>
</cp:coreProperties>
</file>