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-610235</wp:posOffset>
            </wp:positionV>
            <wp:extent cx="57150" cy="6235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-610235</wp:posOffset>
            </wp:positionV>
            <wp:extent cx="57150" cy="623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641985</wp:posOffset>
            </wp:positionV>
            <wp:extent cx="6997065" cy="47155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71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20"/>
            <w:col w:w="8420"/>
          </w:cols>
          <w:pgMar w:left="460" w:top="21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Zlatkus Lizabeth H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7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Brighthouse Financial,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BHF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06/02/2026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11225 NORTH COMMUNITY HOUSE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" w:right="700" w:hanging="1"/>
        <w:spacing w:after="0" w:line="24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9"/>
            <w:col w:w="3341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2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CHARLOTTE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28277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2,837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7,234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2,837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2,837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2,651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2,651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4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2,651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-2061845</wp:posOffset>
            </wp:positionV>
            <wp:extent cx="28575" cy="2067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6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contingent right to receive one share of Brighthouse Financial, Inc. ("BHF")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for service as a Board member pursuant to the Brighthouse Financial, Inc. 2017 Non-Management Director Stock Compensation Plan.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vested on the date of the 2026 annual meeting of stockholders of BHF.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 the earlier of the first anniversary of the grant date or the date of the 2027 annual meeting of stockholders of BHF.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Alexander V. Ulianov,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-4445</wp:posOffset>
            </wp:positionV>
            <wp:extent cx="10483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Attorney-in-Fact, on behalf of</w:t>
        <w:tab/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8681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Lizabeth H. Zlatkus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8261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800" w:hanging="2"/>
        <w:spacing w:after="0" w:line="327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3480" TargetMode="External"/><Relationship Id="rId14" Type="http://schemas.openxmlformats.org/officeDocument/2006/relationships/hyperlink" Target="http://www.sec.gov/cgi-bin/browse-edgar?action=getcompany&amp;CIK=0001685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2026-06-04T15:34:56Z</dcterms:created>
  <dcterms:modified xsi:type="dcterms:W3CDTF">2026-06-04T15:34:56Z</dcterms:modified>
</cp:coreProperties>
</file>