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834390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160655</wp:posOffset>
            </wp:positionV>
            <wp:extent cx="23914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70" w:lineRule="exact"/>
        <w:rPr>
          <w:sz w:val="24"/>
          <w:szCs w:val="24"/>
          <w:color w:val="auto"/>
        </w:rPr>
      </w:pPr>
    </w:p>
    <w:p>
      <w:pPr>
        <w:ind w:left="1560" w:hanging="371"/>
        <w:spacing w:after="0"/>
        <w:tabs>
          <w:tab w:leader="none" w:pos="15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March 31, 2021</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77" w:lineRule="exact"/>
        <w:rPr>
          <w:sz w:val="24"/>
          <w:szCs w:val="24"/>
          <w:color w:val="auto"/>
        </w:rPr>
      </w:pPr>
    </w:p>
    <w:p>
      <w:pPr>
        <w:ind w:left="1560" w:hanging="371"/>
        <w:spacing w:after="0"/>
        <w:tabs>
          <w:tab w:leader="none" w:pos="15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186690</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332105</wp:posOffset>
            </wp:positionV>
            <wp:extent cx="2099945"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994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Brighthouse Financial, Inc.</w:t>
      </w:r>
    </w:p>
    <w:p>
      <w:pPr>
        <w:spacing w:after="0" w:line="44" w:lineRule="exact"/>
        <w:rPr>
          <w:sz w:val="24"/>
          <w:szCs w:val="24"/>
          <w:color w:val="auto"/>
        </w:rPr>
      </w:pPr>
    </w:p>
    <w:p>
      <w:pPr>
        <w:jc w:val="center"/>
        <w:ind w:right="-33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74" w:lineRule="exact"/>
        <w:rPr>
          <w:sz w:val="24"/>
          <w:szCs w:val="24"/>
          <w:color w:val="auto"/>
        </w:rPr>
      </w:pPr>
    </w:p>
    <w:tbl>
      <w:tblPr>
        <w:tblLayout w:type="fixed"/>
        <w:tblInd w:w="1040" w:type="dxa"/>
        <w:tblCellMar>
          <w:top w:w="0" w:type="dxa"/>
          <w:left w:w="0" w:type="dxa"/>
          <w:bottom w:w="0" w:type="dxa"/>
          <w:right w:w="0" w:type="dxa"/>
        </w:tblCellMar>
      </w:tblPr>
      <w:tr>
        <w:trPr>
          <w:trHeight w:val="186"/>
        </w:trPr>
        <w:tc>
          <w:tcPr>
            <w:tcW w:w="1420" w:type="dxa"/>
            <w:vAlign w:val="bottom"/>
          </w:tcPr>
          <w:p>
            <w:pPr>
              <w:spacing w:after="0"/>
              <w:rPr>
                <w:sz w:val="16"/>
                <w:szCs w:val="16"/>
                <w:color w:val="auto"/>
              </w:rPr>
            </w:pPr>
          </w:p>
        </w:tc>
        <w:tc>
          <w:tcPr>
            <w:tcW w:w="2700" w:type="dxa"/>
            <w:vAlign w:val="bottom"/>
            <w:gridSpan w:val="2"/>
          </w:tcPr>
          <w:p>
            <w:pPr>
              <w:jc w:val="center"/>
              <w:ind w:right="1257"/>
              <w:spacing w:after="0"/>
              <w:rPr>
                <w:sz w:val="20"/>
                <w:szCs w:val="20"/>
                <w:color w:val="auto"/>
              </w:rPr>
            </w:pPr>
            <w:r>
              <w:rPr>
                <w:rFonts w:ascii="Arial" w:cs="Arial" w:eastAsia="Arial" w:hAnsi="Arial"/>
                <w:sz w:val="14"/>
                <w:szCs w:val="14"/>
                <w:b w:val="1"/>
                <w:bCs w:val="1"/>
                <w:color w:val="auto"/>
                <w:w w:val="94"/>
              </w:rPr>
              <w:t>Delaware</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40" w:type="dxa"/>
            <w:vAlign w:val="bottom"/>
            <w:gridSpan w:val="2"/>
          </w:tcPr>
          <w:p>
            <w:pPr>
              <w:jc w:val="right"/>
              <w:ind w:right="1376"/>
              <w:spacing w:after="0"/>
              <w:rPr>
                <w:sz w:val="20"/>
                <w:szCs w:val="20"/>
                <w:color w:val="auto"/>
              </w:rPr>
            </w:pPr>
            <w:r>
              <w:rPr>
                <w:rFonts w:ascii="Arial" w:cs="Arial" w:eastAsia="Arial" w:hAnsi="Arial"/>
                <w:sz w:val="14"/>
                <w:szCs w:val="14"/>
                <w:b w:val="1"/>
                <w:bCs w:val="1"/>
                <w:color w:val="auto"/>
              </w:rPr>
              <w:t>81-3846992</w:t>
            </w:r>
          </w:p>
        </w:tc>
        <w:tc>
          <w:tcPr>
            <w:tcW w:w="0" w:type="dxa"/>
            <w:vAlign w:val="bottom"/>
          </w:tcPr>
          <w:p>
            <w:pPr>
              <w:spacing w:after="0"/>
              <w:rPr>
                <w:sz w:val="1"/>
                <w:szCs w:val="1"/>
                <w:color w:val="auto"/>
              </w:rPr>
            </w:pPr>
          </w:p>
        </w:tc>
      </w:tr>
      <w:tr>
        <w:trPr>
          <w:trHeight w:val="203"/>
        </w:trPr>
        <w:tc>
          <w:tcPr>
            <w:tcW w:w="4120" w:type="dxa"/>
            <w:vAlign w:val="bottom"/>
            <w:gridSpan w:val="3"/>
          </w:tcPr>
          <w:p>
            <w:pPr>
              <w:jc w:val="center"/>
              <w:ind w:left="35"/>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gridSpan w:val="2"/>
          </w:tcPr>
          <w:p>
            <w:pPr>
              <w:jc w:val="center"/>
              <w:ind w:right="656"/>
              <w:spacing w:after="0"/>
              <w:rPr>
                <w:sz w:val="20"/>
                <w:szCs w:val="20"/>
                <w:color w:val="auto"/>
              </w:rPr>
            </w:pPr>
            <w:r>
              <w:rPr>
                <w:rFonts w:ascii="Arial" w:cs="Arial" w:eastAsia="Arial" w:hAnsi="Arial"/>
                <w:sz w:val="14"/>
                <w:szCs w:val="14"/>
                <w:i w:val="1"/>
                <w:iCs w:val="1"/>
                <w:color w:val="auto"/>
                <w:w w:val="94"/>
              </w:rPr>
              <w:t>(I.R.S. Employer Identification No.)</w:t>
            </w:r>
          </w:p>
        </w:tc>
        <w:tc>
          <w:tcPr>
            <w:tcW w:w="0" w:type="dxa"/>
            <w:vAlign w:val="bottom"/>
          </w:tcPr>
          <w:p>
            <w:pPr>
              <w:spacing w:after="0"/>
              <w:rPr>
                <w:sz w:val="1"/>
                <w:szCs w:val="1"/>
                <w:color w:val="auto"/>
              </w:rPr>
            </w:pPr>
          </w:p>
        </w:tc>
      </w:tr>
      <w:tr>
        <w:trPr>
          <w:trHeight w:val="338"/>
        </w:trPr>
        <w:tc>
          <w:tcPr>
            <w:tcW w:w="412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4"/>
              </w:rPr>
              <w:t>11225 North Community House Road, Charlotte, North Carolina</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40" w:type="dxa"/>
            <w:vAlign w:val="bottom"/>
            <w:gridSpan w:val="2"/>
          </w:tcPr>
          <w:p>
            <w:pPr>
              <w:jc w:val="right"/>
              <w:ind w:right="1536"/>
              <w:spacing w:after="0"/>
              <w:rPr>
                <w:sz w:val="20"/>
                <w:szCs w:val="20"/>
                <w:color w:val="auto"/>
              </w:rPr>
            </w:pPr>
            <w:r>
              <w:rPr>
                <w:rFonts w:ascii="Arial" w:cs="Arial" w:eastAsia="Arial" w:hAnsi="Arial"/>
                <w:sz w:val="14"/>
                <w:szCs w:val="14"/>
                <w:b w:val="1"/>
                <w:bCs w:val="1"/>
                <w:color w:val="auto"/>
              </w:rPr>
              <w:t>28277</w:t>
            </w:r>
          </w:p>
        </w:tc>
        <w:tc>
          <w:tcPr>
            <w:tcW w:w="0" w:type="dxa"/>
            <w:vAlign w:val="bottom"/>
          </w:tcPr>
          <w:p>
            <w:pPr>
              <w:spacing w:after="0"/>
              <w:rPr>
                <w:sz w:val="1"/>
                <w:szCs w:val="1"/>
                <w:color w:val="auto"/>
              </w:rPr>
            </w:pPr>
          </w:p>
        </w:tc>
      </w:tr>
      <w:tr>
        <w:trPr>
          <w:trHeight w:val="283"/>
        </w:trPr>
        <w:tc>
          <w:tcPr>
            <w:tcW w:w="4120" w:type="dxa"/>
            <w:vAlign w:val="bottom"/>
            <w:gridSpan w:val="3"/>
          </w:tcPr>
          <w:p>
            <w:pPr>
              <w:jc w:val="center"/>
              <w:ind w:left="35"/>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jc w:val="center"/>
              <w:ind w:right="1256"/>
              <w:spacing w:after="0"/>
              <w:rPr>
                <w:sz w:val="20"/>
                <w:szCs w:val="20"/>
                <w:color w:val="auto"/>
              </w:rPr>
            </w:pPr>
            <w:r>
              <w:rPr>
                <w:rFonts w:ascii="Arial" w:cs="Arial" w:eastAsia="Arial" w:hAnsi="Arial"/>
                <w:sz w:val="14"/>
                <w:szCs w:val="14"/>
                <w:i w:val="1"/>
                <w:iCs w:val="1"/>
                <w:color w:val="auto"/>
                <w:w w:val="96"/>
              </w:rPr>
              <w:t>(Zip Code)</w:t>
            </w:r>
          </w:p>
        </w:tc>
        <w:tc>
          <w:tcPr>
            <w:tcW w:w="0" w:type="dxa"/>
            <w:vAlign w:val="bottom"/>
          </w:tcPr>
          <w:p>
            <w:pPr>
              <w:spacing w:after="0"/>
              <w:rPr>
                <w:sz w:val="1"/>
                <w:szCs w:val="1"/>
                <w:color w:val="auto"/>
              </w:rPr>
            </w:pPr>
          </w:p>
        </w:tc>
      </w:tr>
      <w:tr>
        <w:trPr>
          <w:trHeight w:val="389"/>
        </w:trPr>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80" w:type="dxa"/>
            <w:vAlign w:val="bottom"/>
            <w:gridSpan w:val="2"/>
          </w:tcPr>
          <w:p>
            <w:pPr>
              <w:jc w:val="center"/>
              <w:ind w:right="277"/>
              <w:spacing w:after="0"/>
              <w:rPr>
                <w:sz w:val="20"/>
                <w:szCs w:val="20"/>
                <w:color w:val="auto"/>
              </w:rPr>
            </w:pPr>
            <w:r>
              <w:rPr>
                <w:rFonts w:ascii="Arial" w:cs="Arial" w:eastAsia="Arial" w:hAnsi="Arial"/>
                <w:sz w:val="14"/>
                <w:szCs w:val="14"/>
                <w:b w:val="1"/>
                <w:bCs w:val="1"/>
                <w:color w:val="auto"/>
                <w:w w:val="93"/>
              </w:rPr>
              <w:t>(980) 365-7100</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20" w:type="dxa"/>
            <w:vAlign w:val="bottom"/>
            <w:gridSpan w:val="4"/>
          </w:tcPr>
          <w:p>
            <w:pPr>
              <w:jc w:val="center"/>
              <w:ind w:left="837"/>
              <w:spacing w:after="0"/>
              <w:rPr>
                <w:sz w:val="20"/>
                <w:szCs w:val="20"/>
                <w:color w:val="auto"/>
              </w:rPr>
            </w:pPr>
            <w:r>
              <w:rPr>
                <w:rFonts w:ascii="Arial" w:cs="Arial" w:eastAsia="Arial" w:hAnsi="Arial"/>
                <w:sz w:val="13"/>
                <w:szCs w:val="13"/>
                <w:i w:val="1"/>
                <w:iCs w:val="1"/>
                <w:color w:val="auto"/>
                <w:w w:val="87"/>
              </w:rPr>
              <w:t>(Registrant’s telephone number, including area code)</w:t>
            </w:r>
          </w:p>
        </w:tc>
        <w:tc>
          <w:tcPr>
            <w:tcW w:w="6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460" w:type="dxa"/>
            <w:vAlign w:val="bottom"/>
            <w:gridSpan w:val="6"/>
          </w:tcPr>
          <w:p>
            <w:pPr>
              <w:jc w:val="center"/>
              <w:ind w:right="1856"/>
              <w:spacing w:after="0"/>
              <w:rPr>
                <w:sz w:val="20"/>
                <w:szCs w:val="20"/>
                <w:color w:val="auto"/>
              </w:rPr>
            </w:pPr>
            <w:r>
              <w:rPr>
                <w:rFonts w:ascii="Arial" w:cs="Arial" w:eastAsia="Arial" w:hAnsi="Arial"/>
                <w:sz w:val="13"/>
                <w:szCs w:val="13"/>
                <w:color w:val="auto"/>
                <w:w w:val="87"/>
              </w:rPr>
              <w:t>Securities registered pursuant to Section 12(b) of the Act:</w:t>
            </w:r>
          </w:p>
        </w:tc>
        <w:tc>
          <w:tcPr>
            <w:tcW w:w="0" w:type="dxa"/>
            <w:vAlign w:val="bottom"/>
          </w:tcPr>
          <w:p>
            <w:pPr>
              <w:spacing w:after="0"/>
              <w:rPr>
                <w:sz w:val="1"/>
                <w:szCs w:val="1"/>
                <w:color w:val="auto"/>
              </w:rPr>
            </w:pPr>
          </w:p>
        </w:tc>
      </w:tr>
      <w:tr>
        <w:trPr>
          <w:trHeight w:val="340"/>
        </w:trPr>
        <w:tc>
          <w:tcPr>
            <w:tcW w:w="1420" w:type="dxa"/>
            <w:vAlign w:val="bottom"/>
          </w:tcPr>
          <w:p>
            <w:pPr>
              <w:spacing w:after="0"/>
              <w:rPr>
                <w:sz w:val="24"/>
                <w:szCs w:val="24"/>
                <w:color w:val="auto"/>
              </w:rPr>
            </w:pPr>
          </w:p>
        </w:tc>
        <w:tc>
          <w:tcPr>
            <w:tcW w:w="2700" w:type="dxa"/>
            <w:vAlign w:val="bottom"/>
            <w:gridSpan w:val="2"/>
          </w:tcPr>
          <w:p>
            <w:pPr>
              <w:jc w:val="center"/>
              <w:ind w:right="1737"/>
              <w:spacing w:after="0"/>
              <w:rPr>
                <w:sz w:val="20"/>
                <w:szCs w:val="20"/>
                <w:color w:val="auto"/>
              </w:rPr>
            </w:pPr>
            <w:r>
              <w:rPr>
                <w:rFonts w:ascii="Arial" w:cs="Arial" w:eastAsia="Arial" w:hAnsi="Arial"/>
                <w:sz w:val="13"/>
                <w:szCs w:val="13"/>
                <w:color w:val="auto"/>
                <w:w w:val="86"/>
              </w:rPr>
              <w:t>Title of each class</w:t>
            </w:r>
          </w:p>
        </w:tc>
        <w:tc>
          <w:tcPr>
            <w:tcW w:w="1820" w:type="dxa"/>
            <w:vAlign w:val="bottom"/>
            <w:gridSpan w:val="3"/>
          </w:tcPr>
          <w:p>
            <w:pPr>
              <w:jc w:val="center"/>
              <w:ind w:right="180"/>
              <w:spacing w:after="0"/>
              <w:rPr>
                <w:sz w:val="20"/>
                <w:szCs w:val="20"/>
                <w:color w:val="auto"/>
              </w:rPr>
            </w:pPr>
            <w:r>
              <w:rPr>
                <w:rFonts w:ascii="Arial" w:cs="Arial" w:eastAsia="Arial" w:hAnsi="Arial"/>
                <w:sz w:val="13"/>
                <w:szCs w:val="13"/>
                <w:color w:val="auto"/>
                <w:w w:val="88"/>
              </w:rPr>
              <w:t>Trading symbol(s)</w:t>
            </w:r>
          </w:p>
        </w:tc>
        <w:tc>
          <w:tcPr>
            <w:tcW w:w="2840" w:type="dxa"/>
            <w:vAlign w:val="bottom"/>
            <w:gridSpan w:val="2"/>
          </w:tcPr>
          <w:p>
            <w:pPr>
              <w:jc w:val="center"/>
              <w:ind w:left="530"/>
              <w:spacing w:after="0"/>
              <w:rPr>
                <w:sz w:val="20"/>
                <w:szCs w:val="20"/>
                <w:color w:val="auto"/>
              </w:rPr>
            </w:pPr>
            <w:r>
              <w:rPr>
                <w:rFonts w:ascii="Arial" w:cs="Arial" w:eastAsia="Arial" w:hAnsi="Arial"/>
                <w:sz w:val="13"/>
                <w:szCs w:val="13"/>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gridSpan w:val="3"/>
          </w:tcPr>
          <w:p>
            <w:pPr>
              <w:jc w:val="center"/>
              <w:ind w:right="317"/>
              <w:spacing w:after="0"/>
              <w:rPr>
                <w:sz w:val="20"/>
                <w:szCs w:val="20"/>
                <w:color w:val="auto"/>
              </w:rPr>
            </w:pPr>
            <w:r>
              <w:rPr>
                <w:rFonts w:ascii="Arial" w:cs="Arial" w:eastAsia="Arial" w:hAnsi="Arial"/>
                <w:sz w:val="13"/>
                <w:szCs w:val="13"/>
                <w:b w:val="1"/>
                <w:bCs w:val="1"/>
                <w:color w:val="auto"/>
                <w:w w:val="87"/>
              </w:rPr>
              <w:t>Common Stock, par value $0.01 per share</w:t>
            </w:r>
          </w:p>
        </w:tc>
        <w:tc>
          <w:tcPr>
            <w:tcW w:w="360" w:type="dxa"/>
            <w:vAlign w:val="bottom"/>
          </w:tcPr>
          <w:p>
            <w:pPr>
              <w:spacing w:after="0"/>
              <w:rPr>
                <w:sz w:val="19"/>
                <w:szCs w:val="19"/>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7"/>
              </w:rPr>
              <w:t>BHF</w:t>
            </w:r>
          </w:p>
        </w:tc>
        <w:tc>
          <w:tcPr>
            <w:tcW w:w="6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0"/>
              </w:rPr>
              <w:t>The Nasdaq Stock Market LLC</w:t>
            </w:r>
          </w:p>
        </w:tc>
        <w:tc>
          <w:tcPr>
            <w:tcW w:w="0" w:type="dxa"/>
            <w:vAlign w:val="bottom"/>
          </w:tcPr>
          <w:p>
            <w:pPr>
              <w:spacing w:after="0"/>
              <w:rPr>
                <w:sz w:val="1"/>
                <w:szCs w:val="1"/>
                <w:color w:val="auto"/>
              </w:rPr>
            </w:pPr>
          </w:p>
        </w:tc>
      </w:tr>
      <w:tr>
        <w:trPr>
          <w:trHeight w:val="151"/>
        </w:trPr>
        <w:tc>
          <w:tcPr>
            <w:tcW w:w="4120" w:type="dxa"/>
            <w:vAlign w:val="bottom"/>
            <w:gridSpan w:val="3"/>
          </w:tcPr>
          <w:p>
            <w:pPr>
              <w:jc w:val="center"/>
              <w:ind w:right="317"/>
              <w:spacing w:after="0"/>
              <w:rPr>
                <w:sz w:val="20"/>
                <w:szCs w:val="20"/>
                <w:color w:val="auto"/>
              </w:rPr>
            </w:pPr>
            <w:r>
              <w:rPr>
                <w:rFonts w:ascii="Arial" w:cs="Arial" w:eastAsia="Arial" w:hAnsi="Arial"/>
                <w:sz w:val="13"/>
                <w:szCs w:val="13"/>
                <w:b w:val="1"/>
                <w:bCs w:val="1"/>
                <w:color w:val="auto"/>
                <w:w w:val="86"/>
              </w:rPr>
              <w:t>Depositary Shares, each representing a 1/1,000th interest in a share of</w:t>
            </w:r>
          </w:p>
        </w:tc>
        <w:tc>
          <w:tcPr>
            <w:tcW w:w="360" w:type="dxa"/>
            <w:vAlign w:val="bottom"/>
          </w:tcPr>
          <w:p>
            <w:pPr>
              <w:spacing w:after="0"/>
              <w:rPr>
                <w:sz w:val="13"/>
                <w:szCs w:val="13"/>
                <w:color w:val="auto"/>
              </w:rPr>
            </w:pPr>
          </w:p>
        </w:tc>
        <w:tc>
          <w:tcPr>
            <w:tcW w:w="1460" w:type="dxa"/>
            <w:vAlign w:val="bottom"/>
            <w:gridSpan w:val="2"/>
            <w:vMerge w:val="restart"/>
          </w:tcPr>
          <w:p>
            <w:pPr>
              <w:jc w:val="center"/>
              <w:ind w:right="520"/>
              <w:spacing w:after="0"/>
              <w:rPr>
                <w:sz w:val="20"/>
                <w:szCs w:val="20"/>
                <w:color w:val="auto"/>
              </w:rPr>
            </w:pPr>
            <w:r>
              <w:rPr>
                <w:rFonts w:ascii="Arial" w:cs="Arial" w:eastAsia="Arial" w:hAnsi="Arial"/>
                <w:sz w:val="13"/>
                <w:szCs w:val="13"/>
                <w:b w:val="1"/>
                <w:bCs w:val="1"/>
                <w:color w:val="auto"/>
                <w:w w:val="93"/>
              </w:rPr>
              <w:t>BHFAP</w:t>
            </w:r>
          </w:p>
        </w:tc>
        <w:tc>
          <w:tcPr>
            <w:tcW w:w="600" w:type="dxa"/>
            <w:vAlign w:val="bottom"/>
          </w:tcPr>
          <w:p>
            <w:pPr>
              <w:spacing w:after="0"/>
              <w:rPr>
                <w:sz w:val="13"/>
                <w:szCs w:val="13"/>
                <w:color w:val="auto"/>
              </w:rPr>
            </w:pPr>
          </w:p>
        </w:tc>
        <w:tc>
          <w:tcPr>
            <w:tcW w:w="2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The Nasdaq Stock Market LLC</w:t>
            </w:r>
          </w:p>
        </w:tc>
        <w:tc>
          <w:tcPr>
            <w:tcW w:w="0" w:type="dxa"/>
            <w:vAlign w:val="bottom"/>
          </w:tcPr>
          <w:p>
            <w:pPr>
              <w:spacing w:after="0"/>
              <w:rPr>
                <w:sz w:val="1"/>
                <w:szCs w:val="1"/>
                <w:color w:val="auto"/>
              </w:rPr>
            </w:pPr>
          </w:p>
        </w:tc>
      </w:tr>
      <w:tr>
        <w:trPr>
          <w:trHeight w:val="92"/>
        </w:trPr>
        <w:tc>
          <w:tcPr>
            <w:tcW w:w="4120" w:type="dxa"/>
            <w:vAlign w:val="bottom"/>
            <w:gridSpan w:val="3"/>
            <w:vMerge w:val="restart"/>
          </w:tcPr>
          <w:p>
            <w:pPr>
              <w:jc w:val="center"/>
              <w:ind w:right="317"/>
              <w:spacing w:after="0"/>
              <w:rPr>
                <w:sz w:val="20"/>
                <w:szCs w:val="20"/>
                <w:color w:val="auto"/>
              </w:rPr>
            </w:pPr>
            <w:r>
              <w:rPr>
                <w:rFonts w:ascii="Arial" w:cs="Arial" w:eastAsia="Arial" w:hAnsi="Arial"/>
                <w:sz w:val="13"/>
                <w:szCs w:val="13"/>
                <w:b w:val="1"/>
                <w:bCs w:val="1"/>
                <w:color w:val="auto"/>
                <w:w w:val="89"/>
              </w:rPr>
              <w:t>6.600% Non-Cumulative Preferred Stock, Series A</w:t>
            </w:r>
          </w:p>
        </w:tc>
        <w:tc>
          <w:tcPr>
            <w:tcW w:w="36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12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4120" w:type="dxa"/>
            <w:vAlign w:val="bottom"/>
            <w:gridSpan w:val="3"/>
          </w:tcPr>
          <w:p>
            <w:pPr>
              <w:jc w:val="center"/>
              <w:ind w:right="317"/>
              <w:spacing w:after="0"/>
              <w:rPr>
                <w:sz w:val="20"/>
                <w:szCs w:val="20"/>
                <w:color w:val="auto"/>
              </w:rPr>
            </w:pPr>
            <w:r>
              <w:rPr>
                <w:rFonts w:ascii="Arial" w:cs="Arial" w:eastAsia="Arial" w:hAnsi="Arial"/>
                <w:sz w:val="13"/>
                <w:szCs w:val="13"/>
                <w:b w:val="1"/>
                <w:bCs w:val="1"/>
                <w:color w:val="auto"/>
                <w:w w:val="86"/>
              </w:rPr>
              <w:t>Depositary Shares, each representing a 1/1,000th interest in a share of</w:t>
            </w:r>
          </w:p>
        </w:tc>
        <w:tc>
          <w:tcPr>
            <w:tcW w:w="360" w:type="dxa"/>
            <w:vAlign w:val="bottom"/>
          </w:tcPr>
          <w:p>
            <w:pPr>
              <w:spacing w:after="0"/>
              <w:rPr>
                <w:sz w:val="13"/>
                <w:szCs w:val="13"/>
                <w:color w:val="auto"/>
              </w:rPr>
            </w:pPr>
          </w:p>
        </w:tc>
        <w:tc>
          <w:tcPr>
            <w:tcW w:w="146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w w:val="95"/>
              </w:rPr>
              <w:t>BHFAO</w:t>
            </w:r>
          </w:p>
        </w:tc>
        <w:tc>
          <w:tcPr>
            <w:tcW w:w="600" w:type="dxa"/>
            <w:vAlign w:val="bottom"/>
          </w:tcPr>
          <w:p>
            <w:pPr>
              <w:spacing w:after="0"/>
              <w:rPr>
                <w:sz w:val="13"/>
                <w:szCs w:val="13"/>
                <w:color w:val="auto"/>
              </w:rPr>
            </w:pPr>
          </w:p>
        </w:tc>
        <w:tc>
          <w:tcPr>
            <w:tcW w:w="2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The Nasdaq Stock Market LLC</w:t>
            </w:r>
          </w:p>
        </w:tc>
        <w:tc>
          <w:tcPr>
            <w:tcW w:w="0" w:type="dxa"/>
            <w:vAlign w:val="bottom"/>
          </w:tcPr>
          <w:p>
            <w:pPr>
              <w:spacing w:after="0"/>
              <w:rPr>
                <w:sz w:val="1"/>
                <w:szCs w:val="1"/>
                <w:color w:val="auto"/>
              </w:rPr>
            </w:pPr>
          </w:p>
        </w:tc>
      </w:tr>
      <w:tr>
        <w:trPr>
          <w:trHeight w:val="92"/>
        </w:trPr>
        <w:tc>
          <w:tcPr>
            <w:tcW w:w="4120" w:type="dxa"/>
            <w:vAlign w:val="bottom"/>
            <w:gridSpan w:val="3"/>
            <w:vMerge w:val="restart"/>
          </w:tcPr>
          <w:p>
            <w:pPr>
              <w:jc w:val="center"/>
              <w:ind w:right="297"/>
              <w:spacing w:after="0"/>
              <w:rPr>
                <w:sz w:val="20"/>
                <w:szCs w:val="20"/>
                <w:color w:val="auto"/>
              </w:rPr>
            </w:pPr>
            <w:r>
              <w:rPr>
                <w:rFonts w:ascii="Arial" w:cs="Arial" w:eastAsia="Arial" w:hAnsi="Arial"/>
                <w:sz w:val="13"/>
                <w:szCs w:val="13"/>
                <w:b w:val="1"/>
                <w:bCs w:val="1"/>
                <w:color w:val="auto"/>
                <w:w w:val="88"/>
              </w:rPr>
              <w:t>6.750% Non-Cumulative Preferred Stock, Series B</w:t>
            </w:r>
          </w:p>
        </w:tc>
        <w:tc>
          <w:tcPr>
            <w:tcW w:w="36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12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4120" w:type="dxa"/>
            <w:vAlign w:val="bottom"/>
            <w:gridSpan w:val="3"/>
          </w:tcPr>
          <w:p>
            <w:pPr>
              <w:jc w:val="center"/>
              <w:ind w:right="317"/>
              <w:spacing w:after="0"/>
              <w:rPr>
                <w:sz w:val="20"/>
                <w:szCs w:val="20"/>
                <w:color w:val="auto"/>
              </w:rPr>
            </w:pPr>
            <w:r>
              <w:rPr>
                <w:rFonts w:ascii="Arial" w:cs="Arial" w:eastAsia="Arial" w:hAnsi="Arial"/>
                <w:sz w:val="13"/>
                <w:szCs w:val="13"/>
                <w:b w:val="1"/>
                <w:bCs w:val="1"/>
                <w:color w:val="auto"/>
                <w:w w:val="86"/>
              </w:rPr>
              <w:t>Depositary Shares, each representing a 1/1,000th interest in a share of</w:t>
            </w:r>
          </w:p>
        </w:tc>
        <w:tc>
          <w:tcPr>
            <w:tcW w:w="360" w:type="dxa"/>
            <w:vAlign w:val="bottom"/>
          </w:tcPr>
          <w:p>
            <w:pPr>
              <w:spacing w:after="0"/>
              <w:rPr>
                <w:sz w:val="13"/>
                <w:szCs w:val="13"/>
                <w:color w:val="auto"/>
              </w:rPr>
            </w:pPr>
          </w:p>
        </w:tc>
        <w:tc>
          <w:tcPr>
            <w:tcW w:w="146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w w:val="96"/>
              </w:rPr>
              <w:t>BHFAN</w:t>
            </w:r>
          </w:p>
        </w:tc>
        <w:tc>
          <w:tcPr>
            <w:tcW w:w="600" w:type="dxa"/>
            <w:vAlign w:val="bottom"/>
          </w:tcPr>
          <w:p>
            <w:pPr>
              <w:spacing w:after="0"/>
              <w:rPr>
                <w:sz w:val="13"/>
                <w:szCs w:val="13"/>
                <w:color w:val="auto"/>
              </w:rPr>
            </w:pPr>
          </w:p>
        </w:tc>
        <w:tc>
          <w:tcPr>
            <w:tcW w:w="2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The Nasdaq Stock Market LLC</w:t>
            </w:r>
          </w:p>
        </w:tc>
        <w:tc>
          <w:tcPr>
            <w:tcW w:w="0" w:type="dxa"/>
            <w:vAlign w:val="bottom"/>
          </w:tcPr>
          <w:p>
            <w:pPr>
              <w:spacing w:after="0"/>
              <w:rPr>
                <w:sz w:val="1"/>
                <w:szCs w:val="1"/>
                <w:color w:val="auto"/>
              </w:rPr>
            </w:pPr>
          </w:p>
        </w:tc>
      </w:tr>
      <w:tr>
        <w:trPr>
          <w:trHeight w:val="92"/>
        </w:trPr>
        <w:tc>
          <w:tcPr>
            <w:tcW w:w="4120" w:type="dxa"/>
            <w:vAlign w:val="bottom"/>
            <w:gridSpan w:val="3"/>
            <w:vMerge w:val="restart"/>
          </w:tcPr>
          <w:p>
            <w:pPr>
              <w:jc w:val="center"/>
              <w:ind w:right="317"/>
              <w:spacing w:after="0"/>
              <w:rPr>
                <w:sz w:val="20"/>
                <w:szCs w:val="20"/>
                <w:color w:val="auto"/>
              </w:rPr>
            </w:pPr>
            <w:r>
              <w:rPr>
                <w:rFonts w:ascii="Arial" w:cs="Arial" w:eastAsia="Arial" w:hAnsi="Arial"/>
                <w:sz w:val="13"/>
                <w:szCs w:val="13"/>
                <w:b w:val="1"/>
                <w:bCs w:val="1"/>
                <w:color w:val="auto"/>
                <w:w w:val="89"/>
              </w:rPr>
              <w:t>5.375% Non-Cumulative Preferred Stock, Series C</w:t>
            </w:r>
          </w:p>
        </w:tc>
        <w:tc>
          <w:tcPr>
            <w:tcW w:w="36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12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120" w:type="dxa"/>
            <w:vAlign w:val="bottom"/>
            <w:gridSpan w:val="3"/>
          </w:tcPr>
          <w:p>
            <w:pPr>
              <w:jc w:val="center"/>
              <w:ind w:right="297"/>
              <w:spacing w:after="0"/>
              <w:rPr>
                <w:sz w:val="20"/>
                <w:szCs w:val="20"/>
                <w:color w:val="auto"/>
              </w:rPr>
            </w:pPr>
            <w:r>
              <w:rPr>
                <w:rFonts w:ascii="Arial" w:cs="Arial" w:eastAsia="Arial" w:hAnsi="Arial"/>
                <w:sz w:val="13"/>
                <w:szCs w:val="13"/>
                <w:b w:val="1"/>
                <w:bCs w:val="1"/>
                <w:color w:val="auto"/>
                <w:w w:val="87"/>
              </w:rPr>
              <w:t>6.250% Junior Subordinated Debentures due 2058</w:t>
            </w:r>
          </w:p>
        </w:tc>
        <w:tc>
          <w:tcPr>
            <w:tcW w:w="360" w:type="dxa"/>
            <w:vAlign w:val="bottom"/>
          </w:tcPr>
          <w:p>
            <w:pPr>
              <w:spacing w:after="0"/>
              <w:rPr>
                <w:sz w:val="16"/>
                <w:szCs w:val="16"/>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9"/>
              </w:rPr>
              <w:t>BHFAL</w:t>
            </w:r>
          </w:p>
        </w:tc>
        <w:tc>
          <w:tcPr>
            <w:tcW w:w="60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0"/>
              </w:rPr>
              <w:t>The Nasdaq Stock Market LLC</w:t>
            </w:r>
          </w:p>
        </w:tc>
        <w:tc>
          <w:tcPr>
            <w:tcW w:w="0" w:type="dxa"/>
            <w:vAlign w:val="bottom"/>
          </w:tcPr>
          <w:p>
            <w:pPr>
              <w:spacing w:after="0"/>
              <w:rPr>
                <w:sz w:val="1"/>
                <w:szCs w:val="1"/>
                <w:color w:val="auto"/>
              </w:rPr>
            </w:pPr>
          </w:p>
        </w:tc>
      </w:tr>
    </w:tbl>
    <w:p>
      <w:pPr>
        <w:spacing w:after="0" w:line="177"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1020" w:type="dxa"/>
        <w:tblCellMar>
          <w:top w:w="0" w:type="dxa"/>
          <w:left w:w="0" w:type="dxa"/>
          <w:bottom w:w="0" w:type="dxa"/>
          <w:right w:w="0" w:type="dxa"/>
        </w:tblCellMar>
      </w:tblPr>
      <w:tr>
        <w:trPr>
          <w:trHeight w:val="374"/>
        </w:trPr>
        <w:tc>
          <w:tcPr>
            <w:tcW w:w="1200" w:type="dxa"/>
            <w:vAlign w:val="bottom"/>
          </w:tcPr>
          <w:p>
            <w:pPr>
              <w:spacing w:after="0"/>
              <w:rPr>
                <w:sz w:val="20"/>
                <w:szCs w:val="20"/>
                <w:color w:val="auto"/>
              </w:rPr>
            </w:pPr>
            <w:r>
              <w:rPr>
                <w:rFonts w:ascii="Arial" w:cs="Arial" w:eastAsia="Arial" w:hAnsi="Arial"/>
                <w:sz w:val="13"/>
                <w:szCs w:val="13"/>
                <w:color w:val="auto"/>
                <w:w w:val="91"/>
              </w:rPr>
              <w:t>Large accelerated filer</w:t>
            </w:r>
          </w:p>
        </w:tc>
        <w:tc>
          <w:tcPr>
            <w:tcW w:w="300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4340" w:type="dxa"/>
            <w:vAlign w:val="bottom"/>
          </w:tcPr>
          <w:p>
            <w:pPr>
              <w:ind w:left="2840"/>
              <w:spacing w:after="0" w:line="288"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25"/>
                <w:szCs w:val="25"/>
                <w:color w:val="auto"/>
                <w:vertAlign w:val="subscript"/>
              </w:rPr>
              <w:t>☐</w:t>
            </w:r>
          </w:p>
        </w:tc>
        <w:tc>
          <w:tcPr>
            <w:tcW w:w="240" w:type="dxa"/>
            <w:vAlign w:val="bottom"/>
          </w:tcPr>
          <w:p>
            <w:pPr>
              <w:spacing w:after="0"/>
              <w:rPr>
                <w:sz w:val="24"/>
                <w:szCs w:val="24"/>
                <w:color w:val="auto"/>
              </w:rPr>
            </w:pPr>
          </w:p>
        </w:tc>
      </w:tr>
      <w:tr>
        <w:trPr>
          <w:trHeight w:val="253"/>
        </w:trPr>
        <w:tc>
          <w:tcPr>
            <w:tcW w:w="1200" w:type="dxa"/>
            <w:vAlign w:val="bottom"/>
          </w:tcPr>
          <w:p>
            <w:pPr>
              <w:spacing w:after="0"/>
              <w:rPr>
                <w:sz w:val="20"/>
                <w:szCs w:val="20"/>
                <w:color w:val="auto"/>
              </w:rPr>
            </w:pPr>
            <w:r>
              <w:rPr>
                <w:rFonts w:ascii="Arial" w:cs="Arial" w:eastAsia="Arial" w:hAnsi="Arial"/>
                <w:sz w:val="13"/>
                <w:szCs w:val="13"/>
                <w:color w:val="auto"/>
                <w:w w:val="98"/>
              </w:rPr>
              <w:t>Non-accelerated filer</w:t>
            </w:r>
          </w:p>
        </w:tc>
        <w:tc>
          <w:tcPr>
            <w:tcW w:w="300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4340" w:type="dxa"/>
            <w:vAlign w:val="bottom"/>
          </w:tcPr>
          <w:p>
            <w:pPr>
              <w:ind w:left="2840"/>
              <w:spacing w:after="0"/>
              <w:rPr>
                <w:sz w:val="20"/>
                <w:szCs w:val="20"/>
                <w:color w:val="auto"/>
              </w:rPr>
            </w:pPr>
            <w:r>
              <w:rPr>
                <w:rFonts w:ascii="Arial" w:cs="Arial" w:eastAsia="Arial" w:hAnsi="Arial"/>
                <w:sz w:val="13"/>
                <w:szCs w:val="13"/>
                <w:color w:val="auto"/>
                <w:w w:val="95"/>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340" w:type="dxa"/>
            <w:vAlign w:val="bottom"/>
          </w:tcPr>
          <w:p>
            <w:pPr>
              <w:ind w:left="2840"/>
              <w:spacing w:after="0"/>
              <w:rPr>
                <w:sz w:val="20"/>
                <w:szCs w:val="20"/>
                <w:color w:val="auto"/>
              </w:rPr>
            </w:pPr>
            <w:r>
              <w:rPr>
                <w:rFonts w:ascii="Arial" w:cs="Arial" w:eastAsia="Arial" w:hAnsi="Arial"/>
                <w:sz w:val="13"/>
                <w:szCs w:val="13"/>
                <w:color w:val="auto"/>
                <w:w w:val="95"/>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71"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8" w:lineRule="exact"/>
        <w:rPr>
          <w:sz w:val="24"/>
          <w:szCs w:val="24"/>
          <w:color w:val="auto"/>
        </w:rPr>
      </w:pPr>
    </w:p>
    <w:p>
      <w:pPr>
        <w:ind w:right="4740"/>
        <w:spacing w:after="0" w:line="22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No </w:t>
      </w:r>
      <w:r>
        <w:rPr>
          <w:rFonts w:ascii="MS PGothic" w:cs="MS PGothic" w:eastAsia="MS PGothic" w:hAnsi="MS PGothic"/>
          <w:sz w:val="13"/>
          <w:szCs w:val="13"/>
          <w:color w:val="auto"/>
          <w:highlight w:val="black"/>
        </w:rPr>
        <w:t>☑</w:t>
      </w:r>
      <w:r>
        <w:rPr>
          <w:rFonts w:ascii="Arial" w:cs="Arial" w:eastAsia="Arial" w:hAnsi="Arial"/>
          <w:sz w:val="13"/>
          <w:szCs w:val="13"/>
          <w:color w:val="auto"/>
        </w:rPr>
        <w:t xml:space="preserve"> As of May 6, 2021, 85,793,967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760730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339"/>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p>
      <w:pPr>
        <w:ind w:left="10740"/>
        <w:spacing w:after="0"/>
        <w:rPr>
          <w:sz w:val="20"/>
          <w:szCs w:val="20"/>
          <w:color w:val="auto"/>
        </w:rPr>
      </w:pPr>
      <w:r>
        <w:rPr>
          <w:rFonts w:ascii="Arial" w:cs="Arial" w:eastAsia="Arial" w:hAnsi="Arial"/>
          <w:sz w:val="18"/>
          <w:szCs w:val="18"/>
          <w:b w:val="1"/>
          <w:bCs w:val="1"/>
          <w:u w:val="single" w:color="auto"/>
          <w:color w:val="auto"/>
        </w:rPr>
        <w:t>Page</w:t>
      </w:r>
    </w:p>
    <w:p>
      <w:pPr>
        <w:spacing w:after="0" w:line="27"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 Financial Information</w:t>
        </w:r>
      </w:hyperlink>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08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Item 1.</w:t>
            </w:r>
          </w:p>
        </w:tc>
        <w:tc>
          <w:tcPr>
            <w:tcW w:w="9360" w:type="dxa"/>
            <w:vAlign w:val="bottom"/>
            <w:gridSpan w:val="23"/>
          </w:tcPr>
          <w:p>
            <w:pPr>
              <w:spacing w:after="0" w:line="198" w:lineRule="exact"/>
              <w:rPr>
                <w:sz w:val="20"/>
                <w:szCs w:val="20"/>
                <w:color w:val="auto"/>
              </w:rPr>
            </w:pPr>
            <w:r>
              <w:rPr>
                <w:rFonts w:ascii="Arial" w:cs="Arial" w:eastAsia="Arial" w:hAnsi="Arial"/>
                <w:sz w:val="18"/>
                <w:szCs w:val="18"/>
                <w:color w:val="auto"/>
                <w:w w:val="93"/>
              </w:rPr>
              <w:t>Consolidated Financial Statements (at March 31, 2021 (Unaudited) and December 31, 2020 and for the 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0" w:type="dxa"/>
            <w:vAlign w:val="bottom"/>
            <w:gridSpan w:val="22"/>
          </w:tcPr>
          <w:p>
            <w:pPr>
              <w:spacing w:after="0"/>
              <w:rPr>
                <w:sz w:val="20"/>
                <w:szCs w:val="20"/>
                <w:color w:val="auto"/>
              </w:rPr>
            </w:pPr>
            <w:r>
              <w:rPr>
                <w:rFonts w:ascii="Arial" w:cs="Arial" w:eastAsia="Arial" w:hAnsi="Arial"/>
                <w:sz w:val="18"/>
                <w:szCs w:val="18"/>
                <w:color w:val="auto"/>
              </w:rPr>
              <w:t>March 31, 2021 and 2020 (Unaudited)):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20" w:type="dxa"/>
            <w:vAlign w:val="bottom"/>
            <w:tcBorders>
              <w:bottom w:val="single" w:sz="8" w:color="0000FF"/>
            </w:tcBorders>
            <w:gridSpan w:val="12"/>
          </w:tcPr>
          <w:p>
            <w:pPr>
              <w:spacing w:after="0" w:line="190" w:lineRule="exact"/>
              <w:rPr>
                <w:rFonts w:ascii="Arial" w:cs="Arial" w:eastAsia="Arial" w:hAnsi="Arial"/>
                <w:sz w:val="18"/>
                <w:szCs w:val="18"/>
                <w:color w:val="0000FF"/>
                <w:w w:val="89"/>
              </w:rPr>
            </w:pPr>
            <w:hyperlink w:anchor="page3">
              <w:r>
                <w:rPr>
                  <w:rFonts w:ascii="Arial" w:cs="Arial" w:eastAsia="Arial" w:hAnsi="Arial"/>
                  <w:sz w:val="18"/>
                  <w:szCs w:val="18"/>
                  <w:color w:val="0000FF"/>
                  <w:w w:val="89"/>
                </w:rPr>
                <w:t>Interim Condensed Consolidated Balance Sheets</w:t>
              </w:r>
            </w:hyperlink>
          </w:p>
        </w:tc>
        <w:tc>
          <w:tcPr>
            <w:tcW w:w="5680" w:type="dxa"/>
            <w:vAlign w:val="bottom"/>
            <w:gridSpan w:val="10"/>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90"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Interim Condensed Consolidated Statements of Operations and Comprehensive Income (Loss)</w:t>
              </w:r>
            </w:hyperlink>
          </w:p>
        </w:tc>
        <w:tc>
          <w:tcPr>
            <w:tcW w:w="560" w:type="dxa"/>
            <w:vAlign w:val="bottom"/>
            <w:gridSpan w:val="3"/>
          </w:tcPr>
          <w:p>
            <w:pPr>
              <w:jc w:val="center"/>
              <w:ind w:left="290"/>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4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Interim Condensed Consolidated Statements of Equity</w:t>
              </w:r>
            </w:hyperlink>
          </w:p>
        </w:tc>
        <w:tc>
          <w:tcPr>
            <w:tcW w:w="2860" w:type="dxa"/>
            <w:vAlign w:val="bottom"/>
            <w:tcBorders>
              <w:top w:val="single" w:sz="8" w:color="0000FF"/>
            </w:tcBorders>
            <w:gridSpan w:val="7"/>
          </w:tcPr>
          <w:p>
            <w:pPr>
              <w:spacing w:after="0"/>
              <w:rPr>
                <w:sz w:val="18"/>
                <w:szCs w:val="18"/>
                <w:color w:val="auto"/>
              </w:rPr>
            </w:pPr>
          </w:p>
        </w:tc>
        <w:tc>
          <w:tcPr>
            <w:tcW w:w="2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2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Interim Condensed Consolidated Statements of Cash Flows</w:t>
              </w:r>
            </w:hyperlink>
          </w:p>
        </w:tc>
        <w:tc>
          <w:tcPr>
            <w:tcW w:w="4880" w:type="dxa"/>
            <w:vAlign w:val="bottom"/>
            <w:gridSpan w:val="7"/>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gridSpan w:val="2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the Interim Condensed Consolidated Financial Statements (Unaudited):</w:t>
              </w:r>
            </w:hyperlink>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0" w:type="dxa"/>
            <w:vAlign w:val="bottom"/>
            <w:tcBorders>
              <w:bottom w:val="single" w:sz="8" w:color="0000FF"/>
            </w:tcBorders>
            <w:gridSpan w:val="19"/>
          </w:tcPr>
          <w:p>
            <w:pPr>
              <w:ind w:left="20"/>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Note 1 — Business, Basis of Presentation and Summary of Significant Accounting Policies</w:t>
              </w:r>
            </w:hyperlink>
          </w:p>
        </w:tc>
        <w:tc>
          <w:tcPr>
            <w:tcW w:w="24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Borders>
              <w:bottom w:val="single" w:sz="8" w:color="0000FF"/>
            </w:tcBorders>
            <w:gridSpan w:val="9"/>
          </w:tcPr>
          <w:p>
            <w:pPr>
              <w:ind w:left="20"/>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Note 2 — Segment Information</w:t>
              </w:r>
            </w:hyperlink>
          </w:p>
        </w:tc>
        <w:tc>
          <w:tcPr>
            <w:tcW w:w="6740" w:type="dxa"/>
            <w:vAlign w:val="bottom"/>
            <w:gridSpan w:val="12"/>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7</w:t>
              </w:r>
            </w:hyperlink>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40" w:type="dxa"/>
            <w:vAlign w:val="bottom"/>
            <w:gridSpan w:val="21"/>
          </w:tcPr>
          <w:p>
            <w:pPr>
              <w:ind w:left="20"/>
              <w:spacing w:after="0"/>
              <w:rPr>
                <w:rFonts w:ascii="Arial" w:cs="Arial" w:eastAsia="Arial" w:hAnsi="Arial"/>
                <w:sz w:val="18"/>
                <w:szCs w:val="18"/>
                <w:color w:val="0000FF"/>
              </w:rPr>
            </w:pPr>
            <w:hyperlink w:anchor="page10">
              <w:r>
                <w:rPr>
                  <w:rFonts w:ascii="Arial" w:cs="Arial" w:eastAsia="Arial" w:hAnsi="Arial"/>
                  <w:sz w:val="18"/>
                  <w:szCs w:val="18"/>
                  <w:color w:val="0000FF"/>
                </w:rPr>
                <w:t>Note 3 — Insurance</w:t>
              </w:r>
            </w:hyperlink>
          </w:p>
        </w:tc>
        <w:tc>
          <w:tcPr>
            <w:tcW w:w="780" w:type="dxa"/>
            <w:vAlign w:val="bottom"/>
            <w:gridSpan w:val="4"/>
          </w:tcPr>
          <w:p>
            <w:pPr>
              <w:jc w:val="center"/>
              <w:ind w:left="70"/>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10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8"/>
          </w:tcPr>
          <w:p>
            <w:pPr>
              <w:ind w:left="20"/>
              <w:spacing w:after="0"/>
              <w:rPr>
                <w:rFonts w:ascii="Arial" w:cs="Arial" w:eastAsia="Arial" w:hAnsi="Arial"/>
                <w:sz w:val="18"/>
                <w:szCs w:val="18"/>
                <w:color w:val="0000FF"/>
                <w:w w:val="86"/>
              </w:rPr>
            </w:pPr>
            <w:hyperlink w:anchor="page12">
              <w:r>
                <w:rPr>
                  <w:rFonts w:ascii="Arial" w:cs="Arial" w:eastAsia="Arial" w:hAnsi="Arial"/>
                  <w:sz w:val="18"/>
                  <w:szCs w:val="18"/>
                  <w:color w:val="0000FF"/>
                  <w:w w:val="86"/>
                </w:rPr>
                <w:t>Note 4 — Investments</w:t>
              </w:r>
            </w:hyperlink>
          </w:p>
        </w:tc>
        <w:tc>
          <w:tcPr>
            <w:tcW w:w="7440" w:type="dxa"/>
            <w:vAlign w:val="bottom"/>
            <w:gridSpan w:val="13"/>
          </w:tcPr>
          <w:p>
            <w:pPr>
              <w:spacing w:after="0"/>
              <w:rPr>
                <w:sz w:val="18"/>
                <w:szCs w:val="18"/>
                <w:color w:val="auto"/>
              </w:rPr>
            </w:pPr>
          </w:p>
        </w:tc>
        <w:tc>
          <w:tcPr>
            <w:tcW w:w="560" w:type="dxa"/>
            <w:vAlign w:val="bottom"/>
            <w:gridSpan w:val="3"/>
          </w:tcPr>
          <w:p>
            <w:pPr>
              <w:jc w:val="center"/>
              <w:ind w:left="29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11</w:t>
              </w:r>
            </w:hyperlink>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tcBorders>
              <w:left w:val="single" w:sz="8" w:color="0000FF"/>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8"/>
          </w:tcPr>
          <w:p>
            <w:pPr>
              <w:ind w:left="20"/>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Note 5 — Derivatives</w:t>
              </w:r>
            </w:hyperlink>
          </w:p>
        </w:tc>
        <w:tc>
          <w:tcPr>
            <w:tcW w:w="7440" w:type="dxa"/>
            <w:vAlign w:val="bottom"/>
            <w:gridSpan w:val="13"/>
          </w:tcPr>
          <w:p>
            <w:pPr>
              <w:spacing w:after="0"/>
              <w:rPr>
                <w:sz w:val="18"/>
                <w:szCs w:val="18"/>
                <w:color w:val="auto"/>
              </w:rPr>
            </w:pPr>
          </w:p>
        </w:tc>
        <w:tc>
          <w:tcPr>
            <w:tcW w:w="780" w:type="dxa"/>
            <w:vAlign w:val="bottom"/>
            <w:gridSpan w:val="4"/>
          </w:tcPr>
          <w:p>
            <w:pPr>
              <w:jc w:val="center"/>
              <w:ind w:left="7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8"/>
          </w:tcPr>
          <w:p>
            <w:pPr>
              <w:ind w:left="20"/>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Note 6 — Fair Value</w:t>
              </w:r>
            </w:hyperlink>
          </w:p>
        </w:tc>
        <w:tc>
          <w:tcPr>
            <w:tcW w:w="7440" w:type="dxa"/>
            <w:vAlign w:val="bottom"/>
            <w:gridSpan w:val="13"/>
          </w:tcPr>
          <w:p>
            <w:pPr>
              <w:spacing w:after="0"/>
              <w:rPr>
                <w:sz w:val="18"/>
                <w:szCs w:val="18"/>
                <w:color w:val="auto"/>
              </w:rPr>
            </w:pPr>
          </w:p>
        </w:tc>
        <w:tc>
          <w:tcPr>
            <w:tcW w:w="780" w:type="dxa"/>
            <w:vAlign w:val="bottom"/>
            <w:gridSpan w:val="4"/>
          </w:tcPr>
          <w:p>
            <w:pPr>
              <w:jc w:val="center"/>
              <w:ind w:left="70"/>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7"/>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Note 7 — Equity</w:t>
              </w:r>
            </w:hyperlink>
          </w:p>
        </w:tc>
        <w:tc>
          <w:tcPr>
            <w:tcW w:w="7540" w:type="dxa"/>
            <w:vAlign w:val="bottom"/>
            <w:gridSpan w:val="14"/>
          </w:tcPr>
          <w:p>
            <w:pPr>
              <w:spacing w:after="0"/>
              <w:rPr>
                <w:sz w:val="18"/>
                <w:szCs w:val="18"/>
                <w:color w:val="auto"/>
              </w:rPr>
            </w:pPr>
          </w:p>
        </w:tc>
        <w:tc>
          <w:tcPr>
            <w:tcW w:w="780" w:type="dxa"/>
            <w:vAlign w:val="bottom"/>
            <w:gridSpan w:val="4"/>
          </w:tcPr>
          <w:p>
            <w:pPr>
              <w:jc w:val="center"/>
              <w:ind w:left="7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40" w:type="dxa"/>
            <w:vAlign w:val="bottom"/>
            <w:gridSpan w:val="21"/>
          </w:tcPr>
          <w:p>
            <w:pPr>
              <w:ind w:left="20"/>
              <w:spacing w:after="0"/>
              <w:rPr>
                <w:rFonts w:ascii="Arial" w:cs="Arial" w:eastAsia="Arial" w:hAnsi="Arial"/>
                <w:sz w:val="18"/>
                <w:szCs w:val="18"/>
                <w:color w:val="0000FF"/>
              </w:rPr>
            </w:pPr>
            <w:hyperlink w:anchor="page39">
              <w:r>
                <w:rPr>
                  <w:rFonts w:ascii="Arial" w:cs="Arial" w:eastAsia="Arial" w:hAnsi="Arial"/>
                  <w:sz w:val="18"/>
                  <w:szCs w:val="18"/>
                  <w:color w:val="0000FF"/>
                </w:rPr>
                <w:t>Note 8 — Other Revenues and Other Expenses</w:t>
              </w:r>
            </w:hyperlink>
          </w:p>
        </w:tc>
        <w:tc>
          <w:tcPr>
            <w:tcW w:w="780" w:type="dxa"/>
            <w:vAlign w:val="bottom"/>
            <w:gridSpan w:val="4"/>
          </w:tcPr>
          <w:p>
            <w:pPr>
              <w:jc w:val="center"/>
              <w:ind w:left="7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2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10"/>
          </w:tcPr>
          <w:p>
            <w:pPr>
              <w:ind w:left="2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Note 9 — Earnings Per Common Share</w:t>
              </w:r>
            </w:hyperlink>
          </w:p>
        </w:tc>
        <w:tc>
          <w:tcPr>
            <w:tcW w:w="540" w:type="dxa"/>
            <w:vAlign w:val="bottom"/>
            <w:gridSpan w:val="2"/>
          </w:tcPr>
          <w:p>
            <w:pPr>
              <w:spacing w:after="0"/>
              <w:rPr>
                <w:sz w:val="18"/>
                <w:szCs w:val="18"/>
                <w:color w:val="auto"/>
              </w:rPr>
            </w:pPr>
          </w:p>
        </w:tc>
        <w:tc>
          <w:tcPr>
            <w:tcW w:w="5640" w:type="dxa"/>
            <w:vAlign w:val="bottom"/>
            <w:gridSpan w:val="9"/>
          </w:tcPr>
          <w:p>
            <w:pPr>
              <w:spacing w:after="0"/>
              <w:rPr>
                <w:sz w:val="18"/>
                <w:szCs w:val="18"/>
                <w:color w:val="auto"/>
              </w:rPr>
            </w:pPr>
          </w:p>
        </w:tc>
        <w:tc>
          <w:tcPr>
            <w:tcW w:w="780" w:type="dxa"/>
            <w:vAlign w:val="bottom"/>
            <w:gridSpan w:val="4"/>
          </w:tcPr>
          <w:p>
            <w:pPr>
              <w:jc w:val="center"/>
              <w:ind w:left="7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60" w:type="dxa"/>
            <w:vAlign w:val="bottom"/>
            <w:gridSpan w:val="14"/>
          </w:tcPr>
          <w:p>
            <w:pPr>
              <w:ind w:left="2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 xml:space="preserve">Note </w:t>
              </w:r>
            </w:hyperlink>
            <w:r>
              <w:rPr>
                <w:rFonts w:ascii="Arial" w:cs="Arial" w:eastAsia="Arial" w:hAnsi="Arial"/>
                <w:sz w:val="18"/>
                <w:szCs w:val="18"/>
                <w:color w:val="0000FF"/>
                <w:w w:val="89"/>
              </w:rPr>
              <w:t xml:space="preserve">10 </w:t>
            </w:r>
            <w:hyperlink w:anchor="page40">
              <w:r>
                <w:rPr>
                  <w:rFonts w:ascii="Arial" w:cs="Arial" w:eastAsia="Arial" w:hAnsi="Arial"/>
                  <w:sz w:val="18"/>
                  <w:szCs w:val="18"/>
                  <w:color w:val="0000FF"/>
                  <w:w w:val="89"/>
                </w:rPr>
                <w:t>— Contingencies, Commitments and Guarantees</w:t>
              </w:r>
            </w:hyperlink>
          </w:p>
        </w:tc>
        <w:tc>
          <w:tcPr>
            <w:tcW w:w="4880" w:type="dxa"/>
            <w:vAlign w:val="bottom"/>
            <w:gridSpan w:val="7"/>
          </w:tcPr>
          <w:p>
            <w:pPr>
              <w:spacing w:after="0"/>
              <w:rPr>
                <w:sz w:val="18"/>
                <w:szCs w:val="18"/>
                <w:color w:val="auto"/>
              </w:rPr>
            </w:pPr>
          </w:p>
        </w:tc>
        <w:tc>
          <w:tcPr>
            <w:tcW w:w="780" w:type="dxa"/>
            <w:vAlign w:val="bottom"/>
            <w:gridSpan w:val="4"/>
          </w:tcPr>
          <w:p>
            <w:pPr>
              <w:jc w:val="center"/>
              <w:ind w:left="7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40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20"/>
          </w:tcPr>
          <w:p>
            <w:pPr>
              <w:spacing w:after="0"/>
              <w:rPr>
                <w:rFonts w:ascii="Arial" w:cs="Arial" w:eastAsia="Arial" w:hAnsi="Arial"/>
                <w:sz w:val="18"/>
                <w:szCs w:val="18"/>
                <w:b w:val="1"/>
                <w:bCs w:val="1"/>
                <w:color w:val="0000FF"/>
                <w:w w:val="89"/>
              </w:rPr>
            </w:pPr>
            <w:hyperlink w:anchor="page43">
              <w:r>
                <w:rPr>
                  <w:rFonts w:ascii="Arial" w:cs="Arial" w:eastAsia="Arial" w:hAnsi="Arial"/>
                  <w:sz w:val="18"/>
                  <w:szCs w:val="18"/>
                  <w:b w:val="1"/>
                  <w:bCs w:val="1"/>
                  <w:color w:val="0000FF"/>
                  <w:w w:val="89"/>
                </w:rPr>
                <w:t>Management’s Discussion and Analysis of Financial Condition and Results of Operations</w:t>
              </w:r>
            </w:hyperlink>
          </w:p>
        </w:tc>
        <w:tc>
          <w:tcPr>
            <w:tcW w:w="2520" w:type="dxa"/>
            <w:vAlign w:val="bottom"/>
            <w:gridSpan w:val="3"/>
          </w:tcPr>
          <w:p>
            <w:pPr>
              <w:spacing w:after="0"/>
              <w:rPr>
                <w:sz w:val="18"/>
                <w:szCs w:val="18"/>
                <w:color w:val="auto"/>
              </w:rPr>
            </w:pPr>
          </w:p>
        </w:tc>
        <w:tc>
          <w:tcPr>
            <w:tcW w:w="780" w:type="dxa"/>
            <w:vAlign w:val="bottom"/>
            <w:gridSpan w:val="4"/>
          </w:tcPr>
          <w:p>
            <w:pPr>
              <w:jc w:val="center"/>
              <w:ind w:left="7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Item 3.</w:t>
            </w:r>
          </w:p>
        </w:tc>
        <w:tc>
          <w:tcPr>
            <w:tcW w:w="4680" w:type="dxa"/>
            <w:vAlign w:val="bottom"/>
            <w:gridSpan w:val="18"/>
          </w:tcPr>
          <w:p>
            <w:pPr>
              <w:spacing w:after="0"/>
              <w:rPr>
                <w:rFonts w:ascii="Arial" w:cs="Arial" w:eastAsia="Arial" w:hAnsi="Arial"/>
                <w:sz w:val="18"/>
                <w:szCs w:val="18"/>
                <w:b w:val="1"/>
                <w:bCs w:val="1"/>
                <w:color w:val="0000FF"/>
                <w:w w:val="91"/>
              </w:rPr>
            </w:pPr>
            <w:hyperlink w:anchor="page82">
              <w:r>
                <w:rPr>
                  <w:rFonts w:ascii="Arial" w:cs="Arial" w:eastAsia="Arial" w:hAnsi="Arial"/>
                  <w:sz w:val="18"/>
                  <w:szCs w:val="18"/>
                  <w:b w:val="1"/>
                  <w:bCs w:val="1"/>
                  <w:color w:val="0000FF"/>
                  <w:w w:val="91"/>
                </w:rPr>
                <w:t>Quantitative and Qualitative Disclosures About Market Risk</w:t>
              </w:r>
            </w:hyperlink>
          </w:p>
        </w:tc>
        <w:tc>
          <w:tcPr>
            <w:tcW w:w="2160" w:type="dxa"/>
            <w:vAlign w:val="bottom"/>
            <w:gridSpan w:val="2"/>
          </w:tcPr>
          <w:p>
            <w:pPr>
              <w:spacing w:after="0"/>
              <w:rPr>
                <w:sz w:val="18"/>
                <w:szCs w:val="18"/>
                <w:color w:val="auto"/>
              </w:rPr>
            </w:pPr>
          </w:p>
        </w:tc>
        <w:tc>
          <w:tcPr>
            <w:tcW w:w="2520" w:type="dxa"/>
            <w:vAlign w:val="bottom"/>
            <w:gridSpan w:val="3"/>
          </w:tcPr>
          <w:p>
            <w:pPr>
              <w:spacing w:after="0"/>
              <w:rPr>
                <w:sz w:val="18"/>
                <w:szCs w:val="18"/>
                <w:color w:val="auto"/>
              </w:rPr>
            </w:pPr>
          </w:p>
        </w:tc>
        <w:tc>
          <w:tcPr>
            <w:tcW w:w="780" w:type="dxa"/>
            <w:vAlign w:val="bottom"/>
            <w:gridSpan w:val="4"/>
          </w:tcPr>
          <w:p>
            <w:pPr>
              <w:jc w:val="center"/>
              <w:ind w:left="70"/>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Item 4.</w:t>
            </w:r>
          </w:p>
        </w:tc>
        <w:tc>
          <w:tcPr>
            <w:tcW w:w="1920" w:type="dxa"/>
            <w:vAlign w:val="bottom"/>
            <w:gridSpan w:val="10"/>
          </w:tcPr>
          <w:p>
            <w:pPr>
              <w:spacing w:after="0"/>
              <w:rPr>
                <w:rFonts w:ascii="Arial" w:cs="Arial" w:eastAsia="Arial" w:hAnsi="Arial"/>
                <w:sz w:val="18"/>
                <w:szCs w:val="18"/>
                <w:b w:val="1"/>
                <w:bCs w:val="1"/>
                <w:color w:val="0000FF"/>
                <w:w w:val="87"/>
              </w:rPr>
            </w:pPr>
            <w:hyperlink w:anchor="page82">
              <w:r>
                <w:rPr>
                  <w:rFonts w:ascii="Arial" w:cs="Arial" w:eastAsia="Arial" w:hAnsi="Arial"/>
                  <w:sz w:val="18"/>
                  <w:szCs w:val="18"/>
                  <w:b w:val="1"/>
                  <w:bCs w:val="1"/>
                  <w:color w:val="0000FF"/>
                  <w:w w:val="87"/>
                </w:rPr>
                <w:t>Controls and Procedures</w:t>
              </w:r>
            </w:hyperlink>
          </w:p>
        </w:tc>
        <w:tc>
          <w:tcPr>
            <w:tcW w:w="2760" w:type="dxa"/>
            <w:vAlign w:val="bottom"/>
            <w:gridSpan w:val="8"/>
          </w:tcPr>
          <w:p>
            <w:pPr>
              <w:spacing w:after="0"/>
              <w:rPr>
                <w:sz w:val="18"/>
                <w:szCs w:val="18"/>
                <w:color w:val="auto"/>
              </w:rPr>
            </w:pPr>
          </w:p>
        </w:tc>
        <w:tc>
          <w:tcPr>
            <w:tcW w:w="4680" w:type="dxa"/>
            <w:vAlign w:val="bottom"/>
            <w:gridSpan w:val="5"/>
          </w:tcPr>
          <w:p>
            <w:pPr>
              <w:spacing w:after="0"/>
              <w:rPr>
                <w:sz w:val="18"/>
                <w:szCs w:val="18"/>
                <w:color w:val="auto"/>
              </w:rPr>
            </w:pPr>
          </w:p>
        </w:tc>
        <w:tc>
          <w:tcPr>
            <w:tcW w:w="780" w:type="dxa"/>
            <w:vAlign w:val="bottom"/>
            <w:gridSpan w:val="4"/>
          </w:tcPr>
          <w:p>
            <w:pPr>
              <w:jc w:val="center"/>
              <w:ind w:left="70"/>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440" w:type="dxa"/>
            <w:vAlign w:val="bottom"/>
            <w:gridSpan w:val="25"/>
          </w:tcPr>
          <w:p>
            <w:pPr>
              <w:spacing w:after="0"/>
              <w:rPr>
                <w:rFonts w:ascii="Arial" w:cs="Arial" w:eastAsia="Arial" w:hAnsi="Arial"/>
                <w:sz w:val="18"/>
                <w:szCs w:val="18"/>
                <w:b w:val="1"/>
                <w:bCs w:val="1"/>
                <w:color w:val="0000FF"/>
              </w:rPr>
            </w:pPr>
            <w:hyperlink w:anchor="page83">
              <w:r>
                <w:rPr>
                  <w:rFonts w:ascii="Arial" w:cs="Arial" w:eastAsia="Arial" w:hAnsi="Arial"/>
                  <w:sz w:val="18"/>
                  <w:szCs w:val="18"/>
                  <w:b w:val="1"/>
                  <w:bCs w:val="1"/>
                  <w:color w:val="0000FF"/>
                </w:rPr>
                <w:t>Part II — Other Information</w:t>
              </w:r>
            </w:hyperlink>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11"/>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Item 1.</w:t>
            </w:r>
          </w:p>
        </w:tc>
        <w:tc>
          <w:tcPr>
            <w:tcW w:w="9360" w:type="dxa"/>
            <w:vAlign w:val="bottom"/>
            <w:gridSpan w:val="23"/>
          </w:tcPr>
          <w:p>
            <w:pPr>
              <w:spacing w:after="0"/>
              <w:rPr>
                <w:rFonts w:ascii="Arial" w:cs="Arial" w:eastAsia="Arial" w:hAnsi="Arial"/>
                <w:sz w:val="18"/>
                <w:szCs w:val="18"/>
                <w:b w:val="1"/>
                <w:bCs w:val="1"/>
                <w:color w:val="0000FF"/>
              </w:rPr>
            </w:pPr>
            <w:hyperlink w:anchor="page84">
              <w:r>
                <w:rPr>
                  <w:rFonts w:ascii="Arial" w:cs="Arial" w:eastAsia="Arial" w:hAnsi="Arial"/>
                  <w:sz w:val="18"/>
                  <w:szCs w:val="18"/>
                  <w:b w:val="1"/>
                  <w:bCs w:val="1"/>
                  <w:color w:val="0000FF"/>
                </w:rPr>
                <w:t>Legal Proceedings</w:t>
              </w:r>
            </w:hyperlink>
          </w:p>
        </w:tc>
        <w:tc>
          <w:tcPr>
            <w:tcW w:w="780" w:type="dxa"/>
            <w:vAlign w:val="bottom"/>
            <w:gridSpan w:val="4"/>
          </w:tcPr>
          <w:p>
            <w:pPr>
              <w:jc w:val="center"/>
              <w:ind w:left="70"/>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180" w:type="dxa"/>
            <w:vAlign w:val="bottom"/>
            <w:gridSpan w:val="11"/>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6"/>
          </w:tcPr>
          <w:p>
            <w:pPr>
              <w:spacing w:after="0"/>
              <w:rPr>
                <w:rFonts w:ascii="Arial" w:cs="Arial" w:eastAsia="Arial" w:hAnsi="Arial"/>
                <w:sz w:val="18"/>
                <w:szCs w:val="18"/>
                <w:b w:val="1"/>
                <w:bCs w:val="1"/>
                <w:color w:val="0000FF"/>
              </w:rPr>
            </w:pPr>
            <w:hyperlink w:anchor="page84">
              <w:r>
                <w:rPr>
                  <w:rFonts w:ascii="Arial" w:cs="Arial" w:eastAsia="Arial" w:hAnsi="Arial"/>
                  <w:sz w:val="18"/>
                  <w:szCs w:val="18"/>
                  <w:b w:val="1"/>
                  <w:bCs w:val="1"/>
                  <w:color w:val="0000FF"/>
                </w:rPr>
                <w:t>Risk Factors</w:t>
              </w:r>
            </w:hyperlink>
          </w:p>
        </w:tc>
        <w:tc>
          <w:tcPr>
            <w:tcW w:w="7960" w:type="dxa"/>
            <w:vAlign w:val="bottom"/>
            <w:gridSpan w:val="17"/>
          </w:tcPr>
          <w:p>
            <w:pPr>
              <w:spacing w:after="0"/>
              <w:rPr>
                <w:sz w:val="18"/>
                <w:szCs w:val="18"/>
                <w:color w:val="auto"/>
              </w:rPr>
            </w:pPr>
          </w:p>
        </w:tc>
        <w:tc>
          <w:tcPr>
            <w:tcW w:w="780" w:type="dxa"/>
            <w:vAlign w:val="bottom"/>
            <w:gridSpan w:val="4"/>
          </w:tcPr>
          <w:p>
            <w:pPr>
              <w:jc w:val="center"/>
              <w:ind w:left="70"/>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0" w:type="dxa"/>
            <w:vAlign w:val="bottom"/>
            <w:gridSpan w:val="13"/>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Item 2.</w:t>
            </w:r>
          </w:p>
        </w:tc>
        <w:tc>
          <w:tcPr>
            <w:tcW w:w="4580" w:type="dxa"/>
            <w:vAlign w:val="bottom"/>
            <w:gridSpan w:val="17"/>
          </w:tcPr>
          <w:p>
            <w:pPr>
              <w:spacing w:after="0"/>
              <w:rPr>
                <w:rFonts w:ascii="Arial" w:cs="Arial" w:eastAsia="Arial" w:hAnsi="Arial"/>
                <w:sz w:val="18"/>
                <w:szCs w:val="18"/>
                <w:b w:val="1"/>
                <w:bCs w:val="1"/>
                <w:color w:val="0000FF"/>
                <w:w w:val="87"/>
              </w:rPr>
            </w:pPr>
            <w:hyperlink w:anchor="page84">
              <w:r>
                <w:rPr>
                  <w:rFonts w:ascii="Arial" w:cs="Arial" w:eastAsia="Arial" w:hAnsi="Arial"/>
                  <w:sz w:val="18"/>
                  <w:szCs w:val="18"/>
                  <w:b w:val="1"/>
                  <w:bCs w:val="1"/>
                  <w:color w:val="0000FF"/>
                  <w:w w:val="87"/>
                </w:rPr>
                <w:t>Unregistered Sales of Equity Securities and Use of Proceeds</w:t>
              </w:r>
            </w:hyperlink>
          </w:p>
        </w:tc>
        <w:tc>
          <w:tcPr>
            <w:tcW w:w="4780" w:type="dxa"/>
            <w:vAlign w:val="bottom"/>
            <w:gridSpan w:val="6"/>
          </w:tcPr>
          <w:p>
            <w:pPr>
              <w:spacing w:after="0"/>
              <w:rPr>
                <w:sz w:val="18"/>
                <w:szCs w:val="18"/>
                <w:color w:val="auto"/>
              </w:rPr>
            </w:pPr>
          </w:p>
        </w:tc>
        <w:tc>
          <w:tcPr>
            <w:tcW w:w="780" w:type="dxa"/>
            <w:vAlign w:val="bottom"/>
            <w:gridSpan w:val="4"/>
          </w:tcPr>
          <w:p>
            <w:pPr>
              <w:jc w:val="center"/>
              <w:ind w:left="70"/>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Item 6.</w:t>
            </w:r>
          </w:p>
        </w:tc>
        <w:tc>
          <w:tcPr>
            <w:tcW w:w="4580" w:type="dxa"/>
            <w:vAlign w:val="bottom"/>
            <w:gridSpan w:val="17"/>
          </w:tcPr>
          <w:p>
            <w:pPr>
              <w:spacing w:after="0"/>
              <w:rPr>
                <w:rFonts w:ascii="Arial" w:cs="Arial" w:eastAsia="Arial" w:hAnsi="Arial"/>
                <w:sz w:val="18"/>
                <w:szCs w:val="18"/>
                <w:b w:val="1"/>
                <w:bCs w:val="1"/>
                <w:color w:val="0000FF"/>
              </w:rPr>
            </w:pPr>
            <w:hyperlink w:anchor="page84">
              <w:r>
                <w:rPr>
                  <w:rFonts w:ascii="Arial" w:cs="Arial" w:eastAsia="Arial" w:hAnsi="Arial"/>
                  <w:sz w:val="18"/>
                  <w:szCs w:val="18"/>
                  <w:b w:val="1"/>
                  <w:bCs w:val="1"/>
                  <w:color w:val="0000FF"/>
                </w:rPr>
                <w:t>Exhibits</w:t>
              </w:r>
            </w:hyperlink>
          </w:p>
        </w:tc>
        <w:tc>
          <w:tcPr>
            <w:tcW w:w="4780" w:type="dxa"/>
            <w:vAlign w:val="bottom"/>
            <w:gridSpan w:val="6"/>
          </w:tcPr>
          <w:p>
            <w:pPr>
              <w:spacing w:after="0"/>
              <w:rPr>
                <w:sz w:val="18"/>
                <w:szCs w:val="18"/>
                <w:color w:val="auto"/>
              </w:rPr>
            </w:pPr>
          </w:p>
        </w:tc>
        <w:tc>
          <w:tcPr>
            <w:tcW w:w="780" w:type="dxa"/>
            <w:vAlign w:val="bottom"/>
            <w:gridSpan w:val="4"/>
          </w:tcPr>
          <w:p>
            <w:pPr>
              <w:jc w:val="center"/>
              <w:ind w:left="70"/>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2"/>
            <w:vMerge w:val="restart"/>
          </w:tcPr>
          <w:p>
            <w:pPr>
              <w:spacing w:after="0"/>
              <w:rPr>
                <w:rFonts w:ascii="Arial" w:cs="Arial" w:eastAsia="Arial" w:hAnsi="Arial"/>
                <w:sz w:val="18"/>
                <w:szCs w:val="18"/>
                <w:b w:val="1"/>
                <w:bCs w:val="1"/>
                <w:color w:val="0000FF"/>
              </w:rPr>
            </w:pPr>
            <w:hyperlink w:anchor="page85">
              <w:r>
                <w:rPr>
                  <w:rFonts w:ascii="Arial" w:cs="Arial" w:eastAsia="Arial" w:hAnsi="Arial"/>
                  <w:sz w:val="18"/>
                  <w:szCs w:val="18"/>
                  <w:b w:val="1"/>
                  <w:bCs w:val="1"/>
                  <w:color w:val="0000FF"/>
                </w:rPr>
                <w:t>Signature</w:t>
              </w:r>
            </w:hyperlink>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780" w:type="dxa"/>
            <w:vAlign w:val="bottom"/>
            <w:gridSpan w:val="4"/>
          </w:tcPr>
          <w:p>
            <w:pPr>
              <w:jc w:val="center"/>
              <w:ind w:left="70"/>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85</w:t>
              </w:r>
            </w:hyperlink>
          </w:p>
        </w:tc>
        <w:tc>
          <w:tcPr>
            <w:tcW w:w="0" w:type="dxa"/>
            <w:vAlign w:val="bottom"/>
          </w:tcPr>
          <w:p>
            <w:pPr>
              <w:spacing w:after="0"/>
              <w:rPr>
                <w:sz w:val="1"/>
                <w:szCs w:val="1"/>
                <w:color w:val="auto"/>
              </w:rPr>
            </w:pPr>
          </w:p>
        </w:tc>
      </w:tr>
      <w:tr>
        <w:trPr>
          <w:trHeight w:val="1189"/>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Interim Condensed Consolidated Balance Sheets</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March 31, 2021 (Unaudited) and December 31, 2020</w:t>
      </w:r>
    </w:p>
    <w:p>
      <w:pPr>
        <w:spacing w:after="0" w:line="9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420" w:type="dxa"/>
            <w:vAlign w:val="bottom"/>
          </w:tcPr>
          <w:p>
            <w:pPr>
              <w:jc w:val="right"/>
              <w:ind w:right="128"/>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6"/>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Fixed maturity securities available-for-sale, at estimated fair value (amortized cost: $72,078 and $70,529, respectively; allowance for</w:t>
            </w: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78,971</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82,495</w:t>
            </w: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losses of $8 and $2, respectively)</w:t>
            </w:r>
          </w:p>
        </w:tc>
        <w:tc>
          <w:tcPr>
            <w:tcW w:w="20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Equity securities, at estimated fair value</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 (net of allowance for credit losses of $91 and $94, respectively)</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15,808</w:t>
            </w: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Policy loans</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1,245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 partnerships and limited liability companies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2,810</w:t>
            </w: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Short-term investments, principally at estimated fair value</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3,242</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invested assets, principally at estimated fair value (net of allowance for credit losses of $13 and $13, respectively)</w:t>
            </w: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3,747</w:t>
            </w:r>
          </w:p>
        </w:tc>
        <w:tc>
          <w:tcPr>
            <w:tcW w:w="0" w:type="dxa"/>
            <w:vAlign w:val="bottom"/>
          </w:tcPr>
          <w:p>
            <w:pPr>
              <w:spacing w:after="0"/>
              <w:rPr>
                <w:sz w:val="1"/>
                <w:szCs w:val="1"/>
                <w:color w:val="auto"/>
              </w:rPr>
            </w:pPr>
          </w:p>
        </w:tc>
      </w:tr>
      <w:tr>
        <w:trPr>
          <w:trHeight w:val="179"/>
        </w:trPr>
        <w:tc>
          <w:tcPr>
            <w:tcW w:w="8000" w:type="dxa"/>
            <w:vAlign w:val="bottom"/>
          </w:tcPr>
          <w:p>
            <w:pPr>
              <w:ind w:left="180"/>
              <w:spacing w:after="0"/>
              <w:rPr>
                <w:sz w:val="20"/>
                <w:szCs w:val="20"/>
                <w:color w:val="auto"/>
              </w:rPr>
            </w:pPr>
            <w:r>
              <w:rPr>
                <w:rFonts w:ascii="Arial" w:cs="Arial" w:eastAsia="Arial" w:hAnsi="Arial"/>
                <w:sz w:val="14"/>
                <w:szCs w:val="14"/>
                <w:color w:val="auto"/>
              </w:rPr>
              <w:t>Total investments</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103,171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109,531</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4,108</w:t>
            </w: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Accrued investment income</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Premiums, reinsurance and other receivables (net of allowance for credit losses of $10 and $10, respectively)</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16,158</w:t>
            </w: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Deferred policy acquisition costs and value of business acquired</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5,148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4,911</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Separate account assets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112,224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111,969</w:t>
            </w: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241,937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247,869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0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Future policy benefits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42,426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44,448</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Policyholder account balances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55,152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54,508</w:t>
            </w: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Other policy-related balances</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3,411</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5,252</w:t>
            </w: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3,436</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income tax payable</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Deferred income tax liability</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5,011</w:t>
            </w:r>
          </w:p>
        </w:tc>
        <w:tc>
          <w:tcPr>
            <w:tcW w:w="0" w:type="dxa"/>
            <w:vAlign w:val="bottom"/>
          </w:tcPr>
          <w:p>
            <w:pPr>
              <w:spacing w:after="0"/>
              <w:rPr>
                <w:sz w:val="1"/>
                <w:szCs w:val="1"/>
                <w:color w:val="auto"/>
              </w:rPr>
            </w:pPr>
          </w:p>
        </w:tc>
      </w:t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Separate account liabilities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112,224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111,969</w:t>
            </w: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226,855</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229,781</w:t>
            </w:r>
          </w:p>
        </w:tc>
        <w:tc>
          <w:tcPr>
            <w:tcW w:w="0" w:type="dxa"/>
            <w:vAlign w:val="bottom"/>
          </w:tcPr>
          <w:p>
            <w:pPr>
              <w:spacing w:after="0"/>
              <w:rPr>
                <w:sz w:val="1"/>
                <w:szCs w:val="1"/>
                <w:color w:val="auto"/>
              </w:rPr>
            </w:pPr>
          </w:p>
        </w:tc>
      </w:tr>
      <w:tr>
        <w:trPr>
          <w:trHeight w:val="168"/>
        </w:trPr>
        <w:tc>
          <w:tcPr>
            <w:tcW w:w="8000" w:type="dxa"/>
            <w:vAlign w:val="bottom"/>
          </w:tcPr>
          <w:p>
            <w:pPr>
              <w:ind w:left="20"/>
              <w:spacing w:after="0"/>
              <w:rPr>
                <w:sz w:val="20"/>
                <w:szCs w:val="20"/>
                <w:color w:val="auto"/>
              </w:rPr>
            </w:pPr>
            <w:r>
              <w:rPr>
                <w:rFonts w:ascii="Arial" w:cs="Arial" w:eastAsia="Arial" w:hAnsi="Arial"/>
                <w:sz w:val="14"/>
                <w:szCs w:val="14"/>
                <w:b w:val="1"/>
                <w:bCs w:val="1"/>
                <w:color w:val="auto"/>
              </w:rPr>
              <w:t>Contingencies, Commitments and Guarantees (Note 10)</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Brighthouse Financial, Inc.’s stockholders’ equity:</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par value $0.01 per share; $1,403 aggregate liquidation preference</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8000" w:type="dxa"/>
            <w:vAlign w:val="bottom"/>
          </w:tcPr>
          <w:p>
            <w:pPr>
              <w:ind w:left="20"/>
              <w:spacing w:after="0" w:line="135" w:lineRule="exact"/>
              <w:rPr>
                <w:sz w:val="20"/>
                <w:szCs w:val="20"/>
                <w:color w:val="auto"/>
              </w:rPr>
            </w:pPr>
            <w:r>
              <w:rPr>
                <w:rFonts w:ascii="Arial" w:cs="Arial" w:eastAsia="Arial" w:hAnsi="Arial"/>
                <w:sz w:val="14"/>
                <w:szCs w:val="14"/>
                <w:color w:val="auto"/>
                <w:w w:val="94"/>
              </w:rPr>
              <w:t>Common stock, par value $0.01 per share; 1,000,000,000 shares authorized; 121,439,906 and 121,002,523 shares issued, respectively;</w:t>
            </w:r>
          </w:p>
        </w:tc>
        <w:tc>
          <w:tcPr>
            <w:tcW w:w="20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8000" w:type="dxa"/>
            <w:vAlign w:val="bottom"/>
          </w:tcPr>
          <w:p>
            <w:pPr>
              <w:ind w:left="180"/>
              <w:spacing w:after="0"/>
              <w:rPr>
                <w:sz w:val="20"/>
                <w:szCs w:val="20"/>
                <w:color w:val="auto"/>
              </w:rPr>
            </w:pPr>
            <w:r>
              <w:rPr>
                <w:rFonts w:ascii="Arial" w:cs="Arial" w:eastAsia="Arial" w:hAnsi="Arial"/>
                <w:sz w:val="14"/>
                <w:szCs w:val="14"/>
                <w:color w:val="auto"/>
              </w:rPr>
              <w:t>86,841,260 and 88,211,618 shares outstanding, respectively</w:t>
            </w:r>
          </w:p>
        </w:tc>
        <w:tc>
          <w:tcPr>
            <w:tcW w:w="2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13,878</w:t>
            </w: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Retained earnings (deficit)</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at cost; 34,598,646 and 32,790,905 shares, respectively</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5,716</w:t>
            </w: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Brighthouse Financial, Inc.’s stockholders’ equity</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18,023</w:t>
            </w:r>
          </w:p>
        </w:tc>
        <w:tc>
          <w:tcPr>
            <w:tcW w:w="0" w:type="dxa"/>
            <w:vAlign w:val="bottom"/>
          </w:tcPr>
          <w:p>
            <w:pPr>
              <w:spacing w:after="0"/>
              <w:rPr>
                <w:sz w:val="1"/>
                <w:szCs w:val="1"/>
                <w:color w:val="auto"/>
              </w:rPr>
            </w:pPr>
          </w:p>
        </w:tc>
      </w:t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3"/>
        </w:trPr>
        <w:tc>
          <w:tcPr>
            <w:tcW w:w="8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equity</w:t>
            </w: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15,082</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18,088</w:t>
            </w:r>
          </w:p>
        </w:tc>
        <w:tc>
          <w:tcPr>
            <w:tcW w:w="0" w:type="dxa"/>
            <w:vAlign w:val="bottom"/>
          </w:tcPr>
          <w:p>
            <w:pPr>
              <w:spacing w:after="0"/>
              <w:rPr>
                <w:sz w:val="1"/>
                <w:szCs w:val="1"/>
                <w:color w:val="auto"/>
              </w:rPr>
            </w:pPr>
          </w:p>
        </w:tc>
      </w:tr>
      <w:tr>
        <w:trPr>
          <w:trHeight w:val="186"/>
        </w:trPr>
        <w:tc>
          <w:tcPr>
            <w:tcW w:w="8000" w:type="dxa"/>
            <w:vAlign w:val="bottom"/>
          </w:tcPr>
          <w:p>
            <w:pPr>
              <w:ind w:left="180"/>
              <w:spacing w:after="0"/>
              <w:rPr>
                <w:sz w:val="20"/>
                <w:szCs w:val="20"/>
                <w:color w:val="auto"/>
              </w:rPr>
            </w:pPr>
            <w:r>
              <w:rPr>
                <w:rFonts w:ascii="Arial" w:cs="Arial" w:eastAsia="Arial" w:hAnsi="Arial"/>
                <w:sz w:val="14"/>
                <w:szCs w:val="14"/>
                <w:color w:val="auto"/>
              </w:rPr>
              <w:t>Total liabilities and equity</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241,937</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247,869</w:t>
            </w:r>
          </w:p>
        </w:tc>
        <w:tc>
          <w:tcPr>
            <w:tcW w:w="0" w:type="dxa"/>
            <w:vAlign w:val="bottom"/>
          </w:tcPr>
          <w:p>
            <w:pPr>
              <w:spacing w:after="0"/>
              <w:rPr>
                <w:sz w:val="1"/>
                <w:szCs w:val="1"/>
                <w:color w:val="auto"/>
              </w:rPr>
            </w:pPr>
          </w:p>
        </w:tc>
      </w:tr>
      <w:tr>
        <w:trPr>
          <w:trHeight w:val="21"/>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Interim Condensed Consolidated Statements of Operations and Comprehensive Income (Loss)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For the Three Months Ended March 31, 2021 and 2020 (Unaudited)</w:t>
      </w:r>
    </w:p>
    <w:p>
      <w:pPr>
        <w:spacing w:after="0" w:line="15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millions, except per share data)</w:t>
      </w:r>
    </w:p>
    <w:p>
      <w:pPr>
        <w:spacing w:after="0" w:line="197"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Three Months Ended</w:t>
      </w:r>
    </w:p>
    <w:p>
      <w:pPr>
        <w:jc w:val="center"/>
        <w:ind w:left="84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13335</wp:posOffset>
            </wp:positionV>
            <wp:extent cx="1757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Premiums</w:t>
            </w: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Universal life and investment-type product policy fees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Net investment income</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revenues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Net investment gains (losses)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derivative gains (losses)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(1,504)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42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Total revenues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Policyholder benefits and claims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credited to policyholder account balances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Amortization of deferred policy acquisition costs and value of business acquired</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expenses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42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Total expenses</w:t>
            </w: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before provision for income tax</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Provision for income tax expense (benefit)</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Net income (loss)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Net income (loss) attributable to Brighthouse Financial, Inc.</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Less: Preferred stock dividends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Comprehensive income (loss)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420" w:type="dxa"/>
            <w:vAlign w:val="bottom"/>
            <w:gridSpan w:val="2"/>
            <w:vMerge w:val="continue"/>
          </w:tcPr>
          <w:p>
            <w:pPr>
              <w:spacing w:after="0"/>
              <w:rPr>
                <w:sz w:val="16"/>
                <w:szCs w:val="16"/>
                <w:color w:val="auto"/>
              </w:rPr>
            </w:pP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0"/>
              </w:rPr>
              <w:t>(2,910)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420" w:type="dxa"/>
            <w:vAlign w:val="bottom"/>
            <w:gridSpan w:val="2"/>
          </w:tcPr>
          <w:p>
            <w:pPr>
              <w:ind w:left="160"/>
              <w:spacing w:after="0"/>
              <w:rPr>
                <w:sz w:val="20"/>
                <w:szCs w:val="20"/>
                <w:color w:val="auto"/>
              </w:rPr>
            </w:pPr>
            <w:r>
              <w:rPr>
                <w:rFonts w:ascii="Arial" w:cs="Arial" w:eastAsia="Arial" w:hAnsi="Arial"/>
                <w:sz w:val="16"/>
                <w:szCs w:val="16"/>
                <w:color w:val="auto"/>
              </w:rPr>
              <w:t>Comprehensive income (loss) attributable to Brighthouse Financial, Inc.</w:t>
            </w: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(2,912)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Earnings per common share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6"/>
                <w:szCs w:val="16"/>
                <w:color w:val="auto"/>
              </w:rPr>
              <w:t>Basic</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 w:name="page5"/>
    <w:bookmarkEnd w:id="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Interim Condensed Consolidated Statements of Equity</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 the Three Months Ended March 31, 2021 and 2020 (Unaudited)</w:t>
      </w:r>
    </w:p>
    <w:p>
      <w:pPr>
        <w:spacing w:after="0" w:line="15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7"/>
              </w:rPr>
              <w:t>Retained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7"/>
              </w:rPr>
              <w:t>Treasury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ind w:left="80"/>
              <w:spacing w:after="0"/>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Brighthouse</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9"/>
              </w:rPr>
              <w:t>Preferred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8"/>
              </w:rPr>
              <w:t>Common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0"/>
                <w:szCs w:val="10"/>
                <w:color w:val="auto"/>
              </w:rPr>
            </w:pPr>
          </w:p>
        </w:tc>
        <w:tc>
          <w:tcPr>
            <w:tcW w:w="114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88"/>
              </w:rPr>
              <w:t>Financial, Inc.’s</w:t>
            </w:r>
          </w:p>
        </w:tc>
        <w:tc>
          <w:tcPr>
            <w:tcW w:w="120" w:type="dxa"/>
            <w:vAlign w:val="bottom"/>
          </w:tcPr>
          <w:p>
            <w:pPr>
              <w:spacing w:after="0"/>
              <w:rPr>
                <w:sz w:val="10"/>
                <w:szCs w:val="10"/>
                <w:color w:val="auto"/>
              </w:rPr>
            </w:pPr>
          </w:p>
        </w:tc>
        <w:tc>
          <w:tcPr>
            <w:tcW w:w="1120" w:type="dxa"/>
            <w:vAlign w:val="bottom"/>
            <w:gridSpan w:val="4"/>
            <w:vMerge w:val="restart"/>
          </w:tcPr>
          <w:p>
            <w:pPr>
              <w:jc w:val="center"/>
              <w:ind w:right="240"/>
              <w:spacing w:after="0"/>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0"/>
                <w:szCs w:val="10"/>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w w:val="87"/>
              </w:rPr>
              <w:t>Paid-in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Earnings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Stock at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2"/>
              </w:rPr>
              <w:t>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4"/>
                <w:szCs w:val="14"/>
                <w:color w:val="auto"/>
              </w:rPr>
            </w:pPr>
          </w:p>
        </w:tc>
        <w:tc>
          <w:tcPr>
            <w:tcW w:w="11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December 31, 2020</w:t>
            </w: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13,878</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(1,038)</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5,716</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18,023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18,088</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40" w:type="dxa"/>
            <w:vAlign w:val="bottom"/>
          </w:tcPr>
          <w:p>
            <w:pPr>
              <w:spacing w:after="0" w:line="122" w:lineRule="exact"/>
              <w:rPr>
                <w:sz w:val="20"/>
                <w:szCs w:val="20"/>
                <w:color w:val="auto"/>
              </w:rPr>
            </w:pPr>
            <w:r>
              <w:rPr>
                <w:rFonts w:ascii="Arial" w:cs="Arial" w:eastAsia="Arial" w:hAnsi="Arial"/>
                <w:sz w:val="13"/>
                <w:szCs w:val="13"/>
                <w:color w:val="auto"/>
              </w:rPr>
              <w:t>Treasury stock acquired in connection with</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(68)</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ind w:left="160"/>
              <w:spacing w:after="0"/>
              <w:rPr>
                <w:sz w:val="20"/>
                <w:szCs w:val="20"/>
                <w:color w:val="auto"/>
              </w:rPr>
            </w:pPr>
            <w:r>
              <w:rPr>
                <w:rFonts w:ascii="Arial" w:cs="Arial" w:eastAsia="Arial" w:hAnsi="Arial"/>
                <w:sz w:val="13"/>
                <w:szCs w:val="13"/>
                <w:color w:val="auto"/>
              </w:rPr>
              <w:t>share repurchases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3"/>
                <w:szCs w:val="13"/>
                <w:color w:val="auto"/>
              </w:rPr>
              <w:t>Dividends on preferred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Change in noncontrolling interests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3"/>
                <w:szCs w:val="13"/>
                <w:color w:val="auto"/>
              </w:rPr>
              <w:t>Net income (loss)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Other comprehensive income (loss), net of</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(2,327)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(2,327)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(2,327)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income tax</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3"/>
                <w:szCs w:val="13"/>
                <w:color w:val="auto"/>
              </w:rPr>
              <w:t>Balance at March 31, 2021</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13,858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15,017</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15,082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90"/>
              </w:rPr>
              <w:t>Retained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90"/>
              </w:rPr>
              <w:t>Treasury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Brighthouse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89"/>
              </w:rPr>
              <w:t>Preferred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88"/>
              </w:rPr>
              <w:t>Common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8"/>
              </w:rPr>
              <w:t>Financial, Inc.’s</w:t>
            </w:r>
          </w:p>
        </w:tc>
        <w:tc>
          <w:tcPr>
            <w:tcW w:w="120" w:type="dxa"/>
            <w:vAlign w:val="bottom"/>
          </w:tcPr>
          <w:p>
            <w:pPr>
              <w:spacing w:after="0"/>
              <w:rPr>
                <w:sz w:val="10"/>
                <w:szCs w:val="10"/>
                <w:color w:val="auto"/>
              </w:rPr>
            </w:pPr>
          </w:p>
        </w:tc>
        <w:tc>
          <w:tcPr>
            <w:tcW w:w="1120" w:type="dxa"/>
            <w:vAlign w:val="bottom"/>
            <w:gridSpan w:val="4"/>
            <w:vMerge w:val="restart"/>
          </w:tcPr>
          <w:p>
            <w:pPr>
              <w:jc w:val="center"/>
              <w:ind w:right="240"/>
              <w:spacing w:after="0"/>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0"/>
                <w:szCs w:val="10"/>
                <w:color w:val="auto"/>
              </w:rPr>
            </w:pPr>
          </w:p>
        </w:tc>
        <w:tc>
          <w:tcPr>
            <w:tcW w:w="5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Paid-in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center"/>
              <w:ind w:right="180"/>
              <w:spacing w:after="0" w:line="122" w:lineRule="exact"/>
              <w:rPr>
                <w:sz w:val="20"/>
                <w:szCs w:val="20"/>
                <w:color w:val="auto"/>
              </w:rPr>
            </w:pPr>
            <w:r>
              <w:rPr>
                <w:rFonts w:ascii="Arial" w:cs="Arial" w:eastAsia="Arial" w:hAnsi="Arial"/>
                <w:sz w:val="13"/>
                <w:szCs w:val="13"/>
                <w:b w:val="1"/>
                <w:bCs w:val="1"/>
                <w:color w:val="auto"/>
                <w:w w:val="89"/>
              </w:rPr>
              <w:t>Earnings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Stock at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0"/>
                <w:szCs w:val="10"/>
                <w:color w:val="auto"/>
              </w:rPr>
            </w:pPr>
          </w:p>
        </w:tc>
        <w:tc>
          <w:tcPr>
            <w:tcW w:w="112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Equity</w:t>
            </w:r>
          </w:p>
        </w:tc>
        <w:tc>
          <w:tcPr>
            <w:tcW w:w="120" w:type="dxa"/>
            <w:vAlign w:val="bottom"/>
          </w:tcPr>
          <w:p>
            <w:pPr>
              <w:spacing w:after="0"/>
              <w:rPr>
                <w:sz w:val="14"/>
                <w:szCs w:val="14"/>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14"/>
                <w:szCs w:val="14"/>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2019</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12,908</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(562)</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3,240</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16,172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40" w:type="dxa"/>
            <w:vAlign w:val="bottom"/>
          </w:tcPr>
          <w:p>
            <w:pPr>
              <w:ind w:left="20"/>
              <w:spacing w:after="0" w:line="122" w:lineRule="exact"/>
              <w:rPr>
                <w:sz w:val="20"/>
                <w:szCs w:val="20"/>
                <w:color w:val="auto"/>
              </w:rPr>
            </w:pPr>
            <w:r>
              <w:rPr>
                <w:rFonts w:ascii="Arial" w:cs="Arial" w:eastAsia="Arial" w:hAnsi="Arial"/>
                <w:sz w:val="13"/>
                <w:szCs w:val="13"/>
                <w:color w:val="auto"/>
              </w:rPr>
              <w:t>Cumulative effect of change in accounting</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principle, net of income tax</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2020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12,908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16,161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40" w:type="dxa"/>
            <w:vAlign w:val="bottom"/>
          </w:tcPr>
          <w:p>
            <w:pPr>
              <w:ind w:left="20"/>
              <w:spacing w:after="0" w:line="122" w:lineRule="exact"/>
              <w:rPr>
                <w:sz w:val="20"/>
                <w:szCs w:val="20"/>
                <w:color w:val="auto"/>
              </w:rPr>
            </w:pPr>
            <w:r>
              <w:rPr>
                <w:rFonts w:ascii="Arial" w:cs="Arial" w:eastAsia="Arial" w:hAnsi="Arial"/>
                <w:sz w:val="13"/>
                <w:szCs w:val="13"/>
                <w:color w:val="auto"/>
              </w:rPr>
              <w:t>Treasury stock acquired in connection with</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(142)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ind w:left="180"/>
              <w:spacing w:after="0"/>
              <w:rPr>
                <w:sz w:val="20"/>
                <w:szCs w:val="20"/>
                <w:color w:val="auto"/>
              </w:rPr>
            </w:pPr>
            <w:r>
              <w:rPr>
                <w:rFonts w:ascii="Arial" w:cs="Arial" w:eastAsia="Arial" w:hAnsi="Arial"/>
                <w:sz w:val="13"/>
                <w:szCs w:val="13"/>
                <w:color w:val="auto"/>
              </w:rPr>
              <w:t>share repurchases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ind w:left="20"/>
              <w:spacing w:after="0"/>
              <w:rPr>
                <w:sz w:val="20"/>
                <w:szCs w:val="20"/>
                <w:color w:val="auto"/>
              </w:rPr>
            </w:pPr>
            <w:r>
              <w:rPr>
                <w:rFonts w:ascii="Arial" w:cs="Arial" w:eastAsia="Arial" w:hAnsi="Arial"/>
                <w:sz w:val="13"/>
                <w:szCs w:val="13"/>
                <w:color w:val="auto"/>
              </w:rPr>
              <w:t>Dividends on preferred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noncontrolling interests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4,957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4,957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Other comprehensive income (loss), net of</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40" w:type="dxa"/>
            <w:vAlign w:val="bottom"/>
          </w:tcPr>
          <w:p>
            <w:pPr>
              <w:ind w:left="20"/>
              <w:spacing w:after="0"/>
              <w:rPr>
                <w:sz w:val="20"/>
                <w:szCs w:val="20"/>
                <w:color w:val="auto"/>
              </w:rPr>
            </w:pPr>
            <w:r>
              <w:rPr>
                <w:rFonts w:ascii="Arial" w:cs="Arial" w:eastAsia="Arial" w:hAnsi="Arial"/>
                <w:sz w:val="13"/>
                <w:szCs w:val="13"/>
                <w:color w:val="auto"/>
              </w:rPr>
              <w:t>Balance at March 31, 2020</w:t>
            </w: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12,911</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20,374</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Interim Condensed Consolidated Statements of Cash Flows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For the Three Months Ended March 31, 2021 and 2020 (Unaudited)</w:t>
      </w:r>
    </w:p>
    <w:p>
      <w:pPr>
        <w:spacing w:after="0" w:line="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millions)</w:t>
      </w:r>
    </w:p>
    <w:p>
      <w:pPr>
        <w:spacing w:after="0" w:line="153"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22225</wp:posOffset>
            </wp:positionV>
            <wp:extent cx="18859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8"/>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maturities and repayments of:</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140"/>
              <w:spacing w:after="0"/>
              <w:rPr>
                <w:sz w:val="20"/>
                <w:szCs w:val="20"/>
                <w:color w:val="auto"/>
              </w:rPr>
            </w:pPr>
            <w:r>
              <w:rPr>
                <w:rFonts w:ascii="Arial" w:cs="Arial" w:eastAsia="Arial" w:hAnsi="Arial"/>
                <w:sz w:val="14"/>
                <w:szCs w:val="14"/>
                <w:color w:val="auto"/>
              </w:rPr>
              <w:t>Fixed maturity securities</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8240" w:type="dxa"/>
            <w:vAlign w:val="bottom"/>
          </w:tcPr>
          <w:p>
            <w:pPr>
              <w:ind w:left="140"/>
              <w:spacing w:after="0"/>
              <w:rPr>
                <w:sz w:val="20"/>
                <w:szCs w:val="20"/>
                <w:color w:val="auto"/>
              </w:rPr>
            </w:pPr>
            <w:r>
              <w:rPr>
                <w:rFonts w:ascii="Arial" w:cs="Arial" w:eastAsia="Arial" w:hAnsi="Arial"/>
                <w:sz w:val="14"/>
                <w:szCs w:val="14"/>
                <w:color w:val="auto"/>
              </w:rPr>
              <w:t>Mortgage loans</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Limited partnerships and limited liability companies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Purchases of:</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maturity securities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186"/>
        </w:trPr>
        <w:tc>
          <w:tcPr>
            <w:tcW w:w="8240" w:type="dxa"/>
            <w:vAlign w:val="bottom"/>
          </w:tcPr>
          <w:p>
            <w:pPr>
              <w:ind w:left="140"/>
              <w:spacing w:after="0"/>
              <w:rPr>
                <w:sz w:val="20"/>
                <w:szCs w:val="20"/>
                <w:color w:val="auto"/>
              </w:rPr>
            </w:pPr>
            <w:r>
              <w:rPr>
                <w:rFonts w:ascii="Arial" w:cs="Arial" w:eastAsia="Arial" w:hAnsi="Arial"/>
                <w:sz w:val="14"/>
                <w:szCs w:val="14"/>
                <w:color w:val="auto"/>
              </w:rPr>
              <w:t>Equity securities</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loans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6"/>
        </w:trPr>
        <w:tc>
          <w:tcPr>
            <w:tcW w:w="8240" w:type="dxa"/>
            <w:vAlign w:val="bottom"/>
          </w:tcPr>
          <w:p>
            <w:pPr>
              <w:ind w:left="140"/>
              <w:spacing w:after="0"/>
              <w:rPr>
                <w:sz w:val="20"/>
                <w:szCs w:val="20"/>
                <w:color w:val="auto"/>
              </w:rPr>
            </w:pPr>
            <w:r>
              <w:rPr>
                <w:rFonts w:ascii="Arial" w:cs="Arial" w:eastAsia="Arial" w:hAnsi="Arial"/>
                <w:sz w:val="14"/>
                <w:szCs w:val="14"/>
                <w:color w:val="auto"/>
              </w:rPr>
              <w:t>Limited partnerships and limited liability companies</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received in connection with freestanding derivatives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3,412</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Cash paid in connection with freestanding derivatives</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(1,581)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(1,807)</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policy loans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Net change in short-term investments</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1,569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other invested assets</w:t>
            </w:r>
          </w:p>
        </w:tc>
        <w:tc>
          <w:tcPr>
            <w:tcW w:w="9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9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(1,484)</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Policyholder account balances:</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0" w:type="dxa"/>
            <w:vAlign w:val="bottom"/>
          </w:tcPr>
          <w:p>
            <w:pPr>
              <w:spacing w:after="0"/>
              <w:rPr>
                <w:sz w:val="1"/>
                <w:szCs w:val="1"/>
                <w:color w:val="auto"/>
              </w:rPr>
            </w:pPr>
          </w:p>
        </w:tc>
      </w:tr>
      <w:tr>
        <w:trPr>
          <w:trHeight w:val="186"/>
        </w:trPr>
        <w:tc>
          <w:tcPr>
            <w:tcW w:w="8240" w:type="dxa"/>
            <w:vAlign w:val="bottom"/>
          </w:tcPr>
          <w:p>
            <w:pPr>
              <w:ind w:left="140"/>
              <w:spacing w:after="0"/>
              <w:rPr>
                <w:sz w:val="20"/>
                <w:szCs w:val="20"/>
                <w:color w:val="auto"/>
              </w:rPr>
            </w:pPr>
            <w:r>
              <w:rPr>
                <w:rFonts w:ascii="Arial" w:cs="Arial" w:eastAsia="Arial" w:hAnsi="Arial"/>
                <w:sz w:val="14"/>
                <w:szCs w:val="14"/>
                <w:color w:val="auto"/>
              </w:rPr>
              <w:t>Withdrawals</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payables for collateral under securities loaned and other transactions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6,597</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Dividends on preferred stock</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acquired in connection with share repurchases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Financing element on certain derivative instruments and other derivative related transactions, net</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9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7,441</w:t>
            </w:r>
          </w:p>
        </w:tc>
        <w:tc>
          <w:tcPr>
            <w:tcW w:w="0" w:type="dxa"/>
            <w:vAlign w:val="bottom"/>
          </w:tcPr>
          <w:p>
            <w:pPr>
              <w:spacing w:after="0"/>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cash, cash equivalents and restricted cash</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6,053</w:t>
            </w:r>
          </w:p>
        </w:tc>
        <w:tc>
          <w:tcPr>
            <w:tcW w:w="0" w:type="dxa"/>
            <w:vAlign w:val="bottom"/>
          </w:tcPr>
          <w:p>
            <w:pPr>
              <w:spacing w:after="0"/>
              <w:rPr>
                <w:sz w:val="1"/>
                <w:szCs w:val="1"/>
                <w:color w:val="auto"/>
              </w:rPr>
            </w:pPr>
          </w:p>
        </w:tc>
      </w:tr>
      <w:tr>
        <w:trPr>
          <w:trHeight w:val="18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211"/>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2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paid (received) for:</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40" w:type="dxa"/>
            <w:vAlign w:val="bottom"/>
          </w:tcPr>
          <w:p>
            <w:pPr>
              <w:ind w:left="140"/>
              <w:spacing w:after="0"/>
              <w:rPr>
                <w:sz w:val="20"/>
                <w:szCs w:val="20"/>
                <w:color w:val="auto"/>
              </w:rPr>
            </w:pPr>
            <w:r>
              <w:rPr>
                <w:rFonts w:ascii="Arial" w:cs="Arial" w:eastAsia="Arial" w:hAnsi="Arial"/>
                <w:sz w:val="14"/>
                <w:szCs w:val="14"/>
                <w:color w:val="auto"/>
              </w:rPr>
              <w:t>Interest</w:t>
            </w:r>
          </w:p>
        </w:tc>
        <w:tc>
          <w:tcPr>
            <w:tcW w:w="92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tax</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940"/>
        <w:spacing w:after="0" w:line="377"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spacing w:after="0" w:line="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“Brighthouse Financial” and the “Company” refer to Brighthouse Financial, Inc. and its subsidiaries. Brighthouse Financial, Inc. (“BHF”) is a holding company formed in 2016 to own the legal entities that historically operated a substantial portion of MetLife, Inc.’s former retail segment until becoming a separate, publicly-traded company in August 2017. Brighthouse Financial is one of the largest providers of annuity and life insurance products in the United States through multiple independent distribution channels and marketing arrangements with a diverse network of distribution partners. The Company is organized into three segments: Annuities; Life; and Run-off. In addition, the Company reports certain of its results of operations in Corporate &amp; Other.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7"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The accompanying interim condensed consolidated financial statements include the accounts of Brighthouse Financial, as well as partnerships and limited liability companies (“LLCs”) that the Company controls. Intercompany accounts and transactions have been eliminated.</w:t>
      </w:r>
    </w:p>
    <w:p>
      <w:pPr>
        <w:spacing w:after="0" w:line="38" w:lineRule="exact"/>
        <w:rPr>
          <w:sz w:val="20"/>
          <w:szCs w:val="20"/>
          <w:color w:val="auto"/>
        </w:rPr>
      </w:pPr>
    </w:p>
    <w:p>
      <w:pPr>
        <w:jc w:val="both"/>
        <w:ind w:left="180" w:firstLine="324"/>
        <w:spacing w:after="0" w:line="301" w:lineRule="auto"/>
        <w:rPr>
          <w:sz w:val="20"/>
          <w:szCs w:val="20"/>
          <w:color w:val="auto"/>
        </w:rPr>
      </w:pPr>
      <w:r>
        <w:rPr>
          <w:rFonts w:ascii="Arial" w:cs="Arial" w:eastAsia="Arial" w:hAnsi="Arial"/>
          <w:sz w:val="16"/>
          <w:szCs w:val="16"/>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11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Certain amounts in the prior year periods’ interim condensed consolidated financial statements and related footnotes thereto have been reclassified to conform with the current period presentation as may be discussed when applicable in the Notes to the Interim Condensed Consolidated Financial Statements.</w:t>
      </w:r>
    </w:p>
    <w:p>
      <w:pPr>
        <w:spacing w:after="0" w:line="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2020 consolidated balance sheet data was derived from audited consolidated financial statements included in Brighthouse Financial, Inc.’s Annual Report on Form 10-K for the year ended December 31, 2020 (the “2020 Annual Report”), which include all disclosures required by GAAP. Therefore, these interim condensed consolidated financial statements should be read in conjunction with the consolidated financial statements of the Company included in the 2020 Annual Report.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There were no ASUs adopted during the first quarter of 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New Accounting Pronouncements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August 2018, the FASB issued new guidance on long-duration contracts (ASU 2018-12, </w:t>
      </w:r>
      <w:r>
        <w:rPr>
          <w:rFonts w:ascii="Arial" w:cs="Arial" w:eastAsia="Arial" w:hAnsi="Arial"/>
          <w:sz w:val="17"/>
          <w:szCs w:val="17"/>
          <w:i w:val="1"/>
          <w:iCs w:val="1"/>
          <w:color w:val="auto"/>
        </w:rPr>
        <w:t>Financial Services-Insurance (Topic 944): Targeted</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to the Accounting for Long-Duration Contracts)</w:t>
      </w:r>
      <w:r>
        <w:rPr>
          <w:rFonts w:ascii="Arial" w:cs="Arial" w:eastAsia="Arial" w:hAnsi="Arial"/>
          <w:sz w:val="17"/>
          <w:szCs w:val="17"/>
          <w:color w:val="auto"/>
        </w:rPr>
        <w:t>. This new guidance is effective for fiscal years beginning after January 1, 2023.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to Topic 944 will result in significant changes to the accounting for long-duration insurance contracts. These changes (i) require all guarantees that qualify as market risk benefits to be measured at fair value, (ii) require more frequent updating of assumptions and modify existing discount rate requirements for certain insurance liabilities, (iii) modify the methods of amortization for deferred policy acquisition costs (“DAC”), and (iv) require new qualitative and quantitative disclosures around insurance contract asset and liability balances and the judgments, assumptions and methods used to measure those balances. The market risk benefit guidance is required to be applied on a retrospective basis, while the changes to guidance for insurance liabilities and DAC may be applied to existing carrying amounts on the effective date or on a retrospective basis.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continues to evaluate the new guidance and therefore is unable to estimate the impact on its financial statements. The most significant impact from the ASU is the requirement that all variable annuity guarantees will be considered market risk benefits and measured at fair value, whereas currently a significant amount of variable annuity guarantees are classified as insurance liabilities.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Life segment consists of insurance products and services, including term, universal, whole and variable life products designed to address policyholders’ needs for financial security and protected wealth transfer, which may be provided on a tax-advantaged basis.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7" w:lineRule="exact"/>
        <w:rPr>
          <w:sz w:val="20"/>
          <w:szCs w:val="20"/>
          <w:color w:val="auto"/>
        </w:rPr>
      </w:pPr>
    </w:p>
    <w:p>
      <w:pPr>
        <w:jc w:val="both"/>
        <w:ind w:left="180" w:firstLine="324"/>
        <w:spacing w:after="0" w:line="342" w:lineRule="auto"/>
        <w:rPr>
          <w:sz w:val="20"/>
          <w:szCs w:val="20"/>
          <w:color w:val="auto"/>
        </w:rPr>
      </w:pPr>
      <w:r>
        <w:rPr>
          <w:rFonts w:ascii="Arial" w:cs="Arial" w:eastAsia="Arial" w:hAnsi="Arial"/>
          <w:sz w:val="16"/>
          <w:szCs w:val="16"/>
          <w:color w:val="auto"/>
        </w:rPr>
        <w:t>The Run-off segment consists of products that are no longer actively sold and are separately managed, including structured settlements, pension risk transfer contracts, certain company-owned life insurance policies, certain funding agreements and universal life with secondary guarantees.</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Corporate &amp; Other contains the excess capital not allocated to the segments and interest expense related to the Company’s outstanding debt, as well as expenses associated with certain legal proceedings and income tax audit issues. Corporate &amp; Other also includes long-term care and workers’ compensation business reinsured through 100% quota share reinsurance agreements and term life insurance sold direct to consumers, which is no longer being offered for new sales.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Adjusted earnings is a financial measure used by management to evaluate performance, allocate resources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 Adjusted earnings should not be viewed as a substitute for net income (loss) available to BHF’s common shareholders and excludes net income (loss) attributable to noncontrolling interests and preferred stock dividends.</w:t>
      </w:r>
    </w:p>
    <w:p>
      <w:pPr>
        <w:spacing w:after="0" w:line="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Adjusted earnings, which may be positive or negative, focuses on the Company’s primary businesses principally by excluding the impact of market volatility, which could distort trends.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derivative gains (losses) except earned income and amortization of premium on derivatives that are hedges of investments or that are used to replicate certain investments, but do not qualify for hedge accounting treatment;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variable annuity guaranteed minimum income benefits (“GMIB”) fees (“GMIB Fees”).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DAC and value of business acquired (“VOBA”) related to: (i) net investment gains (losses), (ii) net derivative gains (losses), (iii) GMIB Fees and GMIB Costs and (iv) Market Value Adjustments.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impact of the adjustments mentioned above is calculated net of the statutory tax rate, which could differ from the Company’s effective tax rate.</w:t>
      </w:r>
    </w:p>
    <w:p>
      <w:pPr>
        <w:spacing w:after="0" w:line="14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by segment, as well as Corporate &amp; Other,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5"/>
              </w:rPr>
              <w:t>Three Months Ended March 31, 2021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Run-off</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1"/>
                <w:szCs w:val="11"/>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&amp;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2"/>
        </w:trPr>
        <w:tc>
          <w:tcPr>
            <w:tcW w:w="578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for:</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13"/>
        </w:trPr>
        <w:tc>
          <w:tcPr>
            <w:tcW w:w="5780" w:type="dxa"/>
            <w:vAlign w:val="bottom"/>
          </w:tcPr>
          <w:p>
            <w:pPr>
              <w:ind w:left="180"/>
              <w:spacing w:after="0"/>
              <w:rPr>
                <w:sz w:val="20"/>
                <w:szCs w:val="20"/>
                <w:color w:val="auto"/>
              </w:rPr>
            </w:pPr>
            <w:r>
              <w:rPr>
                <w:rFonts w:ascii="Arial" w:cs="Arial" w:eastAsia="Arial" w:hAnsi="Arial"/>
                <w:sz w:val="16"/>
                <w:szCs w:val="16"/>
                <w:color w:val="auto"/>
                <w:w w:val="96"/>
              </w:rPr>
              <w:t>Net income (loss) available to Brighthouse Financial, Inc.’s common shareholders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5"/>
              </w:rPr>
              <w:t>Three Months Ended March 31, 2020</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Run-off</w:t>
            </w:r>
          </w:p>
        </w:tc>
        <w:tc>
          <w:tcPr>
            <w:tcW w:w="14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1"/>
                <w:szCs w:val="11"/>
                <w:color w:val="auto"/>
              </w:rPr>
            </w:pPr>
          </w:p>
        </w:tc>
        <w:tc>
          <w:tcPr>
            <w:tcW w:w="78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&amp;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2"/>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578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for:</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6,902</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r>
        <w:trPr>
          <w:trHeight w:val="213"/>
        </w:trPr>
        <w:tc>
          <w:tcPr>
            <w:tcW w:w="5780" w:type="dxa"/>
            <w:vAlign w:val="bottom"/>
          </w:tcPr>
          <w:p>
            <w:pPr>
              <w:ind w:left="180"/>
              <w:spacing w:after="0"/>
              <w:rPr>
                <w:sz w:val="20"/>
                <w:szCs w:val="20"/>
                <w:color w:val="auto"/>
              </w:rPr>
            </w:pPr>
            <w:r>
              <w:rPr>
                <w:rFonts w:ascii="Arial" w:cs="Arial" w:eastAsia="Arial" w:hAnsi="Arial"/>
                <w:sz w:val="16"/>
                <w:szCs w:val="16"/>
                <w:color w:val="auto"/>
                <w:w w:val="96"/>
              </w:rPr>
              <w:t>Net income (loss) available to Brighthouse Financial, Inc.’s common shareholders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4,950</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by segment, as well as Corporate &amp; Other, were as follows:</w:t>
      </w:r>
    </w:p>
    <w:p>
      <w:pPr>
        <w:spacing w:after="0" w:line="247"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Three Months Ended</w:t>
      </w: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5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4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Life</w:t>
            </w:r>
          </w:p>
        </w:tc>
        <w:tc>
          <w:tcPr>
            <w:tcW w:w="260" w:type="dxa"/>
            <w:vAlign w:val="bottom"/>
          </w:tcPr>
          <w:p>
            <w:pPr>
              <w:spacing w:after="0"/>
              <w:rPr>
                <w:sz w:val="18"/>
                <w:szCs w:val="18"/>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Corporate &amp; Other</w:t>
            </w:r>
          </w:p>
        </w:tc>
        <w:tc>
          <w:tcPr>
            <w:tcW w:w="260" w:type="dxa"/>
            <w:vAlign w:val="bottom"/>
          </w:tcPr>
          <w:p>
            <w:pPr>
              <w:spacing w:after="0"/>
              <w:rPr>
                <w:sz w:val="18"/>
                <w:szCs w:val="18"/>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6,945</w:t>
            </w:r>
          </w:p>
        </w:tc>
        <w:tc>
          <w:tcPr>
            <w:tcW w:w="0" w:type="dxa"/>
            <w:vAlign w:val="bottom"/>
          </w:tcPr>
          <w:p>
            <w:pPr>
              <w:spacing w:after="0"/>
              <w:rPr>
                <w:sz w:val="1"/>
                <w:szCs w:val="1"/>
                <w:color w:val="auto"/>
              </w:rPr>
            </w:pPr>
          </w:p>
        </w:tc>
      </w:tr>
      <w:tr>
        <w:trPr>
          <w:trHeight w:val="213"/>
        </w:trPr>
        <w:tc>
          <w:tcPr>
            <w:tcW w:w="7540" w:type="dxa"/>
            <w:vAlign w:val="bottom"/>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8,985</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340"/>
              <w:spacing w:after="0"/>
              <w:rPr>
                <w:sz w:val="20"/>
                <w:szCs w:val="20"/>
                <w:color w:val="auto"/>
              </w:rPr>
            </w:pPr>
            <w:r>
              <w:rPr>
                <w:rFonts w:ascii="Arial" w:cs="Arial" w:eastAsia="Arial" w:hAnsi="Arial"/>
                <w:sz w:val="18"/>
                <w:szCs w:val="18"/>
                <w:color w:val="auto"/>
              </w:rPr>
              <w:t>Total assets by segment, as well as Corporate &amp; Other, were as follows at:</w:t>
            </w: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87"/>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4"/>
          </w:tcPr>
          <w:p>
            <w:pPr>
              <w:jc w:val="right"/>
              <w:ind w:right="14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170,955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172,233</w:t>
            </w:r>
          </w:p>
        </w:tc>
        <w:tc>
          <w:tcPr>
            <w:tcW w:w="0" w:type="dxa"/>
            <w:vAlign w:val="bottom"/>
          </w:tcPr>
          <w:p>
            <w:pPr>
              <w:spacing w:after="0"/>
              <w:rPr>
                <w:sz w:val="1"/>
                <w:szCs w:val="1"/>
                <w:color w:val="auto"/>
              </w:rPr>
            </w:pPr>
          </w:p>
        </w:tc>
      </w:tr>
      <w:tr>
        <w:trPr>
          <w:trHeight w:val="213"/>
        </w:trPr>
        <w:tc>
          <w:tcPr>
            <w:tcW w:w="7540" w:type="dxa"/>
            <w:vAlign w:val="bottom"/>
          </w:tcPr>
          <w:p>
            <w:pPr>
              <w:ind w:left="20"/>
              <w:spacing w:after="0"/>
              <w:rPr>
                <w:sz w:val="20"/>
                <w:szCs w:val="20"/>
                <w:color w:val="auto"/>
              </w:rPr>
            </w:pPr>
            <w:r>
              <w:rPr>
                <w:rFonts w:ascii="Arial" w:cs="Arial" w:eastAsia="Arial" w:hAnsi="Arial"/>
                <w:sz w:val="16"/>
                <w:szCs w:val="16"/>
                <w:color w:val="auto"/>
              </w:rPr>
              <w:t>Life</w:t>
            </w:r>
          </w:p>
        </w:tc>
        <w:tc>
          <w:tcPr>
            <w:tcW w:w="260" w:type="dxa"/>
            <w:vAlign w:val="bottom"/>
          </w:tcPr>
          <w:p>
            <w:pPr>
              <w:spacing w:after="0"/>
              <w:rPr>
                <w:sz w:val="18"/>
                <w:szCs w:val="18"/>
                <w:color w:val="auto"/>
              </w:rPr>
            </w:pPr>
          </w:p>
        </w:tc>
        <w:tc>
          <w:tcPr>
            <w:tcW w:w="1540" w:type="dxa"/>
            <w:vAlign w:val="bottom"/>
          </w:tcPr>
          <w:p>
            <w:pPr>
              <w:jc w:val="right"/>
              <w:ind w:right="1"/>
              <w:spacing w:after="0"/>
              <w:rPr>
                <w:sz w:val="20"/>
                <w:szCs w:val="20"/>
                <w:color w:val="auto"/>
              </w:rPr>
            </w:pPr>
            <w:r>
              <w:rPr>
                <w:rFonts w:ascii="Arial" w:cs="Arial" w:eastAsia="Arial" w:hAnsi="Arial"/>
                <w:sz w:val="16"/>
                <w:szCs w:val="16"/>
                <w:color w:val="auto"/>
              </w:rPr>
              <w:t>23,293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23,809</w:t>
            </w: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38,366</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&amp; Other</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12,419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13,461</w:t>
            </w:r>
          </w:p>
        </w:tc>
        <w:tc>
          <w:tcPr>
            <w:tcW w:w="0" w:type="dxa"/>
            <w:vAlign w:val="bottom"/>
          </w:tcPr>
          <w:p>
            <w:pPr>
              <w:spacing w:after="0"/>
              <w:rPr>
                <w:sz w:val="1"/>
                <w:szCs w:val="1"/>
                <w:color w:val="auto"/>
              </w:rPr>
            </w:pPr>
          </w:p>
        </w:tc>
      </w:tr>
      <w:tr>
        <w:trPr>
          <w:trHeight w:val="238"/>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241,937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247,869</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discussed in Notes 1 and 3 of the Notes to the Consolidated Financial Statements included in the 2020 Annual Report, the Company issues variable annuity contracts with guaranteed minimum benefits. Guaranteed minimum death benefits, the life contingent portion of guaranteed minimum withdrawal benefits (“GMWB”) and certain portions of GMIBs are accounted for as insurance liabilities in future policyholder benefits, while other guarantees are accounted for in whole or in part as embedded derivatives in policyholder account balances and are further discussed in Note 5.</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also has secondary guarantees on universal and variable life insurance contracts accounted for as insurance liabilities.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rPr>
              <w:t>March 31, 2021</w:t>
            </w: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8"/>
              </w:rPr>
              <w:t>December 31, 2020</w:t>
            </w: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r>
      <w:tr>
        <w:trPr>
          <w:trHeight w:val="134"/>
        </w:trPr>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right"/>
              <w:ind w:right="503"/>
              <w:spacing w:after="0" w:line="135" w:lineRule="exact"/>
              <w:rPr>
                <w:sz w:val="20"/>
                <w:szCs w:val="20"/>
                <w:color w:val="auto"/>
              </w:rPr>
            </w:pPr>
            <w:r>
              <w:rPr>
                <w:rFonts w:ascii="Arial" w:cs="Arial" w:eastAsia="Arial" w:hAnsi="Arial"/>
                <w:sz w:val="14"/>
                <w:szCs w:val="14"/>
                <w:b w:val="1"/>
                <w:bCs w:val="1"/>
                <w:color w:val="auto"/>
              </w:rPr>
              <w:t>In the</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rPr>
              <w:t>At</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right"/>
              <w:ind w:right="422"/>
              <w:spacing w:after="0" w:line="135" w:lineRule="exact"/>
              <w:rPr>
                <w:sz w:val="20"/>
                <w:szCs w:val="20"/>
                <w:color w:val="auto"/>
              </w:rPr>
            </w:pPr>
            <w:r>
              <w:rPr>
                <w:rFonts w:ascii="Arial" w:cs="Arial" w:eastAsia="Arial" w:hAnsi="Arial"/>
                <w:sz w:val="14"/>
                <w:szCs w:val="14"/>
                <w:b w:val="1"/>
                <w:bCs w:val="1"/>
                <w:color w:val="auto"/>
              </w:rPr>
              <w:t>In the</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At</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88"/>
        </w:trPr>
        <w:tc>
          <w:tcPr>
            <w:tcW w:w="4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w w:val="99"/>
              </w:rPr>
              <w:t>Event of Death</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9"/>
              </w:rPr>
              <w:t>Annuitization</w:t>
            </w: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7"/>
              </w:rPr>
              <w:t>Event of Death</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243"/>
              <w:spacing w:after="0"/>
              <w:rPr>
                <w:sz w:val="20"/>
                <w:szCs w:val="20"/>
                <w:color w:val="auto"/>
              </w:rPr>
            </w:pPr>
            <w:r>
              <w:rPr>
                <w:rFonts w:ascii="Arial" w:cs="Arial" w:eastAsia="Arial" w:hAnsi="Arial"/>
                <w:sz w:val="14"/>
                <w:szCs w:val="14"/>
                <w:b w:val="1"/>
                <w:bCs w:val="1"/>
                <w:color w:val="auto"/>
                <w:w w:val="94"/>
              </w:rPr>
              <w:t>Annuitization</w:t>
            </w:r>
          </w:p>
        </w:tc>
        <w:tc>
          <w:tcPr>
            <w:tcW w:w="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r>
      <w:tr>
        <w:trPr>
          <w:trHeight w:val="183"/>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5"/>
          </w:tcPr>
          <w:p>
            <w:pPr>
              <w:jc w:val="right"/>
              <w:ind w:right="862"/>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Annuity Contracts (1), (2)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Variable Annuity Guarantees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108,533</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60,162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108,424</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60,674</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Separate account value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103,398</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58,912</w:t>
            </w:r>
          </w:p>
        </w:tc>
        <w:tc>
          <w:tcPr>
            <w:tcW w:w="5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103,315</w:t>
            </w:r>
          </w:p>
        </w:tc>
        <w:tc>
          <w:tcPr>
            <w:tcW w:w="140" w:type="dxa"/>
            <w:vAlign w:val="bottom"/>
          </w:tcPr>
          <w:p>
            <w:pPr>
              <w:spacing w:after="0"/>
              <w:rPr>
                <w:sz w:val="18"/>
                <w:szCs w:val="18"/>
                <w:color w:val="auto"/>
              </w:rPr>
            </w:pPr>
          </w:p>
        </w:tc>
        <w:tc>
          <w:tcPr>
            <w:tcW w:w="700" w:type="dxa"/>
            <w:vAlign w:val="bottom"/>
          </w:tcPr>
          <w:p>
            <w:pPr>
              <w:jc w:val="right"/>
              <w:ind w:right="263"/>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59,419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amount at risk</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6,708</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5,647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6,438</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rPr>
              <w:t>(4)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r>
      <w:tr>
        <w:trPr>
          <w:trHeight w:val="210"/>
        </w:trPr>
        <w:tc>
          <w:tcPr>
            <w:tcW w:w="4400" w:type="dxa"/>
            <w:vAlign w:val="bottom"/>
          </w:tcPr>
          <w:p>
            <w:pPr>
              <w:ind w:left="20"/>
              <w:spacing w:after="0"/>
              <w:rPr>
                <w:sz w:val="20"/>
                <w:szCs w:val="20"/>
                <w:color w:val="auto"/>
              </w:rPr>
            </w:pPr>
            <w:r>
              <w:rPr>
                <w:rFonts w:ascii="Arial" w:cs="Arial" w:eastAsia="Arial" w:hAnsi="Arial"/>
                <w:sz w:val="16"/>
                <w:szCs w:val="16"/>
                <w:color w:val="auto"/>
              </w:rPr>
              <w:t>Average attained age of contract holders</w:t>
            </w:r>
          </w:p>
        </w:tc>
        <w:tc>
          <w:tcPr>
            <w:tcW w:w="160" w:type="dxa"/>
            <w:vAlign w:val="bottom"/>
          </w:tcPr>
          <w:p>
            <w:pPr>
              <w:spacing w:after="0"/>
              <w:rPr>
                <w:sz w:val="18"/>
                <w:szCs w:val="18"/>
                <w:color w:val="auto"/>
              </w:rPr>
            </w:pP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71 years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70 years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 years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Arial" w:cs="Arial" w:eastAsia="Arial" w:hAnsi="Arial"/>
                <w:sz w:val="16"/>
                <w:szCs w:val="16"/>
                <w:color w:val="auto"/>
              </w:rPr>
              <w:t>70 years</w:t>
            </w:r>
          </w:p>
        </w:tc>
      </w:tr>
      <w:tr>
        <w:trPr>
          <w:trHeight w:val="432"/>
        </w:trPr>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left="203"/>
              <w:spacing w:after="0"/>
              <w:rPr>
                <w:sz w:val="20"/>
                <w:szCs w:val="20"/>
                <w:color w:val="auto"/>
              </w:rPr>
            </w:pPr>
            <w:r>
              <w:rPr>
                <w:rFonts w:ascii="Arial" w:cs="Arial" w:eastAsia="Arial" w:hAnsi="Arial"/>
                <w:sz w:val="14"/>
                <w:szCs w:val="14"/>
                <w:b w:val="1"/>
                <w:bCs w:val="1"/>
                <w:color w:val="auto"/>
                <w:w w:val="91"/>
              </w:rPr>
              <w:t>December 31, 2020</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r>
        <w:trPr>
          <w:trHeight w:val="187"/>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7"/>
              </w:rPr>
              <w:t>Secondary Guarantees</w:t>
            </w: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183"/>
        </w:trPr>
        <w:tc>
          <w:tcPr>
            <w:tcW w:w="4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3"/>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Universal Life Contracts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Total account value (3)</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02"/>
              <w:spacing w:after="0"/>
              <w:rPr>
                <w:sz w:val="20"/>
                <w:szCs w:val="20"/>
                <w:color w:val="auto"/>
              </w:rPr>
            </w:pPr>
            <w:r>
              <w:rPr>
                <w:rFonts w:ascii="Arial" w:cs="Arial" w:eastAsia="Arial" w:hAnsi="Arial"/>
                <w:sz w:val="16"/>
                <w:szCs w:val="16"/>
                <w:color w:val="auto"/>
              </w:rPr>
              <w:t>5,691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5,772</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amount at risk (6)</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68,529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69,083</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Average attained age of policyholders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ind w:left="520"/>
              <w:spacing w:after="0"/>
              <w:rPr>
                <w:sz w:val="20"/>
                <w:szCs w:val="20"/>
                <w:color w:val="auto"/>
              </w:rPr>
            </w:pPr>
            <w:r>
              <w:rPr>
                <w:rFonts w:ascii="Arial" w:cs="Arial" w:eastAsia="Arial" w:hAnsi="Arial"/>
                <w:sz w:val="16"/>
                <w:szCs w:val="16"/>
                <w:color w:val="auto"/>
              </w:rPr>
              <w:t>67 years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67 years</w:t>
            </w:r>
          </w:p>
        </w:tc>
      </w:tr>
      <w:tr>
        <w:trPr>
          <w:trHeight w:val="260"/>
        </w:trPr>
        <w:tc>
          <w:tcPr>
            <w:tcW w:w="4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Variable Life Contracts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4,523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3,926</w:t>
            </w:r>
          </w:p>
        </w:tc>
      </w:tr>
      <w:tr>
        <w:trPr>
          <w:trHeight w:val="213"/>
        </w:trPr>
        <w:tc>
          <w:tcPr>
            <w:tcW w:w="4400" w:type="dxa"/>
            <w:vAlign w:val="bottom"/>
          </w:tcPr>
          <w:p>
            <w:pPr>
              <w:ind w:left="20"/>
              <w:spacing w:after="0"/>
              <w:rPr>
                <w:sz w:val="20"/>
                <w:szCs w:val="20"/>
                <w:color w:val="auto"/>
              </w:rPr>
            </w:pPr>
            <w:r>
              <w:rPr>
                <w:rFonts w:ascii="Arial" w:cs="Arial" w:eastAsia="Arial" w:hAnsi="Arial"/>
                <w:sz w:val="16"/>
                <w:szCs w:val="16"/>
                <w:color w:val="auto"/>
              </w:rPr>
              <w:t>Net amount at risk (6)</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02"/>
              <w:spacing w:after="0"/>
              <w:rPr>
                <w:sz w:val="20"/>
                <w:szCs w:val="20"/>
                <w:color w:val="auto"/>
              </w:rPr>
            </w:pPr>
            <w:r>
              <w:rPr>
                <w:rFonts w:ascii="Arial" w:cs="Arial" w:eastAsia="Arial" w:hAnsi="Arial"/>
                <w:sz w:val="16"/>
                <w:szCs w:val="16"/>
                <w:color w:val="auto"/>
              </w:rPr>
              <w:t>19,743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6"/>
                <w:szCs w:val="16"/>
                <w:color w:val="auto"/>
              </w:rPr>
              <w:t>19,909</w:t>
            </w:r>
          </w:p>
        </w:tc>
      </w:tr>
      <w:tr>
        <w:trPr>
          <w:trHeight w:val="21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attained age of policyholders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51 years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51 years</w:t>
            </w:r>
          </w:p>
        </w:tc>
      </w:tr>
      <w:tr>
        <w:trPr>
          <w:trHeight w:val="182"/>
        </w:trPr>
        <w:tc>
          <w:tcPr>
            <w:tcW w:w="4400" w:type="dxa"/>
            <w:vAlign w:val="bottom"/>
          </w:tcPr>
          <w:p>
            <w:pPr>
              <w:spacing w:after="0"/>
              <w:rPr>
                <w:sz w:val="20"/>
                <w:szCs w:val="20"/>
                <w:color w:val="auto"/>
              </w:rPr>
            </w:pPr>
            <w:r>
              <w:rPr>
                <w:rFonts w:ascii="Arial" w:cs="Arial" w:eastAsia="Arial" w:hAnsi="Arial"/>
                <w:sz w:val="14"/>
                <w:szCs w:val="14"/>
                <w:color w:val="auto"/>
              </w:rPr>
              <w:t>_______________</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r>
    </w:tbl>
    <w:p>
      <w:pPr>
        <w:spacing w:after="0" w:line="73" w:lineRule="exact"/>
        <w:rPr>
          <w:sz w:val="20"/>
          <w:szCs w:val="20"/>
          <w:color w:val="auto"/>
        </w:rPr>
      </w:pPr>
    </w:p>
    <w:p>
      <w:pPr>
        <w:ind w:left="340" w:hanging="332"/>
        <w:spacing w:after="0" w:line="277"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62" w:lineRule="exact"/>
        <w:rPr>
          <w:rFonts w:ascii="Arial" w:cs="Arial" w:eastAsia="Arial" w:hAnsi="Arial"/>
          <w:sz w:val="18"/>
          <w:szCs w:val="18"/>
          <w:color w:val="auto"/>
        </w:rPr>
      </w:pPr>
    </w:p>
    <w:p>
      <w:pPr>
        <w:jc w:val="both"/>
        <w:ind w:left="340" w:hanging="332"/>
        <w:spacing w:after="0" w:line="259"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of the Notes to the Consolidated Financial Statements included in the 2020 Annual Report for a discussion of guaranteed minimum benefits which have been reinsured.</w:t>
      </w:r>
    </w:p>
    <w:p>
      <w:pPr>
        <w:spacing w:after="0" w:line="78"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the contract holder’s investments in the general account and separate account, if applicable.</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200" w:lineRule="exact"/>
        <w:rPr>
          <w:sz w:val="20"/>
          <w:szCs w:val="20"/>
          <w:color w:val="auto"/>
        </w:rPr>
      </w:pPr>
    </w:p>
    <w:p>
      <w:pPr>
        <w:spacing w:after="0" w:line="380" w:lineRule="exact"/>
        <w:rPr>
          <w:sz w:val="20"/>
          <w:szCs w:val="20"/>
          <w:color w:val="auto"/>
        </w:rPr>
      </w:pPr>
    </w:p>
    <w:p>
      <w:pPr>
        <w:jc w:val="both"/>
        <w:ind w:left="340" w:hanging="332"/>
        <w:spacing w:after="0" w:line="301" w:lineRule="auto"/>
        <w:tabs>
          <w:tab w:leader="none" w:pos="334" w:val="left"/>
        </w:tabs>
        <w:numPr>
          <w:ilvl w:val="0"/>
          <w:numId w:val="6"/>
        </w:numPr>
        <w:rPr>
          <w:rFonts w:ascii="Arial" w:cs="Arial" w:eastAsia="Arial" w:hAnsi="Arial"/>
          <w:sz w:val="16"/>
          <w:szCs w:val="16"/>
          <w:color w:val="auto"/>
        </w:rPr>
      </w:pPr>
      <w:r>
        <w:rPr>
          <w:rFonts w:ascii="Arial" w:cs="Arial" w:eastAsia="Arial" w:hAnsi="Arial"/>
          <w:sz w:val="16"/>
          <w:szCs w:val="16"/>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49" w:lineRule="exact"/>
        <w:rPr>
          <w:rFonts w:ascii="Arial" w:cs="Arial" w:eastAsia="Arial" w:hAnsi="Arial"/>
          <w:sz w:val="16"/>
          <w:szCs w:val="16"/>
          <w:color w:val="auto"/>
        </w:rPr>
      </w:pPr>
    </w:p>
    <w:p>
      <w:pPr>
        <w:ind w:left="340" w:hanging="332"/>
        <w:spacing w:after="0" w:line="277" w:lineRule="auto"/>
        <w:tabs>
          <w:tab w:leader="none" w:pos="334"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See Note 1 of the Notes to the Consolidated Financial Statements included in the 2020 Annual Report for a description of the Company’s accounting policies for investments and Note 6 for information about the fair value hierarchy for investments and the related valuation methodologies.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by Sector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Fixed maturity securities by sector were as follows at: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720"/>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580"/>
              <w:spacing w:after="0"/>
              <w:rPr>
                <w:sz w:val="20"/>
                <w:szCs w:val="20"/>
                <w:color w:val="auto"/>
              </w:rPr>
            </w:pPr>
            <w:r>
              <w:rPr>
                <w:rFonts w:ascii="Arial" w:cs="Arial" w:eastAsia="Arial" w:hAnsi="Arial"/>
                <w:sz w:val="13"/>
                <w:szCs w:val="13"/>
                <w:b w:val="1"/>
                <w:bCs w:val="1"/>
                <w:color w:val="auto"/>
                <w:w w:val="99"/>
              </w:rPr>
              <w:t>December 31, 2020</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5"/>
          </w:tcPr>
          <w:p>
            <w:pPr>
              <w:ind w:left="120"/>
              <w:spacing w:after="0"/>
              <w:rPr>
                <w:sz w:val="20"/>
                <w:szCs w:val="20"/>
                <w:color w:val="auto"/>
              </w:rPr>
            </w:pPr>
            <w:r>
              <w:rPr>
                <w:rFonts w:ascii="Arial" w:cs="Arial" w:eastAsia="Arial" w:hAnsi="Arial"/>
                <w:sz w:val="13"/>
                <w:szCs w:val="13"/>
                <w:b w:val="1"/>
                <w:bCs w:val="1"/>
                <w:color w:val="auto"/>
              </w:rPr>
              <w:t>Gross Unrealized</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5"/>
          </w:tcPr>
          <w:p>
            <w:pPr>
              <w:ind w:left="120"/>
              <w:spacing w:after="0"/>
              <w:rPr>
                <w:sz w:val="20"/>
                <w:szCs w:val="20"/>
                <w:color w:val="auto"/>
              </w:rPr>
            </w:pPr>
            <w:r>
              <w:rPr>
                <w:rFonts w:ascii="Arial" w:cs="Arial" w:eastAsia="Arial" w:hAnsi="Arial"/>
                <w:sz w:val="13"/>
                <w:szCs w:val="13"/>
                <w:b w:val="1"/>
                <w:bCs w:val="1"/>
                <w:color w:val="auto"/>
              </w:rPr>
              <w:t>Gross Unrealized</w:t>
            </w:r>
          </w:p>
        </w:tc>
        <w:tc>
          <w:tcPr>
            <w:tcW w:w="120" w:type="dxa"/>
            <w:vAlign w:val="bottom"/>
          </w:tcPr>
          <w:p>
            <w:pPr>
              <w:spacing w:after="0"/>
              <w:rPr>
                <w:sz w:val="16"/>
                <w:szCs w:val="16"/>
                <w:color w:val="auto"/>
              </w:rPr>
            </w:pPr>
          </w:p>
        </w:tc>
        <w:tc>
          <w:tcPr>
            <w:tcW w:w="700" w:type="dxa"/>
            <w:vAlign w:val="bottom"/>
          </w:tcPr>
          <w:p>
            <w:pPr>
              <w:jc w:val="center"/>
              <w:ind w:right="51"/>
              <w:spacing w:after="0"/>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Amortized</w:t>
            </w:r>
          </w:p>
        </w:tc>
        <w:tc>
          <w:tcPr>
            <w:tcW w:w="1000" w:type="dxa"/>
            <w:vAlign w:val="bottom"/>
            <w:gridSpan w:val="3"/>
            <w:vMerge w:val="restart"/>
          </w:tcPr>
          <w:p>
            <w:pPr>
              <w:ind w:left="80"/>
              <w:spacing w:after="0" w:line="95" w:lineRule="exact"/>
              <w:rPr>
                <w:sz w:val="20"/>
                <w:szCs w:val="20"/>
                <w:color w:val="auto"/>
              </w:rPr>
            </w:pPr>
            <w:r>
              <w:rPr>
                <w:rFonts w:ascii="Arial" w:cs="Arial" w:eastAsia="Arial" w:hAnsi="Arial"/>
                <w:sz w:val="10"/>
                <w:szCs w:val="10"/>
                <w:b w:val="1"/>
                <w:bCs w:val="1"/>
                <w:color w:val="auto"/>
              </w:rPr>
              <w:t>Allowance for</w:t>
            </w: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Fair</w:t>
            </w:r>
          </w:p>
        </w:tc>
        <w:tc>
          <w:tcPr>
            <w:tcW w:w="120" w:type="dxa"/>
            <w:vAlign w:val="bottom"/>
          </w:tcPr>
          <w:p>
            <w:pPr>
              <w:spacing w:after="0"/>
              <w:rPr>
                <w:sz w:val="4"/>
                <w:szCs w:val="4"/>
                <w:color w:val="auto"/>
              </w:rPr>
            </w:pPr>
          </w:p>
        </w:tc>
        <w:tc>
          <w:tcPr>
            <w:tcW w:w="90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Amortized</w:t>
            </w:r>
          </w:p>
        </w:tc>
        <w:tc>
          <w:tcPr>
            <w:tcW w:w="1000" w:type="dxa"/>
            <w:vAlign w:val="bottom"/>
            <w:gridSpan w:val="3"/>
            <w:vMerge w:val="restart"/>
          </w:tcPr>
          <w:p>
            <w:pPr>
              <w:ind w:left="80"/>
              <w:spacing w:after="0" w:line="95" w:lineRule="exact"/>
              <w:rPr>
                <w:sz w:val="20"/>
                <w:szCs w:val="20"/>
                <w:color w:val="auto"/>
              </w:rPr>
            </w:pPr>
            <w:r>
              <w:rPr>
                <w:rFonts w:ascii="Arial" w:cs="Arial" w:eastAsia="Arial" w:hAnsi="Arial"/>
                <w:sz w:val="10"/>
                <w:szCs w:val="10"/>
                <w:b w:val="1"/>
                <w:bCs w:val="1"/>
                <w:color w:val="auto"/>
              </w:rPr>
              <w:t>Allowance for</w:t>
            </w: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restart"/>
          </w:tcPr>
          <w:p>
            <w:pPr>
              <w:jc w:val="center"/>
              <w:ind w:right="31"/>
              <w:spacing w:after="0" w:line="95" w:lineRule="exact"/>
              <w:rPr>
                <w:sz w:val="20"/>
                <w:szCs w:val="20"/>
                <w:color w:val="auto"/>
              </w:rPr>
            </w:pPr>
            <w:r>
              <w:rPr>
                <w:rFonts w:ascii="Arial" w:cs="Arial" w:eastAsia="Arial" w:hAnsi="Arial"/>
                <w:sz w:val="10"/>
                <w:szCs w:val="10"/>
                <w:b w:val="1"/>
                <w:bCs w:val="1"/>
                <w:color w:val="auto"/>
              </w:rPr>
              <w:t>Fair</w:t>
            </w: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line="20" w:lineRule="exact"/>
              <w:rPr>
                <w:sz w:val="1"/>
                <w:szCs w:val="1"/>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Losses</w:t>
            </w: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line="20" w:lineRule="exact"/>
              <w:rPr>
                <w:sz w:val="1"/>
                <w:szCs w:val="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Losses</w:t>
            </w:r>
          </w:p>
        </w:tc>
        <w:tc>
          <w:tcPr>
            <w:tcW w:w="1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Credit Losses</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2"/>
              </w:rPr>
              <w:t>Cost</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Credit Losses</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ind w:left="460"/>
              <w:spacing w:after="0"/>
              <w:rPr>
                <w:sz w:val="20"/>
                <w:szCs w:val="20"/>
                <w:color w:val="auto"/>
              </w:rPr>
            </w:pPr>
            <w:r>
              <w:rPr>
                <w:rFonts w:ascii="Arial" w:cs="Arial" w:eastAsia="Arial" w:hAnsi="Arial"/>
                <w:sz w:val="13"/>
                <w:szCs w:val="13"/>
                <w:b w:val="1"/>
                <w:bCs w:val="1"/>
                <w:color w:val="auto"/>
              </w:rPr>
              <w:t>(In millions)</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33,299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37,906</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10,415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11,511</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8,638</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7,653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8,294</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6,790</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3,890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3,673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192"/>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0" w:type="dxa"/>
            <w:vAlign w:val="bottom"/>
          </w:tcPr>
          <w:p>
            <w:pPr>
              <w:spacing w:after="0"/>
              <w:rPr>
                <w:sz w:val="1"/>
                <w:szCs w:val="1"/>
                <w:color w:val="auto"/>
              </w:rPr>
            </w:pPr>
          </w:p>
        </w:tc>
      </w:tr>
      <w:tr>
        <w:trPr>
          <w:trHeight w:val="186"/>
        </w:trPr>
        <w:tc>
          <w:tcPr>
            <w:tcW w:w="230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211"/>
        </w:trPr>
        <w:tc>
          <w:tcPr>
            <w:tcW w:w="2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82,495</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Company held non-income producing fixed maturity securities with an estimated fair value of $2 million and $5 million at March 31, 2021 and December 31, 2020,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amortized cost and estimated fair value of fixed maturity securities, by contractual maturity date, were as follows at March 31,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Due in One</w:t>
            </w:r>
          </w:p>
        </w:tc>
        <w:tc>
          <w:tcPr>
            <w:tcW w:w="240" w:type="dxa"/>
            <w:vAlign w:val="bottom"/>
          </w:tcPr>
          <w:p>
            <w:pPr>
              <w:spacing w:after="0"/>
              <w:rPr>
                <w:sz w:val="14"/>
                <w:szCs w:val="14"/>
                <w:color w:val="auto"/>
              </w:rPr>
            </w:pPr>
          </w:p>
        </w:tc>
        <w:tc>
          <w:tcPr>
            <w:tcW w:w="1180" w:type="dxa"/>
            <w:vAlign w:val="bottom"/>
          </w:tcPr>
          <w:p>
            <w:pPr>
              <w:jc w:val="center"/>
              <w:ind w:right="104"/>
              <w:spacing w:after="0"/>
              <w:rPr>
                <w:sz w:val="20"/>
                <w:szCs w:val="20"/>
                <w:color w:val="auto"/>
              </w:rPr>
            </w:pPr>
            <w:r>
              <w:rPr>
                <w:rFonts w:ascii="Arial" w:cs="Arial" w:eastAsia="Arial" w:hAnsi="Arial"/>
                <w:sz w:val="14"/>
                <w:szCs w:val="14"/>
                <w:b w:val="1"/>
                <w:bCs w:val="1"/>
                <w:color w:val="auto"/>
                <w:w w:val="97"/>
              </w:rPr>
              <w:t>Due After One</w:t>
            </w:r>
          </w:p>
        </w:tc>
        <w:tc>
          <w:tcPr>
            <w:tcW w:w="240" w:type="dxa"/>
            <w:vAlign w:val="bottom"/>
          </w:tcPr>
          <w:p>
            <w:pPr>
              <w:spacing w:after="0"/>
              <w:rPr>
                <w:sz w:val="14"/>
                <w:szCs w:val="14"/>
                <w:color w:val="auto"/>
              </w:rPr>
            </w:pPr>
          </w:p>
        </w:tc>
        <w:tc>
          <w:tcPr>
            <w:tcW w:w="1180" w:type="dxa"/>
            <w:vAlign w:val="bottom"/>
          </w:tcPr>
          <w:p>
            <w:pPr>
              <w:jc w:val="right"/>
              <w:ind w:right="144"/>
              <w:spacing w:after="0"/>
              <w:rPr>
                <w:sz w:val="20"/>
                <w:szCs w:val="20"/>
                <w:color w:val="auto"/>
              </w:rPr>
            </w:pPr>
            <w:r>
              <w:rPr>
                <w:rFonts w:ascii="Arial" w:cs="Arial" w:eastAsia="Arial" w:hAnsi="Arial"/>
                <w:sz w:val="14"/>
                <w:szCs w:val="14"/>
                <w:b w:val="1"/>
                <w:bCs w:val="1"/>
                <w:color w:val="auto"/>
                <w:w w:val="98"/>
              </w:rPr>
              <w:t>Due After Five</w:t>
            </w:r>
          </w:p>
        </w:tc>
        <w:tc>
          <w:tcPr>
            <w:tcW w:w="240" w:type="dxa"/>
            <w:vAlign w:val="bottom"/>
          </w:tcPr>
          <w:p>
            <w:pPr>
              <w:spacing w:after="0"/>
              <w:rPr>
                <w:sz w:val="14"/>
                <w:szCs w:val="14"/>
                <w:color w:val="auto"/>
              </w:rPr>
            </w:pPr>
          </w:p>
        </w:tc>
        <w:tc>
          <w:tcPr>
            <w:tcW w:w="118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rPr>
              <w:t>Due After Ten</w:t>
            </w:r>
          </w:p>
        </w:tc>
        <w:tc>
          <w:tcPr>
            <w:tcW w:w="260" w:type="dxa"/>
            <w:vAlign w:val="bottom"/>
          </w:tcPr>
          <w:p>
            <w:pPr>
              <w:spacing w:after="0"/>
              <w:rPr>
                <w:sz w:val="14"/>
                <w:szCs w:val="14"/>
                <w:color w:val="auto"/>
              </w:rPr>
            </w:pPr>
          </w:p>
        </w:tc>
        <w:tc>
          <w:tcPr>
            <w:tcW w:w="118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Structured</w:t>
            </w:r>
          </w:p>
        </w:tc>
        <w:tc>
          <w:tcPr>
            <w:tcW w:w="300" w:type="dxa"/>
            <w:vAlign w:val="bottom"/>
          </w:tcPr>
          <w:p>
            <w:pPr>
              <w:spacing w:after="0"/>
              <w:rPr>
                <w:sz w:val="14"/>
                <w:szCs w:val="14"/>
                <w:color w:val="auto"/>
              </w:rPr>
            </w:pPr>
          </w:p>
        </w:tc>
        <w:tc>
          <w:tcPr>
            <w:tcW w:w="1120" w:type="dxa"/>
            <w:vAlign w:val="bottom"/>
          </w:tcPr>
          <w:p>
            <w:pPr>
              <w:jc w:val="center"/>
              <w:ind w:right="144"/>
              <w:spacing w:after="0"/>
              <w:rPr>
                <w:sz w:val="20"/>
                <w:szCs w:val="20"/>
                <w:color w:val="auto"/>
              </w:rPr>
            </w:pPr>
            <w:r>
              <w:rPr>
                <w:rFonts w:ascii="Arial" w:cs="Arial" w:eastAsia="Arial" w:hAnsi="Arial"/>
                <w:sz w:val="14"/>
                <w:szCs w:val="14"/>
                <w:b w:val="1"/>
                <w:bCs w:val="1"/>
                <w:color w:val="auto"/>
                <w:w w:val="94"/>
              </w:rPr>
              <w:t>Total Fixed</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04"/>
              <w:spacing w:after="0" w:line="135" w:lineRule="exact"/>
              <w:rPr>
                <w:sz w:val="20"/>
                <w:szCs w:val="20"/>
                <w:color w:val="auto"/>
              </w:rPr>
            </w:pPr>
            <w:r>
              <w:rPr>
                <w:rFonts w:ascii="Arial" w:cs="Arial" w:eastAsia="Arial" w:hAnsi="Arial"/>
                <w:sz w:val="14"/>
                <w:szCs w:val="14"/>
                <w:b w:val="1"/>
                <w:bCs w:val="1"/>
                <w:color w:val="auto"/>
                <w:w w:val="96"/>
              </w:rPr>
              <w:t>Year Through</w:t>
            </w:r>
          </w:p>
        </w:tc>
        <w:tc>
          <w:tcPr>
            <w:tcW w:w="1420" w:type="dxa"/>
            <w:vAlign w:val="bottom"/>
            <w:gridSpan w:val="2"/>
          </w:tcPr>
          <w:p>
            <w:pPr>
              <w:jc w:val="right"/>
              <w:ind w:right="4"/>
              <w:spacing w:after="0" w:line="135" w:lineRule="exact"/>
              <w:rPr>
                <w:sz w:val="20"/>
                <w:szCs w:val="20"/>
                <w:color w:val="auto"/>
              </w:rPr>
            </w:pPr>
            <w:r>
              <w:rPr>
                <w:rFonts w:ascii="Arial" w:cs="Arial" w:eastAsia="Arial" w:hAnsi="Arial"/>
                <w:sz w:val="14"/>
                <w:szCs w:val="14"/>
                <w:b w:val="1"/>
                <w:bCs w:val="1"/>
                <w:color w:val="auto"/>
              </w:rPr>
              <w:t>Years Through Ten</w:t>
            </w:r>
          </w:p>
        </w:tc>
        <w:tc>
          <w:tcPr>
            <w:tcW w:w="2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jc w:val="center"/>
              <w:ind w:right="124"/>
              <w:spacing w:after="0" w:line="135"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88"/>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w w:val="97"/>
              </w:rPr>
              <w:t>Year or Less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Five Years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Years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w w:val="97"/>
              </w:rPr>
              <w:t>Securities (1)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83"/>
        </w:trPr>
        <w:tc>
          <w:tcPr>
            <w:tcW w:w="2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3"/>
          </w:tcPr>
          <w:p>
            <w:pPr>
              <w:jc w:val="right"/>
              <w:ind w:right="904"/>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Amortized cost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1,457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7,437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15,408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31,120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16,656</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72,078</w:t>
            </w:r>
          </w:p>
        </w:tc>
        <w:tc>
          <w:tcPr>
            <w:tcW w:w="0" w:type="dxa"/>
            <w:vAlign w:val="bottom"/>
          </w:tcPr>
          <w:p>
            <w:pPr>
              <w:spacing w:after="0"/>
              <w:rPr>
                <w:sz w:val="1"/>
                <w:szCs w:val="1"/>
                <w:color w:val="auto"/>
              </w:rPr>
            </w:pPr>
          </w:p>
        </w:tc>
      </w:tr>
      <w:tr>
        <w:trPr>
          <w:trHeight w:val="197"/>
        </w:trPr>
        <w:tc>
          <w:tcPr>
            <w:tcW w:w="2780" w:type="dxa"/>
            <w:vAlign w:val="bottom"/>
          </w:tcPr>
          <w:p>
            <w:pPr>
              <w:ind w:left="20"/>
              <w:spacing w:after="0"/>
              <w:rPr>
                <w:sz w:val="20"/>
                <w:szCs w:val="20"/>
                <w:color w:val="auto"/>
              </w:rPr>
            </w:pPr>
            <w:r>
              <w:rPr>
                <w:rFonts w:ascii="Arial" w:cs="Arial" w:eastAsia="Arial" w:hAnsi="Arial"/>
                <w:sz w:val="16"/>
                <w:szCs w:val="16"/>
                <w:color w:val="auto"/>
              </w:rPr>
              <w:t>Estimated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1,478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7,902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16,453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35,595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4"/>
              <w:spacing w:after="0"/>
              <w:rPr>
                <w:sz w:val="20"/>
                <w:szCs w:val="20"/>
                <w:color w:val="auto"/>
              </w:rPr>
            </w:pPr>
            <w:r>
              <w:rPr>
                <w:rFonts w:ascii="Arial" w:cs="Arial" w:eastAsia="Arial" w:hAnsi="Arial"/>
                <w:sz w:val="16"/>
                <w:szCs w:val="16"/>
                <w:color w:val="auto"/>
              </w:rPr>
              <w:t>17,543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78,971</w:t>
            </w:r>
          </w:p>
        </w:tc>
        <w:tc>
          <w:tcPr>
            <w:tcW w:w="0" w:type="dxa"/>
            <w:vAlign w:val="bottom"/>
          </w:tcPr>
          <w:p>
            <w:pPr>
              <w:spacing w:after="0"/>
              <w:rPr>
                <w:sz w:val="1"/>
                <w:szCs w:val="1"/>
                <w:color w:val="auto"/>
              </w:rPr>
            </w:pPr>
          </w:p>
        </w:tc>
      </w:tr>
      <w:tr>
        <w:trPr>
          <w:trHeight w:val="182"/>
        </w:trPr>
        <w:tc>
          <w:tcPr>
            <w:tcW w:w="2780" w:type="dxa"/>
            <w:vAlign w:val="bottom"/>
          </w:tcPr>
          <w:p>
            <w:pPr>
              <w:spacing w:after="0"/>
              <w:rPr>
                <w:sz w:val="20"/>
                <w:szCs w:val="20"/>
                <w:color w:val="auto"/>
              </w:rPr>
            </w:pPr>
            <w:r>
              <w:rPr>
                <w:rFonts w:ascii="Arial" w:cs="Arial" w:eastAsia="Arial" w:hAnsi="Arial"/>
                <w:sz w:val="14"/>
                <w:szCs w:val="14"/>
                <w:color w:val="auto"/>
              </w:rPr>
              <w:t>_______________</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Structured securities include residential mortgage-backed securities (“RMBS”), commercial mortgage-backed securities (“CMBS”) and asset-backed securities (“ABS”) (collectively, “Structured Securities”).</w:t>
      </w:r>
    </w:p>
    <w:p>
      <w:pPr>
        <w:spacing w:after="0" w:line="62"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Securities by Sector</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5"/>
          </w:tcPr>
          <w:p>
            <w:pPr>
              <w:ind w:left="24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186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12 Months or Greater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5"/>
          </w:tcPr>
          <w:p>
            <w:pPr>
              <w:ind w:left="24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186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12 Months or Greater</w:t>
            </w:r>
          </w:p>
        </w:tc>
        <w:tc>
          <w:tcPr>
            <w:tcW w:w="0" w:type="dxa"/>
            <w:vAlign w:val="bottom"/>
          </w:tcPr>
          <w:p>
            <w:pPr>
              <w:spacing w:after="0"/>
              <w:rPr>
                <w:sz w:val="1"/>
                <w:szCs w:val="1"/>
                <w:color w:val="auto"/>
              </w:rPr>
            </w:pPr>
          </w:p>
        </w:tc>
      </w:tr>
      <w:tr>
        <w:trPr>
          <w:trHeight w:val="130"/>
        </w:trPr>
        <w:tc>
          <w:tcPr>
            <w:tcW w:w="2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48"/>
              <w:spacing w:after="0" w:line="130" w:lineRule="exact"/>
              <w:rPr>
                <w:sz w:val="20"/>
                <w:szCs w:val="20"/>
                <w:color w:val="auto"/>
              </w:rPr>
            </w:pPr>
            <w:r>
              <w:rPr>
                <w:rFonts w:ascii="Arial" w:cs="Arial" w:eastAsia="Arial" w:hAnsi="Arial"/>
                <w:sz w:val="14"/>
                <w:szCs w:val="14"/>
                <w:b w:val="1"/>
                <w:bCs w:val="1"/>
                <w:color w:val="auto"/>
                <w:w w:val="92"/>
              </w:rPr>
              <w:t>Estimated</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28"/>
              <w:spacing w:after="0" w:line="130"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68"/>
              <w:spacing w:after="0" w:line="130" w:lineRule="exact"/>
              <w:rPr>
                <w:sz w:val="20"/>
                <w:szCs w:val="20"/>
                <w:color w:val="auto"/>
              </w:rPr>
            </w:pPr>
            <w:r>
              <w:rPr>
                <w:rFonts w:ascii="Arial" w:cs="Arial" w:eastAsia="Arial" w:hAnsi="Arial"/>
                <w:sz w:val="14"/>
                <w:szCs w:val="14"/>
                <w:b w:val="1"/>
                <w:bCs w:val="1"/>
                <w:color w:val="auto"/>
                <w:w w:val="92"/>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48"/>
              <w:spacing w:after="0" w:line="13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48"/>
              <w:spacing w:after="0" w:line="130" w:lineRule="exact"/>
              <w:rPr>
                <w:sz w:val="20"/>
                <w:szCs w:val="20"/>
                <w:color w:val="auto"/>
              </w:rPr>
            </w:pPr>
            <w:r>
              <w:rPr>
                <w:rFonts w:ascii="Arial" w:cs="Arial" w:eastAsia="Arial" w:hAnsi="Arial"/>
                <w:sz w:val="14"/>
                <w:szCs w:val="14"/>
                <w:b w:val="1"/>
                <w:bCs w:val="1"/>
                <w:color w:val="auto"/>
                <w:w w:val="92"/>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48"/>
              <w:spacing w:after="0" w:line="130"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68"/>
              <w:spacing w:after="0" w:line="130" w:lineRule="exact"/>
              <w:rPr>
                <w:sz w:val="20"/>
                <w:szCs w:val="20"/>
                <w:color w:val="auto"/>
              </w:rPr>
            </w:pPr>
            <w:r>
              <w:rPr>
                <w:rFonts w:ascii="Arial" w:cs="Arial" w:eastAsia="Arial" w:hAnsi="Arial"/>
                <w:sz w:val="14"/>
                <w:szCs w:val="14"/>
                <w:b w:val="1"/>
                <w:bCs w:val="1"/>
                <w:color w:val="auto"/>
                <w:w w:val="92"/>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48"/>
              <w:spacing w:after="0" w:line="130"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8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1"/>
                <w:szCs w:val="11"/>
                <w:color w:val="auto"/>
              </w:rPr>
            </w:pPr>
          </w:p>
        </w:tc>
        <w:tc>
          <w:tcPr>
            <w:tcW w:w="7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8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2"/>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4"/>
                <w:szCs w:val="14"/>
                <w:color w:val="auto"/>
              </w:rPr>
              <w:t>RMBS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government</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1"/>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180"/>
              <w:spacing w:after="0" w:line="122" w:lineRule="exact"/>
              <w:rPr>
                <w:sz w:val="20"/>
                <w:szCs w:val="20"/>
                <w:color w:val="auto"/>
              </w:rPr>
            </w:pPr>
            <w:r>
              <w:rPr>
                <w:rFonts w:ascii="Arial" w:cs="Arial" w:eastAsia="Arial" w:hAnsi="Arial"/>
                <w:sz w:val="14"/>
                <w:szCs w:val="14"/>
                <w:color w:val="auto"/>
                <w:w w:val="94"/>
              </w:rPr>
              <w:t>Total number of securities in an unrealized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1,729</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40"/>
              <w:spacing w:after="0"/>
              <w:rPr>
                <w:sz w:val="20"/>
                <w:szCs w:val="20"/>
                <w:color w:val="auto"/>
              </w:rPr>
            </w:pPr>
            <w:r>
              <w:rPr>
                <w:rFonts w:ascii="Arial" w:cs="Arial" w:eastAsia="Arial" w:hAnsi="Arial"/>
                <w:sz w:val="14"/>
                <w:szCs w:val="14"/>
                <w:color w:val="auto"/>
              </w:rPr>
              <w:t>loss position</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Fixed Maturity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7" w:lineRule="exact"/>
        <w:rPr>
          <w:sz w:val="20"/>
          <w:szCs w:val="20"/>
          <w:color w:val="auto"/>
        </w:rPr>
      </w:pPr>
    </w:p>
    <w:p>
      <w:pPr>
        <w:jc w:val="both"/>
        <w:ind w:left="340" w:firstLine="324"/>
        <w:spacing w:after="0" w:line="268" w:lineRule="auto"/>
        <w:rPr>
          <w:sz w:val="20"/>
          <w:szCs w:val="20"/>
          <w:color w:val="auto"/>
        </w:rPr>
      </w:pPr>
      <w:r>
        <w:rPr>
          <w:rFonts w:ascii="Arial" w:cs="Arial" w:eastAsia="Arial" w:hAnsi="Arial"/>
          <w:sz w:val="17"/>
          <w:szCs w:val="17"/>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(loss) (“OCI”).</w:t>
      </w:r>
    </w:p>
    <w:p>
      <w:pPr>
        <w:spacing w:after="0" w:line="76"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76" w:lineRule="exact"/>
        <w:rPr>
          <w:sz w:val="20"/>
          <w:szCs w:val="20"/>
          <w:color w:val="auto"/>
        </w:rPr>
      </w:pPr>
    </w:p>
    <w:p>
      <w:pPr>
        <w:jc w:val="both"/>
        <w:ind w:left="340" w:right="20" w:firstLine="324"/>
        <w:spacing w:after="0" w:line="263" w:lineRule="auto"/>
        <w:rPr>
          <w:sz w:val="20"/>
          <w:szCs w:val="20"/>
          <w:color w:val="auto"/>
        </w:rPr>
      </w:pPr>
      <w:r>
        <w:rPr>
          <w:rFonts w:ascii="Arial" w:cs="Arial" w:eastAsia="Arial" w:hAnsi="Arial"/>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80"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$566 million and $514 million at March 31, 2021 and December 31, 2020, respectively, and is included in accrued investment income.</w:t>
      </w:r>
    </w:p>
    <w:p>
      <w:pPr>
        <w:spacing w:after="0" w:line="63" w:lineRule="exact"/>
        <w:rPr>
          <w:sz w:val="20"/>
          <w:szCs w:val="20"/>
          <w:color w:val="auto"/>
        </w:rPr>
      </w:pPr>
    </w:p>
    <w:p>
      <w:pPr>
        <w:jc w:val="both"/>
        <w:ind w:left="340" w:firstLine="324"/>
        <w:spacing w:after="0" w:line="290" w:lineRule="auto"/>
        <w:rPr>
          <w:sz w:val="20"/>
          <w:szCs w:val="20"/>
          <w:color w:val="auto"/>
        </w:rPr>
      </w:pPr>
      <w:r>
        <w:rPr>
          <w:rFonts w:ascii="Arial" w:cs="Arial" w:eastAsia="Arial" w:hAnsi="Arial"/>
          <w:sz w:val="16"/>
          <w:szCs w:val="16"/>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7"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Based on the Company’s current evaluation of its fixed maturity securities in an unrealized loss position and the current intent or requirement to sell, the Company recorded an allowance for credit losses of $8 million, relating to five securities at March 31, 2021.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Rollforward of the Allowance for Credit Losses for Fixed Maturity Securities by Sector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allowance for credit losses by sector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U.S.</w:t>
            </w: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76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Corporate</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Government</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on securities where credit losses were not previously recorded</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Change in allowance on securities with an allowance recorded in a previous period</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 (1)</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on securities where credit losses were not previously recorded</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color w:val="auto"/>
              </w:rPr>
              <w:t>Change in allowance on securities with an allowance recorded in a previous period</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 (1)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684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
        </w:trPr>
        <w:tc>
          <w:tcPr>
            <w:tcW w:w="684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6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right="20" w:hanging="332"/>
        <w:spacing w:after="0" w:line="277"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did not record any write-offs during the three months ended March 31, 2021. The Company recorded total write-offs of $12 million during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Mortgage loans are summarized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8"/>
              </w:rPr>
              <w:t>March 31, 2021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4"/>
        </w:trPr>
        <w:tc>
          <w:tcPr>
            <w:tcW w:w="5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3"/>
          </w:tcPr>
          <w:p>
            <w:pPr>
              <w:jc w:val="center"/>
              <w:ind w:right="780"/>
              <w:spacing w:after="0" w:line="135" w:lineRule="exact"/>
              <w:rPr>
                <w:sz w:val="20"/>
                <w:szCs w:val="20"/>
                <w:color w:val="auto"/>
              </w:rPr>
            </w:pPr>
            <w:r>
              <w:rPr>
                <w:rFonts w:ascii="Arial" w:cs="Arial" w:eastAsia="Arial" w:hAnsi="Arial"/>
                <w:sz w:val="14"/>
                <w:szCs w:val="14"/>
                <w:b w:val="1"/>
                <w:bCs w:val="1"/>
                <w:color w:val="auto"/>
                <w:w w:val="97"/>
              </w:rPr>
              <w:t>Carrying</w:t>
            </w:r>
          </w:p>
        </w:tc>
        <w:tc>
          <w:tcPr>
            <w:tcW w:w="820" w:type="dxa"/>
            <w:vAlign w:val="bottom"/>
          </w:tcPr>
          <w:p>
            <w:pPr>
              <w:ind w:left="40"/>
              <w:spacing w:after="0" w:line="135"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7"/>
              </w:rPr>
              <w:t>Carrying</w:t>
            </w:r>
          </w:p>
        </w:tc>
        <w:tc>
          <w:tcPr>
            <w:tcW w:w="1260" w:type="dxa"/>
            <w:vAlign w:val="bottom"/>
          </w:tcPr>
          <w:p>
            <w:pPr>
              <w:jc w:val="right"/>
              <w:ind w:right="421"/>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8"/>
        </w:trPr>
        <w:tc>
          <w:tcPr>
            <w:tcW w:w="5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780"/>
              <w:spacing w:after="0"/>
              <w:rPr>
                <w:sz w:val="20"/>
                <w:szCs w:val="20"/>
                <w:color w:val="auto"/>
              </w:rPr>
            </w:pPr>
            <w:r>
              <w:rPr>
                <w:rFonts w:ascii="Arial" w:cs="Arial" w:eastAsia="Arial" w:hAnsi="Arial"/>
                <w:sz w:val="14"/>
                <w:szCs w:val="14"/>
                <w:b w:val="1"/>
                <w:bCs w:val="1"/>
                <w:color w:val="auto"/>
                <w:w w:val="96"/>
              </w:rPr>
              <w:t>Value</w:t>
            </w: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(Dollars in millions)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9,642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9,714</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61.4 %</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2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3,607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22"/>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3,538</w:t>
            </w:r>
          </w:p>
        </w:tc>
        <w:tc>
          <w:tcPr>
            <w:tcW w:w="10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2,650</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7"/>
        </w:trPr>
        <w:tc>
          <w:tcPr>
            <w:tcW w:w="5780" w:type="dxa"/>
            <w:vAlign w:val="bottom"/>
          </w:tcPr>
          <w:p>
            <w:pPr>
              <w:ind w:left="180"/>
              <w:spacing w:after="0"/>
              <w:rPr>
                <w:sz w:val="20"/>
                <w:szCs w:val="20"/>
                <w:color w:val="auto"/>
              </w:rPr>
            </w:pPr>
            <w:r>
              <w:rPr>
                <w:rFonts w:ascii="Arial" w:cs="Arial" w:eastAsia="Arial" w:hAnsi="Arial"/>
                <w:sz w:val="16"/>
                <w:szCs w:val="16"/>
                <w:color w:val="auto"/>
              </w:rPr>
              <w:t>Total mortgage loans (1)</w:t>
            </w:r>
          </w:p>
        </w:tc>
        <w:tc>
          <w:tcPr>
            <w:tcW w:w="24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15,781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122"/>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15,902</w:t>
            </w:r>
          </w:p>
        </w:tc>
        <w:tc>
          <w:tcPr>
            <w:tcW w:w="100" w:type="dxa"/>
            <w:vAlign w:val="bottom"/>
          </w:tcPr>
          <w:p>
            <w:pPr>
              <w:spacing w:after="0"/>
              <w:rPr>
                <w:sz w:val="17"/>
                <w:szCs w:val="17"/>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3"/>
        </w:trPr>
        <w:tc>
          <w:tcPr>
            <w:tcW w:w="5780" w:type="dxa"/>
            <w:vAlign w:val="bottom"/>
          </w:tcPr>
          <w:p>
            <w:pPr>
              <w:ind w:left="180"/>
              <w:spacing w:after="0"/>
              <w:rPr>
                <w:sz w:val="20"/>
                <w:szCs w:val="20"/>
                <w:color w:val="auto"/>
              </w:rPr>
            </w:pPr>
            <w:r>
              <w:rPr>
                <w:rFonts w:ascii="Arial" w:cs="Arial" w:eastAsia="Arial" w:hAnsi="Arial"/>
                <w:sz w:val="16"/>
                <w:szCs w:val="16"/>
                <w:color w:val="auto"/>
              </w:rPr>
              <w:t>Total mortgage loans, net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15,690</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15,808</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
        </w:trPr>
        <w:tc>
          <w:tcPr>
            <w:tcW w:w="578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7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of mortgage loans from third parties were $178 million and $157 million for the three months ended March 31, 2021 and 2020, respectively, and were primarily comprised of residential mortgage loans.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Mortgage Loans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7" w:lineRule="exact"/>
        <w:rPr>
          <w:sz w:val="20"/>
          <w:szCs w:val="20"/>
          <w:color w:val="auto"/>
        </w:rPr>
      </w:pPr>
    </w:p>
    <w:p>
      <w:pPr>
        <w:jc w:val="both"/>
        <w:ind w:left="340" w:right="20" w:firstLine="324"/>
        <w:spacing w:after="0" w:line="263" w:lineRule="auto"/>
        <w:rPr>
          <w:sz w:val="20"/>
          <w:szCs w:val="20"/>
          <w:color w:val="auto"/>
        </w:rPr>
      </w:pPr>
      <w:r>
        <w:rPr>
          <w:rFonts w:ascii="Arial" w:cs="Arial" w:eastAsia="Arial" w:hAnsi="Arial"/>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76"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For mortgage loans that are granted payment deferrals due to the impact of the ongoing worldwide pandemic sparked by the novel coronavirus (“COVID-19 pandemic”), interest continues to be accrued during the deferral period if the loan was less than 30 days past due at December 31, 2019 and performing at the onset of the pandemic. Accrued interest on COVID-19 pandemic impacted loans was not significant at both March 31, 2021 and December 31, 2020. The accrued interest receivable on mortgage loans is included in accrued investment income and totaled $83 million and $89 million at March 31, 2021 and December 31, 2020, respectively.</w:t>
      </w:r>
    </w:p>
    <w:p>
      <w:pPr>
        <w:spacing w:after="0" w:line="58"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two-years is used with an input reversion period of one-year.</w:t>
      </w:r>
    </w:p>
    <w:p>
      <w:pPr>
        <w:spacing w:after="0" w:line="79"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expected troubled debt restructurings (“TDR”), foreclosure probable loans, and loans with dissimilar risk characteristics.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80" w:lineRule="exact"/>
        <w:rPr>
          <w:sz w:val="20"/>
          <w:szCs w:val="20"/>
          <w:color w:val="auto"/>
        </w:rPr>
      </w:pPr>
    </w:p>
    <w:p>
      <w:pPr>
        <w:jc w:val="both"/>
        <w:ind w:left="340" w:firstLine="324"/>
        <w:spacing w:after="0" w:line="288" w:lineRule="auto"/>
        <w:rPr>
          <w:sz w:val="20"/>
          <w:szCs w:val="20"/>
          <w:color w:val="auto"/>
        </w:rPr>
      </w:pPr>
      <w:r>
        <w:rPr>
          <w:rFonts w:ascii="Arial" w:cs="Arial" w:eastAsia="Arial" w:hAnsi="Arial"/>
          <w:sz w:val="16"/>
          <w:szCs w:val="16"/>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60" w:lineRule="exact"/>
        <w:rPr>
          <w:sz w:val="20"/>
          <w:szCs w:val="20"/>
          <w:color w:val="auto"/>
        </w:rPr>
      </w:pPr>
    </w:p>
    <w:p>
      <w:pPr>
        <w:jc w:val="right"/>
        <w:ind w:left="340" w:right="4440"/>
        <w:spacing w:after="0" w:line="483" w:lineRule="auto"/>
        <w:rPr>
          <w:sz w:val="20"/>
          <w:szCs w:val="20"/>
          <w:color w:val="auto"/>
        </w:rPr>
      </w:pPr>
      <w:r>
        <w:rPr>
          <w:rFonts w:ascii="Arial" w:cs="Arial" w:eastAsia="Arial" w:hAnsi="Arial"/>
          <w:sz w:val="16"/>
          <w:szCs w:val="16"/>
          <w:i w:val="1"/>
          <w:iCs w:val="1"/>
          <w:u w:val="single" w:color="auto"/>
          <w:color w:val="auto"/>
        </w:rPr>
        <w:t xml:space="preserve">Rollforward of the Allowance for Credit Losses for Mortgage Loans by Portfolio Segment </w:t>
      </w:r>
      <w:r>
        <w:rPr>
          <w:rFonts w:ascii="Arial" w:cs="Arial" w:eastAsia="Arial" w:hAnsi="Arial"/>
          <w:sz w:val="16"/>
          <w:szCs w:val="16"/>
          <w:color w:val="auto"/>
        </w:rPr>
        <w:t>The changes in the allowance for credit losses by portfolio segment were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Agricultural</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187"/>
        </w:trPr>
        <w:tc>
          <w:tcPr>
            <w:tcW w:w="6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provision</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2020</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provision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0"/>
        </w:trPr>
        <w:tc>
          <w:tcPr>
            <w:tcW w:w="6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PCD Mortgage Loans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purchase any PCD mortgage loans during both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200" w:lineRule="exact"/>
        <w:rPr>
          <w:rFonts w:ascii="Arial" w:cs="Arial" w:eastAsia="Arial" w:hAnsi="Arial"/>
          <w:sz w:val="18"/>
          <w:szCs w:val="18"/>
          <w:b w:val="1"/>
          <w:bCs w:val="1"/>
          <w:color w:val="auto"/>
        </w:rPr>
      </w:pPr>
    </w:p>
    <w:p>
      <w:pPr>
        <w:spacing w:after="0" w:line="380"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Mortgage Loans by Portfolio Segment</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amortized cost of mortgage loans by year of origination and credit quality indicator was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Prior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187"/>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2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March 31, 2021</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5"/>
                <w:szCs w:val="15"/>
                <w:b w:val="1"/>
                <w:bCs w:val="1"/>
                <w:color w:val="auto"/>
              </w:rPr>
              <w:t>Commercial mortgage loans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2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Loan-to-value ratios: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Less than 65%</w:t>
            </w: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316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1,476</w:t>
            </w:r>
          </w:p>
        </w:tc>
        <w:tc>
          <w:tcPr>
            <w:tcW w:w="10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3,716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7,038</w:t>
            </w:r>
          </w:p>
        </w:tc>
        <w:tc>
          <w:tcPr>
            <w:tcW w:w="2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65% to 75%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2,205</w:t>
            </w:r>
          </w:p>
        </w:tc>
        <w:tc>
          <w:tcPr>
            <w:tcW w:w="2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76% to 80%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130</w:t>
            </w:r>
          </w:p>
        </w:tc>
        <w:tc>
          <w:tcPr>
            <w:tcW w:w="2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Greater than 80%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20" w:type="dxa"/>
            <w:vAlign w:val="bottom"/>
            <w:shd w:val="clear" w:color="auto" w:fill="CCEEFF"/>
          </w:tcPr>
          <w:p>
            <w:pPr>
              <w:spacing w:after="0"/>
              <w:rPr>
                <w:sz w:val="17"/>
                <w:szCs w:val="17"/>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358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Total commercial mortgage loans</w:t>
            </w: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146</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516</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1,976</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1,515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871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4,618</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9,642</w:t>
            </w:r>
          </w:p>
        </w:tc>
        <w:tc>
          <w:tcPr>
            <w:tcW w:w="20" w:type="dxa"/>
            <w:vAlign w:val="bottom"/>
            <w:tcBorders>
              <w:top w:val="single" w:sz="8" w:color="auto"/>
              <w:bottom w:val="single" w:sz="8" w:color="auto"/>
            </w:tcBorders>
          </w:tcPr>
          <w:p>
            <w:pPr>
              <w:spacing w:after="0"/>
              <w:rPr>
                <w:sz w:val="16"/>
                <w:szCs w:val="16"/>
                <w:color w:val="auto"/>
              </w:rPr>
            </w:pPr>
          </w:p>
        </w:tc>
      </w:tr>
      <w:tr>
        <w:trPr>
          <w:trHeight w:val="187"/>
        </w:trPr>
        <w:tc>
          <w:tcPr>
            <w:tcW w:w="2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Agricultural mortgage loans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Loan-to-value ratios: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Less than 65%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3,350</w:t>
            </w:r>
          </w:p>
        </w:tc>
        <w:tc>
          <w:tcPr>
            <w:tcW w:w="20" w:type="dxa"/>
            <w:vAlign w:val="bottom"/>
            <w:shd w:val="clear" w:color="auto" w:fill="CCEEFF"/>
          </w:tcPr>
          <w:p>
            <w:pPr>
              <w:spacing w:after="0"/>
              <w:rPr>
                <w:sz w:val="17"/>
                <w:szCs w:val="17"/>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65% to 75%</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80</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w:t>
            </w:r>
          </w:p>
        </w:tc>
        <w:tc>
          <w:tcPr>
            <w:tcW w:w="20" w:type="dxa"/>
            <w:vAlign w:val="bottom"/>
            <w:tcBorders>
              <w:bottom w:val="single" w:sz="8" w:color="auto"/>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Total agricultural mortgage loans</w:t>
            </w: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603</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987</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3,607</w:t>
            </w:r>
          </w:p>
        </w:tc>
        <w:tc>
          <w:tcPr>
            <w:tcW w:w="20" w:type="dxa"/>
            <w:vAlign w:val="bottom"/>
            <w:tcBorders>
              <w:bottom w:val="single" w:sz="8" w:color="auto"/>
            </w:tcBorders>
            <w:shd w:val="clear" w:color="auto" w:fill="CCEEFF"/>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5"/>
                <w:szCs w:val="15"/>
                <w:b w:val="1"/>
                <w:bCs w:val="1"/>
                <w:color w:val="auto"/>
              </w:rPr>
              <w:t>Residential mortgage loans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5"/>
        </w:trPr>
        <w:tc>
          <w:tcPr>
            <w:tcW w:w="2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Performing</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397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2,458</w:t>
            </w:r>
          </w:p>
        </w:tc>
        <w:tc>
          <w:tcPr>
            <w:tcW w:w="2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Nonperforming</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74</w:t>
            </w:r>
          </w:p>
        </w:tc>
        <w:tc>
          <w:tcPr>
            <w:tcW w:w="20" w:type="dxa"/>
            <w:vAlign w:val="bottom"/>
          </w:tcPr>
          <w:p>
            <w:pPr>
              <w:spacing w:after="0"/>
              <w:rPr>
                <w:sz w:val="17"/>
                <w:szCs w:val="17"/>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Total residential mortgage loans</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399</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580" w:type="dxa"/>
            <w:vAlign w:val="bottom"/>
          </w:tcPr>
          <w:p>
            <w:pPr>
              <w:ind w:left="16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2,978</w:t>
            </w:r>
          </w:p>
        </w:tc>
        <w:tc>
          <w:tcPr>
            <w:tcW w:w="100" w:type="dxa"/>
            <w:vAlign w:val="bottom"/>
          </w:tcPr>
          <w:p>
            <w:pPr>
              <w:spacing w:after="0"/>
              <w:rPr>
                <w:sz w:val="17"/>
                <w:szCs w:val="17"/>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7,043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15,781</w:t>
            </w:r>
          </w:p>
        </w:tc>
        <w:tc>
          <w:tcPr>
            <w:tcW w:w="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24"/>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6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4"/>
          </w:tcPr>
          <w:p>
            <w:pPr>
              <w:ind w:left="120"/>
              <w:spacing w:after="0"/>
              <w:rPr>
                <w:sz w:val="20"/>
                <w:szCs w:val="20"/>
                <w:color w:val="auto"/>
              </w:rPr>
            </w:pPr>
            <w:r>
              <w:rPr>
                <w:rFonts w:ascii="Arial" w:cs="Arial" w:eastAsia="Arial" w:hAnsi="Arial"/>
                <w:sz w:val="14"/>
                <w:szCs w:val="14"/>
                <w:b w:val="1"/>
                <w:bCs w:val="1"/>
                <w:color w:val="auto"/>
              </w:rPr>
              <w:t>Prior</w:t>
            </w:r>
          </w:p>
        </w:tc>
        <w:tc>
          <w:tcPr>
            <w:tcW w:w="220" w:type="dxa"/>
            <w:vAlign w:val="bottom"/>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87"/>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December 31, 2020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5"/>
                <w:szCs w:val="15"/>
                <w:b w:val="1"/>
                <w:bCs w:val="1"/>
                <w:color w:val="auto"/>
              </w:rPr>
              <w:t>Commercial mortgage loans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Loan-to-value ratios: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5"/>
                <w:szCs w:val="15"/>
                <w:color w:val="auto"/>
              </w:rPr>
              <w:t>Less than 65%</w:t>
            </w: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1,004</w:t>
            </w:r>
          </w:p>
        </w:tc>
        <w:tc>
          <w:tcPr>
            <w:tcW w:w="10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2,808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7,280</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65% to 75%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2,034</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5"/>
                <w:szCs w:val="15"/>
                <w:color w:val="auto"/>
              </w:rPr>
              <w:t>76% to 80%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131</w:t>
            </w: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Greater than 80%</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2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35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Total commercial mortgage loans</w:t>
            </w:r>
          </w:p>
        </w:tc>
        <w:tc>
          <w:tcPr>
            <w:tcW w:w="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517</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1,977</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1,515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881</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1,253</w:t>
            </w:r>
          </w:p>
        </w:tc>
        <w:tc>
          <w:tcPr>
            <w:tcW w:w="10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3,571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9,714</w:t>
            </w: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Agricultural mortgage loans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5"/>
                <w:szCs w:val="15"/>
                <w:color w:val="auto"/>
              </w:rPr>
              <w:t>Loan-to-value ratios: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20" w:type="dxa"/>
            <w:vAlign w:val="bottom"/>
          </w:tcPr>
          <w:p>
            <w:pPr>
              <w:spacing w:after="0"/>
              <w:rPr>
                <w:sz w:val="17"/>
                <w:szCs w:val="17"/>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than 65%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3,315</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5"/>
                <w:szCs w:val="15"/>
                <w:color w:val="auto"/>
              </w:rPr>
              <w:t>65% to 75%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223</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agricultural mortgage loans</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759</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3,538</w:t>
            </w:r>
          </w:p>
        </w:tc>
        <w:tc>
          <w:tcPr>
            <w:tcW w:w="2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3580" w:type="dxa"/>
            <w:vAlign w:val="bottom"/>
          </w:tcPr>
          <w:p>
            <w:pPr>
              <w:ind w:left="20"/>
              <w:spacing w:after="0"/>
              <w:rPr>
                <w:sz w:val="20"/>
                <w:szCs w:val="20"/>
                <w:color w:val="auto"/>
              </w:rPr>
            </w:pPr>
            <w:r>
              <w:rPr>
                <w:rFonts w:ascii="Arial" w:cs="Arial" w:eastAsia="Arial" w:hAnsi="Arial"/>
                <w:sz w:val="15"/>
                <w:szCs w:val="15"/>
                <w:b w:val="1"/>
                <w:bCs w:val="1"/>
                <w:color w:val="auto"/>
              </w:rPr>
              <w:t>Residential mortgage loans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Performing</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2,584</w:t>
            </w:r>
          </w:p>
        </w:tc>
        <w:tc>
          <w:tcPr>
            <w:tcW w:w="2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3580" w:type="dxa"/>
            <w:vAlign w:val="bottom"/>
          </w:tcPr>
          <w:p>
            <w:pPr>
              <w:ind w:left="20"/>
              <w:spacing w:after="0"/>
              <w:rPr>
                <w:sz w:val="20"/>
                <w:szCs w:val="20"/>
                <w:color w:val="auto"/>
              </w:rPr>
            </w:pPr>
            <w:r>
              <w:rPr>
                <w:rFonts w:ascii="Arial" w:cs="Arial" w:eastAsia="Arial" w:hAnsi="Arial"/>
                <w:sz w:val="15"/>
                <w:szCs w:val="15"/>
                <w:color w:val="auto"/>
              </w:rPr>
              <w:t>Nonperforming</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66</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Total residential mortgage loans</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417</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2,650</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580" w:type="dxa"/>
            <w:vAlign w:val="bottom"/>
          </w:tcPr>
          <w:p>
            <w:pPr>
              <w:ind w:left="180"/>
              <w:spacing w:after="0"/>
              <w:rPr>
                <w:sz w:val="20"/>
                <w:szCs w:val="20"/>
                <w:color w:val="auto"/>
              </w:rPr>
            </w:pPr>
            <w:r>
              <w:rPr>
                <w:rFonts w:ascii="Arial" w:cs="Arial" w:eastAsia="Arial" w:hAnsi="Arial"/>
                <w:sz w:val="15"/>
                <w:szCs w:val="15"/>
                <w:color w:val="auto"/>
              </w:rPr>
              <w:t>Total</w:t>
            </w: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1,383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2,971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2,691</w:t>
            </w:r>
          </w:p>
        </w:tc>
        <w:tc>
          <w:tcPr>
            <w:tcW w:w="10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1,436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5,680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15,902</w:t>
            </w:r>
          </w:p>
        </w:tc>
        <w:tc>
          <w:tcPr>
            <w:tcW w:w="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amortized cost of commercial mortgage loans by debt-service coverage ratio was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6"/>
              </w:rPr>
              <w:t>March 31, 2021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8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0" w:type="dxa"/>
            <w:vAlign w:val="bottom"/>
          </w:tcPr>
          <w:p>
            <w:pPr>
              <w:jc w:val="right"/>
              <w:ind w:right="482"/>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80" w:type="dxa"/>
            <w:vAlign w:val="bottom"/>
            <w:gridSpan w:val="5"/>
          </w:tcPr>
          <w:p>
            <w:pPr>
              <w:ind w:left="320"/>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Debt-service coverage ratios: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Greater than 1.20x</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9,050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93.9 %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9,450</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97.3 %</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1.00x - 1.20x</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than 1.00x</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8"/>
        </w:trPr>
        <w:tc>
          <w:tcPr>
            <w:tcW w:w="5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Past Due Mortgage Loans by Portfolio Segment</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The Company has a high-quality, well-performing mortgage loan portfolio, with over 99% of all mortgage loans classified as performing at both March 31, 2021 and December 31, 2020. Delinquency is defined consistent with industry practice, when mortgage loans are past due as follows: commercial and residential mortgage loans — 60 days; and agricultural mortgage loans — 90 days. To the extent a payment deferral is agreed to with a borrower, in response to the COVID-19 pandemic, the past due status of the impacted loans during the forbearance period is locked-in as of March 1, 2020, which reflects the date on which the COVID-19 pandemic began to affect the borrower’s ability to make payments. At March 31, 2021 and December 31, 2020, $41 million and $38 million, respectively, of the COVID-19 pandemic modified loans were classified as delinquent.</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aging of the amortized cost of past due mortgage loans by portfolio segment was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7"/>
        </w:trPr>
        <w:tc>
          <w:tcPr>
            <w:tcW w:w="2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Agricultural</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Agricultural</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183"/>
        </w:trPr>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15,827</w:t>
            </w:r>
          </w:p>
        </w:tc>
      </w:tr>
      <w:tr>
        <w:trPr>
          <w:trHeight w:val="213"/>
        </w:trPr>
        <w:tc>
          <w:tcPr>
            <w:tcW w:w="2200" w:type="dxa"/>
            <w:vAlign w:val="bottom"/>
          </w:tcPr>
          <w:p>
            <w:pPr>
              <w:ind w:left="20"/>
              <w:spacing w:after="0"/>
              <w:rPr>
                <w:sz w:val="20"/>
                <w:szCs w:val="20"/>
                <w:color w:val="auto"/>
              </w:rPr>
            </w:pPr>
            <w:r>
              <w:rPr>
                <w:rFonts w:ascii="Arial" w:cs="Arial" w:eastAsia="Arial" w:hAnsi="Arial"/>
                <w:sz w:val="16"/>
                <w:szCs w:val="16"/>
                <w:color w:val="auto"/>
              </w:rPr>
              <w:t>30-59 days past due</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60-89 days past due</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2200" w:type="dxa"/>
            <w:vAlign w:val="bottom"/>
          </w:tcPr>
          <w:p>
            <w:pPr>
              <w:ind w:left="20"/>
              <w:spacing w:after="0"/>
              <w:rPr>
                <w:sz w:val="20"/>
                <w:szCs w:val="20"/>
                <w:color w:val="auto"/>
              </w:rPr>
            </w:pPr>
            <w:r>
              <w:rPr>
                <w:rFonts w:ascii="Arial" w:cs="Arial" w:eastAsia="Arial" w:hAnsi="Arial"/>
                <w:sz w:val="16"/>
                <w:szCs w:val="16"/>
                <w:color w:val="auto"/>
              </w:rPr>
              <w:t>90-179 days past due</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180+ days past due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388"/>
        </w:trPr>
        <w:tc>
          <w:tcPr>
            <w:tcW w:w="22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9,642</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3,607</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2,532</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15,781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9,714</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3,538</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15,902</w:t>
            </w:r>
          </w:p>
        </w:tc>
      </w:tr>
      <w:tr>
        <w:trPr>
          <w:trHeight w:val="20"/>
        </w:trPr>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in Nonaccrual Status by Portfolio Segment</w:t>
      </w:r>
    </w:p>
    <w:p>
      <w:pPr>
        <w:spacing w:after="0" w:line="117"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Mortgage loans are placed in a nonaccrual status if there are concerns regarding collectability of future payments or the loan is past due, unless the past due loan is well collateralized. To the extent a payment deferral is agreed to with a borrower, in response to the COVID-19 pandemic, the impacted loans generally will not be reported as in a nonaccrual status during the period of deferral. A COVID-19 pandemic modified loan is only reported as a nonaccrual asset in the event a borrower declares bankruptcy, the borrower experiences significant credit deterioration such that the Company does not expect to collect all principal and interest due, or the loan was 90 days past due at the onset of the pandemic. At March 31, 2021 and December 31, 2020, $41 million and $38 million, respectively, of the COVID-19 pandemic modified loans were in nonaccrual status.</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of mortgage loans in a nonaccrual status by portfolio segment were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Commercial</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Agricultural</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Residential (1)</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Total</w:t>
            </w:r>
          </w:p>
        </w:tc>
      </w:tr>
      <w:tr>
        <w:trPr>
          <w:trHeight w:val="187"/>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3"/>
          </w:tcPr>
          <w:p>
            <w:pPr>
              <w:jc w:val="right"/>
              <w:ind w:right="1082"/>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31, 2021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74</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197"/>
        </w:trPr>
        <w:tc>
          <w:tcPr>
            <w:tcW w:w="508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ind w:left="10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
              <w:spacing w:after="0"/>
              <w:rPr>
                <w:sz w:val="20"/>
                <w:szCs w:val="20"/>
                <w:color w:val="auto"/>
              </w:rPr>
            </w:pPr>
            <w:r>
              <w:rPr>
                <w:rFonts w:ascii="Arial" w:cs="Arial" w:eastAsia="Arial" w:hAnsi="Arial"/>
                <w:sz w:val="16"/>
                <w:szCs w:val="16"/>
                <w:color w:val="auto"/>
              </w:rPr>
              <w:t>66</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82"/>
        </w:trPr>
        <w:tc>
          <w:tcPr>
            <w:tcW w:w="5080" w:type="dxa"/>
            <w:vAlign w:val="bottom"/>
          </w:tcPr>
          <w:p>
            <w:pPr>
              <w:spacing w:after="0"/>
              <w:rPr>
                <w:sz w:val="20"/>
                <w:szCs w:val="20"/>
                <w:color w:val="auto"/>
              </w:rPr>
            </w:pPr>
            <w:r>
              <w:rPr>
                <w:rFonts w:ascii="Arial" w:cs="Arial" w:eastAsia="Arial" w:hAnsi="Arial"/>
                <w:sz w:val="14"/>
                <w:szCs w:val="14"/>
                <w:color w:val="auto"/>
              </w:rPr>
              <w:t>_______________</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bl>
    <w:p>
      <w:pPr>
        <w:spacing w:after="0" w:line="92" w:lineRule="exact"/>
        <w:rPr>
          <w:sz w:val="20"/>
          <w:szCs w:val="20"/>
          <w:color w:val="auto"/>
        </w:rPr>
      </w:pPr>
    </w:p>
    <w:p>
      <w:pPr>
        <w:ind w:left="340" w:hanging="332"/>
        <w:spacing w:after="0" w:line="277" w:lineRule="auto"/>
        <w:tabs>
          <w:tab w:leader="none" w:pos="3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had $10 million and $7 million of residential mortgage loans in nonaccrual status for which there was no related allowance for credit losses at March 31, 2021 and December 31, 2020, respectively.</w:t>
      </w:r>
    </w:p>
    <w:p>
      <w:pPr>
        <w:spacing w:after="0" w:line="62"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Current period investment income on mortgage loans in nonaccrual status was less than $1 million for both the three months ended March 31, 2021 and 2020.</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Modified Mortgage Loans by Portfolio Segment</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Under certain circumstances, modifications are granted to nonperforming mortgage loans. Each modification is evaluated to determine if a TDR has occurred. A modification is a TDR when the borrower is in financial difficulty and the creditor makes concessions. Generally, the types of concessions may include reducing the amount of debt owed, reducing the contractual interest rate, extending the maturity date at an interest rate lower than current market interest rates and/or reducing accrued interest. The Company did not have a significant amount of mortgage loans modified in a troubled debt restructuring during both the three months ended March 31, 2021 and 2020.</w:t>
      </w:r>
    </w:p>
    <w:p>
      <w:pPr>
        <w:spacing w:after="0" w:line="80"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Short-term modifications made on a good faith basis to borrowers who were not more than 30 days past due at December 31, 2019 and in response to the COVID-19 pandemic are not considered TDRs.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Over 90% of other invested assets is comprised of freestanding derivatives with positive estimated fair values. See Note 5 for information about freestanding derivatives with positive estimated fair values. Other invested assets also includes tax credit and renewable energy partnerships, leveraged leases and Federal Home Loan Bank stock.</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Leveraged Leases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carrying value of leveraged leases and the allowance for credit losses were $50 million and $13 million, respectively, at both March 31, 2021 and December 31, 2020. Rental receivables are generally due in periodic installments. The payment periods for leveraged leases generally range from one to 12 years. For rental receivables, the primary credit quality indicator is whether the rental receivable is performing or nonperforming, which is assessed monthly. Nonperforming rental receivables are generally defined as those that are 90 days or more past due. At both March 31, 2021 and December 31, 2020, all leveraged leases were performing.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Unrealized investment gains (losses) on fixed maturity securities and the effect on DAC, VOBA, deferred sales inducements (“DSI”) and future policy benefits, that would result from the realization of the unrealized gains (losses), are included in net unrealized investment gains (losses) in accumulated other comprehensive income (loss) (“AOCI”).</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unrealized investment gains (losses), included in AOCI, were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7"/>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7"/>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11,968</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6"/>
        </w:trPr>
        <w:tc>
          <w:tcPr>
            <w:tcW w:w="79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Subtotal</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6,981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12,125</w:t>
            </w:r>
          </w:p>
        </w:tc>
        <w:tc>
          <w:tcPr>
            <w:tcW w:w="0" w:type="dxa"/>
            <w:vAlign w:val="bottom"/>
          </w:tcPr>
          <w:p>
            <w:pPr>
              <w:spacing w:after="0"/>
              <w:rPr>
                <w:sz w:val="1"/>
                <w:szCs w:val="1"/>
                <w:color w:val="auto"/>
              </w:rPr>
            </w:pPr>
          </w:p>
        </w:tc>
      </w:tr>
      <w:tr>
        <w:trPr>
          <w:trHeight w:val="19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allocated from:</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(2,320)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(4,313)</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DAC, VOBA and DSI</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06"/>
        </w:trPr>
        <w:tc>
          <w:tcPr>
            <w:tcW w:w="7920" w:type="dxa"/>
            <w:vAlign w:val="bottom"/>
          </w:tcPr>
          <w:p>
            <w:pPr>
              <w:ind w:left="180"/>
              <w:spacing w:after="0"/>
              <w:rPr>
                <w:sz w:val="20"/>
                <w:szCs w:val="20"/>
                <w:color w:val="auto"/>
              </w:rPr>
            </w:pPr>
            <w:r>
              <w:rPr>
                <w:rFonts w:ascii="Arial" w:cs="Arial" w:eastAsia="Arial" w:hAnsi="Arial"/>
                <w:sz w:val="16"/>
                <w:szCs w:val="16"/>
                <w:color w:val="auto"/>
              </w:rPr>
              <w:t>Subtotal</w:t>
            </w:r>
          </w:p>
        </w:tc>
        <w:tc>
          <w:tcPr>
            <w:tcW w:w="22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(4,833)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0" w:type="dxa"/>
            <w:vAlign w:val="bottom"/>
          </w:tcPr>
          <w:p>
            <w:pPr>
              <w:spacing w:after="0"/>
              <w:rPr>
                <w:sz w:val="1"/>
                <w:szCs w:val="1"/>
                <w:color w:val="auto"/>
              </w:rPr>
            </w:pPr>
          </w:p>
        </w:tc>
      </w:tr>
      <w:tr>
        <w:trPr>
          <w:trHeight w:val="213"/>
        </w:trPr>
        <w:tc>
          <w:tcPr>
            <w:tcW w:w="7920" w:type="dxa"/>
            <w:vAlign w:val="bottom"/>
          </w:tcPr>
          <w:p>
            <w:pPr>
              <w:ind w:left="180"/>
              <w:spacing w:after="0"/>
              <w:rPr>
                <w:sz w:val="20"/>
                <w:szCs w:val="20"/>
                <w:color w:val="auto"/>
              </w:rPr>
            </w:pPr>
            <w:r>
              <w:rPr>
                <w:rFonts w:ascii="Arial" w:cs="Arial" w:eastAsia="Arial" w:hAnsi="Arial"/>
                <w:sz w:val="16"/>
                <w:szCs w:val="16"/>
                <w:color w:val="auto"/>
              </w:rPr>
              <w:t>Net unrealized investment gains (losses)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3,442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5,761</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340"/>
              <w:spacing w:after="0"/>
              <w:rPr>
                <w:sz w:val="20"/>
                <w:szCs w:val="20"/>
                <w:color w:val="auto"/>
              </w:rPr>
            </w:pPr>
            <w:r>
              <w:rPr>
                <w:rFonts w:ascii="Arial" w:cs="Arial" w:eastAsia="Arial" w:hAnsi="Arial"/>
                <w:sz w:val="18"/>
                <w:szCs w:val="18"/>
                <w:color w:val="auto"/>
              </w:rPr>
              <w:t>The changes in net unrealized investment gains (losses) were as follows:</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 March</w:t>
            </w:r>
          </w:p>
        </w:tc>
        <w:tc>
          <w:tcPr>
            <w:tcW w:w="0" w:type="dxa"/>
            <w:vAlign w:val="bottom"/>
          </w:tcPr>
          <w:p>
            <w:pPr>
              <w:spacing w:after="0"/>
              <w:rPr>
                <w:sz w:val="1"/>
                <w:szCs w:val="1"/>
                <w:color w:val="auto"/>
              </w:rPr>
            </w:pPr>
          </w:p>
        </w:tc>
      </w:tr>
      <w:tr>
        <w:trPr>
          <w:trHeight w:val="188"/>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420"/>
              <w:spacing w:after="0"/>
              <w:rPr>
                <w:sz w:val="20"/>
                <w:szCs w:val="20"/>
                <w:color w:val="auto"/>
              </w:rPr>
            </w:pPr>
            <w:r>
              <w:rPr>
                <w:rFonts w:ascii="Arial" w:cs="Arial" w:eastAsia="Arial" w:hAnsi="Arial"/>
                <w:sz w:val="14"/>
                <w:szCs w:val="14"/>
                <w:b w:val="1"/>
                <w:bCs w:val="1"/>
                <w:color w:val="auto"/>
                <w:w w:val="91"/>
              </w:rPr>
              <w:t>31, 2021</w:t>
            </w:r>
          </w:p>
        </w:tc>
        <w:tc>
          <w:tcPr>
            <w:tcW w:w="0" w:type="dxa"/>
            <w:vAlign w:val="bottom"/>
          </w:tcPr>
          <w:p>
            <w:pPr>
              <w:spacing w:after="0"/>
              <w:rPr>
                <w:sz w:val="1"/>
                <w:szCs w:val="1"/>
                <w:color w:val="auto"/>
              </w:rPr>
            </w:pPr>
          </w:p>
        </w:tc>
      </w:tr>
      <w:tr>
        <w:trPr>
          <w:trHeight w:val="183"/>
        </w:trPr>
        <w:tc>
          <w:tcPr>
            <w:tcW w:w="7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40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17"/>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5,761</w:t>
            </w: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Unrealized investment gains (losses) during the period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(5,144)</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investment gains (losses) relating to:</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1,993</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DAC, VOBA and DSI</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 benefit (expense)</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33"/>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2021</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3,442</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20" w:type="dxa"/>
            <w:vAlign w:val="bottom"/>
          </w:tcPr>
          <w:p>
            <w:pPr>
              <w:ind w:left="20"/>
              <w:spacing w:after="0"/>
              <w:rPr>
                <w:sz w:val="20"/>
                <w:szCs w:val="20"/>
                <w:color w:val="auto"/>
              </w:rPr>
            </w:pPr>
            <w:r>
              <w:rPr>
                <w:rFonts w:ascii="Arial" w:cs="Arial" w:eastAsia="Arial" w:hAnsi="Arial"/>
                <w:sz w:val="16"/>
                <w:szCs w:val="16"/>
                <w:color w:val="auto"/>
              </w:rPr>
              <w:t>Change in net unrealized investment gains (losses)</w:t>
            </w:r>
          </w:p>
        </w:tc>
        <w:tc>
          <w:tcPr>
            <w:tcW w:w="220" w:type="dxa"/>
            <w:vAlign w:val="bottom"/>
          </w:tcPr>
          <w:p>
            <w:pPr>
              <w:spacing w:after="0"/>
              <w:rPr>
                <w:sz w:val="16"/>
                <w:szCs w:val="16"/>
                <w:color w:val="auto"/>
              </w:rPr>
            </w:pPr>
          </w:p>
        </w:tc>
        <w:tc>
          <w:tcPr>
            <w:tcW w:w="140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(2,319)</w:t>
            </w:r>
          </w:p>
        </w:tc>
        <w:tc>
          <w:tcPr>
            <w:tcW w:w="0" w:type="dxa"/>
            <w:vAlign w:val="bottom"/>
          </w:tcPr>
          <w:p>
            <w:pPr>
              <w:spacing w:after="0"/>
              <w:rPr>
                <w:sz w:val="1"/>
                <w:szCs w:val="1"/>
                <w:color w:val="auto"/>
              </w:rPr>
            </w:pPr>
          </w:p>
        </w:tc>
      </w:tr>
      <w:tr>
        <w:trPr>
          <w:trHeight w:val="21"/>
        </w:trPr>
        <w:tc>
          <w:tcPr>
            <w:tcW w:w="7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March 31, 2021 and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March 31, 2021</w:t>
            </w: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93"/>
              </w:rPr>
              <w:t>December 31, 2020</w:t>
            </w:r>
          </w:p>
        </w:tc>
      </w:tr>
      <w:tr>
        <w:trPr>
          <w:trHeight w:val="187"/>
        </w:trPr>
        <w:tc>
          <w:tcPr>
            <w:tcW w:w="7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16"/>
                <w:szCs w:val="16"/>
                <w:color w:val="auto"/>
              </w:rPr>
            </w:pPr>
          </w:p>
        </w:tc>
      </w:tr>
      <w:tr>
        <w:trPr>
          <w:trHeight w:val="217"/>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on loan: (1)</w:t>
            </w: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3"/>
        </w:trPr>
        <w:tc>
          <w:tcPr>
            <w:tcW w:w="728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22"/>
              <w:spacing w:after="0"/>
              <w:rPr>
                <w:sz w:val="20"/>
                <w:szCs w:val="20"/>
                <w:color w:val="auto"/>
              </w:rPr>
            </w:pPr>
            <w:r>
              <w:rPr>
                <w:rFonts w:ascii="Arial" w:cs="Arial" w:eastAsia="Arial" w:hAnsi="Arial"/>
                <w:sz w:val="16"/>
                <w:szCs w:val="16"/>
                <w:color w:val="auto"/>
              </w:rPr>
              <w:t>2,532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2,373</w:t>
            </w:r>
          </w:p>
        </w:tc>
      </w:tr>
      <w:tr>
        <w:trPr>
          <w:trHeight w:val="219"/>
        </w:trPr>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3,243</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Cash collateral received from counterparties (2)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22"/>
              <w:spacing w:after="0"/>
              <w:rPr>
                <w:sz w:val="20"/>
                <w:szCs w:val="20"/>
                <w:color w:val="auto"/>
              </w:rPr>
            </w:pPr>
            <w:r>
              <w:rPr>
                <w:rFonts w:ascii="Arial" w:cs="Arial" w:eastAsia="Arial" w:hAnsi="Arial"/>
                <w:sz w:val="16"/>
                <w:szCs w:val="16"/>
                <w:color w:val="auto"/>
              </w:rPr>
              <w:t>3,330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3,674</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Reinvestment portfolio — estimated fair value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3,501</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w:t>
            </w:r>
          </w:p>
        </w:tc>
      </w:tr>
      <w:tr>
        <w:trPr>
          <w:trHeight w:val="182"/>
        </w:trPr>
        <w:tc>
          <w:tcPr>
            <w:tcW w:w="7280" w:type="dxa"/>
            <w:vAlign w:val="bottom"/>
          </w:tcPr>
          <w:p>
            <w:pPr>
              <w:spacing w:after="0"/>
              <w:rPr>
                <w:sz w:val="20"/>
                <w:szCs w:val="20"/>
                <w:color w:val="auto"/>
              </w:rPr>
            </w:pPr>
            <w:r>
              <w:rPr>
                <w:rFonts w:ascii="Arial" w:cs="Arial" w:eastAsia="Arial" w:hAnsi="Arial"/>
                <w:sz w:val="14"/>
                <w:szCs w:val="14"/>
                <w:color w:val="auto"/>
              </w:rPr>
              <w:t>_______________</w:t>
            </w: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80" w:type="dxa"/>
            <w:vAlign w:val="bottom"/>
          </w:tcPr>
          <w:p>
            <w:pPr>
              <w:spacing w:after="0"/>
              <w:rPr>
                <w:sz w:val="15"/>
                <w:szCs w:val="15"/>
                <w:color w:val="auto"/>
              </w:rPr>
            </w:pPr>
          </w:p>
        </w:tc>
      </w:tr>
    </w:tbl>
    <w:p>
      <w:pPr>
        <w:spacing w:after="0" w:line="73"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within fixed maturity securities.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within payables for collateral under securities loaned and other transactions.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December 31, 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Open (1)</w:t>
            </w:r>
          </w:p>
        </w:tc>
        <w:tc>
          <w:tcPr>
            <w:tcW w:w="9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1 Month or</w:t>
            </w:r>
          </w:p>
        </w:tc>
        <w:tc>
          <w:tcPr>
            <w:tcW w:w="16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1 to 6</w:t>
            </w:r>
          </w:p>
        </w:tc>
        <w:tc>
          <w:tcPr>
            <w:tcW w:w="180" w:type="dxa"/>
            <w:vAlign w:val="bottom"/>
          </w:tcPr>
          <w:p>
            <w:pPr>
              <w:spacing w:after="0"/>
              <w:rPr>
                <w:sz w:val="11"/>
                <w:szCs w:val="11"/>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Open (1)</w:t>
            </w:r>
          </w:p>
        </w:tc>
        <w:tc>
          <w:tcPr>
            <w:tcW w:w="980" w:type="dxa"/>
            <w:vAlign w:val="bottom"/>
            <w:gridSpan w:val="3"/>
          </w:tcPr>
          <w:p>
            <w:pPr>
              <w:ind w:left="100"/>
              <w:spacing w:after="0" w:line="135" w:lineRule="exact"/>
              <w:rPr>
                <w:sz w:val="20"/>
                <w:szCs w:val="20"/>
                <w:color w:val="auto"/>
              </w:rPr>
            </w:pPr>
            <w:r>
              <w:rPr>
                <w:rFonts w:ascii="Arial" w:cs="Arial" w:eastAsia="Arial" w:hAnsi="Arial"/>
                <w:sz w:val="14"/>
                <w:szCs w:val="14"/>
                <w:b w:val="1"/>
                <w:bCs w:val="1"/>
                <w:color w:val="auto"/>
              </w:rPr>
              <w:t>1 Month or</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 to 6 Months</w:t>
            </w:r>
          </w:p>
        </w:tc>
        <w:tc>
          <w:tcPr>
            <w:tcW w:w="180" w:type="dxa"/>
            <w:vAlign w:val="bottom"/>
          </w:tcPr>
          <w:p>
            <w:pPr>
              <w:spacing w:after="0"/>
              <w:rPr>
                <w:sz w:val="11"/>
                <w:szCs w:val="11"/>
                <w:color w:val="auto"/>
              </w:rPr>
            </w:pPr>
          </w:p>
        </w:tc>
        <w:tc>
          <w:tcPr>
            <w:tcW w:w="6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Less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Months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Less</w:t>
            </w:r>
          </w:p>
        </w:tc>
        <w:tc>
          <w:tcPr>
            <w:tcW w:w="100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3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437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March 31, 2021 was $879 million, primarily comprised of U.S. government and agency securities which, if put back to the Company, could be immediately sold to satisfy the cash requirement.</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reinvestment portfolio acquired with the cash collateral consisted principally of fixed maturity securities (including agency RMBS, ABS, U.S. government and agency securities, U.S. and foreign corporate securities and non-agency RMBS) with 56% invested in agency RMBS, U.S. government and agency securities and cash and cash equivalents at March 31, 2021.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Invested assets on deposit, held in trust and pledged as collateral at estimated fair value were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March 31, 2021</w:t>
            </w: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87"/>
        </w:trPr>
        <w:tc>
          <w:tcPr>
            <w:tcW w:w="7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Invested assets on deposit (regulatory deposits) (1)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10,135</w:t>
            </w:r>
          </w:p>
        </w:tc>
        <w:tc>
          <w:tcPr>
            <w:tcW w:w="0" w:type="dxa"/>
            <w:vAlign w:val="bottom"/>
          </w:tcPr>
          <w:p>
            <w:pPr>
              <w:spacing w:after="0"/>
              <w:rPr>
                <w:sz w:val="1"/>
                <w:szCs w:val="1"/>
                <w:color w:val="auto"/>
              </w:rPr>
            </w:pP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Invested assets held in trust (reinsurance agreements) (2)</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5,456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5,717</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Invested assets pledged as collateral (3)</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5,595</w:t>
            </w:r>
          </w:p>
        </w:tc>
        <w:tc>
          <w:tcPr>
            <w:tcW w:w="0" w:type="dxa"/>
            <w:vAlign w:val="bottom"/>
          </w:tcPr>
          <w:p>
            <w:pPr>
              <w:spacing w:after="0"/>
              <w:rPr>
                <w:sz w:val="1"/>
                <w:szCs w:val="1"/>
                <w:color w:val="auto"/>
              </w:rPr>
            </w:pPr>
          </w:p>
        </w:tc>
      </w:tr>
      <w:tr>
        <w:trPr>
          <w:trHeight w:val="213"/>
        </w:trPr>
        <w:tc>
          <w:tcPr>
            <w:tcW w:w="7280" w:type="dxa"/>
            <w:vAlign w:val="bottom"/>
          </w:tcPr>
          <w:p>
            <w:pPr>
              <w:ind w:left="1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21,447</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2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340" w:hanging="332"/>
        <w:spacing w:after="0" w:line="263"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has assets, primarily fixed maturity securities, on deposit with governmental authorities relating to certain policyholder liabilities, of which $61 million and $60 million of the assets on deposit represents restricted cash and cash equivalents at March 31, 2021 and December 31, 2020, respectively.</w:t>
      </w:r>
    </w:p>
    <w:p>
      <w:pPr>
        <w:spacing w:after="0" w:line="75" w:lineRule="exact"/>
        <w:rPr>
          <w:rFonts w:ascii="Arial" w:cs="Arial" w:eastAsia="Arial" w:hAnsi="Arial"/>
          <w:sz w:val="18"/>
          <w:szCs w:val="18"/>
          <w:color w:val="auto"/>
        </w:rPr>
      </w:pPr>
    </w:p>
    <w:p>
      <w:pPr>
        <w:ind w:left="340" w:hanging="332"/>
        <w:spacing w:after="0" w:line="342" w:lineRule="auto"/>
        <w:tabs>
          <w:tab w:leader="none" w:pos="33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has assets, primarily fixed maturity securities, held in trust relating to certain reinsurance transactions, of which $74 million and $101 million of the assets held in trust balance represents restricted cash and cash equivalents at March 31, 2021 and December 31, 2020, respectively.</w:t>
      </w:r>
    </w:p>
    <w:p>
      <w:pPr>
        <w:spacing w:after="0" w:line="15" w:lineRule="exact"/>
        <w:rPr>
          <w:rFonts w:ascii="Arial" w:cs="Arial" w:eastAsia="Arial" w:hAnsi="Arial"/>
          <w:sz w:val="16"/>
          <w:szCs w:val="16"/>
          <w:color w:val="auto"/>
        </w:rPr>
      </w:pPr>
    </w:p>
    <w:p>
      <w:pPr>
        <w:ind w:left="340" w:hanging="332"/>
        <w:spacing w:after="0" w:line="308" w:lineRule="auto"/>
        <w:tabs>
          <w:tab w:leader="none" w:pos="334"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has pledged invested assets in connection with various agreements and transactions, including funding agreements (see Note 3 of the Notes to the Consolidated Financial Statements included in the 2020 Annual Report) and derivative transactions (see Note 5).</w:t>
      </w:r>
    </w:p>
    <w:p>
      <w:pPr>
        <w:spacing w:after="0" w:line="38"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See “— Securities Lending” for information regarding securities on loan.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invested in legal entities that are variable interest entities (“VIE”). VIEs are consolidated when the investor is the primary beneficiary. A primary beneficiary is the variable interest holder in a VIE with both the power to (i) direct the activities of the VIE that most significantly impact the economic performance of the VIE and (ii) the obligation to absorb losses or the right to receive benefits that could potentially be significant to the VIE.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material VIEs for which the Company has concluded that it is the primary beneficiary at either March 31, 2021 or December 31, 2020.</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 and maximum exposure to loss related to the VIEs for which the Company has concluded that it holds a variable interest, but is not the primary beneficiary, were as follows at: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720"/>
              <w:spacing w:after="0"/>
              <w:rPr>
                <w:sz w:val="20"/>
                <w:szCs w:val="20"/>
                <w:color w:val="auto"/>
              </w:rPr>
            </w:pPr>
            <w:r>
              <w:rPr>
                <w:rFonts w:ascii="Arial" w:cs="Arial" w:eastAsia="Arial" w:hAnsi="Arial"/>
                <w:sz w:val="14"/>
                <w:szCs w:val="14"/>
                <w:b w:val="1"/>
                <w:bCs w:val="1"/>
                <w:color w:val="auto"/>
              </w:rPr>
              <w:t>March 31, 2021</w:t>
            </w:r>
          </w:p>
        </w:tc>
        <w:tc>
          <w:tcPr>
            <w:tcW w:w="360" w:type="dxa"/>
            <w:vAlign w:val="bottom"/>
          </w:tcPr>
          <w:p>
            <w:pPr>
              <w:spacing w:after="0"/>
              <w:rPr>
                <w:sz w:val="16"/>
                <w:szCs w:val="16"/>
                <w:color w:val="auto"/>
              </w:rPr>
            </w:pPr>
          </w:p>
        </w:tc>
        <w:tc>
          <w:tcPr>
            <w:tcW w:w="2580" w:type="dxa"/>
            <w:vAlign w:val="bottom"/>
            <w:gridSpan w:val="4"/>
          </w:tcPr>
          <w:p>
            <w:pPr>
              <w:jc w:val="right"/>
              <w:ind w:right="824"/>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204"/>
              <w:spacing w:after="0" w:line="135" w:lineRule="exact"/>
              <w:rPr>
                <w:sz w:val="20"/>
                <w:szCs w:val="20"/>
                <w:color w:val="auto"/>
              </w:rPr>
            </w:pPr>
            <w:r>
              <w:rPr>
                <w:rFonts w:ascii="Arial" w:cs="Arial" w:eastAsia="Arial" w:hAnsi="Arial"/>
                <w:sz w:val="14"/>
                <w:szCs w:val="14"/>
                <w:b w:val="1"/>
                <w:bCs w:val="1"/>
                <w:color w:val="auto"/>
                <w:w w:val="99"/>
              </w:rPr>
              <w:t>Maximum</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204"/>
              <w:spacing w:after="0" w:line="135"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0"/>
              </w:rPr>
              <w:t>Exposure</w:t>
            </w:r>
          </w:p>
        </w:tc>
        <w:tc>
          <w:tcPr>
            <w:tcW w:w="3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44"/>
              <w:spacing w:after="0" w:line="135"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88"/>
        </w:trPr>
        <w:tc>
          <w:tcPr>
            <w:tcW w:w="5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8"/>
              </w:rPr>
              <w:t>to Loss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8"/>
              </w:rPr>
              <w:t>to Loss</w:t>
            </w:r>
          </w:p>
        </w:tc>
        <w:tc>
          <w:tcPr>
            <w:tcW w:w="0" w:type="dxa"/>
            <w:vAlign w:val="bottom"/>
          </w:tcPr>
          <w:p>
            <w:pPr>
              <w:spacing w:after="0"/>
              <w:rPr>
                <w:sz w:val="1"/>
                <w:szCs w:val="1"/>
                <w:color w:val="auto"/>
              </w:rPr>
            </w:pPr>
          </w:p>
        </w:tc>
      </w:tr>
      <w:tr>
        <w:trPr>
          <w:trHeight w:val="182"/>
        </w:trPr>
        <w:tc>
          <w:tcPr>
            <w:tcW w:w="5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13,257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12,581</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Limited partnerships and LLCs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2,714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3,578</w:t>
            </w:r>
          </w:p>
        </w:tc>
        <w:tc>
          <w:tcPr>
            <w:tcW w:w="0" w:type="dxa"/>
            <w:vAlign w:val="bottom"/>
          </w:tcPr>
          <w:p>
            <w:pPr>
              <w:spacing w:after="0"/>
              <w:rPr>
                <w:sz w:val="1"/>
                <w:szCs w:val="1"/>
                <w:color w:val="auto"/>
              </w:rPr>
            </w:pPr>
          </w:p>
        </w:tc>
      </w:tr>
      <w:tr>
        <w:trPr>
          <w:trHeight w:val="238"/>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15,971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investments in unconsolidated VIEs are described below.</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Limited Partnerships and LLCs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holds investments in certain limited partnerships and LLCs which are VIEs. These ventures include limited partnerships, LLCs, private equity funds, hedge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47"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Limited partnerships and LLCs (1)</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short-term investments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investment income</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1,222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Investment expenses</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investment income</w:t>
            </w:r>
          </w:p>
        </w:tc>
        <w:tc>
          <w:tcPr>
            <w:tcW w:w="780" w:type="dxa"/>
            <w:vAlign w:val="bottom"/>
            <w:tcBorders>
              <w:bottom w:val="single" w:sz="8" w:color="auto"/>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1,187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6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net investment income pertaining to other limited partnership interests of $331 million and $73 million for the three months ended March 31, 2021 and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247"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r>
      <w:tr>
        <w:trPr>
          <w:trHeight w:val="183"/>
        </w:trPr>
        <w:tc>
          <w:tcPr>
            <w:tcW w:w="8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5"/>
                <w:szCs w:val="15"/>
                <w:color w:val="auto"/>
              </w:rPr>
            </w:pPr>
          </w:p>
        </w:tc>
      </w:tr>
      <w:tr>
        <w:trPr>
          <w:trHeight w:val="217"/>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8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Limited partnerships and LLCs</w:t>
            </w:r>
          </w:p>
        </w:tc>
        <w:tc>
          <w:tcPr>
            <w:tcW w:w="8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8680" w:type="dxa"/>
            <w:vAlign w:val="bottom"/>
          </w:tcPr>
          <w:p>
            <w:pPr>
              <w:ind w:left="180"/>
              <w:spacing w:after="0"/>
              <w:rPr>
                <w:sz w:val="20"/>
                <w:szCs w:val="20"/>
                <w:color w:val="auto"/>
              </w:rPr>
            </w:pPr>
            <w:r>
              <w:rPr>
                <w:rFonts w:ascii="Arial" w:cs="Arial" w:eastAsia="Arial" w:hAnsi="Arial"/>
                <w:sz w:val="16"/>
                <w:szCs w:val="16"/>
                <w:color w:val="auto"/>
              </w:rPr>
              <w:t>Total net investment gains (losses)</w:t>
            </w:r>
          </w:p>
        </w:tc>
        <w:tc>
          <w:tcPr>
            <w:tcW w:w="82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
        </w:trPr>
        <w:tc>
          <w:tcPr>
            <w:tcW w:w="8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Sales or Disposals of Fixed Maturity Securities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19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1,262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investment gains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6"/>
                <w:szCs w:val="16"/>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investment losses</w:t>
            </w: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8680" w:type="dxa"/>
            <w:vAlign w:val="bottom"/>
          </w:tcPr>
          <w:p>
            <w:pPr>
              <w:ind w:left="180"/>
              <w:spacing w:after="0"/>
              <w:rPr>
                <w:sz w:val="20"/>
                <w:szCs w:val="20"/>
                <w:color w:val="auto"/>
              </w:rPr>
            </w:pPr>
            <w:r>
              <w:rPr>
                <w:rFonts w:ascii="Arial" w:cs="Arial" w:eastAsia="Arial" w:hAnsi="Arial"/>
                <w:sz w:val="16"/>
                <w:szCs w:val="16"/>
                <w:color w:val="auto"/>
              </w:rPr>
              <w:t>Net investment gains (losses)</w:t>
            </w:r>
          </w:p>
        </w:tc>
        <w:tc>
          <w:tcPr>
            <w:tcW w:w="78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See Note 1 of the Notes to the Consolidated Financial Statements included in the 2020 Annual Report for a description of the Company’s accounting policies for derivatives and Note 8 for information about the fair value hierarchy for derivatives.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Strategies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Types of Derivative Instruments and Derivative Strategies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Company maintains an overall risk management strategy that incorporates the use of derivative instruments to minimize its exposure to various market risks. Commonly used derivative instruments include, but are not necessarily limited to:</w:t>
      </w:r>
    </w:p>
    <w:p>
      <w:pPr>
        <w:spacing w:after="0" w:line="62"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 derivatives: swaps, caps, swaptions and forwards;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rate derivatives: forwards and swaps;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Equity derivatives: options, total return swaps and variance swaps;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Credit derivatives: single and index reference credit default swaps and swaptions.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For detailed information on these contracts and the related strategies, see Note 7 of the Notes to the Consolidated Financial Statements included in the 2020 Annual Report.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underlying risk exposure, gross notional amount and estimated fair value of derivatives held were as follows at: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March 31, 2021</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December 31, 2020</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6"/>
                <w:szCs w:val="16"/>
                <w:color w:val="auto"/>
              </w:rPr>
            </w:pPr>
          </w:p>
        </w:tc>
        <w:tc>
          <w:tcPr>
            <w:tcW w:w="1780" w:type="dxa"/>
            <w:vAlign w:val="bottom"/>
            <w:gridSpan w:val="5"/>
          </w:tcPr>
          <w:p>
            <w:pPr>
              <w:ind w:left="180"/>
              <w:spacing w:after="0"/>
              <w:rPr>
                <w:sz w:val="20"/>
                <w:szCs w:val="20"/>
                <w:color w:val="auto"/>
              </w:rPr>
            </w:pPr>
            <w:r>
              <w:rPr>
                <w:rFonts w:ascii="Arial" w:cs="Arial" w:eastAsia="Arial" w:hAnsi="Arial"/>
                <w:sz w:val="13"/>
                <w:szCs w:val="13"/>
                <w:b w:val="1"/>
                <w:bCs w:val="1"/>
                <w:color w:val="auto"/>
              </w:rPr>
              <w:t>Estimated Fair Value</w:t>
            </w:r>
          </w:p>
        </w:tc>
        <w:tc>
          <w:tcPr>
            <w:tcW w:w="160" w:type="dxa"/>
            <w:vAlign w:val="bottom"/>
          </w:tcPr>
          <w:p>
            <w:pPr>
              <w:spacing w:after="0"/>
              <w:rPr>
                <w:sz w:val="16"/>
                <w:szCs w:val="16"/>
                <w:color w:val="auto"/>
              </w:rPr>
            </w:pPr>
          </w:p>
        </w:tc>
        <w:tc>
          <w:tcPr>
            <w:tcW w:w="720" w:type="dxa"/>
            <w:vAlign w:val="bottom"/>
          </w:tcPr>
          <w:p>
            <w:pPr>
              <w:jc w:val="center"/>
              <w:ind w:right="90"/>
              <w:spacing w:after="0"/>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jc w:val="right"/>
              <w:ind w:right="288"/>
              <w:spacing w:after="0"/>
              <w:rPr>
                <w:sz w:val="20"/>
                <w:szCs w:val="20"/>
                <w:color w:val="auto"/>
              </w:rPr>
            </w:pPr>
            <w:r>
              <w:rPr>
                <w:rFonts w:ascii="Arial" w:cs="Arial" w:eastAsia="Arial" w:hAnsi="Arial"/>
                <w:sz w:val="13"/>
                <w:szCs w:val="13"/>
                <w:b w:val="1"/>
                <w:bCs w:val="1"/>
                <w:color w:val="auto"/>
              </w:rPr>
              <w:t>Estimated Fair Value</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Notional</w:t>
            </w: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restart"/>
          </w:tcPr>
          <w:p>
            <w:pPr>
              <w:jc w:val="center"/>
              <w:ind w:right="70"/>
              <w:spacing w:after="0" w:line="95" w:lineRule="exact"/>
              <w:rPr>
                <w:sz w:val="20"/>
                <w:szCs w:val="20"/>
                <w:color w:val="auto"/>
              </w:rPr>
            </w:pPr>
            <w:r>
              <w:rPr>
                <w:rFonts w:ascii="Arial" w:cs="Arial" w:eastAsia="Arial" w:hAnsi="Arial"/>
                <w:sz w:val="10"/>
                <w:szCs w:val="10"/>
                <w:b w:val="1"/>
                <w:bCs w:val="1"/>
                <w:color w:val="auto"/>
              </w:rPr>
              <w:t>Notional</w:t>
            </w: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0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Primary Underlying Risk Exposure</w:t>
            </w:r>
          </w:p>
        </w:tc>
        <w:tc>
          <w:tcPr>
            <w:tcW w:w="16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Assets</w:t>
            </w:r>
          </w:p>
        </w:tc>
        <w:tc>
          <w:tcPr>
            <w:tcW w:w="120" w:type="dxa"/>
            <w:vAlign w:val="bottom"/>
          </w:tcPr>
          <w:p>
            <w:pPr>
              <w:spacing w:after="0" w:line="20" w:lineRule="exact"/>
              <w:rPr>
                <w:sz w:val="1"/>
                <w:szCs w:val="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Liabilities</w:t>
            </w:r>
          </w:p>
        </w:tc>
        <w:tc>
          <w:tcPr>
            <w:tcW w:w="16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79"/>
              </w:rPr>
              <w:t>Assets</w:t>
            </w:r>
          </w:p>
        </w:tc>
        <w:tc>
          <w:tcPr>
            <w:tcW w:w="140" w:type="dxa"/>
            <w:vAlign w:val="bottom"/>
          </w:tcPr>
          <w:p>
            <w:pPr>
              <w:spacing w:after="0" w:line="20" w:lineRule="exact"/>
              <w:rPr>
                <w:sz w:val="1"/>
                <w:szCs w:val="1"/>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w w:val="93"/>
              </w:rPr>
              <w:t>Liabilities</w:t>
            </w:r>
          </w:p>
        </w:tc>
        <w:tc>
          <w:tcPr>
            <w:tcW w:w="0" w:type="dxa"/>
            <w:vAlign w:val="bottom"/>
          </w:tcPr>
          <w:p>
            <w:pPr>
              <w:spacing w:after="0" w:line="20" w:lineRule="exact"/>
              <w:rPr>
                <w:sz w:val="1"/>
                <w:szCs w:val="1"/>
                <w:color w:val="auto"/>
              </w:rPr>
            </w:pPr>
          </w:p>
        </w:tc>
      </w:tr>
      <w:tr>
        <w:trPr>
          <w:trHeight w:val="170"/>
        </w:trPr>
        <w:tc>
          <w:tcPr>
            <w:tcW w:w="286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9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2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4"/>
          </w:tcPr>
          <w:p>
            <w:pPr>
              <w:jc w:val="right"/>
              <w:ind w:right="53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forwards</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swaps</w:t>
            </w:r>
          </w:p>
        </w:tc>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6"/>
        </w:trPr>
        <w:tc>
          <w:tcPr>
            <w:tcW w:w="2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qualifying hedges</w:t>
            </w:r>
          </w:p>
        </w:tc>
        <w:tc>
          <w:tcPr>
            <w:tcW w:w="2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379"/>
        </w:trPr>
        <w:tc>
          <w:tcPr>
            <w:tcW w:w="546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Interest rate caps</w:t>
            </w:r>
          </w:p>
        </w:tc>
        <w:tc>
          <w:tcPr>
            <w:tcW w:w="260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options</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25,980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Interest rate forwards</w:t>
            </w:r>
          </w:p>
        </w:tc>
        <w:tc>
          <w:tcPr>
            <w:tcW w:w="260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swaps</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Foreign currency forwards</w:t>
            </w:r>
          </w:p>
        </w:tc>
        <w:tc>
          <w:tcPr>
            <w:tcW w:w="2600" w:type="dxa"/>
            <w:vAlign w:val="bottom"/>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default swaps — purchased</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Credit default swaps — written</w:t>
            </w:r>
          </w:p>
        </w:tc>
        <w:tc>
          <w:tcPr>
            <w:tcW w:w="2600" w:type="dxa"/>
            <w:vAlign w:val="bottom"/>
            <w:gridSpan w:val="2"/>
          </w:tcPr>
          <w:p>
            <w:pPr>
              <w:ind w:left="20"/>
              <w:spacing w:after="0"/>
              <w:rPr>
                <w:sz w:val="20"/>
                <w:szCs w:val="20"/>
                <w:color w:val="auto"/>
              </w:rPr>
            </w:pPr>
            <w:r>
              <w:rPr>
                <w:rFonts w:ascii="Arial" w:cs="Arial" w:eastAsia="Arial" w:hAnsi="Arial"/>
                <w:sz w:val="14"/>
                <w:szCs w:val="14"/>
                <w:color w:val="auto"/>
              </w:rPr>
              <w:t>Credit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default options</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Equity index options</w:t>
            </w:r>
          </w:p>
        </w:tc>
        <w:tc>
          <w:tcPr>
            <w:tcW w:w="2600" w:type="dxa"/>
            <w:vAlign w:val="bottom"/>
            <w:gridSpan w:val="2"/>
          </w:tcPr>
          <w:p>
            <w:pPr>
              <w:ind w:left="20"/>
              <w:spacing w:after="0"/>
              <w:rPr>
                <w:sz w:val="20"/>
                <w:szCs w:val="20"/>
                <w:color w:val="auto"/>
              </w:rPr>
            </w:pPr>
            <w:r>
              <w:rPr>
                <w:rFonts w:ascii="Arial" w:cs="Arial" w:eastAsia="Arial" w:hAnsi="Arial"/>
                <w:sz w:val="14"/>
                <w:szCs w:val="14"/>
                <w:color w:val="auto"/>
              </w:rPr>
              <w:t>Equity market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30,438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31,576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variance swaps</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 total return swaps</w:t>
            </w:r>
          </w:p>
        </w:tc>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Equity market</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24,428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18"/>
        </w:trPr>
        <w:tc>
          <w:tcPr>
            <w:tcW w:w="2860" w:type="dxa"/>
            <w:vAlign w:val="bottom"/>
            <w:shd w:val="clear" w:color="auto" w:fill="CCEEFF"/>
          </w:tcPr>
          <w:p>
            <w:pPr>
              <w:ind w:left="180"/>
              <w:spacing w:after="0" w:line="119" w:lineRule="exact"/>
              <w:rPr>
                <w:sz w:val="20"/>
                <w:szCs w:val="20"/>
                <w:color w:val="auto"/>
              </w:rPr>
            </w:pPr>
            <w:r>
              <w:rPr>
                <w:rFonts w:ascii="Arial" w:cs="Arial" w:eastAsia="Arial" w:hAnsi="Arial"/>
                <w:sz w:val="13"/>
                <w:szCs w:val="13"/>
                <w:color w:val="auto"/>
              </w:rPr>
              <w:t>Total non-designated or non-qualifying</w:t>
            </w:r>
          </w:p>
        </w:tc>
        <w:tc>
          <w:tcPr>
            <w:tcW w:w="2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105,318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1,983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1,960</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89,515</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3,382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derivatives</w:t>
            </w:r>
          </w:p>
        </w:tc>
        <w:tc>
          <w:tcPr>
            <w:tcW w:w="2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Embedded derivatives:</w:t>
            </w: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Ceded guaranteed minimum income benefits</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Direct index-linked annuities</w:t>
            </w:r>
          </w:p>
        </w:tc>
        <w:tc>
          <w:tcPr>
            <w:tcW w:w="26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3,855</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 guaranteed minimum benefits</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2,920</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Assumed index-linked annuities</w:t>
            </w:r>
          </w:p>
        </w:tc>
        <w:tc>
          <w:tcPr>
            <w:tcW w:w="26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86"/>
        </w:trPr>
        <w:tc>
          <w:tcPr>
            <w:tcW w:w="2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embedded derivatives</w:t>
            </w:r>
          </w:p>
        </w:tc>
        <w:tc>
          <w:tcPr>
            <w:tcW w:w="2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N/A</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197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6,665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7,157</w:t>
            </w:r>
          </w:p>
        </w:tc>
        <w:tc>
          <w:tcPr>
            <w:tcW w:w="0" w:type="dxa"/>
            <w:vAlign w:val="bottom"/>
          </w:tcPr>
          <w:p>
            <w:pPr>
              <w:spacing w:after="0"/>
              <w:rPr>
                <w:sz w:val="1"/>
                <w:szCs w:val="1"/>
                <w:color w:val="auto"/>
              </w:rPr>
            </w:pPr>
          </w:p>
        </w:tc>
      </w:tr>
      <w:tr>
        <w:trPr>
          <w:trHeight w:val="183"/>
        </w:trPr>
        <w:tc>
          <w:tcPr>
            <w:tcW w:w="2860" w:type="dxa"/>
            <w:vAlign w:val="bottom"/>
          </w:tcPr>
          <w:p>
            <w:pPr>
              <w:ind w:left="180"/>
              <w:spacing w:after="0"/>
              <w:rPr>
                <w:sz w:val="20"/>
                <w:szCs w:val="20"/>
                <w:color w:val="auto"/>
              </w:rPr>
            </w:pPr>
            <w:r>
              <w:rPr>
                <w:rFonts w:ascii="Arial" w:cs="Arial" w:eastAsia="Arial" w:hAnsi="Arial"/>
                <w:sz w:val="14"/>
                <w:szCs w:val="14"/>
                <w:color w:val="auto"/>
              </w:rPr>
              <w:t>Total</w:t>
            </w: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108,417</w:t>
            </w:r>
          </w:p>
        </w:tc>
        <w:tc>
          <w:tcPr>
            <w:tcW w:w="10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2,300</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92,617</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Based on gross notional amounts, a substantial portion of the Company’s derivatives was not designated or did not qualify as part of a hedging relationship at both March 31, 2021 and December 31, 2020. The Company’s use of derivatives includes (i) derivatives that serve as macro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ASC 815;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amount and location of gains (losses), including earned income, recognized for derivatives and gains (losses) pertaining to hedged items presented in net derivative gains (losses)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Net Derivative Gains</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Net Derivative Gains</w:t>
            </w:r>
          </w:p>
        </w:tc>
        <w:tc>
          <w:tcPr>
            <w:tcW w:w="14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Net Investment</w:t>
            </w:r>
          </w:p>
        </w:tc>
        <w:tc>
          <w:tcPr>
            <w:tcW w:w="100" w:type="dxa"/>
            <w:vAlign w:val="bottom"/>
          </w:tcPr>
          <w:p>
            <w:pPr>
              <w:spacing w:after="0"/>
              <w:rPr>
                <w:sz w:val="14"/>
                <w:szCs w:val="14"/>
                <w:color w:val="auto"/>
              </w:rPr>
            </w:pPr>
          </w:p>
        </w:tc>
        <w:tc>
          <w:tcPr>
            <w:tcW w:w="1360" w:type="dxa"/>
            <w:vAlign w:val="bottom"/>
          </w:tcPr>
          <w:p>
            <w:pPr>
              <w:jc w:val="center"/>
              <w:ind w:right="20"/>
              <w:spacing w:after="0"/>
              <w:rPr>
                <w:sz w:val="20"/>
                <w:szCs w:val="20"/>
                <w:color w:val="auto"/>
              </w:rPr>
            </w:pPr>
            <w:r>
              <w:rPr>
                <w:rFonts w:ascii="Arial" w:cs="Arial" w:eastAsia="Arial" w:hAnsi="Arial"/>
                <w:sz w:val="14"/>
                <w:szCs w:val="14"/>
                <w:b w:val="1"/>
                <w:bCs w:val="1"/>
                <w:color w:val="auto"/>
                <w:w w:val="93"/>
              </w:rPr>
              <w:t>Amount of Gains</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6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(Losses) Recognized for</w:t>
            </w:r>
          </w:p>
        </w:tc>
        <w:tc>
          <w:tcPr>
            <w:tcW w:w="100" w:type="dxa"/>
            <w:vAlign w:val="bottom"/>
          </w:tcPr>
          <w:p>
            <w:pPr>
              <w:spacing w:after="0"/>
              <w:rPr>
                <w:sz w:val="11"/>
                <w:szCs w:val="11"/>
                <w:color w:val="auto"/>
              </w:rPr>
            </w:pPr>
          </w:p>
        </w:tc>
        <w:tc>
          <w:tcPr>
            <w:tcW w:w="14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(Losses) Recognized</w:t>
            </w:r>
          </w:p>
        </w:tc>
        <w:tc>
          <w:tcPr>
            <w:tcW w:w="1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(Losses) Deferred in</w:t>
            </w:r>
          </w:p>
        </w:tc>
        <w:tc>
          <w:tcPr>
            <w:tcW w:w="0" w:type="dxa"/>
            <w:vAlign w:val="bottom"/>
          </w:tcPr>
          <w:p>
            <w:pPr>
              <w:spacing w:after="0"/>
              <w:rPr>
                <w:sz w:val="1"/>
                <w:szCs w:val="1"/>
                <w:color w:val="auto"/>
              </w:rPr>
            </w:pPr>
          </w:p>
        </w:tc>
      </w:tr>
      <w:tr>
        <w:trPr>
          <w:trHeight w:val="188"/>
        </w:trPr>
        <w:tc>
          <w:tcPr>
            <w:tcW w:w="5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for Hedged Items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5"/>
          </w:tcPr>
          <w:p>
            <w:pPr>
              <w:ind w:left="9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Interest rate derivatives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cash flow hedges</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5"/>
              </w:rPr>
              <w:t>Derivatives Not Designated or Not Qualifying as Hedging Instruments:</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Interest rate derivatives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Credit derivatives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derivatives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 derivatives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(1,504)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2020</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Interest rate derivatives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07"/>
        </w:trPr>
        <w:tc>
          <w:tcPr>
            <w:tcW w:w="5120" w:type="dxa"/>
            <w:vAlign w:val="bottom"/>
          </w:tcPr>
          <w:p>
            <w:pPr>
              <w:ind w:left="180"/>
              <w:spacing w:after="0"/>
              <w:rPr>
                <w:sz w:val="20"/>
                <w:szCs w:val="20"/>
                <w:color w:val="auto"/>
              </w:rPr>
            </w:pPr>
            <w:r>
              <w:rPr>
                <w:rFonts w:ascii="Arial" w:cs="Arial" w:eastAsia="Arial" w:hAnsi="Arial"/>
                <w:sz w:val="16"/>
                <w:szCs w:val="16"/>
                <w:color w:val="auto"/>
              </w:rPr>
              <w:t>Total cash flow hedges</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415"/>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5"/>
              </w:rPr>
              <w:t>Derivatives Not Designated or Not Qualifying as Hedging Instruments:</w:t>
            </w:r>
          </w:p>
        </w:tc>
        <w:tc>
          <w:tcPr>
            <w:tcW w:w="100" w:type="dxa"/>
            <w:vAlign w:val="bottom"/>
            <w:tcBorders>
              <w:top w:val="single" w:sz="8" w:color="auto"/>
            </w:tcBorders>
            <w:shd w:val="clear" w:color="auto" w:fill="CCEEFF"/>
          </w:tcPr>
          <w:p>
            <w:pPr>
              <w:spacing w:after="0"/>
              <w:rPr>
                <w:sz w:val="24"/>
                <w:szCs w:val="24"/>
                <w:color w:val="auto"/>
              </w:rPr>
            </w:pPr>
          </w:p>
        </w:tc>
        <w:tc>
          <w:tcPr>
            <w:tcW w:w="14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Interest rate derivatives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 derivatives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Credit derivatives</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derivatives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 derivatives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120" w:type="dxa"/>
            <w:vAlign w:val="bottom"/>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6,909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both March 31, 2021 and December 31, 2020, the maximum length of time over which the Company was hedging its exposure to variability in future cash flows for forecasted transactions was three years.</w:t>
      </w:r>
    </w:p>
    <w:p>
      <w:pPr>
        <w:spacing w:after="0" w:line="116" w:lineRule="exact"/>
        <w:rPr>
          <w:sz w:val="20"/>
          <w:szCs w:val="20"/>
          <w:color w:val="auto"/>
        </w:rPr>
      </w:pPr>
    </w:p>
    <w:p>
      <w:pPr>
        <w:ind w:right="300" w:firstLine="324"/>
        <w:spacing w:after="0" w:line="375" w:lineRule="auto"/>
        <w:rPr>
          <w:sz w:val="20"/>
          <w:szCs w:val="20"/>
          <w:color w:val="auto"/>
        </w:rPr>
      </w:pPr>
      <w:r>
        <w:rPr>
          <w:rFonts w:ascii="Arial" w:cs="Arial" w:eastAsia="Arial" w:hAnsi="Arial"/>
          <w:sz w:val="18"/>
          <w:szCs w:val="18"/>
          <w:color w:val="auto"/>
        </w:rPr>
        <w:t xml:space="preserve">At March 31, 2021 and December 31, 2020, the balance in AOCI associated with cash flow hedges was $98 million and $173 million, respectively. </w:t>
      </w:r>
      <w:r>
        <w:rPr>
          <w:rFonts w:ascii="Arial" w:cs="Arial" w:eastAsia="Arial" w:hAnsi="Arial"/>
          <w:sz w:val="18"/>
          <w:szCs w:val="18"/>
          <w:b w:val="1"/>
          <w:bCs w:val="1"/>
          <w:i w:val="1"/>
          <w:iCs w:val="1"/>
          <w:color w:val="auto"/>
        </w:rPr>
        <w:t>Credit Derivatives</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estimated fair value, maximum amount of future payments and weighted average years to maturity of written credit default swaps were as follows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March 31, 2021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w w:val="96"/>
              </w:rPr>
              <w:t>December 31, 2020</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1"/>
                <w:szCs w:val="11"/>
                <w:color w:val="auto"/>
              </w:rPr>
            </w:pPr>
          </w:p>
        </w:tc>
        <w:tc>
          <w:tcPr>
            <w:tcW w:w="1320" w:type="dxa"/>
            <w:vAlign w:val="bottom"/>
          </w:tcPr>
          <w:p>
            <w:pPr>
              <w:jc w:val="center"/>
              <w:ind w:right="125"/>
              <w:spacing w:after="0" w:line="135" w:lineRule="exact"/>
              <w:rPr>
                <w:sz w:val="20"/>
                <w:szCs w:val="20"/>
                <w:color w:val="auto"/>
              </w:rPr>
            </w:pPr>
            <w:r>
              <w:rPr>
                <w:rFonts w:ascii="Arial" w:cs="Arial" w:eastAsia="Arial" w:hAnsi="Arial"/>
                <w:sz w:val="14"/>
                <w:szCs w:val="14"/>
                <w:b w:val="1"/>
                <w:bCs w:val="1"/>
                <w:color w:val="auto"/>
                <w:w w:val="99"/>
              </w:rPr>
              <w:t>Maximum</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1"/>
                <w:szCs w:val="11"/>
                <w:color w:val="auto"/>
              </w:rPr>
            </w:pPr>
          </w:p>
        </w:tc>
        <w:tc>
          <w:tcPr>
            <w:tcW w:w="1320" w:type="dxa"/>
            <w:vAlign w:val="bottom"/>
          </w:tcPr>
          <w:p>
            <w:pPr>
              <w:jc w:val="center"/>
              <w:ind w:right="85"/>
              <w:spacing w:after="0" w:line="135" w:lineRule="exact"/>
              <w:rPr>
                <w:sz w:val="20"/>
                <w:szCs w:val="20"/>
                <w:color w:val="auto"/>
              </w:rPr>
            </w:pPr>
            <w:r>
              <w:rPr>
                <w:rFonts w:ascii="Arial" w:cs="Arial" w:eastAsia="Arial" w:hAnsi="Arial"/>
                <w:sz w:val="14"/>
                <w:szCs w:val="14"/>
                <w:b w:val="1"/>
                <w:bCs w:val="1"/>
                <w:color w:val="auto"/>
                <w:w w:val="99"/>
              </w:rPr>
              <w:t>Maximum</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94"/>
              </w:rPr>
              <w:t>Amount of</w:t>
            </w: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94"/>
              </w:rPr>
              <w:t>Amount of</w:t>
            </w:r>
          </w:p>
        </w:tc>
        <w:tc>
          <w:tcPr>
            <w:tcW w:w="1200" w:type="dxa"/>
            <w:vAlign w:val="bottom"/>
            <w:vMerge w:val="restart"/>
          </w:tcPr>
          <w:p>
            <w:pPr>
              <w:jc w:val="center"/>
              <w:ind w:left="2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1"/>
                <w:szCs w:val="11"/>
                <w:color w:val="auto"/>
              </w:rPr>
            </w:pPr>
          </w:p>
        </w:tc>
        <w:tc>
          <w:tcPr>
            <w:tcW w:w="132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96"/>
              </w:rPr>
              <w:t>Future</w:t>
            </w: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1"/>
                <w:szCs w:val="11"/>
                <w:color w:val="auto"/>
              </w:rPr>
            </w:pPr>
          </w:p>
        </w:tc>
        <w:tc>
          <w:tcPr>
            <w:tcW w:w="132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96"/>
              </w:rPr>
              <w:t>Future</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Rating Agency Designation of Referenced Credit</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of Credit</w:t>
            </w:r>
          </w:p>
        </w:tc>
        <w:tc>
          <w:tcPr>
            <w:tcW w:w="180" w:type="dxa"/>
            <w:vAlign w:val="bottom"/>
          </w:tcPr>
          <w:p>
            <w:pPr>
              <w:spacing w:after="0"/>
              <w:rPr>
                <w:sz w:val="11"/>
                <w:szCs w:val="11"/>
                <w:color w:val="auto"/>
              </w:rPr>
            </w:pPr>
          </w:p>
        </w:tc>
        <w:tc>
          <w:tcPr>
            <w:tcW w:w="132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93"/>
              </w:rPr>
              <w:t>Payments under</w:t>
            </w: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of Credit</w:t>
            </w:r>
          </w:p>
        </w:tc>
        <w:tc>
          <w:tcPr>
            <w:tcW w:w="160" w:type="dxa"/>
            <w:vAlign w:val="bottom"/>
          </w:tcPr>
          <w:p>
            <w:pPr>
              <w:spacing w:after="0"/>
              <w:rPr>
                <w:sz w:val="11"/>
                <w:szCs w:val="11"/>
                <w:color w:val="auto"/>
              </w:rPr>
            </w:pPr>
          </w:p>
        </w:tc>
        <w:tc>
          <w:tcPr>
            <w:tcW w:w="1320" w:type="dxa"/>
            <w:vAlign w:val="bottom"/>
          </w:tcPr>
          <w:p>
            <w:pPr>
              <w:jc w:val="center"/>
              <w:ind w:right="85"/>
              <w:spacing w:after="0" w:line="135" w:lineRule="exact"/>
              <w:rPr>
                <w:sz w:val="20"/>
                <w:szCs w:val="20"/>
                <w:color w:val="auto"/>
              </w:rPr>
            </w:pPr>
            <w:r>
              <w:rPr>
                <w:rFonts w:ascii="Arial" w:cs="Arial" w:eastAsia="Arial" w:hAnsi="Arial"/>
                <w:sz w:val="14"/>
                <w:szCs w:val="14"/>
                <w:b w:val="1"/>
                <w:bCs w:val="1"/>
                <w:color w:val="auto"/>
                <w:w w:val="91"/>
              </w:rPr>
              <w:t>Payments under</w:t>
            </w:r>
          </w:p>
        </w:tc>
        <w:tc>
          <w:tcPr>
            <w:tcW w:w="1200" w:type="dxa"/>
            <w:vAlign w:val="bottom"/>
          </w:tcPr>
          <w:p>
            <w:pPr>
              <w:jc w:val="center"/>
              <w:ind w:left="24"/>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3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11"/>
                <w:szCs w:val="11"/>
                <w:color w:val="auto"/>
              </w:rPr>
            </w:pPr>
          </w:p>
        </w:tc>
        <w:tc>
          <w:tcPr>
            <w:tcW w:w="1320" w:type="dxa"/>
            <w:vAlign w:val="bottom"/>
          </w:tcPr>
          <w:p>
            <w:pPr>
              <w:jc w:val="center"/>
              <w:ind w:right="105"/>
              <w:spacing w:after="0" w:line="135" w:lineRule="exact"/>
              <w:rPr>
                <w:sz w:val="20"/>
                <w:szCs w:val="20"/>
                <w:color w:val="auto"/>
              </w:rPr>
            </w:pPr>
            <w:r>
              <w:rPr>
                <w:rFonts w:ascii="Arial" w:cs="Arial" w:eastAsia="Arial" w:hAnsi="Arial"/>
                <w:sz w:val="14"/>
                <w:szCs w:val="14"/>
                <w:b w:val="1"/>
                <w:bCs w:val="1"/>
                <w:color w:val="auto"/>
                <w:w w:val="98"/>
              </w:rPr>
              <w:t>Credit Default</w:t>
            </w:r>
          </w:p>
        </w:tc>
        <w:tc>
          <w:tcPr>
            <w:tcW w:w="13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Years to</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Default</w:t>
            </w:r>
          </w:p>
        </w:tc>
        <w:tc>
          <w:tcPr>
            <w:tcW w:w="160" w:type="dxa"/>
            <w:vAlign w:val="bottom"/>
          </w:tcPr>
          <w:p>
            <w:pPr>
              <w:spacing w:after="0"/>
              <w:rPr>
                <w:sz w:val="11"/>
                <w:szCs w:val="11"/>
                <w:color w:val="auto"/>
              </w:rPr>
            </w:pPr>
          </w:p>
        </w:tc>
        <w:tc>
          <w:tcPr>
            <w:tcW w:w="1320" w:type="dxa"/>
            <w:vAlign w:val="bottom"/>
          </w:tcPr>
          <w:p>
            <w:pPr>
              <w:jc w:val="center"/>
              <w:ind w:right="85"/>
              <w:spacing w:after="0" w:line="135" w:lineRule="exact"/>
              <w:rPr>
                <w:sz w:val="20"/>
                <w:szCs w:val="20"/>
                <w:color w:val="auto"/>
              </w:rPr>
            </w:pPr>
            <w:r>
              <w:rPr>
                <w:rFonts w:ascii="Arial" w:cs="Arial" w:eastAsia="Arial" w:hAnsi="Arial"/>
                <w:sz w:val="14"/>
                <w:szCs w:val="14"/>
                <w:b w:val="1"/>
                <w:bCs w:val="1"/>
                <w:color w:val="auto"/>
                <w:w w:val="95"/>
              </w:rPr>
              <w:t>Credit Default</w:t>
            </w:r>
          </w:p>
        </w:tc>
        <w:tc>
          <w:tcPr>
            <w:tcW w:w="1200" w:type="dxa"/>
            <w:vAlign w:val="bottom"/>
          </w:tcPr>
          <w:p>
            <w:pPr>
              <w:jc w:val="center"/>
              <w:ind w:left="24"/>
              <w:spacing w:after="0" w:line="135" w:lineRule="exact"/>
              <w:rPr>
                <w:sz w:val="20"/>
                <w:szCs w:val="20"/>
                <w:color w:val="auto"/>
              </w:rPr>
            </w:pPr>
            <w:r>
              <w:rPr>
                <w:rFonts w:ascii="Arial" w:cs="Arial" w:eastAsia="Arial" w:hAnsi="Arial"/>
                <w:sz w:val="14"/>
                <w:szCs w:val="14"/>
                <w:b w:val="1"/>
                <w:bCs w:val="1"/>
                <w:color w:val="auto"/>
                <w:w w:val="90"/>
              </w:rPr>
              <w:t>Years to</w:t>
            </w:r>
          </w:p>
        </w:tc>
        <w:tc>
          <w:tcPr>
            <w:tcW w:w="0" w:type="dxa"/>
            <w:vAlign w:val="bottom"/>
          </w:tcPr>
          <w:p>
            <w:pPr>
              <w:spacing w:after="0"/>
              <w:rPr>
                <w:sz w:val="1"/>
                <w:szCs w:val="1"/>
                <w:color w:val="auto"/>
              </w:rPr>
            </w:pPr>
          </w:p>
        </w:tc>
      </w:tr>
      <w:tr>
        <w:trPr>
          <w:trHeight w:val="188"/>
        </w:trPr>
        <w:tc>
          <w:tcPr>
            <w:tcW w:w="3660" w:type="dxa"/>
            <w:vAlign w:val="bottom"/>
            <w:gridSpan w:val="2"/>
          </w:tcPr>
          <w:p>
            <w:pPr>
              <w:ind w:left="20"/>
              <w:spacing w:after="0"/>
              <w:rPr>
                <w:sz w:val="20"/>
                <w:szCs w:val="20"/>
                <w:color w:val="auto"/>
              </w:rPr>
            </w:pPr>
            <w:r>
              <w:rPr>
                <w:rFonts w:ascii="Arial" w:cs="Arial" w:eastAsia="Arial" w:hAnsi="Arial"/>
                <w:sz w:val="14"/>
                <w:szCs w:val="14"/>
                <w:b w:val="1"/>
                <w:bCs w:val="1"/>
                <w:color w:val="auto"/>
              </w:rPr>
              <w:t>Obligations (1)</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80" w:type="dxa"/>
            <w:vAlign w:val="bottom"/>
          </w:tcPr>
          <w:p>
            <w:pPr>
              <w:spacing w:after="0"/>
              <w:rPr>
                <w:sz w:val="16"/>
                <w:szCs w:val="16"/>
                <w:color w:val="auto"/>
              </w:rPr>
            </w:pPr>
          </w:p>
        </w:tc>
        <w:tc>
          <w:tcPr>
            <w:tcW w:w="1320" w:type="dxa"/>
            <w:vAlign w:val="bottom"/>
          </w:tcPr>
          <w:p>
            <w:pPr>
              <w:jc w:val="center"/>
              <w:ind w:right="105"/>
              <w:spacing w:after="0"/>
              <w:rPr>
                <w:sz w:val="20"/>
                <w:szCs w:val="20"/>
                <w:color w:val="auto"/>
              </w:rPr>
            </w:pPr>
            <w:r>
              <w:rPr>
                <w:rFonts w:ascii="Arial" w:cs="Arial" w:eastAsia="Arial" w:hAnsi="Arial"/>
                <w:sz w:val="14"/>
                <w:szCs w:val="14"/>
                <w:b w:val="1"/>
                <w:bCs w:val="1"/>
                <w:color w:val="auto"/>
                <w:w w:val="85"/>
              </w:rPr>
              <w:t>Swaps</w:t>
            </w: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Maturity (2)</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Swaps</w:t>
            </w:r>
          </w:p>
        </w:tc>
        <w:tc>
          <w:tcPr>
            <w:tcW w:w="160" w:type="dxa"/>
            <w:vAlign w:val="bottom"/>
          </w:tcPr>
          <w:p>
            <w:pPr>
              <w:spacing w:after="0"/>
              <w:rPr>
                <w:sz w:val="16"/>
                <w:szCs w:val="16"/>
                <w:color w:val="auto"/>
              </w:rPr>
            </w:pPr>
          </w:p>
        </w:tc>
        <w:tc>
          <w:tcPr>
            <w:tcW w:w="1320" w:type="dxa"/>
            <w:vAlign w:val="bottom"/>
          </w:tcPr>
          <w:p>
            <w:pPr>
              <w:jc w:val="center"/>
              <w:ind w:right="85"/>
              <w:spacing w:after="0"/>
              <w:rPr>
                <w:sz w:val="20"/>
                <w:szCs w:val="20"/>
                <w:color w:val="auto"/>
              </w:rPr>
            </w:pPr>
            <w:r>
              <w:rPr>
                <w:rFonts w:ascii="Arial" w:cs="Arial" w:eastAsia="Arial" w:hAnsi="Arial"/>
                <w:sz w:val="14"/>
                <w:szCs w:val="14"/>
                <w:b w:val="1"/>
                <w:bCs w:val="1"/>
                <w:color w:val="auto"/>
                <w:w w:val="90"/>
              </w:rPr>
              <w:t>Swaps</w:t>
            </w:r>
          </w:p>
        </w:tc>
        <w:tc>
          <w:tcPr>
            <w:tcW w:w="1200" w:type="dxa"/>
            <w:vAlign w:val="bottom"/>
          </w:tcPr>
          <w:p>
            <w:pPr>
              <w:jc w:val="center"/>
              <w:ind w:left="44"/>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183"/>
        </w:trPr>
        <w:tc>
          <w:tcPr>
            <w:tcW w:w="3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360" w:type="dxa"/>
            <w:vAlign w:val="bottom"/>
            <w:tcBorders>
              <w:top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Aaa/Aa/A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693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Baa</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1,081</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1,774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5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340" w:hanging="332"/>
        <w:spacing w:after="0" w:line="263"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written credit protection on both single name and index references. The rating agency designations are based on availability and the midpoint of the applicable ratings among Moody’s, S&amp;P and Fitch. If no rating is available from a rating agency, then an internally developed rating is used.</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 description of the impact of credit risk on the valuation of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values of net derivative assets and net derivative liabilities after the application of master netting agreements and collateral were as follows at:</w:t>
      </w:r>
    </w:p>
    <w:p>
      <w:pPr>
        <w:spacing w:after="0" w:line="192" w:lineRule="exact"/>
        <w:rPr>
          <w:sz w:val="20"/>
          <w:szCs w:val="20"/>
          <w:color w:val="auto"/>
        </w:rPr>
      </w:pPr>
    </w:p>
    <w:p>
      <w:pPr>
        <w:jc w:val="center"/>
        <w:ind w:right="960"/>
        <w:spacing w:after="0"/>
        <w:rPr>
          <w:sz w:val="20"/>
          <w:szCs w:val="20"/>
          <w:color w:val="auto"/>
        </w:rPr>
      </w:pPr>
      <w:r>
        <w:rPr>
          <w:rFonts w:ascii="Arial" w:cs="Arial" w:eastAsia="Arial" w:hAnsi="Arial"/>
          <w:sz w:val="14"/>
          <w:szCs w:val="14"/>
          <w:b w:val="1"/>
          <w:bCs w:val="1"/>
          <w:color w:val="auto"/>
        </w:rPr>
        <w:t>Gross Amounts Not Offset on the Consolidated</w:t>
      </w:r>
    </w:p>
    <w:p>
      <w:pPr>
        <w:jc w:val="center"/>
        <w:ind w:right="960"/>
        <w:spacing w:after="0"/>
        <w:rPr>
          <w:sz w:val="20"/>
          <w:szCs w:val="20"/>
          <w:color w:val="auto"/>
        </w:rPr>
      </w:pPr>
      <w:r>
        <w:rPr>
          <w:rFonts w:ascii="Arial" w:cs="Arial" w:eastAsia="Arial" w:hAnsi="Arial"/>
          <w:sz w:val="14"/>
          <w:szCs w:val="14"/>
          <w:b w:val="1"/>
          <w:bCs w:val="1"/>
          <w:color w:val="auto"/>
        </w:rPr>
        <w:t>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ind w:right="302"/>
              <w:spacing w:after="0" w:line="141" w:lineRule="exact"/>
              <w:rPr>
                <w:sz w:val="20"/>
                <w:szCs w:val="20"/>
                <w:color w:val="auto"/>
              </w:rPr>
            </w:pPr>
            <w:r>
              <w:rPr>
                <w:rFonts w:ascii="Arial" w:cs="Arial" w:eastAsia="Arial" w:hAnsi="Arial"/>
                <w:sz w:val="14"/>
                <w:szCs w:val="14"/>
                <w:b w:val="1"/>
                <w:bCs w:val="1"/>
                <w:color w:val="auto"/>
                <w:w w:val="98"/>
              </w:rPr>
              <w:t>Gross Amount</w:t>
            </w:r>
          </w:p>
        </w:tc>
        <w:tc>
          <w:tcPr>
            <w:tcW w:w="148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w w:val="99"/>
              </w:rPr>
              <w:t>Financial Instruments</w:t>
            </w:r>
          </w:p>
        </w:tc>
        <w:tc>
          <w:tcPr>
            <w:tcW w:w="3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322"/>
              <w:spacing w:after="0" w:line="141" w:lineRule="exact"/>
              <w:rPr>
                <w:sz w:val="20"/>
                <w:szCs w:val="20"/>
                <w:color w:val="auto"/>
              </w:rPr>
            </w:pPr>
            <w:r>
              <w:rPr>
                <w:rFonts w:ascii="Arial" w:cs="Arial" w:eastAsia="Arial" w:hAnsi="Arial"/>
                <w:sz w:val="14"/>
                <w:szCs w:val="14"/>
                <w:b w:val="1"/>
                <w:bCs w:val="1"/>
                <w:color w:val="auto"/>
              </w:rPr>
              <w:t>Collateral</w:t>
            </w: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Net Amount</w:t>
            </w:r>
          </w:p>
        </w:tc>
        <w:tc>
          <w:tcPr>
            <w:tcW w:w="360" w:type="dxa"/>
            <w:vAlign w:val="bottom"/>
          </w:tcPr>
          <w:p>
            <w:pPr>
              <w:spacing w:after="0"/>
              <w:rPr>
                <w:sz w:val="12"/>
                <w:szCs w:val="12"/>
                <w:color w:val="auto"/>
              </w:rPr>
            </w:pPr>
          </w:p>
        </w:tc>
        <w:tc>
          <w:tcPr>
            <w:tcW w:w="1560" w:type="dxa"/>
            <w:vAlign w:val="bottom"/>
            <w:gridSpan w:val="2"/>
          </w:tcPr>
          <w:p>
            <w:pPr>
              <w:jc w:val="right"/>
              <w:ind w:right="59"/>
              <w:spacing w:after="0" w:line="141" w:lineRule="exact"/>
              <w:rPr>
                <w:sz w:val="20"/>
                <w:szCs w:val="20"/>
                <w:color w:val="auto"/>
              </w:rPr>
            </w:pPr>
            <w:r>
              <w:rPr>
                <w:rFonts w:ascii="Arial" w:cs="Arial" w:eastAsia="Arial" w:hAnsi="Arial"/>
                <w:sz w:val="14"/>
                <w:szCs w:val="14"/>
                <w:b w:val="1"/>
                <w:bCs w:val="1"/>
                <w:color w:val="auto"/>
              </w:rPr>
              <w:t>Securities Collateral</w:t>
            </w:r>
          </w:p>
        </w:tc>
        <w:tc>
          <w:tcPr>
            <w:tcW w:w="180" w:type="dxa"/>
            <w:vAlign w:val="bottom"/>
          </w:tcPr>
          <w:p>
            <w:pPr>
              <w:spacing w:after="0"/>
              <w:rPr>
                <w:sz w:val="12"/>
                <w:szCs w:val="12"/>
                <w:color w:val="auto"/>
              </w:rPr>
            </w:pPr>
          </w:p>
        </w:tc>
        <w:tc>
          <w:tcPr>
            <w:tcW w:w="1300" w:type="dxa"/>
            <w:vAlign w:val="bottom"/>
          </w:tcPr>
          <w:p>
            <w:pPr>
              <w:jc w:val="right"/>
              <w:ind w:right="81"/>
              <w:spacing w:after="0" w:line="141" w:lineRule="exact"/>
              <w:rPr>
                <w:sz w:val="20"/>
                <w:szCs w:val="20"/>
                <w:color w:val="auto"/>
              </w:rPr>
            </w:pPr>
            <w:r>
              <w:rPr>
                <w:rFonts w:ascii="Arial" w:cs="Arial" w:eastAsia="Arial" w:hAnsi="Arial"/>
                <w:sz w:val="14"/>
                <w:szCs w:val="14"/>
                <w:b w:val="1"/>
                <w:bCs w:val="1"/>
                <w:color w:val="auto"/>
                <w:w w:val="96"/>
              </w:rPr>
              <w:t>Net Amount After</w:t>
            </w: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Recognized</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(1)</w:t>
            </w:r>
          </w:p>
        </w:tc>
        <w:tc>
          <w:tcPr>
            <w:tcW w:w="148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b w:val="1"/>
                <w:bCs w:val="1"/>
                <w:color w:val="auto"/>
                <w:w w:val="97"/>
              </w:rPr>
              <w:t>Received/Pledged (2)</w:t>
            </w:r>
          </w:p>
        </w:tc>
        <w:tc>
          <w:tcPr>
            <w:tcW w:w="12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w w:val="99"/>
              </w:rPr>
              <w:t>Received/Pledged (3)</w:t>
            </w:r>
          </w:p>
        </w:tc>
        <w:tc>
          <w:tcPr>
            <w:tcW w:w="148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Securities Collateral</w:t>
            </w: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2"/>
          </w:tcPr>
          <w:p>
            <w:pPr>
              <w:jc w:val="right"/>
              <w:ind w:right="701"/>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Arial" w:cs="Arial" w:eastAsia="Arial" w:hAnsi="Arial"/>
                <w:sz w:val="16"/>
                <w:szCs w:val="16"/>
                <w:color w:val="auto"/>
              </w:rPr>
              <w:t>Derivative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2,124</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(1,309)</w:t>
            </w:r>
          </w:p>
        </w:tc>
        <w:tc>
          <w:tcPr>
            <w:tcW w:w="3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(766)</w:t>
            </w:r>
          </w:p>
        </w:tc>
        <w:tc>
          <w:tcPr>
            <w:tcW w:w="1220" w:type="dxa"/>
            <w:vAlign w:val="bottom"/>
          </w:tcPr>
          <w:p>
            <w:pPr>
              <w:jc w:val="right"/>
              <w:ind w:right="92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64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2,052</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(1,309)</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743</w:t>
            </w:r>
          </w:p>
        </w:tc>
        <w:tc>
          <w:tcPr>
            <w:tcW w:w="6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3,588</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(1,342)</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22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906</w:t>
            </w:r>
          </w:p>
        </w:tc>
        <w:tc>
          <w:tcPr>
            <w:tcW w:w="64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7"/>
        </w:trPr>
        <w:tc>
          <w:tcPr>
            <w:tcW w:w="212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02"/>
              <w:spacing w:after="0"/>
              <w:rPr>
                <w:sz w:val="20"/>
                <w:szCs w:val="20"/>
                <w:color w:val="auto"/>
              </w:rPr>
            </w:pPr>
            <w:r>
              <w:rPr>
                <w:rFonts w:ascii="Arial" w:cs="Arial" w:eastAsia="Arial" w:hAnsi="Arial"/>
                <w:sz w:val="16"/>
                <w:szCs w:val="16"/>
                <w:color w:val="auto"/>
              </w:rPr>
              <w:t>2,010</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(1,342)</w:t>
            </w:r>
          </w:p>
        </w:tc>
        <w:tc>
          <w:tcPr>
            <w:tcW w:w="3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21"/>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668</w:t>
            </w:r>
          </w:p>
        </w:tc>
        <w:tc>
          <w:tcPr>
            <w:tcW w:w="64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2"/>
        </w:trPr>
        <w:tc>
          <w:tcPr>
            <w:tcW w:w="2120" w:type="dxa"/>
            <w:vAlign w:val="bottom"/>
          </w:tcPr>
          <w:p>
            <w:pPr>
              <w:spacing w:after="0"/>
              <w:rPr>
                <w:sz w:val="20"/>
                <w:szCs w:val="20"/>
                <w:color w:val="auto"/>
              </w:rPr>
            </w:pPr>
            <w:r>
              <w:rPr>
                <w:rFonts w:ascii="Arial" w:cs="Arial" w:eastAsia="Arial" w:hAnsi="Arial"/>
                <w:sz w:val="14"/>
                <w:szCs w:val="14"/>
                <w:color w:val="auto"/>
              </w:rPr>
              <w:t>_______________</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amounts subject to an enforceable master netting agreement or similar agreement.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 of cash collateral offset in the table above is limited to the net estimated fair value of derivatives after application of netting agreement.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200" w:lineRule="exact"/>
        <w:rPr>
          <w:sz w:val="20"/>
          <w:szCs w:val="20"/>
          <w:color w:val="auto"/>
        </w:rPr>
      </w:pPr>
    </w:p>
    <w:p>
      <w:pPr>
        <w:spacing w:after="0" w:line="380" w:lineRule="exact"/>
        <w:rPr>
          <w:sz w:val="20"/>
          <w:szCs w:val="20"/>
          <w:color w:val="auto"/>
        </w:rPr>
      </w:pPr>
    </w:p>
    <w:p>
      <w:pPr>
        <w:ind w:left="340" w:hanging="332"/>
        <w:spacing w:after="0" w:line="277"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Securities collateral received from counterparties is not reported on the consolidated balance sheets and may not be sold or re-pledged unless the counterparty is in default. Amounts do not include excess of collateral pledged or received.</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6"/>
              </w:rPr>
              <w:t>December 31, 2020</w:t>
            </w:r>
          </w:p>
        </w:tc>
      </w:tr>
      <w:tr>
        <w:trPr>
          <w:trHeight w:val="187"/>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3"/>
          </w:tcPr>
          <w:p>
            <w:pPr>
              <w:jc w:val="right"/>
              <w:ind w:right="1262"/>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743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Estimated Fair Value of Collateral Provided (2):</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1,144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r>
      <w:tr>
        <w:trPr>
          <w:trHeight w:val="182"/>
        </w:trPr>
        <w:tc>
          <w:tcPr>
            <w:tcW w:w="7820" w:type="dxa"/>
            <w:vAlign w:val="bottom"/>
          </w:tcPr>
          <w:p>
            <w:pPr>
              <w:spacing w:after="0"/>
              <w:rPr>
                <w:sz w:val="20"/>
                <w:szCs w:val="20"/>
                <w:color w:val="auto"/>
              </w:rPr>
            </w:pPr>
            <w:r>
              <w:rPr>
                <w:rFonts w:ascii="Arial" w:cs="Arial" w:eastAsia="Arial" w:hAnsi="Arial"/>
                <w:sz w:val="14"/>
                <w:szCs w:val="14"/>
                <w:color w:val="auto"/>
              </w:rPr>
              <w:t>_______________</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pacing w:after="0" w:line="73"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Fair Value Hierarchy</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60"/>
              <w:spacing w:after="0"/>
              <w:rPr>
                <w:sz w:val="20"/>
                <w:szCs w:val="20"/>
                <w:color w:val="auto"/>
              </w:rPr>
            </w:pPr>
            <w:r>
              <w:rPr>
                <w:rFonts w:ascii="Arial" w:cs="Arial" w:eastAsia="Arial" w:hAnsi="Arial"/>
                <w:sz w:val="14"/>
                <w:szCs w:val="14"/>
                <w:b w:val="1"/>
                <w:bCs w:val="1"/>
                <w:color w:val="auto"/>
                <w:w w:val="97"/>
              </w:rPr>
              <w:t>Total Estimated</w:t>
            </w:r>
          </w:p>
        </w:tc>
      </w:tr>
      <w:tr>
        <w:trPr>
          <w:trHeight w:val="201"/>
        </w:trPr>
        <w:tc>
          <w:tcPr>
            <w:tcW w:w="5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7"/>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corporate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36,019</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Foreign corporate</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11,233</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7,811</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RMBS</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7,786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7,826</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CMBS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State and political subdivision</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4,601</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3,051</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1,764</w:t>
            </w:r>
          </w:p>
        </w:tc>
      </w:tr>
      <w:tr>
        <w:trPr>
          <w:trHeight w:val="212"/>
        </w:trPr>
        <w:tc>
          <w:tcPr>
            <w:tcW w:w="5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75,911</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78,971</w:t>
            </w: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Derivative assets: (1)</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r>
      <w:tr>
        <w:trPr>
          <w:trHeight w:val="213"/>
        </w:trPr>
        <w:tc>
          <w:tcPr>
            <w:tcW w:w="5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assets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w:t>
            </w:r>
          </w:p>
        </w:tc>
      </w:tr>
      <w:tr>
        <w:trPr>
          <w:trHeight w:val="206"/>
        </w:trPr>
        <w:tc>
          <w:tcPr>
            <w:tcW w:w="5480" w:type="dxa"/>
            <w:vAlign w:val="bottom"/>
          </w:tcPr>
          <w:p>
            <w:pPr>
              <w:ind w:left="20"/>
              <w:spacing w:after="0"/>
              <w:rPr>
                <w:sz w:val="20"/>
                <w:szCs w:val="20"/>
                <w:color w:val="auto"/>
              </w:rPr>
            </w:pPr>
            <w:r>
              <w:rPr>
                <w:rFonts w:ascii="Arial" w:cs="Arial" w:eastAsia="Arial" w:hAnsi="Arial"/>
                <w:sz w:val="16"/>
                <w:szCs w:val="16"/>
                <w:color w:val="auto"/>
              </w:rPr>
              <w:t>Embedded derivatives within asset host contracts (2)</w:t>
            </w:r>
          </w:p>
        </w:tc>
        <w:tc>
          <w:tcPr>
            <w:tcW w:w="2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Separate account assets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112,141</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112,224</w:t>
            </w:r>
          </w:p>
        </w:tc>
      </w:tr>
      <w:tr>
        <w:trPr>
          <w:trHeight w:val="213"/>
        </w:trPr>
        <w:tc>
          <w:tcPr>
            <w:tcW w:w="548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w:t>
            </w:r>
          </w:p>
        </w:tc>
        <w:tc>
          <w:tcPr>
            <w:tcW w:w="12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190,611</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195,274</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Derivative liabilities: (1)</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w:t>
            </w:r>
          </w:p>
        </w:tc>
      </w:tr>
      <w:tr>
        <w:trPr>
          <w:trHeight w:val="213"/>
        </w:trPr>
        <w:tc>
          <w:tcPr>
            <w:tcW w:w="5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w:t>
            </w:r>
          </w:p>
        </w:tc>
      </w:tr>
      <w:tr>
        <w:trPr>
          <w:trHeight w:val="206"/>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 derivatives within liability host contracts (2)</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6,665</w:t>
            </w:r>
          </w:p>
        </w:tc>
      </w:tr>
      <w:tr>
        <w:trPr>
          <w:trHeight w:val="233"/>
        </w:trPr>
        <w:tc>
          <w:tcPr>
            <w:tcW w:w="5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Fair Value Hierarchy</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60"/>
              <w:spacing w:after="0"/>
              <w:rPr>
                <w:sz w:val="20"/>
                <w:szCs w:val="20"/>
                <w:color w:val="auto"/>
              </w:rPr>
            </w:pPr>
            <w:r>
              <w:rPr>
                <w:rFonts w:ascii="Arial" w:cs="Arial" w:eastAsia="Arial" w:hAnsi="Arial"/>
                <w:sz w:val="14"/>
                <w:szCs w:val="14"/>
                <w:b w:val="1"/>
                <w:bCs w:val="1"/>
                <w:color w:val="auto"/>
                <w:w w:val="97"/>
              </w:rPr>
              <w:t>Total Estimated</w:t>
            </w: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5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corporate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37,906</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Foreign corporate</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11,511</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8,638</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RMBS</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8,272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CMBS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State and political subdivision</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4,640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4,640</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12"/>
        </w:trPr>
        <w:tc>
          <w:tcPr>
            <w:tcW w:w="5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79,523</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82,495</w:t>
            </w:r>
          </w:p>
        </w:tc>
        <w:tc>
          <w:tcPr>
            <w:tcW w:w="0" w:type="dxa"/>
            <w:vAlign w:val="bottom"/>
          </w:tcPr>
          <w:p>
            <w:pPr>
              <w:spacing w:after="0"/>
              <w:rPr>
                <w:sz w:val="1"/>
                <w:szCs w:val="1"/>
                <w:color w:val="auto"/>
              </w:rPr>
            </w:pP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Derivative assets: (1)</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13"/>
        </w:trPr>
        <w:tc>
          <w:tcPr>
            <w:tcW w:w="5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assets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3,582</w:t>
            </w:r>
          </w:p>
        </w:tc>
        <w:tc>
          <w:tcPr>
            <w:tcW w:w="0" w:type="dxa"/>
            <w:vAlign w:val="bottom"/>
          </w:tcPr>
          <w:p>
            <w:pPr>
              <w:spacing w:after="0"/>
              <w:rPr>
                <w:sz w:val="1"/>
                <w:szCs w:val="1"/>
                <w:color w:val="auto"/>
              </w:rPr>
            </w:pP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Embedded derivatives within asset host contracts (2)</w:t>
            </w:r>
          </w:p>
        </w:tc>
        <w:tc>
          <w:tcPr>
            <w:tcW w:w="2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Separate account assets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111,880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111,969</w:t>
            </w:r>
          </w:p>
        </w:tc>
        <w:tc>
          <w:tcPr>
            <w:tcW w:w="0" w:type="dxa"/>
            <w:vAlign w:val="bottom"/>
          </w:tcPr>
          <w:p>
            <w:pPr>
              <w:spacing w:after="0"/>
              <w:rPr>
                <w:sz w:val="1"/>
                <w:szCs w:val="1"/>
                <w:color w:val="auto"/>
              </w:rPr>
            </w:pPr>
          </w:p>
        </w:tc>
      </w:tr>
      <w:tr>
        <w:trPr>
          <w:trHeight w:val="213"/>
        </w:trPr>
        <w:tc>
          <w:tcPr>
            <w:tcW w:w="548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5,121</w:t>
            </w:r>
          </w:p>
        </w:tc>
        <w:tc>
          <w:tcPr>
            <w:tcW w:w="12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195,515</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201,709</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Derivative liabilities: (1)</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market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207"/>
        </w:trPr>
        <w:tc>
          <w:tcPr>
            <w:tcW w:w="54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derivative liabilities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Embedded derivatives within liability host contracts (2)</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7,157</w:t>
            </w:r>
          </w:p>
        </w:tc>
        <w:tc>
          <w:tcPr>
            <w:tcW w:w="0" w:type="dxa"/>
            <w:vAlign w:val="bottom"/>
          </w:tcPr>
          <w:p>
            <w:pPr>
              <w:spacing w:after="0"/>
              <w:rPr>
                <w:sz w:val="1"/>
                <w:szCs w:val="1"/>
                <w:color w:val="auto"/>
              </w:rPr>
            </w:pPr>
          </w:p>
        </w:tc>
      </w:tr>
      <w:tr>
        <w:trPr>
          <w:trHeight w:val="213"/>
        </w:trPr>
        <w:tc>
          <w:tcPr>
            <w:tcW w:w="548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1,997</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7,184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9,181</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54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340" w:hanging="332"/>
        <w:spacing w:after="0" w:line="263"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Derivative assets are presented within other invested assets on the consolidated balance sheets and derivative liabilities are presented within other liabilities on the consolidated balance sheets. The amounts are presented gross in the tables above to reflect the presentation on the consolidated balance sheets.</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Embedded derivatives within asset host contracts are presented within premiums, reinsurance and other receivables and other invested assets on the consolidated balance sheets. Embedded derivatives within liability host contracts are presented within policyholder account balances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pacing w:after="0" w:line="84" w:lineRule="exact"/>
        <w:rPr>
          <w:sz w:val="20"/>
          <w:szCs w:val="20"/>
          <w:color w:val="auto"/>
        </w:rPr>
      </w:pPr>
    </w:p>
    <w:p>
      <w:pPr>
        <w:jc w:val="both"/>
        <w:ind w:left="180" w:firstLine="324"/>
        <w:spacing w:after="0" w:line="270" w:lineRule="auto"/>
        <w:rPr>
          <w:sz w:val="20"/>
          <w:szCs w:val="20"/>
          <w:color w:val="auto"/>
        </w:rPr>
      </w:pPr>
      <w:r>
        <w:rPr>
          <w:rFonts w:ascii="Arial" w:cs="Arial" w:eastAsia="Arial" w:hAnsi="Arial"/>
          <w:sz w:val="17"/>
          <w:szCs w:val="17"/>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73"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79"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three months ended March 31, 2021.</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Determination of Fair Value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Fixed Maturity Securities</w:t>
      </w:r>
    </w:p>
    <w:p>
      <w:pPr>
        <w:spacing w:after="0" w:line="117"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30"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34"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340" w:firstLine="324"/>
        <w:spacing w:after="0" w:line="275"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Equity Securities and Short-term Investments</w:t>
      </w:r>
    </w:p>
    <w:p>
      <w:pPr>
        <w:spacing w:after="0" w:line="117"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130"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Equity securities and short-term investments: </w:t>
      </w:r>
      <w:r>
        <w:rPr>
          <w:rFonts w:ascii="Arial" w:cs="Arial" w:eastAsia="Arial" w:hAnsi="Arial"/>
          <w:sz w:val="18"/>
          <w:szCs w:val="18"/>
          <w:color w:val="auto"/>
        </w:rPr>
        <w:t>Fair value is determined using third-party commercial pricing services, with the primary input being</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9"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84"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57"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7" w:lineRule="exact"/>
        <w:rPr>
          <w:sz w:val="20"/>
          <w:szCs w:val="20"/>
          <w:color w:val="auto"/>
        </w:rPr>
      </w:pPr>
    </w:p>
    <w:p>
      <w:pPr>
        <w:jc w:val="both"/>
        <w:ind w:left="340" w:right="20" w:firstLine="324"/>
        <w:spacing w:after="0" w:line="308" w:lineRule="auto"/>
        <w:rPr>
          <w:sz w:val="20"/>
          <w:szCs w:val="20"/>
          <w:color w:val="auto"/>
        </w:rPr>
      </w:pPr>
      <w:r>
        <w:rPr>
          <w:rFonts w:ascii="Arial" w:cs="Arial" w:eastAsia="Arial" w:hAnsi="Arial"/>
          <w:sz w:val="17"/>
          <w:szCs w:val="17"/>
          <w:color w:val="auto"/>
        </w:rPr>
        <w:t>Embedded derivatives principally include certain direct and ceded variable annuity guarantees and equity crediting rates within index-linked annuity contracts. Embedded derivatives are recorded at estimated fair value with changes in estimated fair value reported in net income.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80"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The Company issues certain variable annuity products with guaranteed minimum benefits. Guaranteed minimum accumulation benefits (“GMAB”), the non-life contingent portion of GMWBs and certain portions of GMIBs are accounted for as embedded derivatives and measured at estimated fair value separately from the host variable annuity contract. These embedded derivatives are classified within policyholder account balances on the consolidated balance sheets, with changes in estimated fair value reported in net derivative gains (losses).</w:t>
      </w:r>
    </w:p>
    <w:p>
      <w:pPr>
        <w:spacing w:after="0" w:line="63"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 determines the fair value of these embedded derivatives by estimating the present value of projected future benefits minus the present value of projected future fees using actuarial and capital market assumptions including expectations of policyholder behavior. The calculation is based on in-force business and is performed using standard actuarial valuation software which projects future cash flows from the embedded derivative over multiple risk neutral stochastic scenarios using observable risk-free rates. The percentage of fees included in the initial fair value measurement is not updated in subsequent periods.</w:t>
      </w:r>
    </w:p>
    <w:p>
      <w:pPr>
        <w:spacing w:after="0" w:line="80"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Capital market assumptions, such as risk-free rates and implied volatilities, are based on market prices for publicly-traded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BHF’s debt. These observable spreads are then adjusted to reflect the priority of these liabilities and claims-paying ability of the issuing insurance subsidiaries as compared to BHF’s overall financial strength.</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 issues and assumes through reinsurance index-linked annuities which allow the policyholder to participate in returns from equity indices. The crediting rates associated with these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balance sheets.</w:t>
      </w:r>
    </w:p>
    <w:p>
      <w:pPr>
        <w:spacing w:after="0" w:line="79"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March 31, 2021</w:t>
            </w: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December 31, 2020</w:t>
            </w: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Impact of</w:t>
            </w: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Significant</w:t>
            </w:r>
          </w:p>
        </w:tc>
        <w:tc>
          <w:tcPr>
            <w:tcW w:w="6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Increase in Input</w:t>
            </w: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40" w:type="dxa"/>
            <w:vAlign w:val="bottom"/>
          </w:tcPr>
          <w:p>
            <w:pPr>
              <w:spacing w:after="0"/>
              <w:rPr>
                <w:sz w:val="11"/>
                <w:szCs w:val="11"/>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Valuation Techniques</w:t>
            </w:r>
          </w:p>
        </w:tc>
        <w:tc>
          <w:tcPr>
            <w:tcW w:w="12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on Estimated</w:t>
            </w:r>
          </w:p>
        </w:tc>
        <w:tc>
          <w:tcPr>
            <w:tcW w:w="0" w:type="dxa"/>
            <w:vAlign w:val="bottom"/>
          </w:tcPr>
          <w:p>
            <w:pPr>
              <w:spacing w:after="0"/>
              <w:rPr>
                <w:sz w:val="1"/>
                <w:szCs w:val="1"/>
                <w:color w:val="auto"/>
              </w:rPr>
            </w:pPr>
          </w:p>
        </w:tc>
      </w:tr>
      <w:tr>
        <w:trPr>
          <w:trHeight w:val="188"/>
        </w:trPr>
        <w:tc>
          <w:tcPr>
            <w:tcW w:w="254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Unobservable Inputs</w:t>
            </w:r>
          </w:p>
        </w:tc>
        <w:tc>
          <w:tcPr>
            <w:tcW w:w="6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0"/>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Embedded derivatives</w:t>
            </w:r>
          </w:p>
        </w:tc>
        <w:tc>
          <w:tcPr>
            <w:tcW w:w="1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20"/>
              <w:spacing w:after="0" w:line="135" w:lineRule="exact"/>
              <w:rPr>
                <w:sz w:val="20"/>
                <w:szCs w:val="20"/>
                <w:color w:val="auto"/>
              </w:rPr>
            </w:pPr>
            <w:r>
              <w:rPr>
                <w:rFonts w:ascii="Arial" w:cs="Arial" w:eastAsia="Arial" w:hAnsi="Arial"/>
                <w:sz w:val="14"/>
                <w:szCs w:val="14"/>
                <w:color w:val="auto"/>
              </w:rPr>
              <w:t>Direct, assumed and ceded guaranteed</w:t>
            </w:r>
          </w:p>
        </w:tc>
        <w:tc>
          <w:tcPr>
            <w:tcW w:w="15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4"/>
                <w:szCs w:val="14"/>
                <w:color w:val="auto"/>
              </w:rPr>
              <w:t>Option pricing</w:t>
            </w: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540" w:type="dxa"/>
            <w:vAlign w:val="bottom"/>
          </w:tcPr>
          <w:p>
            <w:pPr>
              <w:ind w:left="180"/>
              <w:spacing w:after="0"/>
              <w:rPr>
                <w:sz w:val="20"/>
                <w:szCs w:val="20"/>
                <w:color w:val="auto"/>
              </w:rPr>
            </w:pPr>
            <w:r>
              <w:rPr>
                <w:rFonts w:ascii="Arial" w:cs="Arial" w:eastAsia="Arial" w:hAnsi="Arial"/>
                <w:sz w:val="14"/>
                <w:szCs w:val="14"/>
                <w:color w:val="auto"/>
              </w:rPr>
              <w:t>minimum benefits</w:t>
            </w:r>
          </w:p>
        </w:tc>
        <w:tc>
          <w:tcPr>
            <w:tcW w:w="1580" w:type="dxa"/>
            <w:vAlign w:val="bottom"/>
            <w:gridSpan w:val="2"/>
          </w:tcPr>
          <w:p>
            <w:pPr>
              <w:ind w:left="340"/>
              <w:spacing w:after="0"/>
              <w:rPr>
                <w:sz w:val="20"/>
                <w:szCs w:val="20"/>
                <w:color w:val="auto"/>
              </w:rPr>
            </w:pPr>
            <w:r>
              <w:rPr>
                <w:rFonts w:ascii="Arial" w:cs="Arial" w:eastAsia="Arial" w:hAnsi="Arial"/>
                <w:sz w:val="14"/>
                <w:szCs w:val="14"/>
                <w:color w:val="auto"/>
              </w:rPr>
              <w:t>techniques</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740" w:type="dxa"/>
            <w:vAlign w:val="bottom"/>
            <w:gridSpan w:val="2"/>
          </w:tcPr>
          <w:p>
            <w:pPr>
              <w:ind w:left="60"/>
              <w:spacing w:after="0"/>
              <w:rPr>
                <w:sz w:val="20"/>
                <w:szCs w:val="20"/>
                <w:color w:val="auto"/>
              </w:rPr>
            </w:pPr>
            <w:r>
              <w:rPr>
                <w:rFonts w:ascii="Arial" w:cs="Arial" w:eastAsia="Arial" w:hAnsi="Arial"/>
                <w:sz w:val="14"/>
                <w:szCs w:val="14"/>
                <w:color w:val="auto"/>
              </w:rPr>
              <w:t>Mortality rates</w:t>
            </w:r>
          </w:p>
        </w:tc>
        <w:tc>
          <w:tcPr>
            <w:tcW w:w="680" w:type="dxa"/>
            <w:vAlign w:val="bottom"/>
          </w:tcPr>
          <w:p>
            <w:pPr>
              <w:jc w:val="center"/>
              <w:ind w:left="68"/>
              <w:spacing w:after="0"/>
              <w:rPr>
                <w:sz w:val="20"/>
                <w:szCs w:val="20"/>
                <w:color w:val="auto"/>
              </w:rPr>
            </w:pPr>
            <w:r>
              <w:rPr>
                <w:rFonts w:ascii="Arial" w:cs="Arial" w:eastAsia="Arial" w:hAnsi="Arial"/>
                <w:sz w:val="14"/>
                <w:szCs w:val="14"/>
                <w:color w:val="auto"/>
                <w:w w:val="95"/>
              </w:rPr>
              <w:t>0.03%</w:t>
            </w:r>
          </w:p>
        </w:tc>
        <w:tc>
          <w:tcPr>
            <w:tcW w:w="46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ind w:right="68"/>
              <w:spacing w:after="0"/>
              <w:rPr>
                <w:sz w:val="20"/>
                <w:szCs w:val="20"/>
                <w:color w:val="auto"/>
              </w:rPr>
            </w:pPr>
            <w:r>
              <w:rPr>
                <w:rFonts w:ascii="Arial" w:cs="Arial" w:eastAsia="Arial" w:hAnsi="Arial"/>
                <w:sz w:val="14"/>
                <w:szCs w:val="14"/>
                <w:color w:val="auto"/>
                <w:w w:val="92"/>
              </w:rPr>
              <w:t>12.13%</w:t>
            </w:r>
          </w:p>
        </w:tc>
        <w:tc>
          <w:tcPr>
            <w:tcW w:w="120" w:type="dxa"/>
            <w:vAlign w:val="bottom"/>
          </w:tcPr>
          <w:p>
            <w:pPr>
              <w:spacing w:after="0"/>
              <w:rPr>
                <w:sz w:val="16"/>
                <w:szCs w:val="16"/>
                <w:color w:val="auto"/>
              </w:rPr>
            </w:pPr>
          </w:p>
        </w:tc>
        <w:tc>
          <w:tcPr>
            <w:tcW w:w="660" w:type="dxa"/>
            <w:vAlign w:val="bottom"/>
          </w:tcPr>
          <w:p>
            <w:pPr>
              <w:jc w:val="center"/>
              <w:ind w:left="68"/>
              <w:spacing w:after="0"/>
              <w:rPr>
                <w:sz w:val="20"/>
                <w:szCs w:val="20"/>
                <w:color w:val="auto"/>
              </w:rPr>
            </w:pPr>
            <w:r>
              <w:rPr>
                <w:rFonts w:ascii="Arial" w:cs="Arial" w:eastAsia="Arial" w:hAnsi="Arial"/>
                <w:sz w:val="14"/>
                <w:szCs w:val="14"/>
                <w:color w:val="auto"/>
                <w:w w:val="90"/>
              </w:rPr>
              <w:t>0.03%</w:t>
            </w:r>
          </w:p>
        </w:tc>
        <w:tc>
          <w:tcPr>
            <w:tcW w:w="46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660" w:type="dxa"/>
            <w:vAlign w:val="bottom"/>
          </w:tcPr>
          <w:p>
            <w:pPr>
              <w:jc w:val="center"/>
              <w:ind w:right="68"/>
              <w:spacing w:after="0"/>
              <w:rPr>
                <w:sz w:val="20"/>
                <w:szCs w:val="20"/>
                <w:color w:val="auto"/>
              </w:rPr>
            </w:pPr>
            <w:r>
              <w:rPr>
                <w:rFonts w:ascii="Arial" w:cs="Arial" w:eastAsia="Arial" w:hAnsi="Arial"/>
                <w:sz w:val="14"/>
                <w:szCs w:val="14"/>
                <w:color w:val="auto"/>
                <w:w w:val="92"/>
              </w:rPr>
              <w:t>12.13%</w:t>
            </w:r>
          </w:p>
        </w:tc>
        <w:tc>
          <w:tcPr>
            <w:tcW w:w="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Decrease (1)</w:t>
            </w:r>
          </w:p>
        </w:tc>
        <w:tc>
          <w:tcPr>
            <w:tcW w:w="0" w:type="dxa"/>
            <w:vAlign w:val="bottom"/>
          </w:tcPr>
          <w:p>
            <w:pPr>
              <w:spacing w:after="0"/>
              <w:rPr>
                <w:sz w:val="1"/>
                <w:szCs w:val="1"/>
                <w:color w:val="auto"/>
              </w:rPr>
            </w:pPr>
          </w:p>
        </w:tc>
      </w:tr>
      <w:tr>
        <w:trPr>
          <w:trHeight w:val="192"/>
        </w:trPr>
        <w:tc>
          <w:tcPr>
            <w:tcW w:w="2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Lapse rates</w:t>
            </w:r>
          </w:p>
        </w:tc>
        <w:tc>
          <w:tcPr>
            <w:tcW w:w="68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5"/>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2"/>
              </w:rPr>
              <w:t>15.00%</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0"/>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8"/>
                <w:szCs w:val="8"/>
                <w:color w:val="auto"/>
                <w:w w:val="73"/>
              </w:rPr>
              <w:t>-</w:t>
            </w:r>
          </w:p>
        </w:tc>
        <w:tc>
          <w:tcPr>
            <w:tcW w:w="66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2"/>
              </w:rPr>
              <w:t>15.00%</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Decrease (2)</w:t>
            </w:r>
          </w:p>
        </w:tc>
        <w:tc>
          <w:tcPr>
            <w:tcW w:w="0" w:type="dxa"/>
            <w:vAlign w:val="bottom"/>
          </w:tcPr>
          <w:p>
            <w:pPr>
              <w:spacing w:after="0"/>
              <w:rPr>
                <w:sz w:val="1"/>
                <w:szCs w:val="1"/>
                <w:color w:val="auto"/>
              </w:rPr>
            </w:pPr>
          </w:p>
        </w:tc>
      </w:tr>
      <w:tr>
        <w:trPr>
          <w:trHeight w:val="186"/>
        </w:trPr>
        <w:tc>
          <w:tcPr>
            <w:tcW w:w="2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740" w:type="dxa"/>
            <w:vAlign w:val="bottom"/>
            <w:gridSpan w:val="2"/>
          </w:tcPr>
          <w:p>
            <w:pPr>
              <w:ind w:left="60"/>
              <w:spacing w:after="0"/>
              <w:rPr>
                <w:sz w:val="20"/>
                <w:szCs w:val="20"/>
                <w:color w:val="auto"/>
              </w:rPr>
            </w:pPr>
            <w:r>
              <w:rPr>
                <w:rFonts w:ascii="Arial" w:cs="Arial" w:eastAsia="Arial" w:hAnsi="Arial"/>
                <w:sz w:val="14"/>
                <w:szCs w:val="14"/>
                <w:color w:val="auto"/>
              </w:rPr>
              <w:t>Utilization rates</w:t>
            </w:r>
          </w:p>
        </w:tc>
        <w:tc>
          <w:tcPr>
            <w:tcW w:w="680" w:type="dxa"/>
            <w:vAlign w:val="bottom"/>
          </w:tcPr>
          <w:p>
            <w:pPr>
              <w:jc w:val="center"/>
              <w:ind w:left="68"/>
              <w:spacing w:after="0"/>
              <w:rPr>
                <w:sz w:val="20"/>
                <w:szCs w:val="20"/>
                <w:color w:val="auto"/>
              </w:rPr>
            </w:pPr>
            <w:r>
              <w:rPr>
                <w:rFonts w:ascii="Arial" w:cs="Arial" w:eastAsia="Arial" w:hAnsi="Arial"/>
                <w:sz w:val="14"/>
                <w:szCs w:val="14"/>
                <w:color w:val="auto"/>
                <w:w w:val="95"/>
              </w:rPr>
              <w:t>0.00%</w:t>
            </w:r>
          </w:p>
        </w:tc>
        <w:tc>
          <w:tcPr>
            <w:tcW w:w="46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ind w:right="68"/>
              <w:spacing w:after="0"/>
              <w:rPr>
                <w:sz w:val="20"/>
                <w:szCs w:val="20"/>
                <w:color w:val="auto"/>
              </w:rPr>
            </w:pPr>
            <w:r>
              <w:rPr>
                <w:rFonts w:ascii="Arial" w:cs="Arial" w:eastAsia="Arial" w:hAnsi="Arial"/>
                <w:sz w:val="14"/>
                <w:szCs w:val="14"/>
                <w:color w:val="auto"/>
                <w:w w:val="92"/>
              </w:rPr>
              <w:t>25.00%</w:t>
            </w:r>
          </w:p>
        </w:tc>
        <w:tc>
          <w:tcPr>
            <w:tcW w:w="120" w:type="dxa"/>
            <w:vAlign w:val="bottom"/>
          </w:tcPr>
          <w:p>
            <w:pPr>
              <w:spacing w:after="0"/>
              <w:rPr>
                <w:sz w:val="16"/>
                <w:szCs w:val="16"/>
                <w:color w:val="auto"/>
              </w:rPr>
            </w:pPr>
          </w:p>
        </w:tc>
        <w:tc>
          <w:tcPr>
            <w:tcW w:w="660" w:type="dxa"/>
            <w:vAlign w:val="bottom"/>
          </w:tcPr>
          <w:p>
            <w:pPr>
              <w:jc w:val="center"/>
              <w:ind w:left="68"/>
              <w:spacing w:after="0"/>
              <w:rPr>
                <w:sz w:val="20"/>
                <w:szCs w:val="20"/>
                <w:color w:val="auto"/>
              </w:rPr>
            </w:pPr>
            <w:r>
              <w:rPr>
                <w:rFonts w:ascii="Arial" w:cs="Arial" w:eastAsia="Arial" w:hAnsi="Arial"/>
                <w:sz w:val="14"/>
                <w:szCs w:val="14"/>
                <w:color w:val="auto"/>
                <w:w w:val="90"/>
              </w:rPr>
              <w:t>0.00%</w:t>
            </w:r>
          </w:p>
        </w:tc>
        <w:tc>
          <w:tcPr>
            <w:tcW w:w="46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660" w:type="dxa"/>
            <w:vAlign w:val="bottom"/>
          </w:tcPr>
          <w:p>
            <w:pPr>
              <w:jc w:val="center"/>
              <w:ind w:right="68"/>
              <w:spacing w:after="0"/>
              <w:rPr>
                <w:sz w:val="20"/>
                <w:szCs w:val="20"/>
                <w:color w:val="auto"/>
              </w:rPr>
            </w:pPr>
            <w:r>
              <w:rPr>
                <w:rFonts w:ascii="Arial" w:cs="Arial" w:eastAsia="Arial" w:hAnsi="Arial"/>
                <w:sz w:val="14"/>
                <w:szCs w:val="14"/>
                <w:color w:val="auto"/>
                <w:w w:val="92"/>
              </w:rPr>
              <w:t>25.00%</w:t>
            </w:r>
          </w:p>
        </w:tc>
        <w:tc>
          <w:tcPr>
            <w:tcW w:w="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Increase (3)</w:t>
            </w:r>
          </w:p>
        </w:tc>
        <w:tc>
          <w:tcPr>
            <w:tcW w:w="0" w:type="dxa"/>
            <w:vAlign w:val="bottom"/>
          </w:tcPr>
          <w:p>
            <w:pPr>
              <w:spacing w:after="0"/>
              <w:rPr>
                <w:sz w:val="1"/>
                <w:szCs w:val="1"/>
                <w:color w:val="auto"/>
              </w:rPr>
            </w:pPr>
          </w:p>
        </w:tc>
      </w:tr>
      <w:tr>
        <w:trPr>
          <w:trHeight w:val="192"/>
        </w:trPr>
        <w:tc>
          <w:tcPr>
            <w:tcW w:w="25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Withdrawal rates</w:t>
            </w:r>
          </w:p>
        </w:tc>
        <w:tc>
          <w:tcPr>
            <w:tcW w:w="68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5"/>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2"/>
              </w:rPr>
              <w:t>10.00%</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0"/>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8"/>
                <w:szCs w:val="8"/>
                <w:color w:val="auto"/>
                <w:w w:val="73"/>
              </w:rPr>
              <w:t>-</w:t>
            </w:r>
          </w:p>
        </w:tc>
        <w:tc>
          <w:tcPr>
            <w:tcW w:w="66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2"/>
              </w:rPr>
              <w:t>10.00%</w:t>
            </w:r>
          </w:p>
        </w:tc>
        <w:tc>
          <w:tcPr>
            <w:tcW w:w="156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(4)</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4"/>
                <w:szCs w:val="14"/>
                <w:color w:val="auto"/>
              </w:rPr>
              <w:t>Long-term equity</w:t>
            </w: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ind w:left="220"/>
              <w:spacing w:after="0"/>
              <w:rPr>
                <w:sz w:val="20"/>
                <w:szCs w:val="20"/>
                <w:color w:val="auto"/>
              </w:rPr>
            </w:pPr>
            <w:r>
              <w:rPr>
                <w:rFonts w:ascii="Arial" w:cs="Arial" w:eastAsia="Arial" w:hAnsi="Arial"/>
                <w:sz w:val="14"/>
                <w:szCs w:val="14"/>
                <w:color w:val="auto"/>
              </w:rPr>
              <w:t>volatilities</w:t>
            </w:r>
          </w:p>
        </w:tc>
        <w:tc>
          <w:tcPr>
            <w:tcW w:w="680" w:type="dxa"/>
            <w:vAlign w:val="bottom"/>
          </w:tcPr>
          <w:p>
            <w:pPr>
              <w:jc w:val="center"/>
              <w:ind w:left="88"/>
              <w:spacing w:after="0"/>
              <w:rPr>
                <w:sz w:val="20"/>
                <w:szCs w:val="20"/>
                <w:color w:val="auto"/>
              </w:rPr>
            </w:pPr>
            <w:r>
              <w:rPr>
                <w:rFonts w:ascii="Arial" w:cs="Arial" w:eastAsia="Arial" w:hAnsi="Arial"/>
                <w:sz w:val="14"/>
                <w:szCs w:val="14"/>
                <w:color w:val="auto"/>
                <w:w w:val="92"/>
              </w:rPr>
              <w:t>16.66%</w:t>
            </w:r>
          </w:p>
        </w:tc>
        <w:tc>
          <w:tcPr>
            <w:tcW w:w="46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ind w:right="68"/>
              <w:spacing w:after="0"/>
              <w:rPr>
                <w:sz w:val="20"/>
                <w:szCs w:val="20"/>
                <w:color w:val="auto"/>
              </w:rPr>
            </w:pPr>
            <w:r>
              <w:rPr>
                <w:rFonts w:ascii="Arial" w:cs="Arial" w:eastAsia="Arial" w:hAnsi="Arial"/>
                <w:sz w:val="14"/>
                <w:szCs w:val="14"/>
                <w:color w:val="auto"/>
                <w:w w:val="92"/>
              </w:rPr>
              <w:t>22.21%</w:t>
            </w:r>
          </w:p>
        </w:tc>
        <w:tc>
          <w:tcPr>
            <w:tcW w:w="120" w:type="dxa"/>
            <w:vAlign w:val="bottom"/>
          </w:tcPr>
          <w:p>
            <w:pPr>
              <w:spacing w:after="0"/>
              <w:rPr>
                <w:sz w:val="15"/>
                <w:szCs w:val="15"/>
                <w:color w:val="auto"/>
              </w:rPr>
            </w:pPr>
          </w:p>
        </w:tc>
        <w:tc>
          <w:tcPr>
            <w:tcW w:w="660" w:type="dxa"/>
            <w:vAlign w:val="bottom"/>
          </w:tcPr>
          <w:p>
            <w:pPr>
              <w:jc w:val="center"/>
              <w:ind w:left="68"/>
              <w:spacing w:after="0"/>
              <w:rPr>
                <w:sz w:val="20"/>
                <w:szCs w:val="20"/>
                <w:color w:val="auto"/>
              </w:rPr>
            </w:pPr>
            <w:r>
              <w:rPr>
                <w:rFonts w:ascii="Arial" w:cs="Arial" w:eastAsia="Arial" w:hAnsi="Arial"/>
                <w:sz w:val="14"/>
                <w:szCs w:val="14"/>
                <w:color w:val="auto"/>
                <w:w w:val="92"/>
              </w:rPr>
              <w:t>16.66%</w:t>
            </w:r>
          </w:p>
        </w:tc>
        <w:tc>
          <w:tcPr>
            <w:tcW w:w="46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660" w:type="dxa"/>
            <w:vAlign w:val="bottom"/>
          </w:tcPr>
          <w:p>
            <w:pPr>
              <w:jc w:val="center"/>
              <w:ind w:right="68"/>
              <w:spacing w:after="0"/>
              <w:rPr>
                <w:sz w:val="20"/>
                <w:szCs w:val="20"/>
                <w:color w:val="auto"/>
              </w:rPr>
            </w:pPr>
            <w:r>
              <w:rPr>
                <w:rFonts w:ascii="Arial" w:cs="Arial" w:eastAsia="Arial" w:hAnsi="Arial"/>
                <w:sz w:val="14"/>
                <w:szCs w:val="14"/>
                <w:color w:val="auto"/>
                <w:w w:val="92"/>
              </w:rPr>
              <w:t>22.21%</w:t>
            </w:r>
          </w:p>
        </w:tc>
        <w:tc>
          <w:tcPr>
            <w:tcW w:w="1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Increase (5)</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Arial" w:cs="Arial" w:eastAsia="Arial" w:hAnsi="Arial"/>
                <w:sz w:val="13"/>
                <w:szCs w:val="13"/>
                <w:color w:val="auto"/>
              </w:rPr>
              <w:t>•</w:t>
            </w:r>
          </w:p>
        </w:tc>
        <w:tc>
          <w:tcPr>
            <w:tcW w:w="1740" w:type="dxa"/>
            <w:vAlign w:val="bottom"/>
            <w:gridSpan w:val="2"/>
          </w:tcPr>
          <w:p>
            <w:pPr>
              <w:ind w:left="60"/>
              <w:spacing w:after="0" w:line="141" w:lineRule="exact"/>
              <w:rPr>
                <w:sz w:val="20"/>
                <w:szCs w:val="20"/>
                <w:color w:val="auto"/>
              </w:rPr>
            </w:pPr>
            <w:r>
              <w:rPr>
                <w:rFonts w:ascii="Arial" w:cs="Arial" w:eastAsia="Arial" w:hAnsi="Arial"/>
                <w:sz w:val="14"/>
                <w:szCs w:val="14"/>
                <w:color w:val="auto"/>
              </w:rPr>
              <w:t>Nonperformance risk</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ind w:left="220"/>
              <w:spacing w:after="0"/>
              <w:rPr>
                <w:sz w:val="20"/>
                <w:szCs w:val="20"/>
                <w:color w:val="auto"/>
              </w:rPr>
            </w:pPr>
            <w:r>
              <w:rPr>
                <w:rFonts w:ascii="Arial" w:cs="Arial" w:eastAsia="Arial" w:hAnsi="Arial"/>
                <w:sz w:val="14"/>
                <w:szCs w:val="14"/>
                <w:color w:val="auto"/>
              </w:rPr>
              <w:t>spread</w:t>
            </w:r>
          </w:p>
        </w:tc>
        <w:tc>
          <w:tcPr>
            <w:tcW w:w="680" w:type="dxa"/>
            <w:vAlign w:val="bottom"/>
          </w:tcPr>
          <w:p>
            <w:pPr>
              <w:jc w:val="center"/>
              <w:ind w:left="68"/>
              <w:spacing w:after="0"/>
              <w:rPr>
                <w:sz w:val="20"/>
                <w:szCs w:val="20"/>
                <w:color w:val="auto"/>
              </w:rPr>
            </w:pPr>
            <w:r>
              <w:rPr>
                <w:rFonts w:ascii="Arial" w:cs="Arial" w:eastAsia="Arial" w:hAnsi="Arial"/>
                <w:sz w:val="14"/>
                <w:szCs w:val="14"/>
                <w:color w:val="auto"/>
                <w:w w:val="95"/>
              </w:rPr>
              <w:t>0.25%</w:t>
            </w:r>
          </w:p>
        </w:tc>
        <w:tc>
          <w:tcPr>
            <w:tcW w:w="46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ind w:right="68"/>
              <w:spacing w:after="0"/>
              <w:rPr>
                <w:sz w:val="20"/>
                <w:szCs w:val="20"/>
                <w:color w:val="auto"/>
              </w:rPr>
            </w:pPr>
            <w:r>
              <w:rPr>
                <w:rFonts w:ascii="Arial" w:cs="Arial" w:eastAsia="Arial" w:hAnsi="Arial"/>
                <w:sz w:val="14"/>
                <w:szCs w:val="14"/>
                <w:color w:val="auto"/>
                <w:w w:val="90"/>
              </w:rPr>
              <w:t>1.45%</w:t>
            </w:r>
          </w:p>
        </w:tc>
        <w:tc>
          <w:tcPr>
            <w:tcW w:w="120" w:type="dxa"/>
            <w:vAlign w:val="bottom"/>
          </w:tcPr>
          <w:p>
            <w:pPr>
              <w:spacing w:after="0"/>
              <w:rPr>
                <w:sz w:val="15"/>
                <w:szCs w:val="15"/>
                <w:color w:val="auto"/>
              </w:rPr>
            </w:pPr>
          </w:p>
        </w:tc>
        <w:tc>
          <w:tcPr>
            <w:tcW w:w="660" w:type="dxa"/>
            <w:vAlign w:val="bottom"/>
          </w:tcPr>
          <w:p>
            <w:pPr>
              <w:jc w:val="center"/>
              <w:ind w:left="68"/>
              <w:spacing w:after="0"/>
              <w:rPr>
                <w:sz w:val="20"/>
                <w:szCs w:val="20"/>
                <w:color w:val="auto"/>
              </w:rPr>
            </w:pPr>
            <w:r>
              <w:rPr>
                <w:rFonts w:ascii="Arial" w:cs="Arial" w:eastAsia="Arial" w:hAnsi="Arial"/>
                <w:sz w:val="14"/>
                <w:szCs w:val="14"/>
                <w:color w:val="auto"/>
                <w:w w:val="90"/>
              </w:rPr>
              <w:t>0.47%</w:t>
            </w:r>
          </w:p>
        </w:tc>
        <w:tc>
          <w:tcPr>
            <w:tcW w:w="460" w:type="dxa"/>
            <w:vAlign w:val="bottom"/>
          </w:tcPr>
          <w:p>
            <w:pPr>
              <w:jc w:val="center"/>
              <w:spacing w:after="0"/>
              <w:rPr>
                <w:sz w:val="20"/>
                <w:szCs w:val="20"/>
                <w:color w:val="auto"/>
              </w:rPr>
            </w:pPr>
            <w:r>
              <w:rPr>
                <w:rFonts w:ascii="Arial" w:cs="Arial" w:eastAsia="Arial" w:hAnsi="Arial"/>
                <w:sz w:val="8"/>
                <w:szCs w:val="8"/>
                <w:color w:val="auto"/>
                <w:w w:val="73"/>
              </w:rPr>
              <w:t>-</w:t>
            </w:r>
          </w:p>
        </w:tc>
        <w:tc>
          <w:tcPr>
            <w:tcW w:w="660" w:type="dxa"/>
            <w:vAlign w:val="bottom"/>
          </w:tcPr>
          <w:p>
            <w:pPr>
              <w:jc w:val="center"/>
              <w:ind w:right="68"/>
              <w:spacing w:after="0"/>
              <w:rPr>
                <w:sz w:val="20"/>
                <w:szCs w:val="20"/>
                <w:color w:val="auto"/>
              </w:rPr>
            </w:pPr>
            <w:r>
              <w:rPr>
                <w:rFonts w:ascii="Arial" w:cs="Arial" w:eastAsia="Arial" w:hAnsi="Arial"/>
                <w:sz w:val="14"/>
                <w:szCs w:val="14"/>
                <w:color w:val="auto"/>
                <w:w w:val="90"/>
              </w:rPr>
              <w:t>1.97%</w:t>
            </w:r>
          </w:p>
        </w:tc>
        <w:tc>
          <w:tcPr>
            <w:tcW w:w="1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88"/>
              </w:rPr>
              <w:t>Decrease (6)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w:t>
      </w:r>
    </w:p>
    <w:p>
      <w:pPr>
        <w:spacing w:after="0" w:line="101" w:lineRule="exact"/>
        <w:rPr>
          <w:sz w:val="20"/>
          <w:szCs w:val="20"/>
          <w:color w:val="auto"/>
        </w:rPr>
      </w:pPr>
    </w:p>
    <w:p>
      <w:pPr>
        <w:jc w:val="both"/>
        <w:ind w:left="340" w:hanging="332"/>
        <w:spacing w:after="0" w:line="263"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The range shown reflects the mortality rate for policyholders between 35 and 90 years old, which represents the majority of the business with living benefits. Mortality rate assumptions are set based on company experience and include an assumption for mortality improvement.</w:t>
      </w:r>
    </w:p>
    <w:p>
      <w:pPr>
        <w:spacing w:after="0" w:line="75" w:lineRule="exact"/>
        <w:rPr>
          <w:rFonts w:ascii="Arial" w:cs="Arial" w:eastAsia="Arial" w:hAnsi="Arial"/>
          <w:sz w:val="18"/>
          <w:szCs w:val="18"/>
          <w:color w:val="auto"/>
        </w:rPr>
      </w:pPr>
    </w:p>
    <w:p>
      <w:pPr>
        <w:jc w:val="both"/>
        <w:ind w:left="340" w:hanging="332"/>
        <w:spacing w:after="0" w:line="257"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range shown reflects base lapse rates for major product categories for duration 1-20, which represents majority of business with living benefit riders. 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79" w:lineRule="exact"/>
        <w:rPr>
          <w:rFonts w:ascii="Arial" w:cs="Arial" w:eastAsia="Arial" w:hAnsi="Arial"/>
          <w:sz w:val="18"/>
          <w:szCs w:val="18"/>
          <w:color w:val="auto"/>
        </w:rPr>
      </w:pPr>
    </w:p>
    <w:p>
      <w:pPr>
        <w:jc w:val="both"/>
        <w:ind w:left="340" w:hanging="332"/>
        <w:spacing w:after="0" w:line="275" w:lineRule="auto"/>
        <w:tabs>
          <w:tab w:leader="none" w:pos="33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utilization rate assumption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68" w:lineRule="exact"/>
        <w:rPr>
          <w:rFonts w:ascii="Arial" w:cs="Arial" w:eastAsia="Arial" w:hAnsi="Arial"/>
          <w:sz w:val="17"/>
          <w:szCs w:val="17"/>
          <w:color w:val="auto"/>
        </w:rPr>
      </w:pPr>
    </w:p>
    <w:p>
      <w:pPr>
        <w:jc w:val="both"/>
        <w:ind w:left="340" w:hanging="332"/>
        <w:spacing w:after="0" w:line="275" w:lineRule="auto"/>
        <w:tabs>
          <w:tab w:leader="none" w:pos="33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 (decrease) in withdrawal rates results in a decrease (increase) in the estimated fair value.</w:t>
      </w:r>
    </w:p>
    <w:p>
      <w:pPr>
        <w:spacing w:after="0" w:line="68" w:lineRule="exact"/>
        <w:rPr>
          <w:rFonts w:ascii="Arial" w:cs="Arial" w:eastAsia="Arial" w:hAnsi="Arial"/>
          <w:sz w:val="17"/>
          <w:szCs w:val="17"/>
          <w:color w:val="auto"/>
        </w:rPr>
      </w:pPr>
    </w:p>
    <w:p>
      <w:pPr>
        <w:ind w:left="340" w:hanging="332"/>
        <w:spacing w:after="0" w:line="342" w:lineRule="auto"/>
        <w:tabs>
          <w:tab w:leader="none" w:pos="334"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15" w:lineRule="exact"/>
        <w:rPr>
          <w:rFonts w:ascii="Arial" w:cs="Arial" w:eastAsia="Arial" w:hAnsi="Arial"/>
          <w:sz w:val="16"/>
          <w:szCs w:val="16"/>
          <w:color w:val="auto"/>
        </w:rPr>
      </w:pPr>
    </w:p>
    <w:p>
      <w:pPr>
        <w:ind w:left="340" w:hanging="332"/>
        <w:spacing w:after="0" w:line="277"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Nonperformance risk spread varies by duration. For any given contract, multiple nonperformance risk spreads will apply, depending on the duration of the cash flow being discounted for purposes of valuing the embedded derivative.</w:t>
      </w:r>
    </w:p>
    <w:p>
      <w:pPr>
        <w:spacing w:after="0" w:line="62"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based on third-party pricing models, an increase (decrease) in credit spreads would generally result in a higher (lower) fair value.</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changes in assets and (liabilities) measured at estimated fair value on a recurring basis using significant unobservable inputs (Level 3) were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gridSpan w:val="12"/>
          </w:tcPr>
          <w:p>
            <w:pPr>
              <w:ind w:left="400"/>
              <w:spacing w:after="0"/>
              <w:rPr>
                <w:sz w:val="20"/>
                <w:szCs w:val="20"/>
                <w:color w:val="auto"/>
              </w:rPr>
            </w:pPr>
            <w:r>
              <w:rPr>
                <w:rFonts w:ascii="Arial" w:cs="Arial" w:eastAsia="Arial" w:hAnsi="Arial"/>
                <w:sz w:val="13"/>
                <w:szCs w:val="13"/>
                <w:b w:val="1"/>
                <w:bCs w:val="1"/>
                <w:color w:val="auto"/>
                <w:w w:val="87"/>
              </w:rPr>
              <w:t>Fair Value Measurements Using Significant Unobservable Inputs (Level 3)</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Fixed Maturity Securities</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Structured</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State and</w:t>
            </w:r>
          </w:p>
        </w:tc>
        <w:tc>
          <w:tcPr>
            <w:tcW w:w="10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Foreign</w:t>
            </w:r>
          </w:p>
        </w:tc>
        <w:tc>
          <w:tcPr>
            <w:tcW w:w="12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3"/>
              </w:rPr>
              <w:t>Short-term</w:t>
            </w:r>
          </w:p>
        </w:tc>
        <w:tc>
          <w:tcPr>
            <w:tcW w:w="360" w:type="dxa"/>
            <w:vAlign w:val="bottom"/>
          </w:tcPr>
          <w:p>
            <w:pPr>
              <w:spacing w:after="0"/>
              <w:rPr>
                <w:sz w:val="10"/>
                <w:szCs w:val="10"/>
                <w:color w:val="auto"/>
              </w:rPr>
            </w:pPr>
          </w:p>
        </w:tc>
        <w:tc>
          <w:tcPr>
            <w:tcW w:w="660" w:type="dxa"/>
            <w:vAlign w:val="bottom"/>
            <w:gridSpan w:val="2"/>
            <w:vMerge w:val="restart"/>
          </w:tcPr>
          <w:p>
            <w:pPr>
              <w:jc w:val="center"/>
              <w:ind w:right="460"/>
              <w:spacing w:after="0"/>
              <w:rPr>
                <w:sz w:val="20"/>
                <w:szCs w:val="20"/>
                <w:color w:val="auto"/>
              </w:rPr>
            </w:pPr>
            <w:r>
              <w:rPr>
                <w:rFonts w:ascii="Arial" w:cs="Arial" w:eastAsia="Arial" w:hAnsi="Arial"/>
                <w:sz w:val="13"/>
                <w:szCs w:val="13"/>
                <w:b w:val="1"/>
                <w:bCs w:val="1"/>
                <w:color w:val="auto"/>
                <w:w w:val="95"/>
              </w:rPr>
              <w:t>Net</w:t>
            </w:r>
          </w:p>
        </w:tc>
        <w:tc>
          <w:tcPr>
            <w:tcW w:w="80" w:type="dxa"/>
            <w:vAlign w:val="bottom"/>
          </w:tcPr>
          <w:p>
            <w:pPr>
              <w:spacing w:after="0"/>
              <w:rPr>
                <w:sz w:val="10"/>
                <w:szCs w:val="10"/>
                <w:color w:val="auto"/>
              </w:rPr>
            </w:pPr>
          </w:p>
        </w:tc>
        <w:tc>
          <w:tcPr>
            <w:tcW w:w="1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Embedded</w:t>
            </w:r>
          </w:p>
        </w:tc>
        <w:tc>
          <w:tcPr>
            <w:tcW w:w="140" w:type="dxa"/>
            <w:vAlign w:val="bottom"/>
          </w:tcPr>
          <w:p>
            <w:pPr>
              <w:spacing w:after="0"/>
              <w:rPr>
                <w:sz w:val="10"/>
                <w:szCs w:val="10"/>
                <w:color w:val="auto"/>
              </w:rPr>
            </w:pPr>
          </w:p>
        </w:tc>
        <w:tc>
          <w:tcPr>
            <w:tcW w:w="7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87"/>
              </w:rPr>
              <w:t>Separate</w:t>
            </w:r>
          </w:p>
        </w:tc>
        <w:tc>
          <w:tcPr>
            <w:tcW w:w="0" w:type="dxa"/>
            <w:vAlign w:val="bottom"/>
          </w:tcPr>
          <w:p>
            <w:pPr>
              <w:spacing w:after="0"/>
              <w:rPr>
                <w:sz w:val="1"/>
                <w:szCs w:val="1"/>
                <w:color w:val="auto"/>
              </w:rPr>
            </w:pPr>
          </w:p>
        </w:tc>
      </w:tr>
      <w:tr>
        <w:trPr>
          <w:trHeight w:val="122"/>
        </w:trPr>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 (1)</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Political</w:t>
            </w: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84"/>
              </w:rPr>
              <w:t>Account</w:t>
            </w:r>
          </w:p>
        </w:tc>
        <w:tc>
          <w:tcPr>
            <w:tcW w:w="0" w:type="dxa"/>
            <w:vAlign w:val="bottom"/>
          </w:tcPr>
          <w:p>
            <w:pPr>
              <w:spacing w:after="0"/>
              <w:rPr>
                <w:sz w:val="1"/>
                <w:szCs w:val="1"/>
                <w:color w:val="auto"/>
              </w:rPr>
            </w:pPr>
          </w:p>
        </w:tc>
      </w:tr>
      <w:tr>
        <w:trPr>
          <w:trHeight w:val="170"/>
        </w:trPr>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3"/>
              </w:rPr>
              <w:t>Securities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4"/>
              </w:rPr>
              <w:t>Subdivision</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Government</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Securities</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6"/>
              </w:rPr>
              <w:t>Investments</w:t>
            </w: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9"/>
              </w:rPr>
              <w:t>Derivatives (2)</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Derivatives (3)</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3"/>
              </w:rPr>
              <w:t>Assets (4)</w:t>
            </w: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0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rPr>
              <w:t>Three Months Ended March 31,</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2021</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688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(6,874)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9"/>
        </w:trPr>
        <w:tc>
          <w:tcPr>
            <w:tcW w:w="20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realized/unrealized gains</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(losses) included in net income</w:t>
            </w:r>
          </w:p>
        </w:tc>
        <w:tc>
          <w:tcPr>
            <w:tcW w:w="1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 (5) (6)</w:t>
            </w: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00" w:type="dxa"/>
            <w:vAlign w:val="bottom"/>
          </w:tcPr>
          <w:p>
            <w:pPr>
              <w:ind w:left="20"/>
              <w:spacing w:after="0" w:line="122" w:lineRule="exact"/>
              <w:rPr>
                <w:sz w:val="20"/>
                <w:szCs w:val="20"/>
                <w:color w:val="auto"/>
              </w:rPr>
            </w:pPr>
            <w:r>
              <w:rPr>
                <w:rFonts w:ascii="Arial" w:cs="Arial" w:eastAsia="Arial" w:hAnsi="Arial"/>
                <w:sz w:val="13"/>
                <w:szCs w:val="13"/>
                <w:color w:val="auto"/>
              </w:rPr>
              <w:t>Total realized/unrealized gains</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00" w:type="dxa"/>
            <w:vAlign w:val="bottom"/>
          </w:tcPr>
          <w:p>
            <w:pPr>
              <w:ind w:left="180"/>
              <w:spacing w:after="0"/>
              <w:rPr>
                <w:sz w:val="20"/>
                <w:szCs w:val="20"/>
                <w:color w:val="auto"/>
              </w:rPr>
            </w:pPr>
            <w:r>
              <w:rPr>
                <w:rFonts w:ascii="Arial" w:cs="Arial" w:eastAsia="Arial" w:hAnsi="Arial"/>
                <w:sz w:val="13"/>
                <w:szCs w:val="13"/>
                <w:color w:val="auto"/>
              </w:rPr>
              <w:t>(losses) included in AOCI</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(7)</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Sales (7)</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Issuances (7)</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Settlements (7)</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Transfers into Level 3 (8)</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000" w:type="dxa"/>
            <w:vAlign w:val="bottom"/>
          </w:tcPr>
          <w:p>
            <w:pPr>
              <w:ind w:left="20"/>
              <w:spacing w:after="0"/>
              <w:rPr>
                <w:sz w:val="20"/>
                <w:szCs w:val="20"/>
                <w:color w:val="auto"/>
              </w:rPr>
            </w:pPr>
            <w:r>
              <w:rPr>
                <w:rFonts w:ascii="Arial" w:cs="Arial" w:eastAsia="Arial" w:hAnsi="Arial"/>
                <w:sz w:val="13"/>
                <w:szCs w:val="13"/>
                <w:color w:val="auto"/>
              </w:rPr>
              <w:t>Transfers out of Level 3 (8)</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1"/>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ind w:left="20"/>
              <w:spacing w:after="0" w:line="109" w:lineRule="exact"/>
              <w:rPr>
                <w:sz w:val="20"/>
                <w:szCs w:val="20"/>
                <w:color w:val="auto"/>
              </w:rPr>
            </w:pPr>
            <w:r>
              <w:rPr>
                <w:rFonts w:ascii="Arial" w:cs="Arial" w:eastAsia="Arial" w:hAnsi="Arial"/>
                <w:sz w:val="12"/>
                <w:szCs w:val="12"/>
                <w:b w:val="1"/>
                <w:bCs w:val="1"/>
                <w:color w:val="auto"/>
              </w:rPr>
              <w:t>Three Months Ended March 31,</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00" w:type="dxa"/>
            <w:vAlign w:val="bottom"/>
          </w:tcPr>
          <w:p>
            <w:pPr>
              <w:ind w:left="180"/>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ind w:left="680"/>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1"/>
        </w:trPr>
        <w:tc>
          <w:tcPr>
            <w:tcW w:w="2000" w:type="dxa"/>
            <w:vAlign w:val="bottom"/>
          </w:tcPr>
          <w:p>
            <w:pPr>
              <w:ind w:left="20"/>
              <w:spacing w:after="0" w:line="122" w:lineRule="exact"/>
              <w:rPr>
                <w:sz w:val="20"/>
                <w:szCs w:val="20"/>
                <w:color w:val="auto"/>
              </w:rPr>
            </w:pPr>
            <w:r>
              <w:rPr>
                <w:rFonts w:ascii="Arial" w:cs="Arial" w:eastAsia="Arial" w:hAnsi="Arial"/>
                <w:sz w:val="13"/>
                <w:szCs w:val="13"/>
                <w:color w:val="auto"/>
              </w:rPr>
              <w:t>Total realized/unrealized gains</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tcPr>
          <w:p>
            <w:pPr>
              <w:ind w:left="180"/>
              <w:spacing w:after="0" w:line="122" w:lineRule="exact"/>
              <w:rPr>
                <w:sz w:val="20"/>
                <w:szCs w:val="20"/>
                <w:color w:val="auto"/>
              </w:rPr>
            </w:pPr>
            <w:r>
              <w:rPr>
                <w:rFonts w:ascii="Arial" w:cs="Arial" w:eastAsia="Arial" w:hAnsi="Arial"/>
                <w:sz w:val="13"/>
                <w:szCs w:val="13"/>
                <w:color w:val="auto"/>
              </w:rPr>
              <w:t>(losses) included in net income</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00" w:type="dxa"/>
            <w:vAlign w:val="bottom"/>
          </w:tcPr>
          <w:p>
            <w:pPr>
              <w:ind w:left="180"/>
              <w:spacing w:after="0"/>
              <w:rPr>
                <w:sz w:val="20"/>
                <w:szCs w:val="20"/>
                <w:color w:val="auto"/>
              </w:rPr>
            </w:pPr>
            <w:r>
              <w:rPr>
                <w:rFonts w:ascii="Arial" w:cs="Arial" w:eastAsia="Arial" w:hAnsi="Arial"/>
                <w:sz w:val="13"/>
                <w:szCs w:val="13"/>
                <w:color w:val="auto"/>
              </w:rPr>
              <w:t>(loss) (5) (6)</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realized/unrealized gains</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5"/>
        </w:trPr>
        <w:tc>
          <w:tcPr>
            <w:tcW w:w="2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(losses) included in AOCI</w:t>
            </w: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Purchases (7)</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 (7)</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Issuances (7)</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Settlements (7)</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Transfers into Level 3 (8)</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Transfers out of Level 3 (8)</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000" w:type="dxa"/>
            <w:vAlign w:val="bottom"/>
          </w:tcPr>
          <w:p>
            <w:pPr>
              <w:ind w:left="20"/>
              <w:spacing w:after="0"/>
              <w:rPr>
                <w:sz w:val="20"/>
                <w:szCs w:val="20"/>
                <w:color w:val="auto"/>
              </w:rPr>
            </w:pPr>
            <w:r>
              <w:rPr>
                <w:rFonts w:ascii="Arial" w:cs="Arial" w:eastAsia="Arial" w:hAnsi="Arial"/>
                <w:sz w:val="13"/>
                <w:szCs w:val="13"/>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(4,263)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00" w:type="dxa"/>
            <w:vAlign w:val="bottom"/>
            <w:shd w:val="clear" w:color="auto" w:fill="CCEEFF"/>
          </w:tcPr>
          <w:p>
            <w:pPr>
              <w:ind w:left="20"/>
              <w:spacing w:after="0" w:line="89" w:lineRule="exact"/>
              <w:rPr>
                <w:sz w:val="20"/>
                <w:szCs w:val="20"/>
                <w:color w:val="auto"/>
              </w:rPr>
            </w:pPr>
            <w:r>
              <w:rPr>
                <w:rFonts w:ascii="Arial" w:cs="Arial" w:eastAsia="Arial" w:hAnsi="Arial"/>
                <w:sz w:val="10"/>
                <w:szCs w:val="10"/>
                <w:color w:val="auto"/>
              </w:rPr>
              <w:t>Changes in unrealized gains (losses)</w:t>
            </w: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98"/>
              </w:rPr>
              <w:t>included in net income (loss) for</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the instruments still held at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544</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March 31, 2021 (9)</w:t>
            </w:r>
          </w:p>
        </w:tc>
        <w:tc>
          <w:tcPr>
            <w:tcW w:w="1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ind w:left="20"/>
              <w:spacing w:after="0" w:line="109" w:lineRule="exact"/>
              <w:rPr>
                <w:sz w:val="20"/>
                <w:szCs w:val="20"/>
                <w:color w:val="auto"/>
              </w:rPr>
            </w:pPr>
            <w:r>
              <w:rPr>
                <w:rFonts w:ascii="Arial" w:cs="Arial" w:eastAsia="Arial" w:hAnsi="Arial"/>
                <w:sz w:val="12"/>
                <w:szCs w:val="12"/>
                <w:color w:val="auto"/>
                <w:w w:val="99"/>
              </w:rPr>
              <w:t>Changes in unrealized gains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00" w:type="dxa"/>
            <w:vAlign w:val="bottom"/>
          </w:tcPr>
          <w:p>
            <w:pPr>
              <w:ind w:left="180"/>
              <w:spacing w:after="0" w:line="122" w:lineRule="exact"/>
              <w:rPr>
                <w:sz w:val="20"/>
                <w:szCs w:val="20"/>
                <w:color w:val="auto"/>
              </w:rPr>
            </w:pPr>
            <w:r>
              <w:rPr>
                <w:rFonts w:ascii="Arial" w:cs="Arial" w:eastAsia="Arial" w:hAnsi="Arial"/>
                <w:sz w:val="13"/>
                <w:szCs w:val="13"/>
                <w:color w:val="auto"/>
                <w:w w:val="96"/>
              </w:rPr>
              <w:t>included in other comprehensive</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tcPr>
          <w:p>
            <w:pPr>
              <w:ind w:left="180"/>
              <w:spacing w:after="0" w:line="122" w:lineRule="exact"/>
              <w:rPr>
                <w:sz w:val="20"/>
                <w:szCs w:val="20"/>
                <w:color w:val="auto"/>
              </w:rPr>
            </w:pPr>
            <w:r>
              <w:rPr>
                <w:rFonts w:ascii="Arial" w:cs="Arial" w:eastAsia="Arial" w:hAnsi="Arial"/>
                <w:sz w:val="13"/>
                <w:szCs w:val="13"/>
                <w:color w:val="auto"/>
              </w:rPr>
              <w:t>income for the instruments still</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tcPr>
          <w:p>
            <w:pPr>
              <w:ind w:left="68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00" w:type="dxa"/>
            <w:vAlign w:val="bottom"/>
          </w:tcPr>
          <w:p>
            <w:pPr>
              <w:ind w:left="180"/>
              <w:spacing w:after="0"/>
              <w:rPr>
                <w:sz w:val="20"/>
                <w:szCs w:val="20"/>
                <w:color w:val="auto"/>
              </w:rPr>
            </w:pPr>
            <w:r>
              <w:rPr>
                <w:rFonts w:ascii="Arial" w:cs="Arial" w:eastAsia="Arial" w:hAnsi="Arial"/>
                <w:sz w:val="13"/>
                <w:szCs w:val="13"/>
                <w:color w:val="auto"/>
              </w:rPr>
              <w:t>held at March 31, 2021 (9)</w:t>
            </w:r>
          </w:p>
        </w:tc>
        <w:tc>
          <w:tcPr>
            <w:tcW w:w="1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00" w:type="dxa"/>
            <w:vAlign w:val="bottom"/>
            <w:shd w:val="clear" w:color="auto" w:fill="CCEEFF"/>
          </w:tcPr>
          <w:p>
            <w:pPr>
              <w:ind w:left="20"/>
              <w:spacing w:after="0" w:line="89" w:lineRule="exact"/>
              <w:rPr>
                <w:sz w:val="20"/>
                <w:szCs w:val="20"/>
                <w:color w:val="auto"/>
              </w:rPr>
            </w:pPr>
            <w:r>
              <w:rPr>
                <w:rFonts w:ascii="Arial" w:cs="Arial" w:eastAsia="Arial" w:hAnsi="Arial"/>
                <w:sz w:val="10"/>
                <w:szCs w:val="10"/>
                <w:color w:val="auto"/>
              </w:rPr>
              <w:t>Changes in unrealized gains (losses)</w:t>
            </w:r>
          </w:p>
        </w:tc>
        <w:tc>
          <w:tcPr>
            <w:tcW w:w="1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98"/>
              </w:rPr>
              <w:t>included in net income (loss) for</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the instruments still held at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March 31, 2020 (9)</w:t>
            </w:r>
          </w:p>
        </w:tc>
        <w:tc>
          <w:tcPr>
            <w:tcW w:w="1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bottom w:val="single" w:sz="8" w:color="CCEEFF"/>
            </w:tcBorders>
            <w:vMerge w:val="restart"/>
          </w:tcPr>
          <w:p>
            <w:pPr>
              <w:ind w:left="20"/>
              <w:spacing w:after="0" w:line="109" w:lineRule="exact"/>
              <w:rPr>
                <w:sz w:val="20"/>
                <w:szCs w:val="20"/>
                <w:color w:val="auto"/>
              </w:rPr>
            </w:pPr>
            <w:r>
              <w:rPr>
                <w:rFonts w:ascii="Arial" w:cs="Arial" w:eastAsia="Arial" w:hAnsi="Arial"/>
                <w:sz w:val="12"/>
                <w:szCs w:val="12"/>
                <w:color w:val="auto"/>
                <w:w w:val="99"/>
              </w:rPr>
              <w:t>Changes in unrealized gains (losses)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0" w:type="dxa"/>
            <w:vAlign w:val="bottom"/>
          </w:tcPr>
          <w:p>
            <w:pPr>
              <w:ind w:left="180"/>
              <w:spacing w:after="0" w:line="122" w:lineRule="exact"/>
              <w:rPr>
                <w:sz w:val="20"/>
                <w:szCs w:val="20"/>
                <w:color w:val="auto"/>
              </w:rPr>
            </w:pPr>
            <w:r>
              <w:rPr>
                <w:rFonts w:ascii="Arial" w:cs="Arial" w:eastAsia="Arial" w:hAnsi="Arial"/>
                <w:sz w:val="13"/>
                <w:szCs w:val="13"/>
                <w:color w:val="auto"/>
                <w:w w:val="96"/>
              </w:rPr>
              <w:t>included in other comprehensive</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0" w:type="dxa"/>
            <w:vAlign w:val="bottom"/>
          </w:tcPr>
          <w:p>
            <w:pPr>
              <w:ind w:left="180"/>
              <w:spacing w:after="0" w:line="122" w:lineRule="exact"/>
              <w:rPr>
                <w:sz w:val="20"/>
                <w:szCs w:val="20"/>
                <w:color w:val="auto"/>
              </w:rPr>
            </w:pPr>
            <w:r>
              <w:rPr>
                <w:rFonts w:ascii="Arial" w:cs="Arial" w:eastAsia="Arial" w:hAnsi="Arial"/>
                <w:sz w:val="13"/>
                <w:szCs w:val="13"/>
                <w:color w:val="auto"/>
              </w:rPr>
              <w:t>income for the instruments still</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tcPr>
          <w:p>
            <w:pPr>
              <w:ind w:left="68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00" w:type="dxa"/>
            <w:vAlign w:val="bottom"/>
          </w:tcPr>
          <w:p>
            <w:pPr>
              <w:ind w:left="180"/>
              <w:spacing w:after="0"/>
              <w:rPr>
                <w:sz w:val="20"/>
                <w:szCs w:val="20"/>
                <w:color w:val="auto"/>
              </w:rPr>
            </w:pPr>
            <w:r>
              <w:rPr>
                <w:rFonts w:ascii="Arial" w:cs="Arial" w:eastAsia="Arial" w:hAnsi="Arial"/>
                <w:sz w:val="13"/>
                <w:szCs w:val="13"/>
                <w:color w:val="auto"/>
              </w:rPr>
              <w:t>held at March 31, 2020 (9)</w:t>
            </w:r>
          </w:p>
        </w:tc>
        <w:tc>
          <w:tcPr>
            <w:tcW w:w="1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presented net for purposes of the rollforward.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Embedded derivative assets and liabilities are presented net for purposes of the rollforward.</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presented within net investment gains (losses).</w:t>
      </w:r>
    </w:p>
    <w:p>
      <w:pPr>
        <w:spacing w:after="0" w:line="75" w:lineRule="exact"/>
        <w:rPr>
          <w:rFonts w:ascii="Arial" w:cs="Arial" w:eastAsia="Arial" w:hAnsi="Arial"/>
          <w:sz w:val="18"/>
          <w:szCs w:val="18"/>
          <w:color w:val="auto"/>
        </w:rPr>
      </w:pPr>
    </w:p>
    <w:p>
      <w:pPr>
        <w:jc w:val="both"/>
        <w:ind w:left="340" w:hanging="332"/>
        <w:spacing w:after="0" w:line="259"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78"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pacing w:after="0" w:line="117"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62"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payables for collateral under securities loaned and other transactions and those short-term investments that are not securities and therefore are not included in the three level hierarchy table disclosed in the “— Recurring Fair Value Measurements” section.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6"/>
              </w:rPr>
              <w:t>March 31, 2021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Fair Value Hierarchy</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center"/>
              <w:ind w:right="24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1"/>
                <w:szCs w:val="11"/>
                <w:color w:val="auto"/>
              </w:rPr>
            </w:pPr>
          </w:p>
        </w:tc>
        <w:tc>
          <w:tcPr>
            <w:tcW w:w="118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1"/>
                <w:szCs w:val="11"/>
                <w:color w:val="auto"/>
              </w:rPr>
            </w:pPr>
          </w:p>
        </w:tc>
        <w:tc>
          <w:tcPr>
            <w:tcW w:w="9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1"/>
                <w:szCs w:val="11"/>
                <w:color w:val="auto"/>
              </w:rPr>
            </w:pPr>
          </w:p>
        </w:tc>
        <w:tc>
          <w:tcPr>
            <w:tcW w:w="104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01"/>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15,690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16,539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16,539</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1,245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491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Other invested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52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40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3,319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17,837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18,871</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18,871</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3,435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3,710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3,710</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1,098</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380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1,361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1,361</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526"/>
        </w:trPr>
        <w:tc>
          <w:tcPr>
            <w:tcW w:w="4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8"/>
              </w:rPr>
              <w:t>December 31, 2020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Fair Value Hierarchy</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center"/>
              <w:ind w:right="24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4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1"/>
                <w:szCs w:val="11"/>
                <w:color w:val="auto"/>
              </w:rPr>
            </w:pPr>
          </w:p>
        </w:tc>
        <w:tc>
          <w:tcPr>
            <w:tcW w:w="118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92"/>
              </w:rPr>
              <w:t>Level 2</w:t>
            </w:r>
          </w:p>
        </w:tc>
        <w:tc>
          <w:tcPr>
            <w:tcW w:w="280" w:type="dxa"/>
            <w:vAlign w:val="bottom"/>
          </w:tcPr>
          <w:p>
            <w:pPr>
              <w:spacing w:after="0"/>
              <w:rPr>
                <w:sz w:val="11"/>
                <w:szCs w:val="11"/>
                <w:color w:val="auto"/>
              </w:rPr>
            </w:pPr>
          </w:p>
        </w:tc>
        <w:tc>
          <w:tcPr>
            <w:tcW w:w="96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1"/>
                <w:szCs w:val="11"/>
                <w:color w:val="auto"/>
              </w:rPr>
            </w:pPr>
          </w:p>
        </w:tc>
        <w:tc>
          <w:tcPr>
            <w:tcW w:w="104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01"/>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15,808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16,926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16,926</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1,291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512</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Other invested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51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39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3,277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17,497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19,100</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19,100</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3,436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3,858</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807</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163</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1,334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61"/>
              <w:spacing w:after="0"/>
              <w:rPr>
                <w:sz w:val="20"/>
                <w:szCs w:val="20"/>
                <w:color w:val="auto"/>
              </w:rPr>
            </w:pPr>
            <w:r>
              <w:rPr>
                <w:rFonts w:ascii="Arial" w:cs="Arial" w:eastAsia="Arial" w:hAnsi="Arial"/>
                <w:sz w:val="16"/>
                <w:szCs w:val="16"/>
                <w:color w:val="auto"/>
              </w:rPr>
              <w:t>1,334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Preferred stock shares authorized, issued and outstanding were as follows at both March 31, 2021 and December 31,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84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Authorized</w:t>
            </w:r>
          </w:p>
        </w:tc>
        <w:tc>
          <w:tcPr>
            <w:tcW w:w="182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 Issued</w:t>
            </w:r>
          </w:p>
        </w:tc>
        <w:tc>
          <w:tcPr>
            <w:tcW w:w="1740" w:type="dxa"/>
            <w:vAlign w:val="bottom"/>
          </w:tcPr>
          <w:p>
            <w:pPr>
              <w:jc w:val="right"/>
              <w:ind w:right="181"/>
              <w:spacing w:after="0"/>
              <w:rPr>
                <w:sz w:val="20"/>
                <w:szCs w:val="20"/>
                <w:color w:val="auto"/>
              </w:rPr>
            </w:pPr>
            <w:r>
              <w:rPr>
                <w:rFonts w:ascii="Arial" w:cs="Arial" w:eastAsia="Arial" w:hAnsi="Arial"/>
                <w:sz w:val="14"/>
                <w:szCs w:val="14"/>
                <w:b w:val="1"/>
                <w:bCs w:val="1"/>
                <w:color w:val="auto"/>
              </w:rPr>
              <w:t>Shares Outstanding</w:t>
            </w:r>
          </w:p>
        </w:tc>
      </w:tr>
      <w:tr>
        <w:trPr>
          <w:trHeight w:val="216"/>
        </w:trPr>
        <w:tc>
          <w:tcPr>
            <w:tcW w:w="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6.600%</w:t>
            </w:r>
          </w:p>
        </w:tc>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Non-Cumulative Preferred Stock, Series A</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17,000</w:t>
            </w:r>
          </w:p>
        </w:tc>
      </w:tr>
      <w:tr>
        <w:trPr>
          <w:trHeight w:val="213"/>
        </w:trPr>
        <w:tc>
          <w:tcPr>
            <w:tcW w:w="540" w:type="dxa"/>
            <w:vAlign w:val="bottom"/>
          </w:tcPr>
          <w:p>
            <w:pPr>
              <w:jc w:val="right"/>
              <w:spacing w:after="0"/>
              <w:rPr>
                <w:sz w:val="20"/>
                <w:szCs w:val="20"/>
                <w:color w:val="auto"/>
              </w:rPr>
            </w:pPr>
            <w:r>
              <w:rPr>
                <w:rFonts w:ascii="Arial" w:cs="Arial" w:eastAsia="Arial" w:hAnsi="Arial"/>
                <w:sz w:val="16"/>
                <w:szCs w:val="16"/>
                <w:color w:val="auto"/>
                <w:w w:val="92"/>
              </w:rPr>
              <w:t>6.750%</w:t>
            </w:r>
          </w:p>
        </w:tc>
        <w:tc>
          <w:tcPr>
            <w:tcW w:w="5300" w:type="dxa"/>
            <w:vAlign w:val="bottom"/>
          </w:tcPr>
          <w:p>
            <w:pPr>
              <w:ind w:left="20"/>
              <w:spacing w:after="0"/>
              <w:rPr>
                <w:sz w:val="20"/>
                <w:szCs w:val="20"/>
                <w:color w:val="auto"/>
              </w:rPr>
            </w:pPr>
            <w:r>
              <w:rPr>
                <w:rFonts w:ascii="Arial" w:cs="Arial" w:eastAsia="Arial" w:hAnsi="Arial"/>
                <w:sz w:val="16"/>
                <w:szCs w:val="16"/>
                <w:color w:val="auto"/>
              </w:rPr>
              <w:t>Non-Cumulative Preferred Stock, Series B</w:t>
            </w:r>
          </w:p>
        </w:tc>
        <w:tc>
          <w:tcPr>
            <w:tcW w:w="1740" w:type="dxa"/>
            <w:vAlign w:val="bottom"/>
          </w:tcPr>
          <w:p>
            <w:pPr>
              <w:jc w:val="right"/>
              <w:spacing w:after="0"/>
              <w:rPr>
                <w:sz w:val="20"/>
                <w:szCs w:val="20"/>
                <w:color w:val="auto"/>
              </w:rPr>
            </w:pPr>
            <w:r>
              <w:rPr>
                <w:rFonts w:ascii="Arial" w:cs="Arial" w:eastAsia="Arial" w:hAnsi="Arial"/>
                <w:sz w:val="16"/>
                <w:szCs w:val="16"/>
                <w:color w:val="auto"/>
              </w:rPr>
              <w:t>16,100</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16,100</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16,100</w:t>
            </w:r>
          </w:p>
        </w:tc>
      </w:tr>
      <w:tr>
        <w:trPr>
          <w:trHeight w:val="219"/>
        </w:trPr>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5.375%</w:t>
            </w:r>
          </w:p>
        </w:tc>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Non-Cumulative Preferred Stock, Series C</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r>
      <w:tr>
        <w:trPr>
          <w:trHeight w:val="213"/>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Not designated</w:t>
            </w:r>
          </w:p>
        </w:tc>
        <w:tc>
          <w:tcPr>
            <w:tcW w:w="1740" w:type="dxa"/>
            <w:vAlign w:val="bottom"/>
          </w:tcPr>
          <w:p>
            <w:pPr>
              <w:jc w:val="right"/>
              <w:spacing w:after="0"/>
              <w:rPr>
                <w:sz w:val="20"/>
                <w:szCs w:val="20"/>
                <w:color w:val="auto"/>
              </w:rPr>
            </w:pPr>
            <w:r>
              <w:rPr>
                <w:rFonts w:ascii="Arial" w:cs="Arial" w:eastAsia="Arial" w:hAnsi="Arial"/>
                <w:sz w:val="16"/>
                <w:szCs w:val="16"/>
                <w:color w:val="auto"/>
              </w:rPr>
              <w:t>99,943,900</w:t>
            </w:r>
          </w:p>
        </w:tc>
        <w:tc>
          <w:tcPr>
            <w:tcW w:w="10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Total</w:t>
            </w:r>
          </w:p>
        </w:tc>
        <w:tc>
          <w:tcPr>
            <w:tcW w:w="530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56,100</w:t>
            </w: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declaration, record and payment dates, as well as per share and aggregate dividend amounts for BHF’s preferred stock by series for the three months ended March 31, 2021 and 2020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right"/>
              <w:ind w:right="502"/>
              <w:spacing w:after="0"/>
              <w:rPr>
                <w:sz w:val="20"/>
                <w:szCs w:val="20"/>
                <w:color w:val="auto"/>
              </w:rPr>
            </w:pPr>
            <w:r>
              <w:rPr>
                <w:rFonts w:ascii="Arial" w:cs="Arial" w:eastAsia="Arial" w:hAnsi="Arial"/>
                <w:sz w:val="14"/>
                <w:szCs w:val="14"/>
                <w:b w:val="1"/>
                <w:bCs w:val="1"/>
                <w:color w:val="auto"/>
              </w:rPr>
              <w:t>Series A</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Series B</w:t>
            </w:r>
          </w:p>
        </w:tc>
        <w:tc>
          <w:tcPr>
            <w:tcW w:w="120" w:type="dxa"/>
            <w:vAlign w:val="bottom"/>
          </w:tcPr>
          <w:p>
            <w:pPr>
              <w:spacing w:after="0"/>
              <w:rPr>
                <w:sz w:val="16"/>
                <w:szCs w:val="16"/>
                <w:color w:val="auto"/>
              </w:rPr>
            </w:pPr>
          </w:p>
        </w:tc>
        <w:tc>
          <w:tcPr>
            <w:tcW w:w="1860" w:type="dxa"/>
            <w:vAlign w:val="bottom"/>
            <w:gridSpan w:val="3"/>
          </w:tcPr>
          <w:p>
            <w:pPr>
              <w:jc w:val="right"/>
              <w:ind w:right="662"/>
              <w:spacing w:after="0"/>
              <w:rPr>
                <w:sz w:val="20"/>
                <w:szCs w:val="20"/>
                <w:color w:val="auto"/>
              </w:rPr>
            </w:pPr>
            <w:r>
              <w:rPr>
                <w:rFonts w:ascii="Arial" w:cs="Arial" w:eastAsia="Arial" w:hAnsi="Arial"/>
                <w:sz w:val="14"/>
                <w:szCs w:val="14"/>
                <w:b w:val="1"/>
                <w:bCs w:val="1"/>
                <w:color w:val="auto"/>
              </w:rPr>
              <w:t>Series C</w:t>
            </w:r>
          </w:p>
        </w:tc>
      </w:tr>
      <w:tr>
        <w:trPr>
          <w:trHeight w:val="188"/>
        </w:trPr>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Declaration Date</w:t>
            </w:r>
          </w:p>
        </w:tc>
        <w:tc>
          <w:tcPr>
            <w:tcW w:w="1700" w:type="dxa"/>
            <w:vAlign w:val="bottom"/>
            <w:gridSpan w:val="2"/>
          </w:tcPr>
          <w:p>
            <w:pPr>
              <w:ind w:left="420"/>
              <w:spacing w:after="0"/>
              <w:rPr>
                <w:sz w:val="20"/>
                <w:szCs w:val="20"/>
                <w:color w:val="auto"/>
              </w:rPr>
            </w:pPr>
            <w:r>
              <w:rPr>
                <w:rFonts w:ascii="Arial" w:cs="Arial" w:eastAsia="Arial" w:hAnsi="Arial"/>
                <w:sz w:val="14"/>
                <w:szCs w:val="14"/>
                <w:b w:val="1"/>
                <w:bCs w:val="1"/>
                <w:color w:val="auto"/>
              </w:rPr>
              <w:t>Record Date</w:t>
            </w:r>
          </w:p>
        </w:tc>
        <w:tc>
          <w:tcPr>
            <w:tcW w:w="1700" w:type="dxa"/>
            <w:vAlign w:val="bottom"/>
            <w:gridSpan w:val="2"/>
          </w:tcPr>
          <w:p>
            <w:pPr>
              <w:ind w:left="360"/>
              <w:spacing w:after="0"/>
              <w:rPr>
                <w:sz w:val="20"/>
                <w:szCs w:val="20"/>
                <w:color w:val="auto"/>
              </w:rPr>
            </w:pPr>
            <w:r>
              <w:rPr>
                <w:rFonts w:ascii="Arial" w:cs="Arial" w:eastAsia="Arial" w:hAnsi="Arial"/>
                <w:sz w:val="14"/>
                <w:szCs w:val="14"/>
                <w:b w:val="1"/>
                <w:bCs w:val="1"/>
                <w:color w:val="auto"/>
              </w:rPr>
              <w:t>Payment Date</w:t>
            </w: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4"/>
              </w:rPr>
              <w:t>Per Share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Aggregate</w:t>
            </w:r>
          </w:p>
        </w:tc>
        <w:tc>
          <w:tcPr>
            <w:tcW w:w="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4"/>
              </w:rPr>
              <w:t>Per Share</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4"/>
              </w:rPr>
              <w:t>Per Share</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2"/>
              </w:rPr>
              <w:t>Aggregate</w:t>
            </w:r>
          </w:p>
        </w:tc>
      </w:tr>
      <w:tr>
        <w:trPr>
          <w:trHeight w:val="183"/>
        </w:trPr>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0" w:type="dxa"/>
            <w:vAlign w:val="bottom"/>
            <w:tcBorders>
              <w:top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(In millions, except per share data)</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217"/>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16, 2021</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10, 2021</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25,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412.50</w:t>
            </w:r>
          </w:p>
        </w:tc>
        <w:tc>
          <w:tcPr>
            <w:tcW w:w="86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421.88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466.58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1700" w:type="dxa"/>
            <w:vAlign w:val="bottom"/>
            <w:gridSpan w:val="2"/>
          </w:tcPr>
          <w:p>
            <w:pPr>
              <w:ind w:left="20"/>
              <w:spacing w:after="0"/>
              <w:rPr>
                <w:sz w:val="20"/>
                <w:szCs w:val="20"/>
                <w:color w:val="auto"/>
              </w:rPr>
            </w:pPr>
            <w:r>
              <w:rPr>
                <w:rFonts w:ascii="Arial" w:cs="Arial" w:eastAsia="Arial" w:hAnsi="Arial"/>
                <w:sz w:val="16"/>
                <w:szCs w:val="16"/>
                <w:color w:val="auto"/>
              </w:rPr>
              <w:t>February 14, 2020</w:t>
            </w:r>
          </w:p>
        </w:tc>
        <w:tc>
          <w:tcPr>
            <w:tcW w:w="1700" w:type="dxa"/>
            <w:vAlign w:val="bottom"/>
            <w:gridSpan w:val="2"/>
          </w:tcPr>
          <w:p>
            <w:pPr>
              <w:ind w:left="20"/>
              <w:spacing w:after="0"/>
              <w:rPr>
                <w:sz w:val="20"/>
                <w:szCs w:val="20"/>
                <w:color w:val="auto"/>
              </w:rPr>
            </w:pPr>
            <w:r>
              <w:rPr>
                <w:rFonts w:ascii="Arial" w:cs="Arial" w:eastAsia="Arial" w:hAnsi="Arial"/>
                <w:sz w:val="16"/>
                <w:szCs w:val="16"/>
                <w:color w:val="auto"/>
              </w:rPr>
              <w:t>March 10, 2020</w:t>
            </w:r>
          </w:p>
        </w:tc>
        <w:tc>
          <w:tcPr>
            <w:tcW w:w="1700" w:type="dxa"/>
            <w:vAlign w:val="bottom"/>
            <w:gridSpan w:val="2"/>
          </w:tcPr>
          <w:p>
            <w:pPr>
              <w:ind w:left="20"/>
              <w:spacing w:after="0"/>
              <w:rPr>
                <w:sz w:val="20"/>
                <w:szCs w:val="20"/>
                <w:color w:val="auto"/>
              </w:rPr>
            </w:pPr>
            <w:r>
              <w:rPr>
                <w:rFonts w:ascii="Arial" w:cs="Arial" w:eastAsia="Arial" w:hAnsi="Arial"/>
                <w:sz w:val="16"/>
                <w:szCs w:val="16"/>
                <w:color w:val="auto"/>
              </w:rPr>
              <w:t>March 25, 2020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412.50</w:t>
            </w:r>
          </w:p>
        </w:tc>
        <w:tc>
          <w:tcPr>
            <w:tcW w:w="86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10, 2021, BHF authorized the repurchase of up to $200 million of its common stock, which is in addition to the $1.1 billion aggregate stock repurchase authorizations announced in February 2020, May 2019 and August 2018. Repurchases under this authorization may be made through open market purchases, including pursuant to 10b5-1 plans or pursuant to accelerated stock repurchase plans, or through privately negotiated transactions, from time to time at management’s discretion in accordance with applicable legal requirements.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2021 and 2020, BHF repurchased 1,659,872 and 5,674,387 shares, respectively, of its common stock through open market purchases pursuant to 10b5-1 plans for $68 million and $142 million, respectively. At March 31, 2021, BHF had $212 million remaining under its common stock repurchase program.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jc w:val="center"/>
              <w:ind w:left="671"/>
              <w:spacing w:after="0"/>
              <w:rPr>
                <w:sz w:val="20"/>
                <w:szCs w:val="20"/>
                <w:color w:val="auto"/>
              </w:rPr>
            </w:pPr>
            <w:r>
              <w:rPr>
                <w:rFonts w:ascii="Arial" w:cs="Arial" w:eastAsia="Arial" w:hAnsi="Arial"/>
                <w:sz w:val="13"/>
                <w:szCs w:val="13"/>
                <w:b w:val="1"/>
                <w:bCs w:val="1"/>
                <w:color w:val="auto"/>
                <w:w w:val="88"/>
              </w:rPr>
              <w:t>Three Months Ended March 31, 2021</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1"/>
              </w:rPr>
              <w:t>Unrealized</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3"/>
              </w:rPr>
              <w:t>Foreign</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8"/>
              </w:rPr>
              <w:t>Investment Gains</w:t>
            </w: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1"/>
              </w:rPr>
              <w:t>Currency</w:t>
            </w:r>
          </w:p>
        </w:tc>
        <w:tc>
          <w:tcPr>
            <w:tcW w:w="12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Defined Benefit</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4"/>
              </w:rPr>
              <w:t>(Losses), Net of</w:t>
            </w:r>
          </w:p>
        </w:tc>
        <w:tc>
          <w:tcPr>
            <w:tcW w:w="160" w:type="dxa"/>
            <w:vAlign w:val="bottom"/>
          </w:tcPr>
          <w:p>
            <w:pPr>
              <w:spacing w:after="0"/>
              <w:rPr>
                <w:sz w:val="10"/>
                <w:szCs w:val="10"/>
                <w:color w:val="auto"/>
              </w:rPr>
            </w:pPr>
          </w:p>
        </w:tc>
        <w:tc>
          <w:tcPr>
            <w:tcW w:w="12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3"/>
              </w:rPr>
              <w:t>Gains (Losses)</w:t>
            </w: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8"/>
              </w:rPr>
              <w:t>Translation</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vMerge w:val="restart"/>
          </w:tcPr>
          <w:p>
            <w:pPr>
              <w:jc w:val="right"/>
              <w:ind w:right="4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Related Offsets (1)</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5"/>
              </w:rPr>
              <w:t>on Derivatives</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Adjustments</w:t>
            </w: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Plans Adjustment</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0"/>
              </w:rPr>
              <w:t>(In millions)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5,716</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(2,925)</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79"/>
        </w:trPr>
        <w:tc>
          <w:tcPr>
            <w:tcW w:w="42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3,397</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3,405</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361"/>
        </w:trPr>
        <w:tc>
          <w:tcPr>
            <w:tcW w:w="4240" w:type="dxa"/>
            <w:vAlign w:val="bottom"/>
          </w:tcPr>
          <w:p>
            <w:pPr>
              <w:ind w:left="20"/>
              <w:spacing w:after="0"/>
              <w:rPr>
                <w:sz w:val="20"/>
                <w:szCs w:val="20"/>
                <w:color w:val="auto"/>
              </w:rPr>
            </w:pPr>
            <w:r>
              <w:rPr>
                <w:rFonts w:ascii="Arial" w:cs="Arial" w:eastAsia="Arial" w:hAnsi="Arial"/>
                <w:sz w:val="14"/>
                <w:szCs w:val="14"/>
                <w:color w:val="auto"/>
              </w:rPr>
              <w:t>Balance at March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3,387</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(continued)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jc w:val="center"/>
              <w:ind w:left="671"/>
              <w:spacing w:after="0"/>
              <w:rPr>
                <w:sz w:val="20"/>
                <w:szCs w:val="20"/>
                <w:color w:val="auto"/>
              </w:rPr>
            </w:pPr>
            <w:r>
              <w:rPr>
                <w:rFonts w:ascii="Arial" w:cs="Arial" w:eastAsia="Arial" w:hAnsi="Arial"/>
                <w:sz w:val="13"/>
                <w:szCs w:val="13"/>
                <w:b w:val="1"/>
                <w:bCs w:val="1"/>
                <w:color w:val="auto"/>
                <w:w w:val="88"/>
              </w:rPr>
              <w:t>Three Months Ended March 31, 2020</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0"/>
                <w:szCs w:val="10"/>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1"/>
              </w:rPr>
              <w:t>Unrealized</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3"/>
              </w:rPr>
              <w:t>Foreign</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8"/>
              </w:rPr>
              <w:t>Investment Gains</w:t>
            </w: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1"/>
              </w:rPr>
              <w:t>Currency</w:t>
            </w:r>
          </w:p>
        </w:tc>
        <w:tc>
          <w:tcPr>
            <w:tcW w:w="12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Defined Benefit</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84"/>
              </w:rPr>
              <w:t>(Losses), Net of</w:t>
            </w:r>
          </w:p>
        </w:tc>
        <w:tc>
          <w:tcPr>
            <w:tcW w:w="160" w:type="dxa"/>
            <w:vAlign w:val="bottom"/>
          </w:tcPr>
          <w:p>
            <w:pPr>
              <w:spacing w:after="0"/>
              <w:rPr>
                <w:sz w:val="10"/>
                <w:szCs w:val="10"/>
                <w:color w:val="auto"/>
              </w:rPr>
            </w:pPr>
          </w:p>
        </w:tc>
        <w:tc>
          <w:tcPr>
            <w:tcW w:w="124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3"/>
              </w:rPr>
              <w:t>Gains (Losses)</w:t>
            </w: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8"/>
              </w:rPr>
              <w:t>Translation</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vMerge w:val="restart"/>
          </w:tcPr>
          <w:p>
            <w:pPr>
              <w:jc w:val="right"/>
              <w:ind w:right="4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Related Offsets (1)</w:t>
            </w: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5"/>
              </w:rPr>
              <w:t>on Derivatives</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Adjustments</w:t>
            </w: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Plans Adjustment</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0"/>
              </w:rPr>
              <w:t>(In millions)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OCI before reclassifications (2)</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79"/>
        </w:trPr>
        <w:tc>
          <w:tcPr>
            <w:tcW w:w="42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2,092</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2,658</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Deferred income tax benefit (expense)</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4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361"/>
        </w:trPr>
        <w:tc>
          <w:tcPr>
            <w:tcW w:w="4240" w:type="dxa"/>
            <w:vAlign w:val="bottom"/>
          </w:tcPr>
          <w:p>
            <w:pPr>
              <w:ind w:left="20"/>
              <w:spacing w:after="0"/>
              <w:rPr>
                <w:sz w:val="20"/>
                <w:szCs w:val="20"/>
                <w:color w:val="auto"/>
              </w:rPr>
            </w:pPr>
            <w:r>
              <w:rPr>
                <w:rFonts w:ascii="Arial" w:cs="Arial" w:eastAsia="Arial" w:hAnsi="Arial"/>
                <w:sz w:val="14"/>
                <w:szCs w:val="14"/>
                <w:color w:val="auto"/>
              </w:rPr>
              <w:t>Balance at March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2,647</w:t>
            </w:r>
          </w:p>
        </w:tc>
        <w:tc>
          <w:tcPr>
            <w:tcW w:w="0" w:type="dxa"/>
            <w:vAlign w:val="bottom"/>
          </w:tcPr>
          <w:p>
            <w:pPr>
              <w:spacing w:after="0"/>
              <w:rPr>
                <w:sz w:val="1"/>
                <w:szCs w:val="1"/>
                <w:color w:val="auto"/>
              </w:rPr>
            </w:pPr>
          </w:p>
        </w:tc>
      </w:tr>
      <w:tr>
        <w:trPr>
          <w:trHeight w:val="21"/>
        </w:trPr>
        <w:tc>
          <w:tcPr>
            <w:tcW w:w="42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Note 4 for information on offsets to investments related to future policy benefits, DAC, VOBA and DSI.</w:t>
      </w:r>
    </w:p>
    <w:p>
      <w:pPr>
        <w:spacing w:after="0" w:line="117" w:lineRule="exact"/>
        <w:rPr>
          <w:rFonts w:ascii="Arial" w:cs="Arial" w:eastAsia="Arial" w:hAnsi="Arial"/>
          <w:sz w:val="18"/>
          <w:szCs w:val="18"/>
          <w:color w:val="auto"/>
        </w:rPr>
      </w:pPr>
    </w:p>
    <w:p>
      <w:pPr>
        <w:ind w:left="340" w:right="4280" w:hanging="332"/>
        <w:spacing w:after="0" w:line="483" w:lineRule="auto"/>
        <w:tabs>
          <w:tab w:leader="none" w:pos="334"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$3 million related to the adoption of the allowance for credit losses guidance. Information regarding amounts reclassified out of each component of AOCI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Arial" w:cs="Arial" w:eastAsia="Arial" w:hAnsi="Arial"/>
                <w:sz w:val="13"/>
                <w:szCs w:val="13"/>
                <w:b w:val="1"/>
                <w:bCs w:val="1"/>
                <w:color w:val="auto"/>
                <w:w w:val="84"/>
              </w:rPr>
              <w:t>Consolidated Statements of</w:t>
            </w:r>
          </w:p>
        </w:tc>
        <w:tc>
          <w:tcPr>
            <w:tcW w:w="0" w:type="dxa"/>
            <w:vAlign w:val="bottom"/>
          </w:tcPr>
          <w:p>
            <w:pPr>
              <w:spacing w:after="0"/>
              <w:rPr>
                <w:sz w:val="1"/>
                <w:szCs w:val="1"/>
                <w:color w:val="auto"/>
              </w:rPr>
            </w:pPr>
          </w:p>
        </w:tc>
      </w:tr>
      <w:tr>
        <w:trPr>
          <w:trHeight w:val="122"/>
        </w:trPr>
        <w:tc>
          <w:tcPr>
            <w:tcW w:w="6820" w:type="dxa"/>
            <w:vAlign w:val="bottom"/>
            <w:gridSpan w:val="2"/>
            <w:vMerge w:val="restart"/>
          </w:tcPr>
          <w:p>
            <w:pPr>
              <w:ind w:left="2840"/>
              <w:spacing w:after="0"/>
              <w:rPr>
                <w:sz w:val="20"/>
                <w:szCs w:val="20"/>
                <w:color w:val="auto"/>
              </w:rPr>
            </w:pPr>
            <w:r>
              <w:rPr>
                <w:rFonts w:ascii="Arial" w:cs="Arial" w:eastAsia="Arial" w:hAnsi="Arial"/>
                <w:sz w:val="13"/>
                <w:szCs w:val="13"/>
                <w:b w:val="1"/>
                <w:bCs w:val="1"/>
                <w:color w:val="auto"/>
              </w:rPr>
              <w:t>AOCI Components</w:t>
            </w:r>
          </w:p>
        </w:tc>
        <w:tc>
          <w:tcPr>
            <w:tcW w:w="120" w:type="dxa"/>
            <w:vAlign w:val="bottom"/>
          </w:tcPr>
          <w:p>
            <w:pPr>
              <w:spacing w:after="0"/>
              <w:rPr>
                <w:sz w:val="10"/>
                <w:szCs w:val="10"/>
                <w:color w:val="auto"/>
              </w:rPr>
            </w:pPr>
          </w:p>
        </w:tc>
        <w:tc>
          <w:tcPr>
            <w:tcW w:w="1960" w:type="dxa"/>
            <w:vAlign w:val="bottom"/>
            <w:gridSpan w:val="4"/>
            <w:vMerge w:val="restart"/>
          </w:tcPr>
          <w:p>
            <w:pPr>
              <w:jc w:val="center"/>
              <w:ind w:right="29"/>
              <w:spacing w:after="0"/>
              <w:rPr>
                <w:sz w:val="20"/>
                <w:szCs w:val="20"/>
                <w:color w:val="auto"/>
              </w:rPr>
            </w:pPr>
            <w:r>
              <w:rPr>
                <w:rFonts w:ascii="Arial" w:cs="Arial" w:eastAsia="Arial" w:hAnsi="Arial"/>
                <w:sz w:val="13"/>
                <w:szCs w:val="13"/>
                <w:b w:val="1"/>
                <w:bCs w:val="1"/>
                <w:color w:val="auto"/>
                <w:w w:val="89"/>
              </w:rPr>
              <w:t>Amounts Reclassified from AOCI</w:t>
            </w:r>
          </w:p>
        </w:tc>
        <w:tc>
          <w:tcPr>
            <w:tcW w:w="120" w:type="dxa"/>
            <w:vAlign w:val="bottom"/>
          </w:tcPr>
          <w:p>
            <w:pPr>
              <w:spacing w:after="0"/>
              <w:rPr>
                <w:sz w:val="10"/>
                <w:szCs w:val="10"/>
                <w:color w:val="auto"/>
              </w:rPr>
            </w:pPr>
          </w:p>
        </w:tc>
        <w:tc>
          <w:tcPr>
            <w:tcW w:w="2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Operations and Comprehensive Income</w:t>
            </w:r>
          </w:p>
        </w:tc>
        <w:tc>
          <w:tcPr>
            <w:tcW w:w="0" w:type="dxa"/>
            <w:vAlign w:val="bottom"/>
          </w:tcPr>
          <w:p>
            <w:pPr>
              <w:spacing w:after="0"/>
              <w:rPr>
                <w:sz w:val="1"/>
                <w:szCs w:val="1"/>
                <w:color w:val="auto"/>
              </w:rPr>
            </w:pPr>
          </w:p>
        </w:tc>
      </w:tr>
      <w:tr>
        <w:trPr>
          <w:trHeight w:val="170"/>
        </w:trPr>
        <w:tc>
          <w:tcPr>
            <w:tcW w:w="6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3"/>
                <w:szCs w:val="13"/>
                <w:b w:val="1"/>
                <w:bCs w:val="1"/>
                <w:color w:val="auto"/>
                <w:w w:val="84"/>
              </w:rPr>
              <w:t>(Loss) Locations</w:t>
            </w:r>
          </w:p>
        </w:tc>
        <w:tc>
          <w:tcPr>
            <w:tcW w:w="0" w:type="dxa"/>
            <w:vAlign w:val="bottom"/>
          </w:tcPr>
          <w:p>
            <w:pPr>
              <w:spacing w:after="0"/>
              <w:rPr>
                <w:sz w:val="1"/>
                <w:szCs w:val="1"/>
                <w:color w:val="auto"/>
              </w:rPr>
            </w:pPr>
          </w:p>
        </w:tc>
      </w:tr>
      <w:tr>
        <w:trPr>
          <w:trHeight w:val="121"/>
        </w:trPr>
        <w:tc>
          <w:tcPr>
            <w:tcW w:w="6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60" w:type="dxa"/>
            <w:vAlign w:val="bottom"/>
            <w:tcBorders>
              <w:top w:val="single" w:sz="8" w:color="auto"/>
            </w:tcBorders>
            <w:gridSpan w:val="4"/>
          </w:tcPr>
          <w:p>
            <w:pPr>
              <w:jc w:val="center"/>
              <w:ind w:right="29"/>
              <w:spacing w:after="0" w:line="121" w:lineRule="exact"/>
              <w:rPr>
                <w:sz w:val="20"/>
                <w:szCs w:val="20"/>
                <w:color w:val="auto"/>
              </w:rPr>
            </w:pPr>
            <w:r>
              <w:rPr>
                <w:rFonts w:ascii="Arial" w:cs="Arial" w:eastAsia="Arial" w:hAnsi="Arial"/>
                <w:sz w:val="13"/>
                <w:szCs w:val="13"/>
                <w:b w:val="1"/>
                <w:bCs w:val="1"/>
                <w:color w:val="auto"/>
                <w:w w:val="88"/>
              </w:rPr>
              <w:t>Three Months Ended</w:t>
            </w:r>
          </w:p>
        </w:tc>
        <w:tc>
          <w:tcPr>
            <w:tcW w:w="120" w:type="dxa"/>
            <w:vAlign w:val="bottom"/>
          </w:tcPr>
          <w:p>
            <w:pPr>
              <w:spacing w:after="0"/>
              <w:rPr>
                <w:sz w:val="10"/>
                <w:szCs w:val="10"/>
                <w:color w:val="auto"/>
              </w:rPr>
            </w:pPr>
          </w:p>
        </w:tc>
        <w:tc>
          <w:tcPr>
            <w:tcW w:w="22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511"/>
              <w:spacing w:after="0"/>
              <w:rPr>
                <w:sz w:val="20"/>
                <w:szCs w:val="20"/>
                <w:color w:val="auto"/>
              </w:rPr>
            </w:pPr>
            <w:r>
              <w:rPr>
                <w:rFonts w:ascii="Arial" w:cs="Arial" w:eastAsia="Arial" w:hAnsi="Arial"/>
                <w:sz w:val="13"/>
                <w:szCs w:val="13"/>
                <w:b w:val="1"/>
                <w:bCs w:val="1"/>
                <w:color w:val="auto"/>
                <w:w w:val="89"/>
              </w:rPr>
              <w:t>March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(In millions)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unrealized investment gains (losses):</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Net unrealized investment gains (losses)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Net investment gains (losses)</w:t>
            </w:r>
          </w:p>
        </w:tc>
        <w:tc>
          <w:tcPr>
            <w:tcW w:w="0" w:type="dxa"/>
            <w:vAlign w:val="bottom"/>
          </w:tcPr>
          <w:p>
            <w:pPr>
              <w:spacing w:after="0"/>
              <w:rPr>
                <w:sz w:val="1"/>
                <w:szCs w:val="1"/>
                <w:color w:val="auto"/>
              </w:rPr>
            </w:pPr>
          </w:p>
        </w:tc>
      </w:tr>
      <w:tr>
        <w:trPr>
          <w:trHeight w:val="192"/>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unrealized investment gains (losses)</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2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(2)  Net derivative gains (losses)</w:t>
            </w:r>
          </w:p>
        </w:tc>
        <w:tc>
          <w:tcPr>
            <w:tcW w:w="0" w:type="dxa"/>
            <w:vAlign w:val="bottom"/>
          </w:tcPr>
          <w:p>
            <w:pPr>
              <w:spacing w:after="0"/>
              <w:rPr>
                <w:sz w:val="1"/>
                <w:szCs w:val="1"/>
                <w:color w:val="auto"/>
              </w:rPr>
            </w:pPr>
          </w:p>
        </w:tc>
      </w:tr>
      <w:tr>
        <w:trPr>
          <w:trHeight w:val="179"/>
        </w:trPr>
        <w:tc>
          <w:tcPr>
            <w:tcW w:w="6820" w:type="dxa"/>
            <w:vAlign w:val="bottom"/>
            <w:gridSpan w:val="2"/>
          </w:tcPr>
          <w:p>
            <w:pPr>
              <w:ind w:left="180"/>
              <w:spacing w:after="0"/>
              <w:rPr>
                <w:sz w:val="20"/>
                <w:szCs w:val="20"/>
                <w:color w:val="auto"/>
              </w:rPr>
            </w:pPr>
            <w:r>
              <w:rPr>
                <w:rFonts w:ascii="Arial" w:cs="Arial" w:eastAsia="Arial" w:hAnsi="Arial"/>
                <w:sz w:val="14"/>
                <w:szCs w:val="14"/>
                <w:color w:val="auto"/>
              </w:rPr>
              <w:t>Net unrealized investment gains (losses), before income tax</w:t>
            </w: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unrealized investment gains (losses), net of income tax</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gains (losses) on derivatives - cash flow hedges:</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12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20" w:type="dxa"/>
            <w:vAlign w:val="bottom"/>
          </w:tcPr>
          <w:p>
            <w:pPr>
              <w:ind w:left="20"/>
              <w:spacing w:after="0"/>
              <w:rPr>
                <w:sz w:val="20"/>
                <w:szCs w:val="20"/>
                <w:color w:val="auto"/>
              </w:rPr>
            </w:pPr>
            <w:r>
              <w:rPr>
                <w:rFonts w:ascii="Arial" w:cs="Arial" w:eastAsia="Arial" w:hAnsi="Arial"/>
                <w:sz w:val="14"/>
                <w:szCs w:val="14"/>
                <w:color w:val="auto"/>
              </w:rPr>
              <w:t>Net derivative gains (losses)</w:t>
            </w:r>
          </w:p>
        </w:tc>
        <w:tc>
          <w:tcPr>
            <w:tcW w:w="0" w:type="dxa"/>
            <w:vAlign w:val="bottom"/>
          </w:tcPr>
          <w:p>
            <w:pPr>
              <w:spacing w:after="0"/>
              <w:rPr>
                <w:sz w:val="1"/>
                <w:szCs w:val="1"/>
                <w:color w:val="auto"/>
              </w:rPr>
            </w:pPr>
          </w:p>
        </w:tc>
      </w:tr>
      <w:tr>
        <w:trPr>
          <w:trHeight w:val="192"/>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investment income</w:t>
            </w:r>
          </w:p>
        </w:tc>
        <w:tc>
          <w:tcPr>
            <w:tcW w:w="0" w:type="dxa"/>
            <w:vAlign w:val="bottom"/>
          </w:tcPr>
          <w:p>
            <w:pPr>
              <w:spacing w:after="0"/>
              <w:rPr>
                <w:sz w:val="1"/>
                <w:szCs w:val="1"/>
                <w:color w:val="auto"/>
              </w:rPr>
            </w:pPr>
          </w:p>
        </w:tc>
      </w:tr>
      <w:tr>
        <w:trPr>
          <w:trHeight w:val="18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Foreign currency swaps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derivative gains (losses)</w:t>
            </w:r>
          </w:p>
        </w:tc>
        <w:tc>
          <w:tcPr>
            <w:tcW w:w="0" w:type="dxa"/>
            <w:vAlign w:val="bottom"/>
          </w:tcPr>
          <w:p>
            <w:pPr>
              <w:spacing w:after="0"/>
              <w:rPr>
                <w:sz w:val="1"/>
                <w:szCs w:val="1"/>
                <w:color w:val="auto"/>
              </w:rPr>
            </w:pPr>
          </w:p>
        </w:tc>
      </w:tr>
      <w:tr>
        <w:trPr>
          <w:trHeight w:val="18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Gains (losses) on cash flow hedges, before income tax</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Gains (losses) on cash flow hedges, net of income tax</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20" w:type="dxa"/>
            <w:vAlign w:val="bottom"/>
            <w:gridSpan w:val="2"/>
          </w:tcPr>
          <w:p>
            <w:pPr>
              <w:ind w:left="180"/>
              <w:spacing w:after="0"/>
              <w:rPr>
                <w:sz w:val="20"/>
                <w:szCs w:val="20"/>
                <w:color w:val="auto"/>
              </w:rPr>
            </w:pPr>
            <w:r>
              <w:rPr>
                <w:rFonts w:ascii="Arial" w:cs="Arial" w:eastAsia="Arial" w:hAnsi="Arial"/>
                <w:sz w:val="14"/>
                <w:szCs w:val="14"/>
                <w:color w:val="auto"/>
              </w:rPr>
              <w:t>Total reclassifications, net of income tax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Revenues and Other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39" w:name="page40"/>
    <w:bookmarkEnd w:id="3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Revenues and Other Expenses (continued)</w:t>
      </w:r>
    </w:p>
    <w:p>
      <w:pPr>
        <w:spacing w:after="0" w:line="200" w:lineRule="exact"/>
        <w:rPr>
          <w:sz w:val="20"/>
          <w:szCs w:val="20"/>
          <w:color w:val="auto"/>
        </w:rPr>
      </w:pPr>
    </w:p>
    <w:p>
      <w:pPr>
        <w:spacing w:after="0" w:line="3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Other revenues consisted primarily of 12b-1 fees of $88 million and $81 million for the three months ended March 31, 2021 and 2020, respectively, of which substantially all were reported in the Annuities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other expenses was as follows:</w:t>
      </w:r>
    </w:p>
    <w:p>
      <w:pPr>
        <w:spacing w:after="0" w:line="247"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r>
      <w:tr>
        <w:trPr>
          <w:trHeight w:val="183"/>
        </w:trPr>
        <w:tc>
          <w:tcPr>
            <w:tcW w:w="8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5"/>
                <w:szCs w:val="15"/>
                <w:color w:val="auto"/>
              </w:rPr>
            </w:pPr>
          </w:p>
        </w:tc>
      </w:tr>
      <w:tr>
        <w:trPr>
          <w:trHeight w:val="217"/>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Contracted services and other labor costs</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Transition services agreements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Establishment costs</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and other taxes, licenses and fees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Separate account fees</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Volume related costs, excluding compensation, net of DAC capitalization</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8680" w:type="dxa"/>
            <w:vAlign w:val="bottom"/>
          </w:tcPr>
          <w:p>
            <w:pPr>
              <w:ind w:left="20"/>
              <w:spacing w:after="0"/>
              <w:rPr>
                <w:sz w:val="20"/>
                <w:szCs w:val="20"/>
                <w:color w:val="auto"/>
              </w:rPr>
            </w:pPr>
            <w:r>
              <w:rPr>
                <w:rFonts w:ascii="Arial" w:cs="Arial" w:eastAsia="Arial" w:hAnsi="Arial"/>
                <w:sz w:val="16"/>
                <w:szCs w:val="16"/>
                <w:color w:val="auto"/>
              </w:rPr>
              <w:t>Interest expense on debt</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8680" w:type="dxa"/>
            <w:vAlign w:val="bottom"/>
          </w:tcPr>
          <w:p>
            <w:pPr>
              <w:ind w:left="180"/>
              <w:spacing w:after="0"/>
              <w:rPr>
                <w:sz w:val="20"/>
                <w:szCs w:val="20"/>
                <w:color w:val="auto"/>
              </w:rPr>
            </w:pPr>
            <w:r>
              <w:rPr>
                <w:rFonts w:ascii="Arial" w:cs="Arial" w:eastAsia="Arial" w:hAnsi="Arial"/>
                <w:sz w:val="16"/>
                <w:szCs w:val="16"/>
                <w:color w:val="auto"/>
              </w:rPr>
              <w:t>Total other expenses</w:t>
            </w: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r>
      <w:tr>
        <w:trPr>
          <w:trHeight w:val="21"/>
        </w:trPr>
        <w:tc>
          <w:tcPr>
            <w:tcW w:w="8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240"/>
          </w:cols>
          <w:pgMar w:left="320" w:top="234" w:right="339" w:bottom="1440" w:gutter="0" w:footer="0" w:header="0"/>
        </w:sectPr>
      </w:pPr>
    </w:p>
    <w:p>
      <w:pPr>
        <w:spacing w:after="0"/>
        <w:rPr>
          <w:sz w:val="20"/>
          <w:szCs w:val="20"/>
          <w:color w:val="auto"/>
        </w:rPr>
      </w:pPr>
      <w:r>
        <w:rPr>
          <w:rFonts w:ascii="Arial" w:cs="Arial" w:eastAsia="Arial" w:hAnsi="Arial"/>
          <w:sz w:val="18"/>
          <w:szCs w:val="18"/>
          <w:b w:val="1"/>
          <w:bCs w:val="1"/>
          <w:color w:val="auto"/>
        </w:rPr>
        <w:t>9. Earnings Per Common Share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calculation of earnings per common share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 (loss) available to Brighthouse Financial, Inc.’s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common shares outstanding — basic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Dilutive effect of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common shares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Earnings per common share: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16287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16287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and</w:t>
      </w:r>
    </w:p>
    <w:p>
      <w:pPr>
        <w:jc w:val="center"/>
        <w:spacing w:after="0"/>
        <w:rPr>
          <w:sz w:val="20"/>
          <w:szCs w:val="20"/>
          <w:color w:val="auto"/>
        </w:rPr>
      </w:pPr>
      <w:r>
        <w:rPr>
          <w:rFonts w:ascii="Arial" w:cs="Arial" w:eastAsia="Arial" w:hAnsi="Arial"/>
          <w:sz w:val="14"/>
          <w:szCs w:val="14"/>
          <w:b w:val="1"/>
          <w:bCs w:val="1"/>
          <w:color w:val="auto"/>
        </w:rPr>
        <w:t>per share data)</w:t>
      </w:r>
    </w:p>
    <w:p>
      <w:pPr>
        <w:spacing w:after="0" w:line="25" w:lineRule="exact"/>
        <w:rPr>
          <w:sz w:val="20"/>
          <w:szCs w:val="20"/>
          <w:color w:val="auto"/>
        </w:rPr>
      </w:pPr>
    </w:p>
    <w:p>
      <w:pPr>
        <w:ind w:left="20"/>
        <w:spacing w:after="0"/>
        <w:tabs>
          <w:tab w:leader="none" w:pos="820" w:val="left"/>
          <w:tab w:leader="none" w:pos="1320" w:val="left"/>
          <w:tab w:leader="none" w:pos="21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(610)</w:t>
        <w:tab/>
        <w:t>$</w:t>
      </w:r>
      <w:r>
        <w:rPr>
          <w:sz w:val="20"/>
          <w:szCs w:val="20"/>
          <w:color w:val="auto"/>
        </w:rPr>
        <w:tab/>
      </w:r>
      <w:r>
        <w:rPr>
          <w:rFonts w:ascii="Arial" w:cs="Arial" w:eastAsia="Arial" w:hAnsi="Arial"/>
          <w:sz w:val="15"/>
          <w:szCs w:val="15"/>
          <w:color w:val="auto"/>
        </w:rPr>
        <w:t>4,950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162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96" w:lineRule="exact"/>
        <w:rPr>
          <w:sz w:val="20"/>
          <w:szCs w:val="20"/>
          <w:color w:val="auto"/>
        </w:rPr>
      </w:pPr>
    </w:p>
    <w:p>
      <w:pPr>
        <w:jc w:val="both"/>
        <w:ind w:left="420"/>
        <w:spacing w:after="0"/>
        <w:tabs>
          <w:tab w:leader="none" w:pos="1660" w:val="left"/>
        </w:tabs>
        <w:rPr>
          <w:sz w:val="20"/>
          <w:szCs w:val="20"/>
          <w:color w:val="auto"/>
        </w:rPr>
      </w:pPr>
      <w:r>
        <w:rPr>
          <w:rFonts w:ascii="Arial" w:cs="Arial" w:eastAsia="Arial" w:hAnsi="Arial"/>
          <w:sz w:val="16"/>
          <w:szCs w:val="16"/>
          <w:color w:val="auto"/>
        </w:rPr>
        <w:t>87,573,444</w:t>
      </w:r>
      <w:r>
        <w:rPr>
          <w:sz w:val="20"/>
          <w:szCs w:val="20"/>
          <w:color w:val="auto"/>
        </w:rPr>
        <w:tab/>
      </w:r>
      <w:r>
        <w:rPr>
          <w:rFonts w:ascii="Arial" w:cs="Arial" w:eastAsia="Arial" w:hAnsi="Arial"/>
          <w:sz w:val="16"/>
          <w:szCs w:val="16"/>
          <w:color w:val="auto"/>
        </w:rPr>
        <w:t>104,759,339</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334,176</w:t>
      </w:r>
    </w:p>
    <w:p>
      <w:pPr>
        <w:spacing w:after="0" w:line="46" w:lineRule="exact"/>
        <w:rPr>
          <w:sz w:val="20"/>
          <w:szCs w:val="20"/>
          <w:color w:val="auto"/>
        </w:rPr>
      </w:pPr>
    </w:p>
    <w:p>
      <w:pPr>
        <w:jc w:val="both"/>
        <w:ind w:left="420"/>
        <w:spacing w:after="0"/>
        <w:tabs>
          <w:tab w:leader="none" w:pos="1660" w:val="left"/>
        </w:tabs>
        <w:rPr>
          <w:sz w:val="20"/>
          <w:szCs w:val="20"/>
          <w:color w:val="auto"/>
        </w:rPr>
      </w:pPr>
      <w:r>
        <w:rPr>
          <w:rFonts w:ascii="Arial" w:cs="Arial" w:eastAsia="Arial" w:hAnsi="Arial"/>
          <w:sz w:val="16"/>
          <w:szCs w:val="16"/>
          <w:color w:val="auto"/>
        </w:rPr>
        <w:t>87,573,444</w:t>
      </w:r>
      <w:r>
        <w:rPr>
          <w:sz w:val="20"/>
          <w:szCs w:val="20"/>
          <w:color w:val="auto"/>
        </w:rPr>
        <w:tab/>
      </w:r>
      <w:r>
        <w:rPr>
          <w:rFonts w:ascii="Arial" w:cs="Arial" w:eastAsia="Arial" w:hAnsi="Arial"/>
          <w:sz w:val="16"/>
          <w:szCs w:val="16"/>
          <w:color w:val="auto"/>
        </w:rPr>
        <w:t>105,093,515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16287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47.26</w:t>
            </w:r>
          </w:p>
        </w:tc>
      </w:tr>
      <w:tr>
        <w:trPr>
          <w:trHeight w:val="23"/>
        </w:trPr>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7"/>
        </w:trPr>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47.11</w:t>
            </w:r>
          </w:p>
        </w:tc>
      </w:tr>
      <w:tr>
        <w:trPr>
          <w:trHeight w:val="23"/>
        </w:trPr>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ectPr>
          <w:pgSz w:w="11900" w:h="16838" w:orient="portrait"/>
          <w:cols w:equalWidth="0" w:num="2">
            <w:col w:w="7960" w:space="720"/>
            <w:col w:w="2560"/>
          </w:cols>
          <w:pgMar w:left="320" w:top="234" w:right="339" w:bottom="1440" w:gutter="0" w:footer="0" w:header="0"/>
          <w:type w:val="continuous"/>
        </w:sect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months ended March 31, 2021, basic loss per common share equaled diluted loss per common share. The diluted shares were not utilized in the per share calculation for this period as the inclusion of such shares would have an antidilutive effect.</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2020, weighted average shares used for calculating diluted earnings per common share excludes 196,492 of out-of-the-money stock options, as the inclusion of these shares would be antidilutive to the earnings per common share calculation due to the average share price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 Commitments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69"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0"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March 31, 2021.</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7" w:lineRule="exact"/>
        <w:rPr>
          <w:sz w:val="20"/>
          <w:szCs w:val="20"/>
          <w:color w:val="auto"/>
        </w:rPr>
      </w:pPr>
    </w:p>
    <w:p>
      <w:pPr>
        <w:jc w:val="both"/>
        <w:ind w:left="340" w:firstLine="324"/>
        <w:spacing w:after="0" w:line="311" w:lineRule="auto"/>
        <w:rPr>
          <w:sz w:val="20"/>
          <w:szCs w:val="20"/>
          <w:color w:val="auto"/>
        </w:rPr>
      </w:pPr>
      <w:r>
        <w:rPr>
          <w:rFonts w:ascii="Arial" w:cs="Arial" w:eastAsia="Arial" w:hAnsi="Arial"/>
          <w:sz w:val="16"/>
          <w:szCs w:val="16"/>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March 31, 2021, the Company estimates the aggregate range of reasonably possible losses to be up to approximately $10 million.</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 Commitments and Guarantees (continued)</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Cost of Insurance Class Actions</w:t>
      </w:r>
    </w:p>
    <w:p>
      <w:pPr>
        <w:spacing w:after="0" w:line="117" w:lineRule="exact"/>
        <w:rPr>
          <w:sz w:val="20"/>
          <w:szCs w:val="20"/>
          <w:color w:val="auto"/>
        </w:rPr>
      </w:pPr>
    </w:p>
    <w:p>
      <w:pPr>
        <w:jc w:val="both"/>
        <w:ind w:left="340" w:firstLine="324"/>
        <w:spacing w:after="0" w:line="289" w:lineRule="auto"/>
        <w:rPr>
          <w:sz w:val="20"/>
          <w:szCs w:val="20"/>
          <w:color w:val="auto"/>
        </w:rPr>
      </w:pPr>
      <w:r>
        <w:rPr>
          <w:rFonts w:ascii="Arial" w:cs="Arial" w:eastAsia="Arial" w:hAnsi="Arial"/>
          <w:sz w:val="16"/>
          <w:szCs w:val="16"/>
          <w:i w:val="1"/>
          <w:iCs w:val="1"/>
          <w:color w:val="auto"/>
        </w:rPr>
        <w:t xml:space="preserve">Richard A. Newton v. Brighthouse Life Insurance Company </w:t>
      </w:r>
      <w:r>
        <w:rPr>
          <w:rFonts w:ascii="Arial" w:cs="Arial" w:eastAsia="Arial" w:hAnsi="Arial"/>
          <w:sz w:val="16"/>
          <w:szCs w:val="16"/>
          <w:color w:val="auto"/>
        </w:rPr>
        <w:t>(U.S. District Court, Northern District of Georgia, Atlanta Division, filed May 8,</w:t>
      </w:r>
      <w:r>
        <w:rPr>
          <w:rFonts w:ascii="Arial" w:cs="Arial" w:eastAsia="Arial" w:hAnsi="Arial"/>
          <w:sz w:val="16"/>
          <w:szCs w:val="16"/>
          <w:i w:val="1"/>
          <w:iCs w:val="1"/>
          <w:color w:val="auto"/>
        </w:rPr>
        <w:t xml:space="preserve"> </w:t>
      </w:r>
      <w:r>
        <w:rPr>
          <w:rFonts w:ascii="Arial" w:cs="Arial" w:eastAsia="Arial" w:hAnsi="Arial"/>
          <w:sz w:val="16"/>
          <w:szCs w:val="16"/>
          <w:color w:val="auto"/>
        </w:rPr>
        <w:t>2020). Plaintiff has filed a purported class action lawsuit against Brighthouse Life Insurance Company. Plaintiff was the owner of a universal life insurance policy issued by Travelers Insurance Company, a predecessor to Brighthouse Life Insurance Company. Plaintiff seeks to certify a class of all persons who own or owned life insurance policies issued where the terms of the life insurance policy provide or provided, among other things, a guarantee that the cost of insurance rates would not be increased by more than a specified percentage in any contract year. Plaintiff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Plaintiff was granted leave to amend the complaint. The Company intends to vigorously defend this matter.</w:t>
      </w:r>
    </w:p>
    <w:p>
      <w:pPr>
        <w:spacing w:after="0" w:line="58"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i w:val="1"/>
          <w:iCs w:val="1"/>
          <w:color w:val="auto"/>
        </w:rPr>
        <w:t xml:space="preserve">Lawrence Martin v. Brighthouse Life Insurance Company and Brighthouse Life Insurance Company of NY </w:t>
      </w:r>
      <w:r>
        <w:rPr>
          <w:rFonts w:ascii="Arial" w:cs="Arial" w:eastAsia="Arial" w:hAnsi="Arial"/>
          <w:sz w:val="18"/>
          <w:szCs w:val="18"/>
          <w:color w:val="auto"/>
        </w:rPr>
        <w:t>(U.S. District Court, Southern District</w:t>
      </w:r>
      <w:r>
        <w:rPr>
          <w:rFonts w:ascii="Arial" w:cs="Arial" w:eastAsia="Arial" w:hAnsi="Arial"/>
          <w:sz w:val="18"/>
          <w:szCs w:val="18"/>
          <w:i w:val="1"/>
          <w:iCs w:val="1"/>
          <w:color w:val="auto"/>
        </w:rPr>
        <w:t xml:space="preserve"> </w:t>
      </w:r>
      <w:r>
        <w:rPr>
          <w:rFonts w:ascii="Arial" w:cs="Arial" w:eastAsia="Arial" w:hAnsi="Arial"/>
          <w:sz w:val="18"/>
          <w:szCs w:val="18"/>
          <w:color w:val="auto"/>
        </w:rPr>
        <w:t>of New York, filed April 6, 2021). Plaintiff has filed a purported class action lawsuit against Brighthouse Life Insurance Company and Brighthouse Life Insurance Company of NY. Plaintiff is the owner of a universal life insurance policy issued by Travelers Insurance Company, a predecessor to Brighthouse Life Insurance Company. Plaintiff seeks to certify a class of similarly situated owners of universal life insurance policies issued or administered by defendants and alleges that cost of insurance charges should have decreased over time due to improving mortality but did not. Plaintiff alleges, among other things, causes of action for breach of contract, breach of the covenant of good faith and fair dealing, and unjust enrichment. Plaintiff seeks to recover compensatory damages, attorney’s fees, interest, and equitable relief including a constructive trust. The Company intends to vigorously defend this matter.</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Summary</w:t>
      </w:r>
    </w:p>
    <w:p>
      <w:pPr>
        <w:spacing w:after="0" w:line="117" w:lineRule="exact"/>
        <w:rPr>
          <w:sz w:val="20"/>
          <w:szCs w:val="20"/>
          <w:color w:val="auto"/>
        </w:rPr>
      </w:pPr>
    </w:p>
    <w:p>
      <w:pPr>
        <w:jc w:val="both"/>
        <w:ind w:left="340" w:firstLine="324"/>
        <w:spacing w:after="0" w:line="301" w:lineRule="auto"/>
        <w:rPr>
          <w:sz w:val="20"/>
          <w:szCs w:val="20"/>
          <w:color w:val="auto"/>
        </w:rPr>
      </w:pPr>
      <w:r>
        <w:rPr>
          <w:rFonts w:ascii="Arial" w:cs="Arial" w:eastAsia="Arial" w:hAnsi="Arial"/>
          <w:sz w:val="16"/>
          <w:szCs w:val="16"/>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49"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 Contingencies</w:t>
      </w:r>
    </w:p>
    <w:p>
      <w:pPr>
        <w:spacing w:after="0" w:line="117"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As with litigation and regulatory loss contingencies, the Company considers establishing liabilities for certain non-litigation loss contingencies when assertions are made involving disputes or other matters with counterparties to contractual arrangements entered into by the Company, including with third-party vendors. The Company establishes liabilities for such non-litigation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w:t>
      </w:r>
    </w:p>
    <w:p>
      <w:pPr>
        <w:spacing w:after="0" w:line="56"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Disputes have arisen with counterparties in connection with reinsurance arrangements where the Company’s subsidiaries are acting as either the reinsured or the reinsurer. These disputes involve assertions by third parties primarily related to rates, fees or reinsured benefit calculations, and in certain of such disputes the counterparty has made a request to arbitrate the dispute.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10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 Commitments and Guarantees (continued)</w:t>
      </w:r>
    </w:p>
    <w:p>
      <w:pPr>
        <w:spacing w:after="0" w:line="200" w:lineRule="exact"/>
        <w:rPr>
          <w:sz w:val="20"/>
          <w:szCs w:val="20"/>
          <w:color w:val="auto"/>
        </w:rPr>
      </w:pPr>
    </w:p>
    <w:p>
      <w:pPr>
        <w:spacing w:after="0" w:line="380"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As of March 31, 2021, the Company estimates the amount of reasonably possible losses in excess of the amounts accrued for certain non-litigation loss contingencies to be up to approximately $125 million, which are primarily associated with reinsurance-related matters. For certain other reinsurance-related matters, the Company is not currently able to estimate the reasonably possible loss or range of loss until developments in such matters have provided sufficient information to support an assessment of such loss.</w:t>
      </w:r>
    </w:p>
    <w:p>
      <w:pPr>
        <w:spacing w:after="0" w:line="79"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On a quarterly and annual basis, the Company reviews relevant information with respect to non-litigation contingencies and, when applicable, updates its accruals, disclosures and estimates of reasonably possible losses or ranges of loss based on such reviews.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$279 million and $210 million at March 31, 2021 and December 31, 2020,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Bank Credit Facilities and Private Corporate Bond Investments</w:t>
      </w:r>
    </w:p>
    <w:p>
      <w:pPr>
        <w:spacing w:after="0" w:line="117" w:lineRule="exact"/>
        <w:rPr>
          <w:sz w:val="20"/>
          <w:szCs w:val="20"/>
          <w:color w:val="auto"/>
        </w:rPr>
      </w:pPr>
    </w:p>
    <w:p>
      <w:pPr>
        <w:jc w:val="both"/>
        <w:ind w:left="180" w:right="20" w:firstLine="324"/>
        <w:spacing w:after="0" w:line="308" w:lineRule="auto"/>
        <w:rPr>
          <w:sz w:val="20"/>
          <w:szCs w:val="20"/>
          <w:color w:val="auto"/>
        </w:rPr>
      </w:pPr>
      <w:r>
        <w:rPr>
          <w:rFonts w:ascii="Arial" w:cs="Arial" w:eastAsia="Arial" w:hAnsi="Arial"/>
          <w:sz w:val="17"/>
          <w:szCs w:val="17"/>
          <w:color w:val="auto"/>
        </w:rPr>
        <w:t>The Company commits to fund partnership investments and to lend funds under bank credit facilities and private corporate bond investments. The amounts of these unfunded commitments were $2.0 billion and $1.7 billion at March 31, 2021 and December 31, 2020,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$112 million, with a cumulative maximum of $118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Company’s recorded liabilities were $1 million at both March 31, 2021 and December 31, 2020 for indemnities, guarantees and commitments.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60" w:type="dxa"/>
            <w:vAlign w:val="bottom"/>
            <w:gridSpan w:val="6"/>
          </w:tcPr>
          <w:p>
            <w:pPr>
              <w:ind w:left="320"/>
              <w:spacing w:after="0"/>
              <w:rPr>
                <w:sz w:val="20"/>
                <w:szCs w:val="20"/>
                <w:color w:val="auto"/>
              </w:rPr>
            </w:pPr>
            <w:r>
              <w:rPr>
                <w:rFonts w:ascii="Arial" w:cs="Arial" w:eastAsia="Arial" w:hAnsi="Arial"/>
                <w:sz w:val="18"/>
                <w:szCs w:val="18"/>
                <w:b w:val="1"/>
                <w:bCs w:val="1"/>
                <w:color w:val="auto"/>
              </w:rPr>
              <w:t>Index to Management’s Discussion and Analysis of Financial Condition and Results of Operations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9"/>
        </w:trPr>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09"/>
        </w:trPr>
        <w:tc>
          <w:tcPr>
            <w:tcW w:w="840" w:type="dxa"/>
            <w:vAlign w:val="bottom"/>
          </w:tcPr>
          <w:p>
            <w:pPr>
              <w:spacing w:after="0"/>
              <w:rPr>
                <w:rFonts w:ascii="Arial" w:cs="Arial" w:eastAsia="Arial" w:hAnsi="Arial"/>
                <w:sz w:val="18"/>
                <w:szCs w:val="18"/>
                <w:color w:val="0000FF"/>
                <w:w w:val="85"/>
              </w:rPr>
            </w:pPr>
            <w:hyperlink w:anchor="page44">
              <w:r>
                <w:rPr>
                  <w:rFonts w:ascii="Arial" w:cs="Arial" w:eastAsia="Arial" w:hAnsi="Arial"/>
                  <w:sz w:val="18"/>
                  <w:szCs w:val="18"/>
                  <w:color w:val="0000FF"/>
                  <w:w w:val="85"/>
                </w:rPr>
                <w:t>Introduction</w:t>
              </w:r>
            </w:hyperlink>
          </w:p>
        </w:tc>
        <w:tc>
          <w:tcPr>
            <w:tcW w:w="9720" w:type="dxa"/>
            <w:vAlign w:val="bottom"/>
            <w:gridSpan w:val="10"/>
          </w:tcPr>
          <w:p>
            <w:pPr>
              <w:spacing w:after="0"/>
              <w:rPr>
                <w:sz w:val="18"/>
                <w:szCs w:val="18"/>
                <w:color w:val="auto"/>
              </w:rPr>
            </w:pPr>
          </w:p>
        </w:tc>
        <w:tc>
          <w:tcPr>
            <w:tcW w:w="380" w:type="dxa"/>
            <w:vAlign w:val="bottom"/>
            <w:gridSpan w:val="3"/>
          </w:tcPr>
          <w:p>
            <w:pPr>
              <w:jc w:val="cente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560" w:type="dxa"/>
            <w:vAlign w:val="bottom"/>
            <w:gridSpan w:val="11"/>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Executive Summary</w:t>
              </w:r>
            </w:hyperlink>
          </w:p>
        </w:tc>
        <w:tc>
          <w:tcPr>
            <w:tcW w:w="380" w:type="dxa"/>
            <w:vAlign w:val="bottom"/>
            <w:gridSpan w:val="3"/>
          </w:tcPr>
          <w:p>
            <w:pPr>
              <w:jc w:val="cente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460" w:type="dxa"/>
            <w:vAlign w:val="bottom"/>
            <w:gridSpan w:val="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Industry Trends</w:t>
              </w:r>
            </w:hyperlink>
          </w:p>
        </w:tc>
        <w:tc>
          <w:tcPr>
            <w:tcW w:w="9100" w:type="dxa"/>
            <w:vAlign w:val="bottom"/>
            <w:gridSpan w:val="8"/>
          </w:tcPr>
          <w:p>
            <w:pPr>
              <w:spacing w:after="0"/>
              <w:rPr>
                <w:sz w:val="18"/>
                <w:szCs w:val="18"/>
                <w:color w:val="auto"/>
              </w:rPr>
            </w:pPr>
          </w:p>
        </w:tc>
        <w:tc>
          <w:tcPr>
            <w:tcW w:w="380" w:type="dxa"/>
            <w:vAlign w:val="bottom"/>
            <w:gridSpan w:val="3"/>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45</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120" w:type="dxa"/>
            <w:vAlign w:val="bottom"/>
            <w:gridSpan w:val="8"/>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Summary of Critical Accounting Estimates</w:t>
              </w:r>
            </w:hyperlink>
          </w:p>
        </w:tc>
        <w:tc>
          <w:tcPr>
            <w:tcW w:w="7440" w:type="dxa"/>
            <w:vAlign w:val="bottom"/>
            <w:gridSpan w:val="3"/>
          </w:tcPr>
          <w:p>
            <w:pPr>
              <w:spacing w:after="0"/>
              <w:rPr>
                <w:sz w:val="18"/>
                <w:szCs w:val="18"/>
                <w:color w:val="auto"/>
              </w:rPr>
            </w:pPr>
          </w:p>
        </w:tc>
        <w:tc>
          <w:tcPr>
            <w:tcW w:w="380" w:type="dxa"/>
            <w:vAlign w:val="bottom"/>
            <w:gridSpan w:val="3"/>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560" w:type="dxa"/>
            <w:vAlign w:val="bottom"/>
            <w:gridSpan w:val="11"/>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Non-GAAP and Other Financial Disclosures</w:t>
              </w:r>
            </w:hyperlink>
          </w:p>
        </w:tc>
        <w:tc>
          <w:tcPr>
            <w:tcW w:w="380" w:type="dxa"/>
            <w:vAlign w:val="bottom"/>
            <w:gridSpan w:val="3"/>
          </w:tcPr>
          <w:p>
            <w:pPr>
              <w:jc w:val="cente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r>
      <w:tr>
        <w:trPr>
          <w:trHeight w:val="20"/>
        </w:trPr>
        <w:tc>
          <w:tcPr>
            <w:tcW w:w="8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20" w:type="dxa"/>
            <w:vAlign w:val="bottom"/>
            <w:gridSpan w:val="9"/>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Results of Operations</w:t>
              </w:r>
            </w:hyperlink>
          </w:p>
        </w:tc>
        <w:tc>
          <w:tcPr>
            <w:tcW w:w="7340" w:type="dxa"/>
            <w:vAlign w:val="bottom"/>
            <w:gridSpan w:val="2"/>
          </w:tcPr>
          <w:p>
            <w:pPr>
              <w:spacing w:after="0"/>
              <w:rPr>
                <w:sz w:val="18"/>
                <w:szCs w:val="18"/>
                <w:color w:val="auto"/>
              </w:rPr>
            </w:pPr>
          </w:p>
        </w:tc>
        <w:tc>
          <w:tcPr>
            <w:tcW w:w="380" w:type="dxa"/>
            <w:vAlign w:val="bottom"/>
            <w:gridSpan w:val="3"/>
          </w:tcPr>
          <w:p>
            <w:pPr>
              <w:jc w:val="cente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49</w:t>
              </w:r>
            </w:hyperlink>
          </w:p>
        </w:tc>
      </w:tr>
      <w:tr>
        <w:trPr>
          <w:trHeight w:val="20"/>
        </w:trPr>
        <w:tc>
          <w:tcPr>
            <w:tcW w:w="8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0" w:type="dxa"/>
            <w:vAlign w:val="bottom"/>
          </w:tcPr>
          <w:p>
            <w:pPr>
              <w:spacing w:after="0"/>
              <w:rPr>
                <w:rFonts w:ascii="Arial" w:cs="Arial" w:eastAsia="Arial" w:hAnsi="Arial"/>
                <w:sz w:val="18"/>
                <w:szCs w:val="18"/>
                <w:color w:val="0000FF"/>
                <w:w w:val="82"/>
              </w:rPr>
            </w:pPr>
            <w:hyperlink w:anchor="page58">
              <w:r>
                <w:rPr>
                  <w:rFonts w:ascii="Arial" w:cs="Arial" w:eastAsia="Arial" w:hAnsi="Arial"/>
                  <w:sz w:val="18"/>
                  <w:szCs w:val="18"/>
                  <w:color w:val="0000FF"/>
                  <w:w w:val="82"/>
                </w:rPr>
                <w:t>Investments</w:t>
              </w:r>
            </w:hyperlink>
          </w:p>
        </w:tc>
        <w:tc>
          <w:tcPr>
            <w:tcW w:w="720" w:type="dxa"/>
            <w:vAlign w:val="bottom"/>
            <w:gridSpan w:val="3"/>
          </w:tcPr>
          <w:p>
            <w:pPr>
              <w:spacing w:after="0"/>
              <w:rPr>
                <w:sz w:val="18"/>
                <w:szCs w:val="18"/>
                <w:color w:val="auto"/>
              </w:rPr>
            </w:pPr>
          </w:p>
        </w:tc>
        <w:tc>
          <w:tcPr>
            <w:tcW w:w="9000" w:type="dxa"/>
            <w:vAlign w:val="bottom"/>
            <w:gridSpan w:val="7"/>
          </w:tcPr>
          <w:p>
            <w:pPr>
              <w:spacing w:after="0"/>
              <w:rPr>
                <w:sz w:val="18"/>
                <w:szCs w:val="18"/>
                <w:color w:val="auto"/>
              </w:rPr>
            </w:pPr>
          </w:p>
        </w:tc>
        <w:tc>
          <w:tcPr>
            <w:tcW w:w="380" w:type="dxa"/>
            <w:vAlign w:val="bottom"/>
            <w:gridSpan w:val="3"/>
          </w:tcPr>
          <w:p>
            <w:pPr>
              <w:jc w:val="cente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57</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40" w:type="dxa"/>
            <w:vAlign w:val="bottom"/>
          </w:tcPr>
          <w:p>
            <w:pP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Derivatives</w:t>
              </w:r>
            </w:hyperlink>
          </w:p>
        </w:tc>
        <w:tc>
          <w:tcPr>
            <w:tcW w:w="9720" w:type="dxa"/>
            <w:vAlign w:val="bottom"/>
            <w:gridSpan w:val="10"/>
          </w:tcPr>
          <w:p>
            <w:pPr>
              <w:spacing w:after="0"/>
              <w:rPr>
                <w:sz w:val="18"/>
                <w:szCs w:val="18"/>
                <w:color w:val="auto"/>
              </w:rPr>
            </w:pPr>
          </w:p>
        </w:tc>
        <w:tc>
          <w:tcPr>
            <w:tcW w:w="380" w:type="dxa"/>
            <w:vAlign w:val="bottom"/>
            <w:gridSpan w:val="3"/>
          </w:tcPr>
          <w:p>
            <w:pPr>
              <w:jc w:val="cente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67</w:t>
              </w:r>
            </w:hyperlink>
          </w:p>
        </w:tc>
      </w:tr>
      <w:tr>
        <w:trPr>
          <w:trHeight w:val="20"/>
        </w:trPr>
        <w:tc>
          <w:tcPr>
            <w:tcW w:w="840" w:type="dxa"/>
            <w:vAlign w:val="bottom"/>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560" w:type="dxa"/>
            <w:vAlign w:val="bottom"/>
            <w:gridSpan w:val="11"/>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Off-Balance Sheet Arrangements</w:t>
              </w:r>
            </w:hyperlink>
          </w:p>
        </w:tc>
        <w:tc>
          <w:tcPr>
            <w:tcW w:w="380" w:type="dxa"/>
            <w:vAlign w:val="bottom"/>
            <w:gridSpan w:val="3"/>
          </w:tcPr>
          <w:p>
            <w:pPr>
              <w:jc w:val="center"/>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68</w:t>
              </w:r>
            </w:hyperlink>
          </w:p>
        </w:tc>
      </w:tr>
      <w:tr>
        <w:trPr>
          <w:trHeight w:val="20"/>
        </w:trPr>
        <w:tc>
          <w:tcPr>
            <w:tcW w:w="1700" w:type="dxa"/>
            <w:vAlign w:val="bottom"/>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700" w:type="dxa"/>
            <w:vAlign w:val="bottom"/>
            <w:gridSpan w:val="5"/>
          </w:tcPr>
          <w:p>
            <w:pPr>
              <w:spacing w:after="0"/>
              <w:rPr>
                <w:rFonts w:ascii="Arial" w:cs="Arial" w:eastAsia="Arial" w:hAnsi="Arial"/>
                <w:sz w:val="18"/>
                <w:szCs w:val="18"/>
                <w:color w:val="0000FF"/>
                <w:w w:val="94"/>
              </w:rPr>
            </w:pPr>
            <w:hyperlink w:anchor="page70">
              <w:r>
                <w:rPr>
                  <w:rFonts w:ascii="Arial" w:cs="Arial" w:eastAsia="Arial" w:hAnsi="Arial"/>
                  <w:sz w:val="18"/>
                  <w:szCs w:val="18"/>
                  <w:color w:val="0000FF"/>
                  <w:w w:val="94"/>
                </w:rPr>
                <w:t>Policyholder Liabilities</w:t>
              </w:r>
            </w:hyperlink>
          </w:p>
        </w:tc>
        <w:tc>
          <w:tcPr>
            <w:tcW w:w="700" w:type="dxa"/>
            <w:vAlign w:val="bottom"/>
            <w:gridSpan w:val="2"/>
          </w:tcPr>
          <w:p>
            <w:pPr>
              <w:spacing w:after="0"/>
              <w:rPr>
                <w:sz w:val="18"/>
                <w:szCs w:val="18"/>
                <w:color w:val="auto"/>
              </w:rPr>
            </w:pPr>
          </w:p>
        </w:tc>
        <w:tc>
          <w:tcPr>
            <w:tcW w:w="8160" w:type="dxa"/>
            <w:vAlign w:val="bottom"/>
            <w:gridSpan w:val="4"/>
          </w:tcPr>
          <w:p>
            <w:pPr>
              <w:spacing w:after="0"/>
              <w:rPr>
                <w:sz w:val="18"/>
                <w:szCs w:val="18"/>
                <w:color w:val="auto"/>
              </w:rPr>
            </w:pPr>
          </w:p>
        </w:tc>
        <w:tc>
          <w:tcPr>
            <w:tcW w:w="380" w:type="dxa"/>
            <w:vAlign w:val="bottom"/>
            <w:gridSpan w:val="3"/>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69</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560" w:type="dxa"/>
            <w:vAlign w:val="bottom"/>
            <w:gridSpan w:val="11"/>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Liquidity and Capital Resources</w:t>
              </w:r>
            </w:hyperlink>
          </w:p>
        </w:tc>
        <w:tc>
          <w:tcPr>
            <w:tcW w:w="380" w:type="dxa"/>
            <w:vAlign w:val="bottom"/>
            <w:gridSpan w:val="3"/>
          </w:tcPr>
          <w:p>
            <w:pPr>
              <w:jc w:val="cente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72</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560" w:type="dxa"/>
            <w:vAlign w:val="bottom"/>
            <w:gridSpan w:val="11"/>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Note Regarding Forward-Looking Statements</w:t>
              </w:r>
            </w:hyperlink>
          </w:p>
        </w:tc>
        <w:tc>
          <w:tcPr>
            <w:tcW w:w="380" w:type="dxa"/>
            <w:vAlign w:val="bottom"/>
            <w:gridSpan w:val="3"/>
          </w:tcPr>
          <w:p>
            <w:pPr>
              <w:jc w:val="center"/>
              <w:spacing w:after="0"/>
              <w:rPr>
                <w:rFonts w:ascii="Arial" w:cs="Arial" w:eastAsia="Arial" w:hAnsi="Arial"/>
                <w:sz w:val="18"/>
                <w:szCs w:val="18"/>
                <w:color w:val="0000FF"/>
                <w:w w:val="89"/>
              </w:rPr>
            </w:pPr>
            <w:hyperlink w:anchor="page80">
              <w:r>
                <w:rPr>
                  <w:rFonts w:ascii="Arial" w:cs="Arial" w:eastAsia="Arial" w:hAnsi="Arial"/>
                  <w:sz w:val="18"/>
                  <w:szCs w:val="18"/>
                  <w:color w:val="0000FF"/>
                  <w:w w:val="89"/>
                </w:rPr>
                <w:t>80</w:t>
              </w:r>
            </w:hyperlink>
          </w:p>
        </w:tc>
      </w:tr>
      <w:tr>
        <w:trPr>
          <w:trHeight w:val="20"/>
        </w:trPr>
        <w:tc>
          <w:tcPr>
            <w:tcW w:w="8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229" w:right="619" w:bottom="1440" w:gutter="0" w:footer="0" w:header="0"/>
        </w:sectPr>
      </w:pPr>
    </w:p>
    <w:bookmarkStart w:id="44" w:name="page45"/>
    <w:bookmarkEnd w:id="4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purposes of this discussion, unless otherwise mentioned or unless the context indicates otherwise, “Brighthouse,” “Brighthouse Financial,” the “Company,” “we,” “our” and “us” refer to Brighthouse Financial, Inc., a Delaware corporation, and its subsidiaries. We use the term “BHF” to refer solely to Brighthouse Financial, Inc., and not to any of its subsidiaries. Until August 4, 2017, BHF was a wholly-owned subsidiary of MetLife, Inc. (together with its subsidiaries and affiliates, “MetLife”). Following this summary is a discussion addressing the consolidated financial condition and results of operations of the Company for the periods indicated.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2020, filed with the U.S. Securities and Exchange Commission (“SEC”) on February 24, 2021 (the “2020 Annual Report”); and (iii) our current reports on Form 8-K filed in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discussing our Results of Operations, we present background information and definitions that we believe are useful to understanding the discussion of our financial results. This information precedes the Results of Operations and is most beneficial when read in the sequence presented. A summary of key informational sections is as follows:</w:t>
      </w:r>
    </w:p>
    <w:p>
      <w:pPr>
        <w:spacing w:after="0" w:line="7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Summary” provides information regarding our business, segments and results as discussed in the Results of Operations.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“Industry Trends” discusses updates and changes to a number of trends and uncertainties included in our 2020 Annual Report that we believe may materially affect our future financial condition, results of operations or cash flows, including from the worldwide pandemic sparked by the novel coronavirus (the “COVID-19 pandemic”).</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“Summary of Critical Accounting Estimates” explains the most critical estimates and judgments applied in determining our results in accordance with accounting principles generally accepted in the United States of America (“GAAP”).</w:t>
      </w:r>
    </w:p>
    <w:p>
      <w:pPr>
        <w:spacing w:after="0" w:line="62"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“Non-GAAP and Other Financial Disclosures” defines key financial measures presented in the Results of Operations that are not calculated in accordance with GAAP but are used by management in evaluating company and segment performance. As described in this section, adjusted earnings is presented by key business activities which are derived from, but different than, the line items presented in the GAAP statement of operations. This section also refers to certain other terms used to describe our insurance business and financial and operating metrics, but is not intended to be exhaustive.</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amounts presented in prior periods within the following discussions of our financial results have been reclassified to conform with the current year presentation.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one of the largest providers of annuity and life insurance products in the United States through multiple independent distribution channels and marketing arrangements with a diverse network of distribution partners.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operating purposes, we have established three segments: (i) Annuities, (ii) Life and (iii) Run-off, which consists of products that are no longer actively sold and are separately managed. In addition, we report certain of our results of operations in Corporate &amp; Other.</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is intended to help the reader understand the results of operations, financial condition and cash flows of Brighthouse for the periods indicated. See “Business — Segments and Corporate &amp; Other” and “Management’s Discussion and Analysis of Financial Condition and Results of Operations — Executive Summary — Overview” included in our 2020 Annual Report, as well as Note 2 of the Notes to the Interim Condensed Consolidated Financial Statements for further information regarding our segments and Corporate &amp; Other.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(loss) available to shareholders and adjusted earnings, a non-GAAP financial measure, were as follows:</w:t>
      </w:r>
    </w:p>
    <w:p>
      <w:pPr>
        <w:spacing w:after="0" w:line="247"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6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6,243</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3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 (1)</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4,950</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 less net income (loss) attributable to noncontrolling interests and preferred stock dividends</w:t>
            </w: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3"/>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earnings</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46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use the term “net income (loss) available to shareholders” to refer to “net income (loss) available to Brighthouse Financial, Inc.’s common shareholders” throughout the results of operations discussions.</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 the three months ended March 31, 2021, we had a net loss available to shareholders of $610 million and adjusted earnings of $385 million compared to net income available to shareholders of $5.0 billion and adjusted earnings of $211 million for the three months ended March 31, 2020. The net loss available to shareholders for the three months ended March 31, 2021 primarily reflects net unfavorable changes in the estimated fair value of our derivatives due to market factors. Higher interest rates and higher equity markets resulted in unfavorable changes to the freestanding derivatives that hedge our variable annuity business, which were partially offset by the favorable impact to the variable annuity embedded derivative liabilities. Higher equity markets also unfavorably impacted the estimated fair value of the embedded derivative liabilities associated with Shield Level Annuities (“Shield”), which are referred to herein as “Shield liabilities.” In addition, the impact of narrowing credit spreads resulted in an unfavorable adjustment for non-performance risk related to the variable annuity embedded derivative liabilities. Higher long-term interest rates resulted in unfavorable changes in the estimated fair value of freestanding interest-rate derivatives that we use to hedge our universal life with secondary guarantees (“ULSG”) business.</w:t>
      </w:r>
    </w:p>
    <w:p>
      <w:pPr>
        <w:spacing w:after="0" w:line="112" w:lineRule="exact"/>
        <w:rPr>
          <w:sz w:val="20"/>
          <w:szCs w:val="20"/>
          <w:color w:val="auto"/>
        </w:rPr>
      </w:pPr>
    </w:p>
    <w:p>
      <w:pPr>
        <w:ind w:right="1780" w:firstLine="324"/>
        <w:spacing w:after="0" w:line="402" w:lineRule="auto"/>
        <w:rPr>
          <w:sz w:val="20"/>
          <w:szCs w:val="20"/>
          <w:color w:val="auto"/>
        </w:rPr>
      </w:pPr>
      <w:r>
        <w:rPr>
          <w:rFonts w:ascii="Arial" w:cs="Arial" w:eastAsia="Arial" w:hAnsi="Arial"/>
          <w:sz w:val="18"/>
          <w:szCs w:val="18"/>
          <w:color w:val="auto"/>
        </w:rPr>
        <w:t xml:space="preserve">See “— Non-GAAP and Other Financial Disclosures.” For a detailed discussion of our results, see “— Results of Operations.” </w:t>
      </w:r>
      <w:r>
        <w:rPr>
          <w:rFonts w:ascii="Arial" w:cs="Arial" w:eastAsia="Arial" w:hAnsi="Arial"/>
          <w:sz w:val="18"/>
          <w:szCs w:val="18"/>
          <w:b w:val="1"/>
          <w:bCs w:val="1"/>
          <w:color w:val="auto"/>
        </w:rPr>
        <w:t>Industry Trends</w:t>
      </w:r>
    </w:p>
    <w:p>
      <w:pPr>
        <w:spacing w:after="0" w:line="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our 2020 Annual Report for a comprehensive discussion of some of the key general trends and uncertainties that have influenced the development of our business and our historical financial performance and that we believe will continue to influence our business and results of operations in the future. In addition, significant changes or updates in certain of these trends and uncertainties are discussed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continue to closely monitor developments related to the COVID-19 pandemic, which has negatively impacted us in certain respects. At this time, it continues to not be possible to estimate the severity or duration of the pandemic, including the severity, duration and frequency of any additional “waves” of the pandemic or the efficacy of any therapeutic treatments and vaccines for COVID-19, including their efficacy with respect to variants of COVID-19 that have emerged or could emerge in the future. It is likewise not possible to predict or estimate the longer-term effects of the pandemic, or any actions taken to contain or address the pandemic, on the economy at large and on our business, financial condition, results of operations and prospects, including the impact on our investment portfolio and our ratings, or the need for us in the future to revisit or revise aspects of our business model or targets previously provided to the markets. See “Business — Regulation,” “Risk Factors — Risks Related to Our Business — The ongoing COVID-19 pandemic could materially adversely affect our business, financial condition and results of operations, including our capitalization and liquidity” and “Management’s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Financial Condition and Results of Operations — Industry Trends — COVID-19 Pandemic” included in our 2020 Annual Report, as well as “— Investments — Current Environment — Selected Sector Investments,” “— Investments — Mortgage Loans — Loan Modifications Related to the COVID-19 Pandemic” and Note 4 of the Notes to the Interim Condensed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insurance subsidiaries and Brighthouse Reinsurance Company of Delaware (“BRCD”) are regulated primarily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2020 Annual Report, as may be amended or supplemented by our subsequent Quarterly Reports under the heading “Management’s Discussion and Analysis of Financial Condition and Results of Operations — Industry Trends — Regulatory Developments.”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Interim Condensed Consolidated Financial Statements.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1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amortization of deferred policy acquisition costs (“DAC”);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estimated fair values of freestanding derivatives and the recognition and estimated fair value of embedded derivatives requiring bifurcation; and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3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above critical accounting estimates are described in “Management’s Discussion and Analysis of Financial Condition and Results of Operations — Summary of Critical Accounting Estimates” and Note 1 of the Notes to the Consolidated Financial Statements included in our 2020 Annual Report.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definitions of the non-GAAP and other financial measures may differ from those used by other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In this report, we present adjusted earnings, which excludes net income (loss) attributable to noncontrolling interests and preferred stock dividends, as a measure of our performance that is not calculated in accordance with GAAP. We believe the presentation of adjusted earnings, as the Company measures it for management purposes, enhances the understanding of its performance by the investor community by highlighting the results of operations and the underlying profitability drivers of our business. However,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8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Adjusted earnings, which may be positive or negative, is used by management to evaluate performance, allocate resources and facilitate comparisons to industry results. This financial measure focuses on our primary businesses principally by excluding the impact of market volatility, which could distort trends.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820" w:hanging="326"/>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20" w:hanging="326"/>
        <w:spacing w:after="0" w:line="308" w:lineRule="auto"/>
        <w:tabs>
          <w:tab w:leader="none" w:pos="8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Net derivative gains (losses) except earned income and amortization of premium on derivatives that are hedges of investments or that are used to replicate certain investments, but do not qualify for hedge accounting treatment (“Investment Hedge Adjustments”); and</w:t>
      </w:r>
    </w:p>
    <w:p>
      <w:pPr>
        <w:spacing w:after="0" w:line="38" w:lineRule="exact"/>
        <w:rPr>
          <w:rFonts w:ascii="Arial" w:cs="Arial" w:eastAsia="Arial" w:hAnsi="Arial"/>
          <w:sz w:val="17"/>
          <w:szCs w:val="17"/>
          <w:color w:val="auto"/>
        </w:rPr>
      </w:pPr>
    </w:p>
    <w:p>
      <w:pPr>
        <w:ind w:left="820" w:hanging="326"/>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variable annuity guaranteed minimum income benefits (“GMIB”) fees (“GMIB Fees”).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820" w:hanging="326"/>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Amortization of DAC and value of business acquired (“VOBA”) related to (i) net investment gains (losses), (ii) net derivative gains (losses), (iii) GMIB Fees and GMIB Costs and (iv) Market Value Adjustments.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tax impact of the adjustments mentioned is calculated net of the statutory tax rate, which could differ from our effective tax rate.</w:t>
      </w:r>
    </w:p>
    <w:p>
      <w:pPr>
        <w:spacing w:after="0" w:line="11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Component of Adjusted Earnings</w:t>
            </w:r>
          </w:p>
        </w:tc>
        <w:tc>
          <w:tcPr>
            <w:tcW w:w="71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How Derived from GAAP (1)</w:t>
            </w:r>
          </w:p>
        </w:tc>
      </w:tr>
      <w:tr>
        <w:trPr>
          <w:trHeight w:val="215"/>
        </w:trPr>
        <w:tc>
          <w:tcPr>
            <w:tcW w:w="400" w:type="dxa"/>
            <w:vAlign w:val="bottom"/>
          </w:tcPr>
          <w:p>
            <w:pPr>
              <w:ind w:left="20"/>
              <w:spacing w:after="0"/>
              <w:rPr>
                <w:sz w:val="20"/>
                <w:szCs w:val="20"/>
                <w:color w:val="auto"/>
              </w:rPr>
            </w:pPr>
            <w:r>
              <w:rPr>
                <w:rFonts w:ascii="Arial" w:cs="Arial" w:eastAsia="Arial" w:hAnsi="Arial"/>
                <w:sz w:val="18"/>
                <w:szCs w:val="18"/>
                <w:color w:val="auto"/>
              </w:rPr>
              <w:t>(i)</w:t>
            </w:r>
          </w:p>
        </w:tc>
        <w:tc>
          <w:tcPr>
            <w:tcW w:w="3680" w:type="dxa"/>
            <w:vAlign w:val="bottom"/>
          </w:tcPr>
          <w:p>
            <w:pPr>
              <w:ind w:left="80"/>
              <w:spacing w:after="0"/>
              <w:rPr>
                <w:sz w:val="20"/>
                <w:szCs w:val="20"/>
                <w:color w:val="auto"/>
              </w:rPr>
            </w:pPr>
            <w:r>
              <w:rPr>
                <w:rFonts w:ascii="Arial" w:cs="Arial" w:eastAsia="Arial" w:hAnsi="Arial"/>
                <w:sz w:val="18"/>
                <w:szCs w:val="18"/>
                <w:color w:val="auto"/>
              </w:rPr>
              <w:t>Fee income</w:t>
            </w:r>
          </w:p>
        </w:tc>
        <w:tc>
          <w:tcPr>
            <w:tcW w:w="7160" w:type="dxa"/>
            <w:vAlign w:val="bottom"/>
          </w:tcPr>
          <w:p>
            <w:pPr>
              <w:ind w:left="540"/>
              <w:spacing w:after="0"/>
              <w:rPr>
                <w:sz w:val="20"/>
                <w:szCs w:val="20"/>
                <w:color w:val="auto"/>
              </w:rPr>
            </w:pPr>
            <w:r>
              <w:rPr>
                <w:rFonts w:ascii="Arial" w:cs="Arial" w:eastAsia="Arial" w:hAnsi="Arial"/>
                <w:sz w:val="18"/>
                <w:szCs w:val="18"/>
                <w:color w:val="auto"/>
              </w:rPr>
              <w:t>(i)</w:t>
            </w:r>
          </w:p>
        </w:tc>
      </w:tr>
      <w:tr>
        <w:trPr>
          <w:trHeight w:val="176"/>
        </w:trPr>
        <w:tc>
          <w:tcPr>
            <w:tcW w:w="4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160" w:type="dxa"/>
            <w:vAlign w:val="bottom"/>
          </w:tcPr>
          <w:p>
            <w:pPr>
              <w:ind w:left="1000"/>
              <w:spacing w:after="0" w:line="176" w:lineRule="exact"/>
              <w:rPr>
                <w:sz w:val="20"/>
                <w:szCs w:val="20"/>
                <w:color w:val="auto"/>
              </w:rPr>
            </w:pPr>
            <w:r>
              <w:rPr>
                <w:rFonts w:ascii="Arial" w:cs="Arial" w:eastAsia="Arial" w:hAnsi="Arial"/>
                <w:sz w:val="18"/>
                <w:szCs w:val="18"/>
                <w:i w:val="1"/>
                <w:iCs w:val="1"/>
                <w:color w:val="auto"/>
                <w:w w:val="98"/>
              </w:rPr>
              <w:t xml:space="preserve">Universal life and investment-type policy fees </w:t>
            </w:r>
            <w:r>
              <w:rPr>
                <w:rFonts w:ascii="Arial" w:cs="Arial" w:eastAsia="Arial" w:hAnsi="Arial"/>
                <w:sz w:val="18"/>
                <w:szCs w:val="18"/>
                <w:color w:val="auto"/>
                <w:w w:val="98"/>
              </w:rPr>
              <w:t>(excluding (a) unearned revenue</w:t>
            </w:r>
          </w:p>
        </w:tc>
      </w:tr>
      <w:tr>
        <w:trPr>
          <w:trHeight w:val="176"/>
        </w:trPr>
        <w:tc>
          <w:tcPr>
            <w:tcW w:w="4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160" w:type="dxa"/>
            <w:vAlign w:val="bottom"/>
          </w:tcPr>
          <w:p>
            <w:pPr>
              <w:ind w:left="1000"/>
              <w:spacing w:after="0" w:line="176" w:lineRule="exact"/>
              <w:rPr>
                <w:sz w:val="20"/>
                <w:szCs w:val="20"/>
                <w:color w:val="auto"/>
              </w:rPr>
            </w:pPr>
            <w:r>
              <w:rPr>
                <w:rFonts w:ascii="Arial" w:cs="Arial" w:eastAsia="Arial" w:hAnsi="Arial"/>
                <w:sz w:val="18"/>
                <w:szCs w:val="18"/>
                <w:color w:val="auto"/>
                <w:w w:val="90"/>
              </w:rPr>
              <w:t>adjustments related to net investment gains (losses) and net derivative gains (losses)</w:t>
            </w:r>
          </w:p>
        </w:tc>
      </w:tr>
      <w:tr>
        <w:trPr>
          <w:trHeight w:val="175"/>
        </w:trPr>
        <w:tc>
          <w:tcPr>
            <w:tcW w:w="4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160" w:type="dxa"/>
            <w:vAlign w:val="bottom"/>
          </w:tcPr>
          <w:p>
            <w:pPr>
              <w:ind w:left="1000"/>
              <w:spacing w:after="0" w:line="176" w:lineRule="exact"/>
              <w:rPr>
                <w:sz w:val="20"/>
                <w:szCs w:val="20"/>
                <w:color w:val="auto"/>
              </w:rPr>
            </w:pPr>
            <w:r>
              <w:rPr>
                <w:rFonts w:ascii="Arial" w:cs="Arial" w:eastAsia="Arial" w:hAnsi="Arial"/>
                <w:sz w:val="18"/>
                <w:szCs w:val="18"/>
                <w:color w:val="auto"/>
                <w:w w:val="92"/>
              </w:rPr>
              <w:t xml:space="preserve">and (b) GMIB Fees) plus </w:t>
            </w:r>
            <w:r>
              <w:rPr>
                <w:rFonts w:ascii="Arial" w:cs="Arial" w:eastAsia="Arial" w:hAnsi="Arial"/>
                <w:sz w:val="18"/>
                <w:szCs w:val="18"/>
                <w:i w:val="1"/>
                <w:iCs w:val="1"/>
                <w:color w:val="auto"/>
                <w:w w:val="92"/>
              </w:rPr>
              <w:t>Other revenues</w:t>
            </w:r>
            <w:r>
              <w:rPr>
                <w:rFonts w:ascii="Arial" w:cs="Arial" w:eastAsia="Arial" w:hAnsi="Arial"/>
                <w:sz w:val="18"/>
                <w:szCs w:val="18"/>
                <w:color w:val="auto"/>
                <w:w w:val="92"/>
              </w:rPr>
              <w:t xml:space="preserve"> (excluding other revenues associated with</w:t>
            </w:r>
          </w:p>
        </w:tc>
      </w:tr>
      <w:tr>
        <w:trPr>
          <w:trHeight w:val="230"/>
        </w:trPr>
        <w:tc>
          <w:tcPr>
            <w:tcW w:w="4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160" w:type="dxa"/>
            <w:vAlign w:val="bottom"/>
          </w:tcPr>
          <w:p>
            <w:pPr>
              <w:ind w:left="1000"/>
              <w:spacing w:after="0"/>
              <w:rPr>
                <w:sz w:val="20"/>
                <w:szCs w:val="20"/>
                <w:color w:val="auto"/>
              </w:rPr>
            </w:pPr>
            <w:r>
              <w:rPr>
                <w:rFonts w:ascii="Arial" w:cs="Arial" w:eastAsia="Arial" w:hAnsi="Arial"/>
                <w:sz w:val="18"/>
                <w:szCs w:val="18"/>
                <w:color w:val="auto"/>
              </w:rPr>
              <w:t>related party reinsurance) and amortization of deferred gain on reinsurance.</w:t>
            </w:r>
          </w:p>
        </w:tc>
      </w:tr>
      <w:tr>
        <w:trPr>
          <w:trHeight w:val="215"/>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(ii)</w:t>
            </w: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investment spread</w:t>
            </w:r>
          </w:p>
        </w:tc>
        <w:tc>
          <w:tcPr>
            <w:tcW w:w="7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(ii)</w:t>
            </w:r>
          </w:p>
        </w:tc>
      </w:tr>
      <w:tr>
        <w:trPr>
          <w:trHeight w:val="176"/>
        </w:trPr>
        <w:tc>
          <w:tcPr>
            <w:tcW w:w="40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7160" w:type="dxa"/>
            <w:vAlign w:val="bottom"/>
            <w:shd w:val="clear" w:color="auto" w:fill="CCEEFF"/>
          </w:tcPr>
          <w:p>
            <w:pPr>
              <w:ind w:left="1000"/>
              <w:spacing w:after="0" w:line="176" w:lineRule="exact"/>
              <w:rPr>
                <w:sz w:val="20"/>
                <w:szCs w:val="20"/>
                <w:color w:val="auto"/>
              </w:rPr>
            </w:pPr>
            <w:r>
              <w:rPr>
                <w:rFonts w:ascii="Arial" w:cs="Arial" w:eastAsia="Arial" w:hAnsi="Arial"/>
                <w:sz w:val="18"/>
                <w:szCs w:val="18"/>
                <w:i w:val="1"/>
                <w:iCs w:val="1"/>
                <w:color w:val="auto"/>
                <w:w w:val="91"/>
              </w:rPr>
              <w:t xml:space="preserve">Net investment income </w:t>
            </w:r>
            <w:r>
              <w:rPr>
                <w:rFonts w:ascii="Arial" w:cs="Arial" w:eastAsia="Arial" w:hAnsi="Arial"/>
                <w:sz w:val="18"/>
                <w:szCs w:val="18"/>
                <w:color w:val="auto"/>
                <w:w w:val="91"/>
              </w:rPr>
              <w:t>plus Investment Hedge Adjustments and interest received on</w:t>
            </w:r>
          </w:p>
        </w:tc>
      </w:tr>
      <w:tr>
        <w:trPr>
          <w:trHeight w:val="175"/>
        </w:trPr>
        <w:tc>
          <w:tcPr>
            <w:tcW w:w="40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7160" w:type="dxa"/>
            <w:vAlign w:val="bottom"/>
            <w:shd w:val="clear" w:color="auto" w:fill="CCEEFF"/>
          </w:tcPr>
          <w:p>
            <w:pPr>
              <w:ind w:left="1000"/>
              <w:spacing w:after="0" w:line="176" w:lineRule="exact"/>
              <w:rPr>
                <w:sz w:val="20"/>
                <w:szCs w:val="20"/>
                <w:color w:val="auto"/>
              </w:rPr>
            </w:pPr>
            <w:r>
              <w:rPr>
                <w:rFonts w:ascii="Arial" w:cs="Arial" w:eastAsia="Arial" w:hAnsi="Arial"/>
                <w:sz w:val="18"/>
                <w:szCs w:val="18"/>
                <w:color w:val="auto"/>
                <w:w w:val="99"/>
              </w:rPr>
              <w:t xml:space="preserve">ceded fixed annuity reinsurance deposit funds reduced by </w:t>
            </w:r>
            <w:r>
              <w:rPr>
                <w:rFonts w:ascii="Arial" w:cs="Arial" w:eastAsia="Arial" w:hAnsi="Arial"/>
                <w:sz w:val="18"/>
                <w:szCs w:val="18"/>
                <w:i w:val="1"/>
                <w:iCs w:val="1"/>
                <w:color w:val="auto"/>
                <w:w w:val="99"/>
              </w:rPr>
              <w:t>Interest credited to</w:t>
            </w:r>
          </w:p>
        </w:tc>
      </w:tr>
      <w:tr>
        <w:trPr>
          <w:trHeight w:val="230"/>
        </w:trPr>
        <w:tc>
          <w:tcPr>
            <w:tcW w:w="40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7160" w:type="dxa"/>
            <w:vAlign w:val="bottom"/>
            <w:shd w:val="clear" w:color="auto" w:fill="CCEEFF"/>
          </w:tcPr>
          <w:p>
            <w:pPr>
              <w:ind w:left="1000"/>
              <w:spacing w:after="0"/>
              <w:rPr>
                <w:sz w:val="20"/>
                <w:szCs w:val="20"/>
                <w:color w:val="auto"/>
              </w:rPr>
            </w:pPr>
            <w:r>
              <w:rPr>
                <w:rFonts w:ascii="Arial" w:cs="Arial" w:eastAsia="Arial" w:hAnsi="Arial"/>
                <w:sz w:val="18"/>
                <w:szCs w:val="18"/>
                <w:i w:val="1"/>
                <w:iCs w:val="1"/>
                <w:color w:val="auto"/>
              </w:rPr>
              <w:t xml:space="preserve">policyholder account balances </w:t>
            </w:r>
            <w:r>
              <w:rPr>
                <w:rFonts w:ascii="Arial" w:cs="Arial" w:eastAsia="Arial" w:hAnsi="Arial"/>
                <w:sz w:val="18"/>
                <w:szCs w:val="18"/>
                <w:color w:val="auto"/>
              </w:rPr>
              <w:t>and interest on future policy benefits.</w:t>
            </w:r>
          </w:p>
        </w:tc>
      </w:tr>
      <w:tr>
        <w:trPr>
          <w:trHeight w:val="215"/>
        </w:trPr>
        <w:tc>
          <w:tcPr>
            <w:tcW w:w="400" w:type="dxa"/>
            <w:vAlign w:val="bottom"/>
          </w:tcPr>
          <w:p>
            <w:pPr>
              <w:ind w:left="20"/>
              <w:spacing w:after="0"/>
              <w:rPr>
                <w:sz w:val="20"/>
                <w:szCs w:val="20"/>
                <w:color w:val="auto"/>
              </w:rPr>
            </w:pPr>
            <w:r>
              <w:rPr>
                <w:rFonts w:ascii="Arial" w:cs="Arial" w:eastAsia="Arial" w:hAnsi="Arial"/>
                <w:sz w:val="18"/>
                <w:szCs w:val="18"/>
                <w:color w:val="auto"/>
              </w:rPr>
              <w:t>(iii)</w:t>
            </w:r>
          </w:p>
        </w:tc>
        <w:tc>
          <w:tcPr>
            <w:tcW w:w="3680" w:type="dxa"/>
            <w:vAlign w:val="bottom"/>
          </w:tcPr>
          <w:p>
            <w:pPr>
              <w:ind w:left="80"/>
              <w:spacing w:after="0"/>
              <w:rPr>
                <w:sz w:val="20"/>
                <w:szCs w:val="20"/>
                <w:color w:val="auto"/>
              </w:rPr>
            </w:pPr>
            <w:r>
              <w:rPr>
                <w:rFonts w:ascii="Arial" w:cs="Arial" w:eastAsia="Arial" w:hAnsi="Arial"/>
                <w:sz w:val="18"/>
                <w:szCs w:val="18"/>
                <w:color w:val="auto"/>
              </w:rPr>
              <w:t>Insurance-related activities</w:t>
            </w:r>
          </w:p>
        </w:tc>
        <w:tc>
          <w:tcPr>
            <w:tcW w:w="7160" w:type="dxa"/>
            <w:vAlign w:val="bottom"/>
          </w:tcPr>
          <w:p>
            <w:pPr>
              <w:ind w:left="540"/>
              <w:spacing w:after="0"/>
              <w:rPr>
                <w:sz w:val="20"/>
                <w:szCs w:val="20"/>
                <w:color w:val="auto"/>
              </w:rPr>
            </w:pPr>
            <w:r>
              <w:rPr>
                <w:rFonts w:ascii="Arial" w:cs="Arial" w:eastAsia="Arial" w:hAnsi="Arial"/>
                <w:sz w:val="18"/>
                <w:szCs w:val="18"/>
                <w:color w:val="auto"/>
              </w:rPr>
              <w:t>(iii)</w:t>
            </w:r>
          </w:p>
        </w:tc>
      </w:tr>
      <w:tr>
        <w:trPr>
          <w:trHeight w:val="176"/>
        </w:trPr>
        <w:tc>
          <w:tcPr>
            <w:tcW w:w="4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160" w:type="dxa"/>
            <w:vAlign w:val="bottom"/>
          </w:tcPr>
          <w:p>
            <w:pPr>
              <w:ind w:left="1000"/>
              <w:spacing w:after="0" w:line="176" w:lineRule="exact"/>
              <w:rPr>
                <w:sz w:val="20"/>
                <w:szCs w:val="20"/>
                <w:color w:val="auto"/>
              </w:rPr>
            </w:pPr>
            <w:r>
              <w:rPr>
                <w:rFonts w:ascii="Arial" w:cs="Arial" w:eastAsia="Arial" w:hAnsi="Arial"/>
                <w:sz w:val="18"/>
                <w:szCs w:val="18"/>
                <w:i w:val="1"/>
                <w:iCs w:val="1"/>
                <w:color w:val="auto"/>
                <w:w w:val="97"/>
              </w:rPr>
              <w:t xml:space="preserve">Premiums </w:t>
            </w:r>
            <w:r>
              <w:rPr>
                <w:rFonts w:ascii="Arial" w:cs="Arial" w:eastAsia="Arial" w:hAnsi="Arial"/>
                <w:sz w:val="18"/>
                <w:szCs w:val="18"/>
                <w:color w:val="auto"/>
                <w:w w:val="97"/>
              </w:rPr>
              <w:t>less</w:t>
            </w:r>
            <w:r>
              <w:rPr>
                <w:rFonts w:ascii="Arial" w:cs="Arial" w:eastAsia="Arial" w:hAnsi="Arial"/>
                <w:sz w:val="18"/>
                <w:szCs w:val="18"/>
                <w:i w:val="1"/>
                <w:iCs w:val="1"/>
                <w:color w:val="auto"/>
                <w:w w:val="97"/>
              </w:rPr>
              <w:t xml:space="preserve"> Policyholder benefits and claims </w:t>
            </w:r>
            <w:r>
              <w:rPr>
                <w:rFonts w:ascii="Arial" w:cs="Arial" w:eastAsia="Arial" w:hAnsi="Arial"/>
                <w:sz w:val="18"/>
                <w:szCs w:val="18"/>
                <w:color w:val="auto"/>
                <w:w w:val="97"/>
              </w:rPr>
              <w:t>(excluding (a) GMIB Costs, (b)</w:t>
            </w:r>
          </w:p>
        </w:tc>
      </w:tr>
      <w:tr>
        <w:trPr>
          <w:trHeight w:val="175"/>
        </w:trPr>
        <w:tc>
          <w:tcPr>
            <w:tcW w:w="4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160" w:type="dxa"/>
            <w:vAlign w:val="bottom"/>
          </w:tcPr>
          <w:p>
            <w:pPr>
              <w:ind w:left="1000"/>
              <w:spacing w:after="0" w:line="176" w:lineRule="exact"/>
              <w:rPr>
                <w:sz w:val="20"/>
                <w:szCs w:val="20"/>
                <w:color w:val="auto"/>
              </w:rPr>
            </w:pPr>
            <w:r>
              <w:rPr>
                <w:rFonts w:ascii="Arial" w:cs="Arial" w:eastAsia="Arial" w:hAnsi="Arial"/>
                <w:sz w:val="18"/>
                <w:szCs w:val="18"/>
                <w:color w:val="auto"/>
                <w:w w:val="92"/>
              </w:rPr>
              <w:t>Market Value Adjustments, (c) interest on future policy benefits and (d) amortization</w:t>
            </w:r>
          </w:p>
        </w:tc>
      </w:tr>
      <w:tr>
        <w:trPr>
          <w:trHeight w:val="175"/>
        </w:trPr>
        <w:tc>
          <w:tcPr>
            <w:tcW w:w="4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7160" w:type="dxa"/>
            <w:vAlign w:val="bottom"/>
          </w:tcPr>
          <w:p>
            <w:pPr>
              <w:ind w:left="1000"/>
              <w:spacing w:after="0" w:line="176" w:lineRule="exact"/>
              <w:rPr>
                <w:sz w:val="20"/>
                <w:szCs w:val="20"/>
                <w:color w:val="auto"/>
              </w:rPr>
            </w:pPr>
            <w:r>
              <w:rPr>
                <w:rFonts w:ascii="Arial" w:cs="Arial" w:eastAsia="Arial" w:hAnsi="Arial"/>
                <w:sz w:val="18"/>
                <w:szCs w:val="18"/>
                <w:color w:val="auto"/>
                <w:w w:val="96"/>
              </w:rPr>
              <w:t>of deferred gain on reinsurance) plus the pass through of performance of ceded</w:t>
            </w:r>
          </w:p>
        </w:tc>
      </w:tr>
      <w:tr>
        <w:trPr>
          <w:trHeight w:val="230"/>
        </w:trPr>
        <w:tc>
          <w:tcPr>
            <w:tcW w:w="4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7160" w:type="dxa"/>
            <w:vAlign w:val="bottom"/>
          </w:tcPr>
          <w:p>
            <w:pPr>
              <w:ind w:left="1000"/>
              <w:spacing w:after="0"/>
              <w:rPr>
                <w:sz w:val="20"/>
                <w:szCs w:val="20"/>
                <w:color w:val="auto"/>
              </w:rPr>
            </w:pPr>
            <w:r>
              <w:rPr>
                <w:rFonts w:ascii="Arial" w:cs="Arial" w:eastAsia="Arial" w:hAnsi="Arial"/>
                <w:sz w:val="18"/>
                <w:szCs w:val="18"/>
                <w:color w:val="auto"/>
              </w:rPr>
              <w:t>separate account assets.</w:t>
            </w:r>
          </w:p>
        </w:tc>
      </w:tr>
      <w:tr>
        <w:trPr>
          <w:trHeight w:val="215"/>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(iv)  Amortization of DAC and VOBA</w:t>
            </w:r>
          </w:p>
        </w:tc>
        <w:tc>
          <w:tcPr>
            <w:tcW w:w="7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(iv)</w:t>
            </w:r>
          </w:p>
        </w:tc>
      </w:tr>
      <w:tr>
        <w:trPr>
          <w:trHeight w:val="176"/>
        </w:trPr>
        <w:tc>
          <w:tcPr>
            <w:tcW w:w="40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7160" w:type="dxa"/>
            <w:vAlign w:val="bottom"/>
            <w:shd w:val="clear" w:color="auto" w:fill="CCEEFF"/>
          </w:tcPr>
          <w:p>
            <w:pPr>
              <w:ind w:left="1000"/>
              <w:spacing w:after="0" w:line="176" w:lineRule="exact"/>
              <w:rPr>
                <w:sz w:val="20"/>
                <w:szCs w:val="20"/>
                <w:color w:val="auto"/>
              </w:rPr>
            </w:pPr>
            <w:r>
              <w:rPr>
                <w:rFonts w:ascii="Arial" w:cs="Arial" w:eastAsia="Arial" w:hAnsi="Arial"/>
                <w:sz w:val="18"/>
                <w:szCs w:val="18"/>
                <w:i w:val="1"/>
                <w:iCs w:val="1"/>
                <w:color w:val="auto"/>
                <w:w w:val="95"/>
              </w:rPr>
              <w:t xml:space="preserve">Amortization of DAC and VOBA </w:t>
            </w:r>
            <w:r>
              <w:rPr>
                <w:rFonts w:ascii="Arial" w:cs="Arial" w:eastAsia="Arial" w:hAnsi="Arial"/>
                <w:sz w:val="18"/>
                <w:szCs w:val="18"/>
                <w:color w:val="auto"/>
                <w:w w:val="95"/>
              </w:rPr>
              <w:t>(excluding amounts related to (a) net investment</w:t>
            </w:r>
          </w:p>
        </w:tc>
      </w:tr>
      <w:tr>
        <w:trPr>
          <w:trHeight w:val="175"/>
        </w:trPr>
        <w:tc>
          <w:tcPr>
            <w:tcW w:w="40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7160" w:type="dxa"/>
            <w:vAlign w:val="bottom"/>
            <w:shd w:val="clear" w:color="auto" w:fill="CCEEFF"/>
          </w:tcPr>
          <w:p>
            <w:pPr>
              <w:ind w:left="1000"/>
              <w:spacing w:after="0" w:line="176" w:lineRule="exact"/>
              <w:rPr>
                <w:sz w:val="20"/>
                <w:szCs w:val="20"/>
                <w:color w:val="auto"/>
              </w:rPr>
            </w:pPr>
            <w:r>
              <w:rPr>
                <w:rFonts w:ascii="Arial" w:cs="Arial" w:eastAsia="Arial" w:hAnsi="Arial"/>
                <w:sz w:val="18"/>
                <w:szCs w:val="18"/>
                <w:color w:val="auto"/>
                <w:w w:val="91"/>
              </w:rPr>
              <w:t>gains (losses), (b) net derivative gains (losses), (c) GMIB Fees and GMIB Costs and</w:t>
            </w:r>
          </w:p>
        </w:tc>
      </w:tr>
      <w:tr>
        <w:trPr>
          <w:trHeight w:val="230"/>
        </w:trPr>
        <w:tc>
          <w:tcPr>
            <w:tcW w:w="40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71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(d) Market Value Adjustments).</w:t>
            </w:r>
          </w:p>
        </w:tc>
      </w:tr>
      <w:tr>
        <w:trPr>
          <w:trHeight w:val="215"/>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(v)   Other expenses, net of DAC capitalization</w:t>
            </w:r>
          </w:p>
        </w:tc>
        <w:tc>
          <w:tcPr>
            <w:tcW w:w="7160" w:type="dxa"/>
            <w:vAlign w:val="bottom"/>
          </w:tcPr>
          <w:p>
            <w:pPr>
              <w:ind w:left="540"/>
              <w:spacing w:after="0"/>
              <w:rPr>
                <w:sz w:val="20"/>
                <w:szCs w:val="20"/>
                <w:color w:val="auto"/>
              </w:rPr>
            </w:pPr>
            <w:r>
              <w:rPr>
                <w:rFonts w:ascii="Arial" w:cs="Arial" w:eastAsia="Arial" w:hAnsi="Arial"/>
                <w:sz w:val="18"/>
                <w:szCs w:val="18"/>
                <w:color w:val="auto"/>
              </w:rPr>
              <w:t>(v)</w:t>
            </w:r>
          </w:p>
        </w:tc>
      </w:tr>
      <w:tr>
        <w:trPr>
          <w:trHeight w:val="230"/>
        </w:trPr>
        <w:tc>
          <w:tcPr>
            <w:tcW w:w="4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7160" w:type="dxa"/>
            <w:vAlign w:val="bottom"/>
          </w:tcPr>
          <w:p>
            <w:pPr>
              <w:ind w:left="1000"/>
              <w:spacing w:after="0"/>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reduced by capitalization of DAC.</w:t>
            </w:r>
          </w:p>
        </w:tc>
      </w:tr>
      <w:tr>
        <w:trPr>
          <w:trHeight w:val="230"/>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  Provision for income tax expense (benefit)</w:t>
            </w:r>
          </w:p>
        </w:tc>
        <w:tc>
          <w:tcPr>
            <w:tcW w:w="7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(vi)   Tax impact of the above items.</w:t>
            </w: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__________________</w:t>
            </w:r>
          </w:p>
        </w:tc>
        <w:tc>
          <w:tcPr>
            <w:tcW w:w="7160" w:type="dxa"/>
            <w:vAlign w:val="bottom"/>
          </w:tcPr>
          <w:p>
            <w:pPr>
              <w:spacing w:after="0"/>
              <w:rPr>
                <w:sz w:val="15"/>
                <w:szCs w:val="15"/>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 Italicized items indicate GAAP statement of operations line items.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Net Investment Income</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We present adjusted net investment income, which is not calculated in accordance with GAAP. We present adjusted net investment income to measure our performance for management purposes, and we believe it enhances the understanding of our investment portfolio results. Adjusted net investment income represents net investment income, including Investment Hedge Adjustments. For a reconciliation of adjusted net investment income to net investment income, the most directly comparable GAAP measure, see footnote 3 to the summary yield table located in “— Investments — Current Environment — Investment Portfolio Results.”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 of average quarterly asset carrying values. Asset carrying values exclude unrealized gains (losses), collateral received in connection with our securities lending program, freestanding derivative assets and collateral received from derivative counterparties.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Ended March 31, 2021 and 2020</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which are presented net of income tax.</w:t>
      </w:r>
    </w:p>
    <w:p>
      <w:pPr>
        <w:spacing w:after="0" w:line="192"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96"/>
              </w:rPr>
              <w:t>(In millions)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Premiums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 life and investment-type product policy fees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1,187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6,902</w:t>
            </w:r>
          </w:p>
        </w:tc>
        <w:tc>
          <w:tcPr>
            <w:tcW w:w="0" w:type="dxa"/>
            <w:vAlign w:val="bottom"/>
          </w:tcPr>
          <w:p>
            <w:pPr>
              <w:spacing w:after="0"/>
              <w:rPr>
                <w:sz w:val="1"/>
                <w:szCs w:val="1"/>
                <w:color w:val="auto"/>
              </w:rPr>
            </w:pPr>
          </w:p>
        </w:tc>
      </w:tr>
      <w:tr>
        <w:trPr>
          <w:trHeight w:val="207"/>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8,985</w:t>
            </w:r>
          </w:p>
        </w:tc>
        <w:tc>
          <w:tcPr>
            <w:tcW w:w="0" w:type="dxa"/>
            <w:vAlign w:val="bottom"/>
          </w:tcPr>
          <w:p>
            <w:pPr>
              <w:spacing w:after="0"/>
              <w:rPr>
                <w:sz w:val="1"/>
                <w:szCs w:val="1"/>
                <w:color w:val="auto"/>
              </w:rPr>
            </w:pPr>
          </w:p>
        </w:tc>
      </w:tr>
      <w:tr>
        <w:trPr>
          <w:trHeight w:val="19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Policyholder benefits and claims</w:t>
            </w: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credited to policyholder account balances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Capitalization of DAC</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DAC and VOBA</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Interest expense on debt</w:t>
            </w: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06"/>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expenses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1,706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w:t>
            </w:r>
          </w:p>
        </w:tc>
        <w:tc>
          <w:tcPr>
            <w:tcW w:w="0" w:type="dxa"/>
            <w:vAlign w:val="bottom"/>
          </w:tcPr>
          <w:p>
            <w:pPr>
              <w:spacing w:after="0"/>
              <w:rPr>
                <w:sz w:val="1"/>
                <w:szCs w:val="1"/>
                <w:color w:val="auto"/>
              </w:rPr>
            </w:pPr>
          </w:p>
        </w:tc>
      </w:tr>
      <w:tr>
        <w:trPr>
          <w:trHeight w:val="213"/>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6,252</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13"/>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4,959</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Brighthouse Financial, Inc.</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4,957</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Preferred stock dividends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8"/>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4,950</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components of net income (loss) available to shareholders were as follows: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8"/>
        </w:trPr>
        <w:tc>
          <w:tcPr>
            <w:tcW w:w="8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8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96"/>
              </w:rPr>
              <w:t>(In millions)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 Riders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4,374</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Other derivative instruments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gains (losses)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Other adjustments</w:t>
            </w: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 less net income (loss) attributable to noncontrolling interests and preferred stock dividends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7"/>
        </w:trPr>
        <w:tc>
          <w:tcPr>
            <w:tcW w:w="8800" w:type="dxa"/>
            <w:vAlign w:val="bottom"/>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6,243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388"/>
        </w:trPr>
        <w:tc>
          <w:tcPr>
            <w:tcW w:w="880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2021 Compared with the Three Months Ended March 31, 2020</w:t>
      </w:r>
    </w:p>
    <w:p>
      <w:pPr>
        <w:spacing w:after="0" w:line="117" w:lineRule="exact"/>
        <w:rPr>
          <w:sz w:val="20"/>
          <w:szCs w:val="20"/>
          <w:color w:val="auto"/>
        </w:rPr>
      </w:pPr>
    </w:p>
    <w:p>
      <w:pPr>
        <w:ind w:left="180" w:firstLine="324"/>
        <w:spacing w:after="0" w:line="308" w:lineRule="auto"/>
        <w:rPr>
          <w:sz w:val="20"/>
          <w:szCs w:val="20"/>
          <w:color w:val="auto"/>
        </w:rPr>
      </w:pPr>
      <w:r>
        <w:rPr>
          <w:rFonts w:ascii="Arial" w:cs="Arial" w:eastAsia="Arial" w:hAnsi="Arial"/>
          <w:sz w:val="17"/>
          <w:szCs w:val="17"/>
          <w:color w:val="auto"/>
        </w:rPr>
        <w:t>Loss available to shareholders before provision for income tax was $795 million ($610 million, net of income tax), a decrease of $7.0 billion ($5.6 billion, net of income tax) from income before provision for income tax of $6.2 billion ($5.0 billion, net of income tax) in the prior period.</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income before provision for income tax was driven by the following unfavorable items:</w:t>
      </w:r>
    </w:p>
    <w:p>
      <w:pPr>
        <w:spacing w:after="0" w:line="117" w:lineRule="exact"/>
        <w:rPr>
          <w:sz w:val="20"/>
          <w:szCs w:val="20"/>
          <w:color w:val="auto"/>
        </w:rPr>
      </w:pPr>
    </w:p>
    <w:p>
      <w:pPr>
        <w:ind w:left="820" w:right="20" w:hanging="326"/>
        <w:spacing w:after="0" w:line="27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losses from guaranteed minimum living benefits (“GMLB”) riders (“GMLB Riders”), see “— GMLB Riders for the Three Months Ended March 31, 2021 and 2020”; and</w:t>
      </w:r>
    </w:p>
    <w:p>
      <w:pPr>
        <w:spacing w:after="0" w:line="62"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current period losses on interest rate derivatives that we use to hedge our ULSG business due to the increase in the benchmark long-term interest rate, which unfavorably impacted bond forwards and interest rate swaps.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income before provision for income tax was partially offset by the following favorable items:</w:t>
      </w:r>
    </w:p>
    <w:p>
      <w:pPr>
        <w:spacing w:after="0" w:line="117" w:lineRule="exact"/>
        <w:rPr>
          <w:sz w:val="20"/>
          <w:szCs w:val="20"/>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pre-tax adjusted earnings, discussed in greater detail below;</w:t>
      </w:r>
    </w:p>
    <w:p>
      <w:pPr>
        <w:spacing w:after="0" w:line="117"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policyholder benefits and claims, included in other adjustments, resulting from the adjustment for market performance related to participating products in our Run-off segment; and</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net investment gains (losses) reflecting:</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lower current period mark-to-market losses on equity securities;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lower current period write-downs on fixed maturity securities;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net gains due to a release in mortgage loan reserves in the current period compared to an increase in reserves in the prior period; and</w:t>
      </w:r>
    </w:p>
    <w:p>
      <w:pPr>
        <w:spacing w:after="0" w:line="128" w:lineRule="exact"/>
        <w:rPr>
          <w:rFonts w:ascii="Arial" w:cs="Arial" w:eastAsia="Arial" w:hAnsi="Arial"/>
          <w:sz w:val="17"/>
          <w:szCs w:val="17"/>
          <w:color w:val="auto"/>
        </w:rPr>
      </w:pPr>
    </w:p>
    <w:p>
      <w:pPr>
        <w:ind w:left="1140" w:hanging="322"/>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higher gains on sales of fixed maturity securities.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provision for income tax, expressed as a percentage of income (loss) before provision for income tax, resulted in an effective tax rate of 24% in the current period compared to 21% in the prior period. The increase in the effective tax rate in the current period is driven by higher pre-tax adjusted earnings, discussed in greater detail below. Our effective tax rate differs from the statutory tax rate primarily due to the impacts of the dividends received deduction and tax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Shareholders to Adjusted Earnings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(loss) available to shareholders to adjusted earnings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4"/>
              </w:rPr>
              <w:t>Three Months Ended March 31, 2021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Run-off</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8"/>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Less: GMLB Riders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Less: Net investment gains (losses)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46"/>
        </w:trPr>
        <w:tc>
          <w:tcPr>
            <w:tcW w:w="5560" w:type="dxa"/>
            <w:vAlign w:val="bottom"/>
          </w:tcPr>
          <w:p>
            <w:pPr>
              <w:ind w:left="20"/>
              <w:spacing w:after="0" w:line="146" w:lineRule="exact"/>
              <w:rPr>
                <w:sz w:val="20"/>
                <w:szCs w:val="20"/>
                <w:color w:val="auto"/>
              </w:rPr>
            </w:pPr>
            <w:r>
              <w:rPr>
                <w:rFonts w:ascii="Arial" w:cs="Arial" w:eastAsia="Arial" w:hAnsi="Arial"/>
                <w:sz w:val="16"/>
                <w:szCs w:val="16"/>
                <w:color w:val="auto"/>
              </w:rPr>
              <w:t>Pre-tax adjusted earnings, less net income (loss) attributable to noncontrolling</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09"/>
        </w:trPr>
        <w:tc>
          <w:tcPr>
            <w:tcW w:w="5560" w:type="dxa"/>
            <w:vAlign w:val="bottom"/>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Adjusted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5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4"/>
              </w:rPr>
              <w:t>Three Months Ended March 31, 2020</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Run-off</w:t>
            </w: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8"/>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4,950</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1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6,243</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Less: GMLB Riders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4,374</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derivative instruments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Less: Net investment gains (losses)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46"/>
        </w:trPr>
        <w:tc>
          <w:tcPr>
            <w:tcW w:w="5560" w:type="dxa"/>
            <w:vAlign w:val="bottom"/>
          </w:tcPr>
          <w:p>
            <w:pPr>
              <w:ind w:left="20"/>
              <w:spacing w:after="0" w:line="146" w:lineRule="exact"/>
              <w:rPr>
                <w:sz w:val="20"/>
                <w:szCs w:val="20"/>
                <w:color w:val="auto"/>
              </w:rPr>
            </w:pPr>
            <w:r>
              <w:rPr>
                <w:rFonts w:ascii="Arial" w:cs="Arial" w:eastAsia="Arial" w:hAnsi="Arial"/>
                <w:sz w:val="16"/>
                <w:szCs w:val="16"/>
                <w:color w:val="auto"/>
              </w:rPr>
              <w:t>Pre-tax adjusted earnings, less net income (loss) attributable to noncontrolling</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9"/>
        </w:trPr>
        <w:tc>
          <w:tcPr>
            <w:tcW w:w="5560" w:type="dxa"/>
            <w:vAlign w:val="bottom"/>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Adjusted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Ended March 31, 2021 and 2020 — Adjusted Earnings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adjusted earnings were as follows:</w:t>
      </w:r>
    </w:p>
    <w:p>
      <w:pPr>
        <w:spacing w:after="0" w:line="247"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r>
      <w:tr>
        <w:trPr>
          <w:trHeight w:val="183"/>
        </w:trPr>
        <w:tc>
          <w:tcPr>
            <w:tcW w:w="8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60" w:type="dxa"/>
            <w:vAlign w:val="bottom"/>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6"/>
              </w:rPr>
              <w:t>(175)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1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 and preferred stock dividends</w:t>
            </w: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Pre-tax adjusted earnings, less net income (loss) attributable to noncontrolling interests and preferred stock dividends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1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38"/>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760" w:type="dxa"/>
            <w:vAlign w:val="bottom"/>
            <w:tcBorders>
              <w:bottom w:val="single" w:sz="8" w:color="auto"/>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2021 Compared with the Three Months Ended March 31, 2020</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$385 million, an increase of $174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favorable impacts were:</w:t>
      </w:r>
    </w:p>
    <w:p>
      <w:pPr>
        <w:spacing w:after="0" w:line="117" w:lineRule="exact"/>
        <w:rPr>
          <w:sz w:val="20"/>
          <w:szCs w:val="20"/>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net investment spread due to:</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higher returns on other limited partnerships for the comparative measurement period; and</w:t>
      </w:r>
    </w:p>
    <w:p>
      <w:pPr>
        <w:spacing w:after="0" w:line="117" w:lineRule="exact"/>
        <w:rPr>
          <w:rFonts w:ascii="Arial" w:cs="Arial" w:eastAsia="Arial" w:hAnsi="Arial"/>
          <w:sz w:val="18"/>
          <w:szCs w:val="18"/>
          <w:color w:val="auto"/>
        </w:rPr>
      </w:pPr>
    </w:p>
    <w:p>
      <w:pPr>
        <w:ind w:left="820" w:right="3860" w:hanging="2"/>
        <w:spacing w:after="0" w:line="375" w:lineRule="auto"/>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 partially offset by</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higher interest credited to policyholders in our Life segment due to higher imputed interest on insurance liabilities; and</w:t>
      </w:r>
    </w:p>
    <w:p>
      <w:pPr>
        <w:spacing w:after="0" w:line="117" w:lineRule="exact"/>
        <w:rPr>
          <w:rFonts w:ascii="Arial" w:cs="Arial" w:eastAsia="Arial" w:hAnsi="Arial"/>
          <w:sz w:val="18"/>
          <w:szCs w:val="18"/>
          <w:color w:val="auto"/>
        </w:rPr>
      </w:pPr>
    </w:p>
    <w:p>
      <w:pPr>
        <w:ind w:left="1140" w:hanging="322"/>
        <w:spacing w:after="0" w:line="277" w:lineRule="auto"/>
        <w:tabs>
          <w:tab w:leader="none" w:pos="1136" w:val="left"/>
        </w:tabs>
        <w:numPr>
          <w:ilvl w:val="1"/>
          <w:numId w:val="34"/>
        </w:numPr>
        <w:rPr>
          <w:rFonts w:ascii="Arial" w:cs="Arial" w:eastAsia="Arial" w:hAnsi="Arial"/>
          <w:sz w:val="18"/>
          <w:szCs w:val="18"/>
          <w:color w:val="auto"/>
        </w:rPr>
      </w:pPr>
      <w:r>
        <w:rPr>
          <w:rFonts w:ascii="Arial" w:cs="Arial" w:eastAsia="Arial" w:hAnsi="Arial"/>
          <w:sz w:val="18"/>
          <w:szCs w:val="18"/>
          <w:color w:val="auto"/>
        </w:rPr>
        <w:t>lower investment yields on our fixed income portfolio, as proceeds from maturing investments and the growth in the investment portfolio were invested at lower yields than the portfolio average;</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fee income due to:</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higher asset-based fees resulting from higher average separate account balances, a portion of which is offset in other expenses; and</w:t>
      </w:r>
    </w:p>
    <w:p>
      <w:pPr>
        <w:spacing w:after="0" w:line="128" w:lineRule="exact"/>
        <w:rPr>
          <w:rFonts w:ascii="Arial" w:cs="Arial" w:eastAsia="Arial" w:hAnsi="Arial"/>
          <w:sz w:val="17"/>
          <w:szCs w:val="17"/>
          <w:color w:val="auto"/>
        </w:rPr>
      </w:pPr>
    </w:p>
    <w:p>
      <w:pPr>
        <w:ind w:left="1140" w:hanging="322"/>
        <w:spacing w:after="0"/>
        <w:tabs>
          <w:tab w:leader="none" w:pos="1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lower paid claims, net of reinsurance in our Life segment;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net costs associated with insurance-related activities due to:</w:t>
      </w:r>
    </w:p>
    <w:p>
      <w:pPr>
        <w:spacing w:after="0" w:line="117" w:lineRule="exact"/>
        <w:rPr>
          <w:rFonts w:ascii="Arial" w:cs="Arial" w:eastAsia="Arial" w:hAnsi="Arial"/>
          <w:sz w:val="18"/>
          <w:szCs w:val="18"/>
          <w:color w:val="auto"/>
        </w:rPr>
      </w:pPr>
    </w:p>
    <w:p>
      <w:pPr>
        <w:ind w:left="1140" w:hanging="322"/>
        <w:spacing w:after="0" w:line="277" w:lineRule="auto"/>
        <w:tabs>
          <w:tab w:leader="none" w:pos="1177" w:val="left"/>
        </w:tabs>
        <w:numPr>
          <w:ilvl w:val="1"/>
          <w:numId w:val="34"/>
        </w:numPr>
        <w:rPr>
          <w:rFonts w:ascii="Arial" w:cs="Arial" w:eastAsia="Arial" w:hAnsi="Arial"/>
          <w:sz w:val="18"/>
          <w:szCs w:val="18"/>
          <w:color w:val="auto"/>
        </w:rPr>
      </w:pPr>
      <w:r>
        <w:rPr>
          <w:rFonts w:ascii="Arial" w:cs="Arial" w:eastAsia="Arial" w:hAnsi="Arial"/>
          <w:sz w:val="18"/>
          <w:szCs w:val="18"/>
          <w:color w:val="auto"/>
        </w:rPr>
        <w:t>lower income annuity benefit payments and a decrease in guaranteed minimum death benefits (“GMDB”) liabilities resulting from favorable equity market performance;</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140" w:hanging="322"/>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underwriting margin in our Run-off segment;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GMDB death claims.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unfavorable impacts were:</w:t>
      </w:r>
    </w:p>
    <w:p>
      <w:pPr>
        <w:spacing w:after="0" w:line="117" w:lineRule="exact"/>
        <w:rPr>
          <w:sz w:val="20"/>
          <w:szCs w:val="20"/>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net amortization of DAC and VOBA in our Annuities segment;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other expenses due to:</w:t>
      </w:r>
    </w:p>
    <w:p>
      <w:pPr>
        <w:spacing w:after="0" w:line="117" w:lineRule="exact"/>
        <w:rPr>
          <w:rFonts w:ascii="Arial" w:cs="Arial" w:eastAsia="Arial" w:hAnsi="Arial"/>
          <w:sz w:val="18"/>
          <w:szCs w:val="18"/>
          <w:color w:val="auto"/>
        </w:rPr>
      </w:pPr>
    </w:p>
    <w:p>
      <w:pPr>
        <w:ind w:left="1140" w:hanging="322"/>
        <w:spacing w:after="0" w:line="277" w:lineRule="auto"/>
        <w:tabs>
          <w:tab w:leader="none" w:pos="11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higher asset-based variable annuity expenses resulting from higher average separate account balances, a portion of which is offset in fee income; and</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higher deferred compensation expenses;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3" w:name="page54"/>
    <w:bookmarkEnd w:id="5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establishment costs related to planned technology expenses;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expenses resulting from the exit of various transition services agreements with MetLife.</w:t>
      </w:r>
    </w:p>
    <w:p>
      <w:pPr>
        <w:spacing w:after="0" w:line="11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16% in the current period compared to 14% in the prior period. Our effective tax rate differs from the statutory tax rate primarily due to the impacts of the dividends received deduction and tax credits.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 and Corporate &amp; Other Results for the Three Months Ended March 31, 2021 and 2020 — Adjusted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adjusted earnings for our Annuities segment were as follows:</w:t>
      </w:r>
    </w:p>
    <w:p>
      <w:pPr>
        <w:spacing w:after="0" w:line="247"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r>
      <w:tr>
        <w:trPr>
          <w:trHeight w:val="183"/>
        </w:trPr>
        <w:tc>
          <w:tcPr>
            <w:tcW w:w="8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60" w:type="dxa"/>
            <w:vAlign w:val="bottom"/>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6"/>
              </w:rPr>
              <w:t>(127)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07"/>
        </w:trPr>
        <w:tc>
          <w:tcPr>
            <w:tcW w:w="880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389</w:t>
            </w: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2"/>
        </w:trPr>
        <w:tc>
          <w:tcPr>
            <w:tcW w:w="8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76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r>
      <w:tr>
        <w:trPr>
          <w:trHeight w:val="20"/>
        </w:trPr>
        <w:tc>
          <w:tcPr>
            <w:tcW w:w="8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 significant portion of our adjusted earnings is driven by separate account balances related to our variable annuity business. Most directly, these balances determine asset-based fee income, but they also impact DAC amortization and asset-based commissions. The changes in our variable annuities separate account balances are presented in the table below. Variable annuities separate account balances increased for the three months ended March 31, 2021 driven by positive equity market performance, partially offset by negative net flows and policy charges.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88"/>
        </w:trPr>
        <w:tc>
          <w:tcPr>
            <w:tcW w:w="90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5"/>
              </w:rPr>
              <w:t>2021 (1)</w:t>
            </w:r>
          </w:p>
        </w:tc>
        <w:tc>
          <w:tcPr>
            <w:tcW w:w="0" w:type="dxa"/>
            <w:vAlign w:val="bottom"/>
          </w:tcPr>
          <w:p>
            <w:pPr>
              <w:spacing w:after="0"/>
              <w:rPr>
                <w:sz w:val="1"/>
                <w:szCs w:val="1"/>
                <w:color w:val="auto"/>
              </w:rPr>
            </w:pPr>
          </w:p>
        </w:tc>
      </w:tr>
      <w:tr>
        <w:trPr>
          <w:trHeight w:val="183"/>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17"/>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103,450</w:t>
            </w:r>
          </w:p>
        </w:tc>
        <w:tc>
          <w:tcPr>
            <w:tcW w:w="0" w:type="dxa"/>
            <w:vAlign w:val="bottom"/>
          </w:tcPr>
          <w:p>
            <w:pPr>
              <w:spacing w:after="0"/>
              <w:rPr>
                <w:sz w:val="1"/>
                <w:szCs w:val="1"/>
                <w:color w:val="auto"/>
              </w:rPr>
            </w:pPr>
          </w:p>
        </w:tc>
      </w:tr>
      <w:tr>
        <w:trPr>
          <w:trHeight w:val="213"/>
        </w:trPr>
        <w:tc>
          <w:tcPr>
            <w:tcW w:w="9020" w:type="dxa"/>
            <w:vAlign w:val="bottom"/>
          </w:tcPr>
          <w:p>
            <w:pPr>
              <w:ind w:left="20"/>
              <w:spacing w:after="0"/>
              <w:rPr>
                <w:sz w:val="20"/>
                <w:szCs w:val="20"/>
                <w:color w:val="auto"/>
              </w:rPr>
            </w:pPr>
            <w:r>
              <w:rPr>
                <w:rFonts w:ascii="Arial" w:cs="Arial" w:eastAsia="Arial" w:hAnsi="Arial"/>
                <w:sz w:val="16"/>
                <w:szCs w:val="16"/>
                <w:color w:val="auto"/>
              </w:rPr>
              <w:t>Deposits</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Withdrawals, surrenders and benefits</w:t>
            </w:r>
          </w:p>
        </w:tc>
        <w:tc>
          <w:tcPr>
            <w:tcW w:w="1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0" w:type="dxa"/>
            <w:vAlign w:val="bottom"/>
          </w:tcPr>
          <w:p>
            <w:pPr>
              <w:spacing w:after="0"/>
              <w:rPr>
                <w:sz w:val="1"/>
                <w:szCs w:val="1"/>
                <w:color w:val="auto"/>
              </w:rPr>
            </w:pPr>
          </w:p>
        </w:tc>
      </w:tr>
      <w:tr>
        <w:trPr>
          <w:trHeight w:val="206"/>
        </w:trPr>
        <w:tc>
          <w:tcPr>
            <w:tcW w:w="9020" w:type="dxa"/>
            <w:vAlign w:val="bottom"/>
          </w:tcPr>
          <w:p>
            <w:pPr>
              <w:ind w:left="180"/>
              <w:spacing w:after="0"/>
              <w:rPr>
                <w:sz w:val="20"/>
                <w:szCs w:val="20"/>
                <w:color w:val="auto"/>
              </w:rPr>
            </w:pPr>
            <w:r>
              <w:rPr>
                <w:rFonts w:ascii="Arial" w:cs="Arial" w:eastAsia="Arial" w:hAnsi="Arial"/>
                <w:sz w:val="16"/>
                <w:szCs w:val="16"/>
                <w:color w:val="auto"/>
              </w:rPr>
              <w:t>Net flows</w:t>
            </w:r>
          </w:p>
        </w:tc>
        <w:tc>
          <w:tcPr>
            <w:tcW w:w="1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performance</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w:t>
            </w:r>
          </w:p>
        </w:tc>
        <w:tc>
          <w:tcPr>
            <w:tcW w:w="0" w:type="dxa"/>
            <w:vAlign w:val="bottom"/>
          </w:tcPr>
          <w:p>
            <w:pPr>
              <w:spacing w:after="0"/>
              <w:rPr>
                <w:sz w:val="1"/>
                <w:szCs w:val="1"/>
                <w:color w:val="auto"/>
              </w:rPr>
            </w:pPr>
          </w:p>
        </w:tc>
      </w:tr>
      <w:tr>
        <w:trPr>
          <w:trHeight w:val="213"/>
        </w:trPr>
        <w:tc>
          <w:tcPr>
            <w:tcW w:w="9020" w:type="dxa"/>
            <w:vAlign w:val="bottom"/>
          </w:tcPr>
          <w:p>
            <w:pPr>
              <w:ind w:left="20"/>
              <w:spacing w:after="0"/>
              <w:rPr>
                <w:sz w:val="20"/>
                <w:szCs w:val="20"/>
                <w:color w:val="auto"/>
              </w:rPr>
            </w:pPr>
            <w:r>
              <w:rPr>
                <w:rFonts w:ascii="Arial" w:cs="Arial" w:eastAsia="Arial" w:hAnsi="Arial"/>
                <w:sz w:val="16"/>
                <w:szCs w:val="16"/>
                <w:color w:val="auto"/>
              </w:rPr>
              <w:t>Policy charges</w:t>
            </w:r>
          </w:p>
        </w:tc>
        <w:tc>
          <w:tcPr>
            <w:tcW w:w="1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transfers from (to) general account</w:t>
            </w:r>
          </w:p>
        </w:tc>
        <w:tc>
          <w:tcPr>
            <w:tcW w:w="10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2"/>
        </w:trPr>
        <w:tc>
          <w:tcPr>
            <w:tcW w:w="902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103,539</w:t>
            </w:r>
          </w:p>
        </w:tc>
        <w:tc>
          <w:tcPr>
            <w:tcW w:w="0" w:type="dxa"/>
            <w:vAlign w:val="bottom"/>
          </w:tcPr>
          <w:p>
            <w:pPr>
              <w:spacing w:after="0"/>
              <w:rPr>
                <w:sz w:val="1"/>
                <w:szCs w:val="1"/>
                <w:color w:val="auto"/>
              </w:rPr>
            </w:pPr>
          </w:p>
        </w:tc>
      </w:tr>
      <w:tr>
        <w:trPr>
          <w:trHeight w:val="20"/>
        </w:trPr>
        <w:tc>
          <w:tcPr>
            <w:tcW w:w="9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6"/>
                <w:szCs w:val="16"/>
                <w:color w:val="auto"/>
              </w:rPr>
              <w:t>Average balance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104,299</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9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 Includes income annuities for which separate account balances at March 31, 2021 were $141 million.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2021 Compared with the Three Months Ended March 31, 2020</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$336 million for the current period, an increase of $20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favorable impacts were:</w:t>
      </w:r>
    </w:p>
    <w:p>
      <w:pPr>
        <w:spacing w:after="0" w:line="117" w:lineRule="exact"/>
        <w:rPr>
          <w:sz w:val="20"/>
          <w:szCs w:val="20"/>
          <w:color w:val="auto"/>
        </w:rPr>
      </w:pPr>
    </w:p>
    <w:p>
      <w:pPr>
        <w:ind w:left="820" w:hanging="326"/>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net investment spread due to:</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4" w:name="page55"/>
    <w:bookmarkEnd w:id="5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hanging="322"/>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 and</w:t>
      </w:r>
    </w:p>
    <w:p>
      <w:pPr>
        <w:spacing w:after="0" w:line="117" w:lineRule="exact"/>
        <w:rPr>
          <w:rFonts w:ascii="Arial" w:cs="Arial" w:eastAsia="Arial" w:hAnsi="Arial"/>
          <w:sz w:val="18"/>
          <w:szCs w:val="18"/>
          <w:color w:val="auto"/>
        </w:rPr>
      </w:pPr>
    </w:p>
    <w:p>
      <w:pPr>
        <w:ind w:left="820" w:right="3960" w:hanging="2"/>
        <w:spacing w:after="0" w:line="375" w:lineRule="auto"/>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higher returns on other limited partnerships for the comparative measurement period; partially offset by</w:t>
      </w:r>
    </w:p>
    <w:p>
      <w:pPr>
        <w:spacing w:after="0" w:line="1" w:lineRule="exact"/>
        <w:rPr>
          <w:rFonts w:ascii="Arial" w:cs="Arial" w:eastAsia="Arial" w:hAnsi="Arial"/>
          <w:sz w:val="18"/>
          <w:szCs w:val="18"/>
          <w:color w:val="auto"/>
        </w:rPr>
      </w:pPr>
    </w:p>
    <w:p>
      <w:pPr>
        <w:ind w:left="1140" w:hanging="322"/>
        <w:spacing w:after="0" w:line="277" w:lineRule="auto"/>
        <w:tabs>
          <w:tab w:leader="none" w:pos="1136" w:val="left"/>
        </w:tabs>
        <w:numPr>
          <w:ilvl w:val="1"/>
          <w:numId w:val="39"/>
        </w:numPr>
        <w:rPr>
          <w:rFonts w:ascii="Arial" w:cs="Arial" w:eastAsia="Arial" w:hAnsi="Arial"/>
          <w:sz w:val="18"/>
          <w:szCs w:val="18"/>
          <w:color w:val="auto"/>
        </w:rPr>
      </w:pPr>
      <w:r>
        <w:rPr>
          <w:rFonts w:ascii="Arial" w:cs="Arial" w:eastAsia="Arial" w:hAnsi="Arial"/>
          <w:sz w:val="18"/>
          <w:szCs w:val="18"/>
          <w:color w:val="auto"/>
        </w:rPr>
        <w:t>lower investment yields on our fixed income portfolio, as proceeds from maturing investments and the growth in the investment portfolio were invested at lower yields than the portfolio average;</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higher asset-based fees resulting from higher average separate account balances, a portion of which is offset in other expenses; and</w:t>
      </w:r>
    </w:p>
    <w:p>
      <w:pPr>
        <w:spacing w:after="0" w:line="128" w:lineRule="exact"/>
        <w:rPr>
          <w:rFonts w:ascii="Arial" w:cs="Arial" w:eastAsia="Arial" w:hAnsi="Arial"/>
          <w:sz w:val="17"/>
          <w:szCs w:val="17"/>
          <w:color w:val="auto"/>
        </w:rPr>
      </w:pPr>
    </w:p>
    <w:p>
      <w:pPr>
        <w:ind w:left="820" w:hanging="32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net costs associated with insurance-related activities due to:</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lower income annuity benefit payments and a decrease in GMDB liabilities resulting from favorable equity market performance;</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500" w:right="7540" w:firstLine="318"/>
        <w:spacing w:after="0" w:line="397" w:lineRule="auto"/>
        <w:tabs>
          <w:tab w:leader="none" w:pos="1144"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 increase in GMDB death claims. Key net unfavorable impacts were:</w:t>
      </w:r>
    </w:p>
    <w:p>
      <w:pPr>
        <w:spacing w:after="0" w:line="1" w:lineRule="exact"/>
        <w:rPr>
          <w:rFonts w:ascii="Arial" w:cs="Arial" w:eastAsia="Arial" w:hAnsi="Arial"/>
          <w:sz w:val="17"/>
          <w:szCs w:val="17"/>
          <w:color w:val="auto"/>
        </w:rPr>
      </w:pPr>
    </w:p>
    <w:p>
      <w:pPr>
        <w:ind w:left="820" w:hanging="326"/>
        <w:spacing w:after="0" w:line="277"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amortization of DAC and VOBA as the increase in equity market performance compared to the prior period resulted in an unfavorable change in our Shield business, which more than offset the favorable change in our variable annuity business; and</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other expenses due to:</w:t>
      </w:r>
    </w:p>
    <w:p>
      <w:pPr>
        <w:spacing w:after="0" w:line="117" w:lineRule="exact"/>
        <w:rPr>
          <w:rFonts w:ascii="Arial" w:cs="Arial" w:eastAsia="Arial" w:hAnsi="Arial"/>
          <w:sz w:val="18"/>
          <w:szCs w:val="18"/>
          <w:color w:val="auto"/>
        </w:rPr>
      </w:pPr>
    </w:p>
    <w:p>
      <w:pPr>
        <w:ind w:left="1140" w:hanging="322"/>
        <w:spacing w:after="0" w:line="277" w:lineRule="auto"/>
        <w:tabs>
          <w:tab w:leader="none" w:pos="115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higher asset-based variable annuity expenses resulting from higher average separate account balances, a portion of which is offset in fee income; and</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higher deferred compensation expenses;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140" w:hanging="322"/>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establishment costs related to planned technology expenses;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expenses resulting from the exit of various transition services agreements with MetLife.</w:t>
      </w:r>
    </w:p>
    <w:p>
      <w:pPr>
        <w:spacing w:after="0" w:line="117" w:lineRule="exact"/>
        <w:rPr>
          <w:sz w:val="20"/>
          <w:szCs w:val="20"/>
          <w:color w:val="auto"/>
        </w:rPr>
      </w:pPr>
    </w:p>
    <w:p>
      <w:pPr>
        <w:ind w:left="180" w:firstLine="324"/>
        <w:spacing w:after="0" w:line="308" w:lineRule="auto"/>
        <w:rPr>
          <w:sz w:val="20"/>
          <w:szCs w:val="20"/>
          <w:color w:val="auto"/>
        </w:rPr>
      </w:pPr>
      <w:r>
        <w:rPr>
          <w:rFonts w:ascii="Arial" w:cs="Arial" w:eastAsia="Arial" w:hAnsi="Arial"/>
          <w:sz w:val="17"/>
          <w:szCs w:val="17"/>
          <w:color w:val="auto"/>
        </w:rPr>
        <w:t>The provision for income tax, expressed as a percentage of pre-tax adjusted earnings, resulted in an effective tax rate of 19% in both the current and prior periods. Our effective tax rate differs from the statutory tax rate primarily due to the impact of the dividends received deduction.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adjusted earnings for our Life segment were as follows:</w:t>
      </w:r>
    </w:p>
    <w:p>
      <w:pPr>
        <w:spacing w:after="0" w:line="247"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r>
      <w:tr>
        <w:trPr>
          <w:trHeight w:val="183"/>
        </w:trPr>
        <w:tc>
          <w:tcPr>
            <w:tcW w:w="8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780" w:type="dxa"/>
            <w:vAlign w:val="bottom"/>
          </w:tcPr>
          <w:p>
            <w:pPr>
              <w:spacing w:after="0"/>
              <w:rPr>
                <w:sz w:val="15"/>
                <w:szCs w:val="15"/>
                <w:color w:val="auto"/>
              </w:rPr>
            </w:pP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8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7"/>
        </w:trPr>
        <w:tc>
          <w:tcPr>
            <w:tcW w:w="880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8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8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8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80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8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2021 Compared with the Three Months Ended March 31, 2020</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$42 million for the current period, an increase of $31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favorable impacts were:</w:t>
      </w:r>
    </w:p>
    <w:p>
      <w:pPr>
        <w:spacing w:after="0" w:line="117" w:lineRule="exact"/>
        <w:rPr>
          <w:sz w:val="20"/>
          <w:szCs w:val="20"/>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net investment spread due to:</w:t>
      </w:r>
    </w:p>
    <w:p>
      <w:pPr>
        <w:spacing w:after="0" w:line="117" w:lineRule="exact"/>
        <w:rPr>
          <w:rFonts w:ascii="Arial" w:cs="Arial" w:eastAsia="Arial" w:hAnsi="Arial"/>
          <w:sz w:val="18"/>
          <w:szCs w:val="18"/>
          <w:color w:val="auto"/>
        </w:rPr>
      </w:pPr>
    </w:p>
    <w:p>
      <w:pPr>
        <w:ind w:left="820" w:right="3960" w:hanging="2"/>
        <w:spacing w:after="0" w:line="375" w:lineRule="auto"/>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higher returns on other limited partnerships for the comparative measurement period; partially offset by</w:t>
      </w:r>
    </w:p>
    <w:p>
      <w:pPr>
        <w:spacing w:after="0" w:line="1" w:lineRule="exact"/>
        <w:rPr>
          <w:rFonts w:ascii="Arial" w:cs="Arial" w:eastAsia="Arial" w:hAnsi="Arial"/>
          <w:sz w:val="18"/>
          <w:szCs w:val="18"/>
          <w:color w:val="auto"/>
        </w:rPr>
      </w:pPr>
    </w:p>
    <w:p>
      <w:pPr>
        <w:ind w:left="1140" w:hanging="322"/>
        <w:spacing w:after="0"/>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higher interest credited to policyholders due to higher imputed interest on insurance liabilities;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fee income due to lower paid claims, net of reinsurance;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amortization of DAC and VOBA due to:</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impact on gross profits from higher separate account returns;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500" w:right="1420" w:firstLine="318"/>
        <w:spacing w:after="0" w:line="422" w:lineRule="auto"/>
        <w:tabs>
          <w:tab w:leader="none" w:pos="1144"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adjustment in the current period related to modeling improvements resulting from an actuarial system conversion. The increase in adjusted earnings was partially offset by higher other expenses driven by higher deferred compensation expenses.</w:t>
      </w:r>
    </w:p>
    <w:p>
      <w:pPr>
        <w:spacing w:after="0" w:line="1"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19% in the current period compared to 15% in the prior period. Our effective tax rate differs from the statutory tax rate primarily due to the impact of the dividends received deduction.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adjusted earnings for our Run-off segment were as follows:</w:t>
      </w:r>
    </w:p>
    <w:p>
      <w:pPr>
        <w:spacing w:after="0" w:line="247"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r>
      <w:tr>
        <w:trPr>
          <w:trHeight w:val="183"/>
        </w:trPr>
        <w:tc>
          <w:tcPr>
            <w:tcW w:w="8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60" w:type="dxa"/>
            <w:vAlign w:val="bottom"/>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6"/>
        </w:trPr>
        <w:tc>
          <w:tcPr>
            <w:tcW w:w="880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8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76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1"/>
        </w:trPr>
        <w:tc>
          <w:tcPr>
            <w:tcW w:w="8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2021 Compared with the Three Months Ended March 31, 2020</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$76 million for the current period, an increase of $146 million.</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increase in adjusted earnings was driven by higher net investment spread due to higher returns on other limited partnerships for the comparative measurement period.</w:t>
      </w:r>
    </w:p>
    <w:p>
      <w:pPr>
        <w:spacing w:after="0" w:line="62"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increase in adjusted earnings was partially offset by higher costs associated with insurance-related activities driven by lower underwriting margin.</w:t>
      </w:r>
    </w:p>
    <w:p>
      <w:pPr>
        <w:spacing w:after="0" w:line="62"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11% in the current period compared to 22% in the prior period. Our effective tax rate differs from the statutory tax rate primarily due to the impacts of the dividends received deduction and tax credits.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adjusted earnings for Corporate &amp; Other were as follows:</w:t>
      </w:r>
    </w:p>
    <w:p>
      <w:pPr>
        <w:spacing w:after="0" w:line="247"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r>
      <w:tr>
        <w:trPr>
          <w:trHeight w:val="183"/>
        </w:trPr>
        <w:tc>
          <w:tcPr>
            <w:tcW w:w="8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780" w:type="dxa"/>
            <w:vAlign w:val="bottom"/>
          </w:tcPr>
          <w:p>
            <w:pPr>
              <w:spacing w:after="0"/>
              <w:rPr>
                <w:sz w:val="15"/>
                <w:szCs w:val="15"/>
                <w:color w:val="auto"/>
              </w:rPr>
            </w:pP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8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 and preferred stock dividends</w:t>
            </w: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Pre-tax adjusted earnings, less net income (loss) attributable to noncontrolling interests and preferred stock dividends</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800" w:type="dxa"/>
            <w:vAlign w:val="bottom"/>
            <w:tcBorders>
              <w:bottom w:val="single" w:sz="8" w:color="auto"/>
            </w:tcBorders>
            <w:shd w:val="clear" w:color="auto" w:fill="CCEEFF"/>
          </w:tcPr>
          <w:p>
            <w:pPr>
              <w:jc w:val="right"/>
              <w:ind w:right="6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2021 Compared with the Three Months Ended March 31, 2020</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a loss of $69 million, a higher loss of $23 million from the prior period.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unfavorable impacts were:</w:t>
      </w:r>
    </w:p>
    <w:p>
      <w:pPr>
        <w:spacing w:after="0" w:line="117" w:lineRule="exact"/>
        <w:rPr>
          <w:sz w:val="20"/>
          <w:szCs w:val="20"/>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timing of our preferred stock dividend payments;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lower net investment spread due to lower returns from short-term investments.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31% in the current period compared to 32% in the prior period. Our effective tax rate differs from the statutory tax rate primarily due to the impacts of the dividends received deduction and tax credits.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GMLB Riders for the Three Months Ended March 31, 2021 and 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overall impact on income (loss) available to shareholders before provision for income tax from the performance of GMLB Riders, which includes</w:t>
      </w:r>
    </w:p>
    <w:p>
      <w:pPr>
        <w:spacing w:after="0" w:line="46" w:lineRule="exact"/>
        <w:rPr>
          <w:sz w:val="20"/>
          <w:szCs w:val="20"/>
          <w:color w:val="auto"/>
        </w:rPr>
      </w:pPr>
    </w:p>
    <w:p>
      <w:pPr>
        <w:ind w:firstLine="8"/>
        <w:spacing w:after="0" w:line="260" w:lineRule="auto"/>
        <w:tabs>
          <w:tab w:leader="none" w:pos="223"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carrying value of the GAAP liabilities, (ii) the mark-to-market of hedges and reinsurance, (iii) fees and (iv) associated DAC offsets, was as follows:</w:t>
      </w:r>
    </w:p>
    <w:p>
      <w:pPr>
        <w:spacing w:after="0" w:line="207"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Hedges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5,337</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Ceded reinsurance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Fees (1)</w:t>
            </w: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 DAC</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3"/>
        </w:trPr>
        <w:tc>
          <w:tcPr>
            <w:tcW w:w="8800" w:type="dxa"/>
            <w:vAlign w:val="bottom"/>
          </w:tcPr>
          <w:p>
            <w:pPr>
              <w:ind w:left="180"/>
              <w:spacing w:after="0"/>
              <w:rPr>
                <w:sz w:val="20"/>
                <w:szCs w:val="20"/>
                <w:color w:val="auto"/>
              </w:rPr>
            </w:pPr>
            <w:r>
              <w:rPr>
                <w:rFonts w:ascii="Arial" w:cs="Arial" w:eastAsia="Arial" w:hAnsi="Arial"/>
                <w:sz w:val="16"/>
                <w:szCs w:val="16"/>
                <w:color w:val="auto"/>
              </w:rPr>
              <w:t>Total GMLB Riders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4,374</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88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Excludes living benefit fees, included as a component of adjusted earnings, of $14 million for both the three months ended March 31, 2021 and 2020.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8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2021 Compared with the Three Months Ended March 31, 2020</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Comparative results from GMLB Riders were unfavorable by $4.7 billion, primarily driven by:</w:t>
      </w:r>
    </w:p>
    <w:p>
      <w:pPr>
        <w:spacing w:after="0" w:line="117" w:lineRule="exact"/>
        <w:rPr>
          <w:sz w:val="20"/>
          <w:szCs w:val="20"/>
          <w:color w:val="auto"/>
        </w:rPr>
      </w:pPr>
    </w:p>
    <w:p>
      <w:pPr>
        <w:ind w:left="820" w:hanging="326"/>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unfavorable changes in our GMLB hedges;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Shield liabilities;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unfavorable changes in ceded reinsurance;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820" w:hanging="326"/>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favorable changes to the estimated fair value of variable annuity liability reserves;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favorable changes in GMLB DAC.</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Higher relative equity markets resulted in the following impacts:</w:t>
      </w:r>
    </w:p>
    <w:p>
      <w:pPr>
        <w:spacing w:after="0" w:line="117" w:lineRule="exact"/>
        <w:rPr>
          <w:sz w:val="20"/>
          <w:szCs w:val="20"/>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Shield liabilities;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our GMLB hedges;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unfavorable changes in ceded reinsurance;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favorable changes to the estimated fair value of the variable annuity liability reserves;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favorable changes to GMLB DAC.</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Higher interest rates resulted in the following impacts:</w:t>
      </w:r>
    </w:p>
    <w:p>
      <w:pPr>
        <w:spacing w:after="0" w:line="117" w:lineRule="exact"/>
        <w:rPr>
          <w:sz w:val="20"/>
          <w:szCs w:val="20"/>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our GMLB hedges;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unfavorable changes to GMLB DAC;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unfavorable changes in ceded reinsurance;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820" w:hanging="326"/>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favorable changes to the estimated fair value of the variable annuity liability reserves.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narrowing of our credit default swap spreads combined with a larger decrease in the underlying variable annuity liability reserves resulted in an unfavorable change in the adjustment for nonperformance risk, net of a favorable change in GMLB DAC.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Risks</w:t>
      </w:r>
    </w:p>
    <w:p>
      <w:pPr>
        <w:spacing w:after="0" w:line="11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are exposed to the following primary sources of investment risks, which may be heightened or exacerbated by the factors discussed in “— Industry Trends — COVID-19 Pandemic”:</w:t>
      </w:r>
    </w:p>
    <w:p>
      <w:pPr>
        <w:spacing w:after="0" w:line="62" w:lineRule="exact"/>
        <w:rPr>
          <w:sz w:val="20"/>
          <w:szCs w:val="20"/>
          <w:color w:val="auto"/>
        </w:rPr>
      </w:pPr>
    </w:p>
    <w:p>
      <w:pPr>
        <w:ind w:left="660" w:right="20" w:hanging="328"/>
        <w:spacing w:after="0" w:line="27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credit risk, relating to the uncertainty associated with the continued ability of a given obligor to make timely payments of principal and interest, which will likely result in a higher allowance for credit losses and write-offs for uncollectible balances for certain investments;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interest rate risk, relating to the market price and cash flow variability associated with changes in market interest rates. Changes in market interest rates will impact the net unrealized gain or loss position of our fixed income investment portfolio and the rates of return we receive on both new funds invested and reinvestment of existing funds;</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and will increase losses associated with credit-based non-qualifying derivatives where we assume credit exposure. Credit spread tightening will reduce</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8" w:name="page59"/>
    <w:bookmarkEnd w:id="5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investment income associated with new purchases of fixed maturity securities and will favorably impact the net unrealized gain (loss) position of the fixed income investment portfolio;</w:t>
      </w:r>
    </w:p>
    <w:p>
      <w:pPr>
        <w:spacing w:after="0" w:line="6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liquidity risk, relating to the diminished ability to sell certain investments, in times of strained market conditions;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currency risk, relating to the variability in currency exchange rates for non-U.S. dollar denominated investments;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financial and operational risks related to using external investment managers.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See also “Risk Factors — Economic Environment and Capital markets-Related Risks — We are exposed to significant financial and capital markets risks which may adversely affect our financial condition, results of operations and liquidity, and may cause our net investment income and our profitability measures to vary from period to period” and “Risk Factors — Investments-Related Risks” in our 2020 Annual Report.</w:t>
      </w:r>
    </w:p>
    <w:p>
      <w:pPr>
        <w:spacing w:after="0" w:line="5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Interest rate risk is managed as part of our Asset Liability Management (“ALM”) strategies. Product design, such as the use of market value adjustment features and surrender charges, is also utilized to manage interest rate risk. These strategies include maintaining an investment portfolio 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and results of operations are materially affected by conditions in capital markets and the economy, generally. See “Management’s Discussion and Analysis of Financial Condition and Results of Operations — Industry Trends and Uncertainties — Financial and Economic Environment” included in our 2020 Annual Report.</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U.S. insurance company, we are affected by the monetary policy of the Federal Reserve Board in the United States.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Selected Sector Investments</w:t>
      </w:r>
    </w:p>
    <w:p>
      <w:pPr>
        <w:spacing w:after="0" w:line="117" w:lineRule="exact"/>
        <w:rPr>
          <w:sz w:val="20"/>
          <w:szCs w:val="20"/>
          <w:color w:val="auto"/>
        </w:rPr>
      </w:pPr>
    </w:p>
    <w:p>
      <w:pPr>
        <w:ind w:left="180" w:firstLine="324"/>
        <w:spacing w:after="0" w:line="291" w:lineRule="auto"/>
        <w:rPr>
          <w:sz w:val="20"/>
          <w:szCs w:val="20"/>
          <w:color w:val="auto"/>
        </w:rPr>
      </w:pPr>
      <w:r>
        <w:rPr>
          <w:rFonts w:ascii="Arial" w:cs="Arial" w:eastAsia="Arial" w:hAnsi="Arial"/>
          <w:sz w:val="16"/>
          <w:szCs w:val="16"/>
          <w:color w:val="auto"/>
        </w:rPr>
        <w:t>Recent elevated levels of market volatility have affected the performance of various asset classes. Contributing factors include concerns about energy and oil prices impacting the energy sector, as well as the impact of the COVID-19 pandemic. See “Risk Factors — Risks Related to Our Business</w:t>
      </w:r>
    </w:p>
    <w:p>
      <w:pPr>
        <w:ind w:left="180"/>
        <w:spacing w:after="0" w:line="260" w:lineRule="auto"/>
        <w:rPr>
          <w:sz w:val="20"/>
          <w:szCs w:val="20"/>
          <w:color w:val="auto"/>
        </w:rPr>
      </w:pPr>
      <w:r>
        <w:rPr>
          <w:rFonts w:ascii="Arial" w:cs="Arial" w:eastAsia="Arial" w:hAnsi="Arial"/>
          <w:sz w:val="18"/>
          <w:szCs w:val="18"/>
          <w:color w:val="auto"/>
        </w:rPr>
        <w:t>— The ongoing COVID-19 pandemic could materially adversely affect our business, financial condition and results of operations, including our capitalization and liquidity” included in our 2020 Annual Report.</w:t>
      </w:r>
    </w:p>
    <w:p>
      <w:pPr>
        <w:spacing w:after="0" w:line="7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There has been an increased market focus on energy sector investments as a result of volatile energy and oil prices. We maintain a diversified energy sector fixed maturity securities portfolio across sub-sectors and issuers. Our exposure to energy sector fixed maturity securities was $3.0 billion, of which 90% were investment grade, with net unrealized gains (losses) of $219 million at March 31, 2021.</w:t>
      </w:r>
    </w:p>
    <w:p>
      <w:pPr>
        <w:spacing w:after="0" w:line="76"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There has also been an increased market focus on retail sector investments as a result of the COVID-19 pandemic and uncertainty regarding its duration and severity. Our exposure to retail sector corporate fixed maturity securities was $1.8 billion, of which 96% were investment grade, with net unrealized gains (losses) of $129 million at March 31, 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In addition to the fixed maturity securities discussed above, we have exposure to mortgage loans and certain residential mortgage-backed securities (“RMBS”), commercial mortgage-backed securities (“CMBS”) and asset-backed securities (“ABS”) (collectively, “Structured Securities”) that may be impacted by the COVID-19 pandemic. Our investment managers are actively working with borrowers who are experiencing short-term financial or operational problems as a result of the COVID-19 pandemic to provide temporary relief. See “— Investments — Mortgage Loans” and Note 4 of the Notes to the Interim Condensed Consolidated Financial Statements for information on mortgage loans, including credit quality by portfolio segment and commercial mortgage loans by property type. Additionally, see “— Investments — Fixed Maturity Available-for-sale — Structured Securities” for information on Structured Securities, including security type, risk profile and ratings profile.</w:t>
      </w:r>
    </w:p>
    <w:p>
      <w:pPr>
        <w:spacing w:after="0" w:line="69"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 income (1)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Investment fees and expenses (2)</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net investment income (3)</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26060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6" w:lineRule="exact"/>
        <w:rPr>
          <w:sz w:val="20"/>
          <w:szCs w:val="20"/>
          <w:color w:val="auto"/>
        </w:rPr>
      </w:pPr>
    </w:p>
    <w:p>
      <w:pPr>
        <w:ind w:left="860"/>
        <w:spacing w:after="0"/>
        <w:tabs>
          <w:tab w:leader="none" w:pos="29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606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2" w:lineRule="exact"/>
        <w:rPr>
          <w:sz w:val="20"/>
          <w:szCs w:val="20"/>
          <w:color w:val="auto"/>
        </w:rPr>
      </w:pPr>
    </w:p>
    <w:p>
      <w:pPr>
        <w:ind w:left="260"/>
        <w:spacing w:after="0"/>
        <w:tabs>
          <w:tab w:leader="none" w:pos="1280" w:val="left"/>
          <w:tab w:leader="none" w:pos="2340" w:val="left"/>
          <w:tab w:leader="none" w:pos="3380" w:val="left"/>
        </w:tabs>
        <w:rPr>
          <w:sz w:val="20"/>
          <w:szCs w:val="20"/>
          <w:color w:val="auto"/>
        </w:rPr>
      </w:pPr>
      <w:r>
        <w:rPr>
          <w:rFonts w:ascii="Arial" w:cs="Arial" w:eastAsia="Arial" w:hAnsi="Arial"/>
          <w:sz w:val="14"/>
          <w:szCs w:val="14"/>
          <w:b w:val="1"/>
          <w:bCs w:val="1"/>
          <w:color w:val="auto"/>
        </w:rPr>
        <w:t>Yield %</w:t>
      </w:r>
      <w:r>
        <w:rPr>
          <w:sz w:val="20"/>
          <w:szCs w:val="20"/>
          <w:color w:val="auto"/>
        </w:rPr>
        <w:tab/>
      </w:r>
      <w:r>
        <w:rPr>
          <w:rFonts w:ascii="Arial" w:cs="Arial" w:eastAsia="Arial" w:hAnsi="Arial"/>
          <w:sz w:val="14"/>
          <w:szCs w:val="14"/>
          <w:b w:val="1"/>
          <w:bCs w:val="1"/>
          <w:color w:val="auto"/>
        </w:rPr>
        <w:t>Amount</w:t>
      </w:r>
      <w:r>
        <w:rPr>
          <w:sz w:val="20"/>
          <w:szCs w:val="20"/>
          <w:color w:val="auto"/>
        </w:rPr>
        <w:tab/>
      </w:r>
      <w:r>
        <w:rPr>
          <w:rFonts w:ascii="Arial" w:cs="Arial" w:eastAsia="Arial" w:hAnsi="Arial"/>
          <w:sz w:val="14"/>
          <w:szCs w:val="14"/>
          <w:b w:val="1"/>
          <w:bCs w:val="1"/>
          <w:color w:val="auto"/>
        </w:rPr>
        <w:t>Yield %</w:t>
      </w:r>
      <w:r>
        <w:rPr>
          <w:sz w:val="20"/>
          <w:szCs w:val="20"/>
          <w:color w:val="auto"/>
        </w:rPr>
        <w:tab/>
      </w: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6060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23495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00" w:type="dxa"/>
            <w:vAlign w:val="bottom"/>
          </w:tcPr>
          <w:p>
            <w:pPr>
              <w:jc w:val="right"/>
              <w:spacing w:after="0"/>
              <w:rPr>
                <w:sz w:val="20"/>
                <w:szCs w:val="20"/>
                <w:color w:val="auto"/>
              </w:rPr>
            </w:pPr>
            <w:r>
              <w:rPr>
                <w:rFonts w:ascii="Arial" w:cs="Arial" w:eastAsia="Arial" w:hAnsi="Arial"/>
                <w:sz w:val="16"/>
                <w:szCs w:val="16"/>
                <w:color w:val="auto"/>
              </w:rPr>
              <w:t>5.25 %</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4.44 %</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540" w:type="dxa"/>
            <w:vAlign w:val="bottom"/>
          </w:tcPr>
          <w:p>
            <w:pPr>
              <w:ind w:left="220"/>
              <w:spacing w:after="0"/>
              <w:rPr>
                <w:sz w:val="20"/>
                <w:szCs w:val="20"/>
                <w:color w:val="auto"/>
              </w:rPr>
            </w:pPr>
            <w:r>
              <w:rPr>
                <w:rFonts w:ascii="Arial" w:cs="Arial" w:eastAsia="Arial" w:hAnsi="Arial"/>
                <w:sz w:val="16"/>
                <w:szCs w:val="16"/>
                <w:color w:val="auto"/>
              </w:rPr>
              <w:t>952</w:t>
            </w:r>
          </w:p>
        </w:tc>
      </w:tr>
      <w:tr>
        <w:trPr>
          <w:trHeight w:val="219"/>
        </w:trPr>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w w:val="98"/>
              </w:rPr>
              <w:t>(32)</w:t>
            </w:r>
          </w:p>
        </w:tc>
      </w:tr>
      <w:tr>
        <w:trPr>
          <w:trHeight w:val="209"/>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5.12 %</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4.30 %</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920</w:t>
            </w:r>
          </w:p>
        </w:tc>
      </w:tr>
      <w:tr>
        <w:trPr>
          <w:trHeight w:val="24"/>
        </w:trPr>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-179705</wp:posOffset>
            </wp:positionV>
            <wp:extent cx="71323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6420" w:space="720"/>
            <w:col w:w="4100"/>
          </w:cols>
          <w:pgMar w:left="320" w:top="229" w:right="339" w:bottom="1440" w:gutter="0" w:footer="0" w:header="0"/>
          <w:type w:val="continuous"/>
        </w:sectPr>
      </w:pPr>
    </w:p>
    <w:p>
      <w:pPr>
        <w:jc w:val="both"/>
        <w:ind w:left="340" w:hanging="332"/>
        <w:spacing w:after="0" w:line="259" w:lineRule="auto"/>
        <w:tabs>
          <w:tab w:leader="none" w:pos="33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Investment income yields are calculated as investment income as a percent of average quarterly asset carrying values. Investment income excludes recognized gains and losses and reflects the adjustments presented in footnote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78"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Investment fee and expense yields are calculated as investment fees and expenses as a percent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75" w:lineRule="exact"/>
        <w:rPr>
          <w:rFonts w:ascii="Arial" w:cs="Arial" w:eastAsia="Arial" w:hAnsi="Arial"/>
          <w:sz w:val="18"/>
          <w:szCs w:val="18"/>
          <w:color w:val="auto"/>
        </w:rPr>
      </w:pPr>
    </w:p>
    <w:p>
      <w:pPr>
        <w:ind w:left="340" w:right="20" w:hanging="332"/>
        <w:spacing w:after="0" w:line="277" w:lineRule="auto"/>
        <w:tabs>
          <w:tab w:leader="none" w:pos="334"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Adjusted net investment income presented in the yield table varies from the most directly comparable GAAP measure due to certain reclassifications, as presented below.</w:t>
      </w:r>
    </w:p>
    <w:p>
      <w:pPr>
        <w:spacing w:after="0" w:line="192"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r>
      <w:tr>
        <w:trPr>
          <w:trHeight w:val="183"/>
        </w:trPr>
        <w:tc>
          <w:tcPr>
            <w:tcW w:w="8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740" w:type="dxa"/>
            <w:vAlign w:val="bottom"/>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1,187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13"/>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Investment hedge adjustments</w:t>
            </w: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investment income — in the above yield table</w:t>
            </w:r>
          </w:p>
        </w:tc>
        <w:tc>
          <w:tcPr>
            <w:tcW w:w="740" w:type="dxa"/>
            <w:vAlign w:val="bottom"/>
            <w:tcBorders>
              <w:bottom w:val="single" w:sz="8" w:color="auto"/>
            </w:tcBorders>
            <w:shd w:val="clear" w:color="auto" w:fill="CCEEFF"/>
          </w:tcPr>
          <w:p>
            <w:pPr>
              <w:jc w:val="right"/>
              <w:ind w:right="56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4"/>
              </w:rPr>
              <w:t>1,192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See “— Results of Operations — Consolidated Results for the Three Months Ended March 31, 2021 and 2020 for an analysis of the period over period changes in net investment income.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0" w:name="page61"/>
    <w:bookmarkEnd w:id="6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Fixed maturity securities held by type (public or private) were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March 31, 2021</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6"/>
              </w:rPr>
              <w:t>December 31, 2020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60" w:type="dxa"/>
            <w:vAlign w:val="bottom"/>
            <w:gridSpan w:val="3"/>
          </w:tcPr>
          <w:p>
            <w:pPr>
              <w:ind w:left="200"/>
              <w:spacing w:after="0" w:line="135" w:lineRule="exact"/>
              <w:rPr>
                <w:sz w:val="20"/>
                <w:szCs w:val="20"/>
                <w:color w:val="auto"/>
              </w:rPr>
            </w:pPr>
            <w:r>
              <w:rPr>
                <w:rFonts w:ascii="Arial" w:cs="Arial" w:eastAsia="Arial" w:hAnsi="Arial"/>
                <w:sz w:val="14"/>
                <w:szCs w:val="14"/>
                <w:b w:val="1"/>
                <w:bCs w:val="1"/>
                <w:color w:val="auto"/>
              </w:rPr>
              <w:t>Estimated</w:t>
            </w:r>
          </w:p>
        </w:tc>
        <w:tc>
          <w:tcPr>
            <w:tcW w:w="106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40" w:type="dxa"/>
            <w:vAlign w:val="bottom"/>
            <w:gridSpan w:val="3"/>
          </w:tcPr>
          <w:p>
            <w:pPr>
              <w:ind w:left="220"/>
              <w:spacing w:after="0" w:line="135" w:lineRule="exact"/>
              <w:rPr>
                <w:sz w:val="20"/>
                <w:szCs w:val="20"/>
                <w:color w:val="auto"/>
              </w:rPr>
            </w:pPr>
            <w:r>
              <w:rPr>
                <w:rFonts w:ascii="Arial" w:cs="Arial" w:eastAsia="Arial" w:hAnsi="Arial"/>
                <w:sz w:val="14"/>
                <w:szCs w:val="14"/>
                <w:b w:val="1"/>
                <w:bCs w:val="1"/>
                <w:color w:val="auto"/>
              </w:rPr>
              <w:t>Estimated</w:t>
            </w:r>
          </w:p>
        </w:tc>
        <w:tc>
          <w:tcPr>
            <w:tcW w:w="1020" w:type="dxa"/>
            <w:vAlign w:val="bottom"/>
          </w:tcPr>
          <w:p>
            <w:pPr>
              <w:jc w:val="right"/>
              <w:ind w:right="583"/>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8"/>
        </w:trPr>
        <w:tc>
          <w:tcPr>
            <w:tcW w:w="4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500" w:type="dxa"/>
            <w:vAlign w:val="bottom"/>
            <w:gridSpan w:val="6"/>
          </w:tcPr>
          <w:p>
            <w:pPr>
              <w:ind w:left="52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Publicly-traded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65,298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68,328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82.8 %</w:t>
            </w: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Privately-placed</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13,673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14,167</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78,971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rPr>
              <w:t>82,495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Percentage of cash and invested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73.7 %</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72.6 %</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See Note 6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76"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Financial Statements for further information about fixed maturity securities by sector, contractual maturities, continuous gross unrealized losses and the allowance for credit losses.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See “Management’s Discussion and Analysis of Financial Condition and Results of Operations — Investments — Fixed Maturity Securities AFS — Fixed Maturity Securities Credit Quality — Ratings” included in our 2020 Annual Report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methodologies adopted by the NAIC for certain Structured Securities.</w:t>
      </w:r>
    </w:p>
    <w:p>
      <w:pPr>
        <w:spacing w:after="0" w:line="80"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1"/>
              </w:rPr>
              <w:t>March 31, 2021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December 31, 2020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rPr>
              <w:t>NAIC</w:t>
            </w: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880" w:type="dxa"/>
            <w:vAlign w:val="bottom"/>
            <w:gridSpan w:val="2"/>
            <w:vMerge w:val="continue"/>
          </w:tcPr>
          <w:p>
            <w:pPr>
              <w:spacing w:after="0"/>
              <w:rPr>
                <w:sz w:val="8"/>
                <w:szCs w:val="8"/>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NRSRO Rating</w:t>
            </w:r>
          </w:p>
        </w:tc>
        <w:tc>
          <w:tcPr>
            <w:tcW w:w="120" w:type="dxa"/>
            <w:vAlign w:val="bottom"/>
          </w:tcPr>
          <w:p>
            <w:pPr>
              <w:spacing w:after="0"/>
              <w:rPr>
                <w:sz w:val="8"/>
                <w:szCs w:val="8"/>
                <w:color w:val="auto"/>
              </w:rPr>
            </w:pPr>
          </w:p>
        </w:tc>
        <w:tc>
          <w:tcPr>
            <w:tcW w:w="78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8"/>
                <w:szCs w:val="8"/>
                <w:color w:val="auto"/>
              </w:rPr>
            </w:pPr>
          </w:p>
        </w:tc>
        <w:tc>
          <w:tcPr>
            <w:tcW w:w="82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Allowance for</w:t>
            </w:r>
          </w:p>
        </w:tc>
        <w:tc>
          <w:tcPr>
            <w:tcW w:w="140" w:type="dxa"/>
            <w:vAlign w:val="bottom"/>
          </w:tcPr>
          <w:p>
            <w:pPr>
              <w:spacing w:after="0"/>
              <w:rPr>
                <w:sz w:val="8"/>
                <w:szCs w:val="8"/>
                <w:color w:val="auto"/>
              </w:rPr>
            </w:pPr>
          </w:p>
        </w:tc>
        <w:tc>
          <w:tcPr>
            <w:tcW w:w="86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89"/>
              </w:rPr>
              <w:t>Unrealized</w:t>
            </w:r>
          </w:p>
        </w:tc>
        <w:tc>
          <w:tcPr>
            <w:tcW w:w="88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w w:val="92"/>
              </w:rPr>
              <w:t>Estimated Fair</w:t>
            </w:r>
          </w:p>
        </w:tc>
        <w:tc>
          <w:tcPr>
            <w:tcW w:w="660" w:type="dxa"/>
            <w:vAlign w:val="bottom"/>
          </w:tcPr>
          <w:p>
            <w:pPr>
              <w:jc w:val="right"/>
              <w:ind w:right="99"/>
              <w:spacing w:after="0" w:line="102" w:lineRule="exact"/>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8"/>
                <w:szCs w:val="8"/>
                <w:color w:val="auto"/>
              </w:rPr>
            </w:pPr>
          </w:p>
        </w:tc>
        <w:tc>
          <w:tcPr>
            <w:tcW w:w="740" w:type="dxa"/>
            <w:vAlign w:val="bottom"/>
          </w:tcPr>
          <w:p>
            <w:pPr>
              <w:jc w:val="right"/>
              <w:ind w:right="39"/>
              <w:spacing w:after="0" w:line="102" w:lineRule="exact"/>
              <w:rPr>
                <w:sz w:val="20"/>
                <w:szCs w:val="20"/>
                <w:color w:val="auto"/>
              </w:rPr>
            </w:pPr>
            <w:r>
              <w:rPr>
                <w:rFonts w:ascii="Arial" w:cs="Arial" w:eastAsia="Arial" w:hAnsi="Arial"/>
                <w:sz w:val="11"/>
                <w:szCs w:val="11"/>
                <w:b w:val="1"/>
                <w:bCs w:val="1"/>
                <w:color w:val="auto"/>
                <w:w w:val="85"/>
              </w:rPr>
              <w:t>Allowance for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89"/>
              </w:rPr>
              <w:t>Unrealized</w:t>
            </w:r>
          </w:p>
        </w:tc>
        <w:tc>
          <w:tcPr>
            <w:tcW w:w="90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w w:val="89"/>
              </w:rPr>
              <w:t>Estimated Fair</w:t>
            </w:r>
          </w:p>
        </w:tc>
        <w:tc>
          <w:tcPr>
            <w:tcW w:w="640" w:type="dxa"/>
            <w:vAlign w:val="bottom"/>
          </w:tcPr>
          <w:p>
            <w:pPr>
              <w:jc w:val="right"/>
              <w:ind w:right="99"/>
              <w:spacing w:after="0" w:line="102" w:lineRule="exact"/>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8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Designation</w:t>
            </w: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Cost</w:t>
            </w:r>
          </w:p>
        </w:tc>
        <w:tc>
          <w:tcPr>
            <w:tcW w:w="8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Credit Losses</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Gain (Loss)</w:t>
            </w:r>
          </w:p>
        </w:tc>
        <w:tc>
          <w:tcPr>
            <w:tcW w:w="16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Value</w:t>
            </w:r>
          </w:p>
        </w:tc>
        <w:tc>
          <w:tcPr>
            <w:tcW w:w="660" w:type="dxa"/>
            <w:vAlign w:val="bottom"/>
          </w:tcPr>
          <w:p>
            <w:pPr>
              <w:jc w:val="right"/>
              <w:ind w:right="79"/>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Cost</w:t>
            </w:r>
          </w:p>
        </w:tc>
        <w:tc>
          <w:tcPr>
            <w:tcW w:w="80" w:type="dxa"/>
            <w:vAlign w:val="bottom"/>
          </w:tcPr>
          <w:p>
            <w:pPr>
              <w:spacing w:after="0"/>
              <w:rPr>
                <w:sz w:val="12"/>
                <w:szCs w:val="12"/>
                <w:color w:val="auto"/>
              </w:rPr>
            </w:pPr>
          </w:p>
        </w:tc>
        <w:tc>
          <w:tcPr>
            <w:tcW w:w="740" w:type="dxa"/>
            <w:vAlign w:val="bottom"/>
          </w:tcPr>
          <w:p>
            <w:pPr>
              <w:jc w:val="right"/>
              <w:ind w:right="39"/>
              <w:spacing w:after="0"/>
              <w:rPr>
                <w:sz w:val="20"/>
                <w:szCs w:val="20"/>
                <w:color w:val="auto"/>
              </w:rPr>
            </w:pPr>
            <w:r>
              <w:rPr>
                <w:rFonts w:ascii="Arial" w:cs="Arial" w:eastAsia="Arial" w:hAnsi="Arial"/>
                <w:sz w:val="11"/>
                <w:szCs w:val="11"/>
                <w:b w:val="1"/>
                <w:bCs w:val="1"/>
                <w:color w:val="auto"/>
                <w:w w:val="85"/>
              </w:rPr>
              <w:t>Credit Losses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Gain (Loss)</w:t>
            </w:r>
          </w:p>
        </w:tc>
        <w:tc>
          <w:tcPr>
            <w:tcW w:w="180" w:type="dxa"/>
            <w:vAlign w:val="bottom"/>
          </w:tcPr>
          <w:p>
            <w:pPr>
              <w:spacing w:after="0"/>
              <w:rPr>
                <w:sz w:val="12"/>
                <w:szCs w:val="12"/>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8"/>
              </w:rPr>
              <w:t>Value</w:t>
            </w:r>
          </w:p>
        </w:tc>
        <w:tc>
          <w:tcPr>
            <w:tcW w:w="640" w:type="dxa"/>
            <w:vAlign w:val="bottom"/>
          </w:tcPr>
          <w:p>
            <w:pPr>
              <w:jc w:val="right"/>
              <w:ind w:right="79"/>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6"/>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6"/>
          </w:tcPr>
          <w:p>
            <w:pPr>
              <w:ind w:left="420"/>
              <w:spacing w:after="0"/>
              <w:rPr>
                <w:sz w:val="20"/>
                <w:szCs w:val="20"/>
                <w:color w:val="auto"/>
              </w:rPr>
            </w:pPr>
            <w:r>
              <w:rPr>
                <w:rFonts w:ascii="Arial" w:cs="Arial" w:eastAsia="Arial" w:hAnsi="Arial"/>
                <w:sz w:val="11"/>
                <w:szCs w:val="11"/>
                <w:b w:val="1"/>
                <w:bCs w:val="1"/>
                <w:color w:val="auto"/>
              </w:rPr>
              <w:t>(Dollars in millions)</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Aaa/Aa/A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44,646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49,656</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62.9 %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44,189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52,681</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63.8 %</w:t>
            </w:r>
          </w:p>
        </w:tc>
        <w:tc>
          <w:tcPr>
            <w:tcW w:w="0" w:type="dxa"/>
            <w:vAlign w:val="bottom"/>
          </w:tcPr>
          <w:p>
            <w:pPr>
              <w:spacing w:after="0"/>
              <w:rPr>
                <w:sz w:val="1"/>
                <w:szCs w:val="1"/>
                <w:color w:val="auto"/>
              </w:rPr>
            </w:pPr>
          </w:p>
        </w:tc>
      </w:tr>
      <w:tr>
        <w:trPr>
          <w:trHeight w:val="169"/>
        </w:trPr>
        <w:tc>
          <w:tcPr>
            <w:tcW w:w="760" w:type="dxa"/>
            <w:vAlign w:val="bottom"/>
          </w:tcPr>
          <w:p>
            <w:pPr>
              <w:jc w:val="center"/>
              <w:spacing w:after="0"/>
              <w:rPr>
                <w:sz w:val="20"/>
                <w:szCs w:val="20"/>
                <w:color w:val="auto"/>
              </w:rPr>
            </w:pPr>
            <w:r>
              <w:rPr>
                <w:rFonts w:ascii="Arial" w:cs="Arial" w:eastAsia="Arial" w:hAnsi="Arial"/>
                <w:sz w:val="13"/>
                <w:szCs w:val="13"/>
                <w:color w:val="auto"/>
                <w:w w:val="82"/>
              </w:rPr>
              <w:t>2</w:t>
            </w: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Baa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23,973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1,805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25,778</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23,022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26,360</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4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3"/>
                <w:szCs w:val="13"/>
                <w:color w:val="auto"/>
              </w:rPr>
              <w:t>Subtotal investment grade</w:t>
            </w: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68,619</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6,815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75,434</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67,211</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11,830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79,041</w:t>
            </w: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95.8</w:t>
            </w:r>
          </w:p>
        </w:tc>
        <w:tc>
          <w:tcPr>
            <w:tcW w:w="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60" w:type="dxa"/>
            <w:vAlign w:val="bottom"/>
          </w:tcPr>
          <w:p>
            <w:pPr>
              <w:jc w:val="center"/>
              <w:spacing w:after="0"/>
              <w:rPr>
                <w:sz w:val="20"/>
                <w:szCs w:val="20"/>
                <w:color w:val="auto"/>
              </w:rPr>
            </w:pPr>
            <w:r>
              <w:rPr>
                <w:rFonts w:ascii="Arial" w:cs="Arial" w:eastAsia="Arial" w:hAnsi="Arial"/>
                <w:sz w:val="13"/>
                <w:szCs w:val="13"/>
                <w:color w:val="auto"/>
                <w:w w:val="82"/>
              </w:rPr>
              <w:t>3</w:t>
            </w: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Ba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2,462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2,539</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2,526</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834</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60" w:type="dxa"/>
            <w:vAlign w:val="bottom"/>
          </w:tcPr>
          <w:p>
            <w:pPr>
              <w:jc w:val="center"/>
              <w:spacing w:after="0"/>
              <w:rPr>
                <w:sz w:val="20"/>
                <w:szCs w:val="20"/>
                <w:color w:val="auto"/>
              </w:rPr>
            </w:pPr>
            <w:r>
              <w:rPr>
                <w:rFonts w:ascii="Arial" w:cs="Arial" w:eastAsia="Arial" w:hAnsi="Arial"/>
                <w:sz w:val="13"/>
                <w:szCs w:val="13"/>
                <w:color w:val="auto"/>
                <w:w w:val="82"/>
              </w:rPr>
              <w:t>5</w:t>
            </w: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Caa and lower</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 or near default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140" w:type="dxa"/>
            <w:vAlign w:val="bottom"/>
            <w:tcBorders>
              <w:bottom w:val="single" w:sz="8" w:color="CCEEFF"/>
            </w:tcBorders>
            <w:gridSpan w:val="4"/>
          </w:tcPr>
          <w:p>
            <w:pPr>
              <w:ind w:left="20"/>
              <w:spacing w:after="0"/>
              <w:rPr>
                <w:sz w:val="20"/>
                <w:szCs w:val="20"/>
                <w:color w:val="auto"/>
              </w:rPr>
            </w:pPr>
            <w:r>
              <w:rPr>
                <w:rFonts w:ascii="Arial" w:cs="Arial" w:eastAsia="Arial" w:hAnsi="Arial"/>
                <w:sz w:val="13"/>
                <w:szCs w:val="13"/>
                <w:color w:val="auto"/>
              </w:rPr>
              <w:t>Subtotal below investment grade</w:t>
            </w: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3,459</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3,537</w:t>
            </w:r>
          </w:p>
        </w:tc>
        <w:tc>
          <w:tcPr>
            <w:tcW w:w="1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3,318</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3,454</w:t>
            </w:r>
          </w:p>
        </w:tc>
        <w:tc>
          <w:tcPr>
            <w:tcW w:w="12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1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3"/>
                <w:szCs w:val="13"/>
                <w:color w:val="auto"/>
              </w:rPr>
              <w:t>Total fixed maturity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72,078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6,901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78,971</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70,529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11,968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82,495</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180" w:type="dxa"/>
            <w:vAlign w:val="bottom"/>
            <w:tcBorders>
              <w:bottom w:val="single" w:sz="8" w:color="auto"/>
            </w:tcBorders>
            <w:gridSpan w:val="14"/>
          </w:tcPr>
          <w:p>
            <w:pPr>
              <w:jc w:val="center"/>
              <w:ind w:right="360"/>
              <w:spacing w:after="0"/>
              <w:rPr>
                <w:sz w:val="20"/>
                <w:szCs w:val="20"/>
                <w:color w:val="auto"/>
              </w:rPr>
            </w:pPr>
            <w:r>
              <w:rPr>
                <w:rFonts w:ascii="Arial" w:cs="Arial" w:eastAsia="Arial" w:hAnsi="Arial"/>
                <w:sz w:val="14"/>
                <w:szCs w:val="14"/>
                <w:b w:val="1"/>
                <w:bCs w:val="1"/>
                <w:color w:val="auto"/>
                <w:w w:val="95"/>
              </w:rPr>
              <w:t>Fixed Maturity Securities — by Sector &amp; Credit Quality Rating</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NAIC Designation</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76"/>
              </w:rPr>
              <w:t>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76"/>
              </w:rPr>
              <w:t>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76"/>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Caa and</w:t>
            </w:r>
          </w:p>
        </w:tc>
        <w:tc>
          <w:tcPr>
            <w:tcW w:w="120" w:type="dxa"/>
            <w:vAlign w:val="bottom"/>
          </w:tcPr>
          <w:p>
            <w:pPr>
              <w:spacing w:after="0"/>
              <w:rPr>
                <w:sz w:val="3"/>
                <w:szCs w:val="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In or Near</w:t>
            </w:r>
          </w:p>
        </w:tc>
        <w:tc>
          <w:tcPr>
            <w:tcW w:w="1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NRSRO Rating</w:t>
            </w: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Aaa/Aa/A</w:t>
            </w:r>
          </w:p>
        </w:tc>
        <w:tc>
          <w:tcPr>
            <w:tcW w:w="24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Baa</w:t>
            </w:r>
          </w:p>
        </w:tc>
        <w:tc>
          <w:tcPr>
            <w:tcW w:w="260" w:type="dxa"/>
            <w:vAlign w:val="bottom"/>
          </w:tcPr>
          <w:p>
            <w:pPr>
              <w:spacing w:after="0"/>
              <w:rPr>
                <w:sz w:val="11"/>
                <w:szCs w:val="11"/>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Ba</w:t>
            </w:r>
          </w:p>
        </w:tc>
        <w:tc>
          <w:tcPr>
            <w:tcW w:w="100" w:type="dxa"/>
            <w:vAlign w:val="bottom"/>
          </w:tcPr>
          <w:p>
            <w:pPr>
              <w:spacing w:after="0"/>
              <w:rPr>
                <w:sz w:val="11"/>
                <w:szCs w:val="11"/>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B</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88"/>
        </w:trPr>
        <w:tc>
          <w:tcPr>
            <w:tcW w:w="374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Lower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Default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16,687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16,834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36,019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11,233</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U.S. government and agency</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7,811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7,826</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CMBS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6,666</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ABS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3,051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government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49,656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25,778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78,971</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18,201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17,303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1,706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37,906</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11,511</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U.S. government and agency</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8,638</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CMBS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6,790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ABS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2,884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government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52,681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26,360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82,495</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We maintain a diversified portfolio of corporate fixed maturity securities across industries and issuers. Our portfolio does not have any exposure to any single issuer in excess of 1% of total investments and the top ten holdings in aggregate comprise 2% of total investments at both March 31, 2021 and December 31, 2020. Our U.S. and foreign corporate fixed maturity securities holdings by industry were as follows at: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March 31, 2021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3"/>
              </w:rPr>
              <w:t>December 31, 2020</w:t>
            </w:r>
          </w:p>
        </w:tc>
        <w:tc>
          <w:tcPr>
            <w:tcW w:w="1020" w:type="dxa"/>
            <w:vAlign w:val="bottom"/>
            <w:tcBorders>
              <w:bottom w:val="single" w:sz="8" w:color="auto"/>
            </w:tcBorders>
          </w:tcPr>
          <w:p>
            <w:pPr>
              <w:spacing w:after="0"/>
              <w:rPr>
                <w:sz w:val="16"/>
                <w:szCs w:val="16"/>
                <w:color w:val="auto"/>
              </w:rPr>
            </w:pPr>
          </w:p>
        </w:tc>
      </w:tr>
      <w:tr>
        <w:trPr>
          <w:trHeight w:val="134"/>
        </w:trPr>
        <w:tc>
          <w:tcPr>
            <w:tcW w:w="4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3"/>
          </w:tcPr>
          <w:p>
            <w:pPr>
              <w:ind w:left="180"/>
              <w:spacing w:after="0" w:line="135" w:lineRule="exact"/>
              <w:rPr>
                <w:sz w:val="20"/>
                <w:szCs w:val="20"/>
                <w:color w:val="auto"/>
              </w:rPr>
            </w:pPr>
            <w:r>
              <w:rPr>
                <w:rFonts w:ascii="Arial" w:cs="Arial" w:eastAsia="Arial" w:hAnsi="Arial"/>
                <w:sz w:val="14"/>
                <w:szCs w:val="14"/>
                <w:b w:val="1"/>
                <w:bCs w:val="1"/>
                <w:color w:val="auto"/>
              </w:rPr>
              <w:t>Estimated</w:t>
            </w:r>
          </w:p>
        </w:tc>
        <w:tc>
          <w:tcPr>
            <w:tcW w:w="1060" w:type="dxa"/>
            <w:vAlign w:val="bottom"/>
          </w:tcPr>
          <w:p>
            <w:pPr>
              <w:ind w:left="100"/>
              <w:spacing w:after="0" w:line="135"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80" w:type="dxa"/>
            <w:vAlign w:val="bottom"/>
            <w:gridSpan w:val="3"/>
          </w:tcPr>
          <w:p>
            <w:pPr>
              <w:ind w:left="180"/>
              <w:spacing w:after="0" w:line="135" w:lineRule="exact"/>
              <w:rPr>
                <w:sz w:val="20"/>
                <w:szCs w:val="20"/>
                <w:color w:val="auto"/>
              </w:rPr>
            </w:pPr>
            <w:r>
              <w:rPr>
                <w:rFonts w:ascii="Arial" w:cs="Arial" w:eastAsia="Arial" w:hAnsi="Arial"/>
                <w:sz w:val="14"/>
                <w:szCs w:val="14"/>
                <w:b w:val="1"/>
                <w:bCs w:val="1"/>
                <w:color w:val="auto"/>
              </w:rPr>
              <w:t>Estimated</w:t>
            </w:r>
          </w:p>
        </w:tc>
        <w:tc>
          <w:tcPr>
            <w:tcW w:w="1020" w:type="dxa"/>
            <w:vAlign w:val="bottom"/>
          </w:tcPr>
          <w:p>
            <w:pPr>
              <w:jc w:val="right"/>
              <w:ind w:right="601"/>
              <w:spacing w:after="0" w:line="135" w:lineRule="exact"/>
              <w:rPr>
                <w:sz w:val="20"/>
                <w:szCs w:val="20"/>
                <w:color w:val="auto"/>
              </w:rPr>
            </w:pPr>
            <w:r>
              <w:rPr>
                <w:rFonts w:ascii="Arial" w:cs="Arial" w:eastAsia="Arial" w:hAnsi="Arial"/>
                <w:sz w:val="14"/>
                <w:szCs w:val="14"/>
                <w:b w:val="1"/>
                <w:bCs w:val="1"/>
                <w:color w:val="auto"/>
              </w:rPr>
              <w:t>% of</w:t>
            </w:r>
          </w:p>
        </w:tc>
      </w:tr>
      <w:tr>
        <w:trPr>
          <w:trHeight w:val="188"/>
        </w:trPr>
        <w:tc>
          <w:tcPr>
            <w:tcW w:w="4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Total</w:t>
            </w:r>
          </w:p>
        </w:tc>
      </w:tr>
      <w:tr>
        <w:trPr>
          <w:trHeight w:val="183"/>
        </w:trPr>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0" w:type="dxa"/>
            <w:vAlign w:val="bottom"/>
            <w:gridSpan w:val="6"/>
          </w:tcPr>
          <w:p>
            <w:pPr>
              <w:ind w:left="50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15"/>
                <w:szCs w:val="15"/>
                <w:color w:val="auto"/>
              </w:rPr>
            </w:pPr>
          </w:p>
        </w:tc>
      </w:tr>
      <w:tr>
        <w:trPr>
          <w:trHeight w:val="217"/>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14,822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31.5 %</w:t>
            </w: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Consumer</w:t>
            </w:r>
          </w:p>
        </w:tc>
        <w:tc>
          <w:tcPr>
            <w:tcW w:w="2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10,883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11,535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23.3</w:t>
            </w: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11,225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23.2</w:t>
            </w: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Utility</w:t>
            </w:r>
          </w:p>
        </w:tc>
        <w:tc>
          <w:tcPr>
            <w:tcW w:w="2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6,850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7,412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15.0</w:t>
            </w: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3,472</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3,477</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7.0</w:t>
            </w:r>
          </w:p>
        </w:tc>
      </w:tr>
      <w:tr>
        <w:trPr>
          <w:trHeight w:val="388"/>
        </w:trPr>
        <w:tc>
          <w:tcPr>
            <w:tcW w:w="4640" w:type="dxa"/>
            <w:vAlign w:val="bottom"/>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47,252</w:t>
            </w: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49,417</w:t>
            </w:r>
          </w:p>
        </w:tc>
        <w:tc>
          <w:tcPr>
            <w:tcW w:w="1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We held $17.5 billion and $18.0 billion of Structured Securities, at estimated fair value, at March 31, 2021 and December 31, 2020, respectively, as presented in the RMBS, CMBS and ABS sections below.</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RMBS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RMBS holdings are diversified by security type, risk profile and ratings profile, which were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96"/>
              </w:rPr>
              <w:t>March 31, 2021</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December 31, 2020</w:t>
            </w:r>
          </w:p>
        </w:tc>
        <w:tc>
          <w:tcPr>
            <w:tcW w:w="1160" w:type="dxa"/>
            <w:vAlign w:val="bottom"/>
            <w:tcBorders>
              <w:bottom w:val="single" w:sz="8" w:color="auto"/>
            </w:tcBorders>
          </w:tcPr>
          <w:p>
            <w:pPr>
              <w:spacing w:after="0"/>
              <w:rPr>
                <w:sz w:val="16"/>
                <w:szCs w:val="16"/>
                <w:color w:val="auto"/>
              </w:rPr>
            </w:pPr>
          </w:p>
        </w:tc>
      </w:tr>
      <w:tr>
        <w:trPr>
          <w:trHeight w:val="134"/>
        </w:trPr>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Estimated</w:t>
            </w:r>
          </w:p>
        </w:tc>
        <w:tc>
          <w:tcPr>
            <w:tcW w:w="1220" w:type="dxa"/>
            <w:vAlign w:val="bottom"/>
            <w:gridSpan w:val="2"/>
          </w:tcPr>
          <w:p>
            <w:pPr>
              <w:ind w:left="400"/>
              <w:spacing w:after="0" w:line="135"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Estimated</w:t>
            </w:r>
          </w:p>
        </w:tc>
        <w:tc>
          <w:tcPr>
            <w:tcW w:w="1240" w:type="dxa"/>
            <w:vAlign w:val="bottom"/>
            <w:gridSpan w:val="2"/>
          </w:tcPr>
          <w:p>
            <w:pPr>
              <w:ind w:left="420"/>
              <w:spacing w:after="0" w:line="135"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160" w:type="dxa"/>
            <w:vAlign w:val="bottom"/>
          </w:tcPr>
          <w:p>
            <w:pPr>
              <w:jc w:val="right"/>
              <w:ind w:right="121"/>
              <w:spacing w:after="0" w:line="135" w:lineRule="exact"/>
              <w:rPr>
                <w:sz w:val="20"/>
                <w:szCs w:val="20"/>
                <w:color w:val="auto"/>
              </w:rPr>
            </w:pPr>
            <w:r>
              <w:rPr>
                <w:rFonts w:ascii="Arial" w:cs="Arial" w:eastAsia="Arial" w:hAnsi="Arial"/>
                <w:sz w:val="14"/>
                <w:szCs w:val="14"/>
                <w:b w:val="1"/>
                <w:bCs w:val="1"/>
                <w:color w:val="auto"/>
                <w:w w:val="96"/>
              </w:rPr>
              <w:t>Net Unrealized</w:t>
            </w:r>
          </w:p>
        </w:tc>
      </w:tr>
      <w:tr>
        <w:trPr>
          <w:trHeight w:val="188"/>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Gains (Losses)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2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3"/>
              </w:rPr>
              <w:t>Gains (Losses)</w:t>
            </w:r>
          </w:p>
        </w:tc>
      </w:tr>
      <w:tr>
        <w:trPr>
          <w:trHeight w:val="183"/>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5"/>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7"/>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Security type: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Collateralized mortgage obligations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4,764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60.9 %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4,852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58.5 %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Pass-through securities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3,062</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3,442</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7,826</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8,294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 profile:</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Agency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6,053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77.3 %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6,519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78.6 %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Prime</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rPr>
              <w:t>Alt-A</w:t>
            </w:r>
          </w:p>
        </w:tc>
        <w:tc>
          <w:tcPr>
            <w:tcW w:w="1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18"/>
                <w:szCs w:val="18"/>
                <w:color w:val="auto"/>
              </w:rPr>
            </w:pP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2"/>
        </w:trPr>
        <w:tc>
          <w:tcPr>
            <w:tcW w:w="386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7,826</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8,294</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Ratings profile:</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3"/>
        </w:trPr>
        <w:tc>
          <w:tcPr>
            <w:tcW w:w="3860" w:type="dxa"/>
            <w:vAlign w:val="bottom"/>
          </w:tcPr>
          <w:p>
            <w:pPr>
              <w:ind w:left="180"/>
              <w:spacing w:after="0"/>
              <w:rPr>
                <w:sz w:val="20"/>
                <w:szCs w:val="20"/>
                <w:color w:val="auto"/>
              </w:rPr>
            </w:pPr>
            <w:r>
              <w:rPr>
                <w:rFonts w:ascii="Arial" w:cs="Arial" w:eastAsia="Arial" w:hAnsi="Arial"/>
                <w:sz w:val="16"/>
                <w:szCs w:val="16"/>
                <w:color w:val="auto"/>
              </w:rPr>
              <w:t>Rated Aaa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6,271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6,738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3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Designated NAIC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7,710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8,204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148"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CMBS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CMBS holdings are diversified by vintage year, which were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5"/>
          </w:tcPr>
          <w:p>
            <w:pPr>
              <w:ind w:left="1100"/>
              <w:spacing w:after="0"/>
              <w:rPr>
                <w:sz w:val="20"/>
                <w:szCs w:val="20"/>
                <w:color w:val="auto"/>
              </w:rPr>
            </w:pPr>
            <w:r>
              <w:rPr>
                <w:rFonts w:ascii="Arial" w:cs="Arial" w:eastAsia="Arial" w:hAnsi="Arial"/>
                <w:sz w:val="14"/>
                <w:szCs w:val="14"/>
                <w:b w:val="1"/>
                <w:bCs w:val="1"/>
                <w:color w:val="auto"/>
              </w:rPr>
              <w:t>March 31, 2021</w:t>
            </w:r>
          </w:p>
        </w:tc>
        <w:tc>
          <w:tcPr>
            <w:tcW w:w="380" w:type="dxa"/>
            <w:vAlign w:val="bottom"/>
          </w:tcPr>
          <w:p>
            <w:pPr>
              <w:spacing w:after="0"/>
              <w:rPr>
                <w:sz w:val="16"/>
                <w:szCs w:val="16"/>
                <w:color w:val="auto"/>
              </w:rPr>
            </w:pPr>
          </w:p>
        </w:tc>
        <w:tc>
          <w:tcPr>
            <w:tcW w:w="330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37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8"/>
              </w:rPr>
              <w:t>Estimated Fair Value</w:t>
            </w:r>
          </w:p>
        </w:tc>
        <w:tc>
          <w:tcPr>
            <w:tcW w:w="100" w:type="dxa"/>
            <w:vAlign w:val="bottom"/>
            <w:tcBorders>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8"/>
              </w:rPr>
              <w:t>Estimated Fair Value</w:t>
            </w:r>
          </w:p>
        </w:tc>
      </w:tr>
      <w:tr>
        <w:trPr>
          <w:trHeight w:val="183"/>
        </w:trPr>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1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2003 - 2010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2011</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2012</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2013</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2014</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1,035</w:t>
            </w: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781</w:t>
            </w: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2019</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1,072</w:t>
            </w: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The estimated fair value of CMBS rated Aaa using rating agency ratings was $4.8 billion, or 71.4% of total CMBS, and designated NAIC 1 was $6.3 billion, or 94.4% of total CMBS, at March 31, 2021. The estimated fair value of CMBS Aaa rating agency ratings was $5.0 billion, or 73.4% of total CMBS, and designated NAIC 1 was $6.5 billion, or 95.0% of total CMBS at December 31, 2020.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ABS holdings are diversified by both collateral type and issuer. Our ABS holdings by collateral type and ratings profile were as follows at: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3"/>
              </w:rPr>
              <w:t>December 31, 2020</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35"/>
        </w:trPr>
        <w:tc>
          <w:tcPr>
            <w:tcW w:w="3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Estimated</w:t>
            </w:r>
          </w:p>
        </w:tc>
        <w:tc>
          <w:tcPr>
            <w:tcW w:w="1320" w:type="dxa"/>
            <w:vAlign w:val="bottom"/>
            <w:gridSpan w:val="2"/>
          </w:tcPr>
          <w:p>
            <w:pPr>
              <w:ind w:left="460"/>
              <w:spacing w:after="0" w:line="135"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140" w:type="dxa"/>
            <w:vAlign w:val="bottom"/>
          </w:tcPr>
          <w:p>
            <w:pPr>
              <w:ind w:left="40"/>
              <w:spacing w:after="0" w:line="135" w:lineRule="exact"/>
              <w:rPr>
                <w:sz w:val="20"/>
                <w:szCs w:val="20"/>
                <w:color w:val="auto"/>
              </w:rPr>
            </w:pPr>
            <w:r>
              <w:rPr>
                <w:rFonts w:ascii="Arial" w:cs="Arial" w:eastAsia="Arial" w:hAnsi="Arial"/>
                <w:sz w:val="14"/>
                <w:szCs w:val="14"/>
                <w:b w:val="1"/>
                <w:bCs w:val="1"/>
                <w:color w:val="auto"/>
              </w:rPr>
              <w:t>Net 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Estimated</w:t>
            </w:r>
          </w:p>
        </w:tc>
        <w:tc>
          <w:tcPr>
            <w:tcW w:w="1340" w:type="dxa"/>
            <w:vAlign w:val="bottom"/>
            <w:gridSpan w:val="2"/>
          </w:tcPr>
          <w:p>
            <w:pPr>
              <w:ind w:left="460"/>
              <w:spacing w:after="0" w:line="135"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1160" w:type="dxa"/>
            <w:vAlign w:val="bottom"/>
          </w:tcPr>
          <w:p>
            <w:pPr>
              <w:jc w:val="right"/>
              <w:ind w:right="121"/>
              <w:spacing w:after="0" w:line="135" w:lineRule="exact"/>
              <w:rPr>
                <w:sz w:val="20"/>
                <w:szCs w:val="20"/>
                <w:color w:val="auto"/>
              </w:rPr>
            </w:pPr>
            <w:r>
              <w:rPr>
                <w:rFonts w:ascii="Arial" w:cs="Arial" w:eastAsia="Arial" w:hAnsi="Arial"/>
                <w:sz w:val="14"/>
                <w:szCs w:val="14"/>
                <w:b w:val="1"/>
                <w:bCs w:val="1"/>
                <w:color w:val="auto"/>
                <w:w w:val="96"/>
              </w:rPr>
              <w:t>Net Unrealized</w:t>
            </w:r>
          </w:p>
        </w:tc>
      </w:tr>
      <w:tr>
        <w:trPr>
          <w:trHeight w:val="188"/>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Gains (Losses)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3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3"/>
              </w:rPr>
              <w:t>Gains (Losses)</w:t>
            </w:r>
          </w:p>
        </w:tc>
      </w:tr>
      <w:tr>
        <w:trPr>
          <w:trHeight w:val="183"/>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5"/>
          </w:tcPr>
          <w:p>
            <w:pPr>
              <w:ind w:left="60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 type: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Collateralized obligations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57.9 %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61.1 %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 loans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Student loans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Automobile loans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Credit card loans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loans</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350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3,051</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Ratings profile:</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3"/>
        </w:trPr>
        <w:tc>
          <w:tcPr>
            <w:tcW w:w="3500" w:type="dxa"/>
            <w:vAlign w:val="bottom"/>
          </w:tcPr>
          <w:p>
            <w:pPr>
              <w:ind w:left="180"/>
              <w:spacing w:after="0"/>
              <w:rPr>
                <w:sz w:val="20"/>
                <w:szCs w:val="20"/>
                <w:color w:val="auto"/>
              </w:rPr>
            </w:pPr>
            <w:r>
              <w:rPr>
                <w:rFonts w:ascii="Arial" w:cs="Arial" w:eastAsia="Arial" w:hAnsi="Arial"/>
                <w:sz w:val="16"/>
                <w:szCs w:val="16"/>
                <w:color w:val="auto"/>
              </w:rPr>
              <w:t>Rated Aaa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1,604</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52.6 %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1,512</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Designated NAIC 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for Fixed Maturity Securities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Financial Statements for information about the evaluation of fixed maturity securities for an allowance for credit losses or write-offs due to uncollectibility.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 Liquidity and Capital Resources — The Company — Primary Uses of Liquidity and Capital — Securities Lending” and Note 4 of the Notes to the Interim Condensed Consolidated Financial Statements for information regarding our securities lending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Information regarding mortgage loans by portfolio segment is summarized as follows at: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March 31, 2021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35"/>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2"/>
          </w:tcPr>
          <w:p>
            <w:pPr>
              <w:ind w:left="380"/>
              <w:spacing w:after="0" w:line="135" w:lineRule="exact"/>
              <w:rPr>
                <w:sz w:val="20"/>
                <w:szCs w:val="20"/>
                <w:color w:val="auto"/>
              </w:rPr>
            </w:pPr>
            <w:r>
              <w:rPr>
                <w:rFonts w:ascii="Arial" w:cs="Arial" w:eastAsia="Arial" w:hAnsi="Arial"/>
                <w:sz w:val="14"/>
                <w:szCs w:val="14"/>
                <w:b w:val="1"/>
                <w:bCs w:val="1"/>
                <w:color w:val="auto"/>
              </w:rPr>
              <w:t>% of</w:t>
            </w:r>
          </w:p>
        </w:tc>
        <w:tc>
          <w:tcPr>
            <w:tcW w:w="9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7"/>
              </w:rPr>
              <w:t>Allowance for</w:t>
            </w:r>
          </w:p>
        </w:tc>
        <w:tc>
          <w:tcPr>
            <w:tcW w:w="1220" w:type="dxa"/>
            <w:vAlign w:val="bottom"/>
          </w:tcPr>
          <w:p>
            <w:pPr>
              <w:jc w:val="center"/>
              <w:ind w:left="23"/>
              <w:spacing w:after="0" w:line="135" w:lineRule="exact"/>
              <w:rPr>
                <w:sz w:val="20"/>
                <w:szCs w:val="20"/>
                <w:color w:val="auto"/>
              </w:rPr>
            </w:pPr>
            <w:r>
              <w:rPr>
                <w:rFonts w:ascii="Arial" w:cs="Arial" w:eastAsia="Arial" w:hAnsi="Arial"/>
                <w:sz w:val="14"/>
                <w:szCs w:val="14"/>
                <w:b w:val="1"/>
                <w:bCs w:val="1"/>
                <w:color w:val="auto"/>
                <w:w w:val="98"/>
              </w:rPr>
              <w:t>% of Amortized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line="135" w:lineRule="exact"/>
              <w:rPr>
                <w:sz w:val="20"/>
                <w:szCs w:val="20"/>
                <w:color w:val="auto"/>
              </w:rPr>
            </w:pPr>
            <w:r>
              <w:rPr>
                <w:rFonts w:ascii="Arial" w:cs="Arial" w:eastAsia="Arial" w:hAnsi="Arial"/>
                <w:sz w:val="14"/>
                <w:szCs w:val="14"/>
                <w:b w:val="1"/>
                <w:bCs w:val="1"/>
                <w:color w:val="auto"/>
              </w:rPr>
              <w:t>% of</w:t>
            </w:r>
          </w:p>
        </w:tc>
        <w:tc>
          <w:tcPr>
            <w:tcW w:w="96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95"/>
              </w:rPr>
              <w:t>Allowance for</w:t>
            </w:r>
          </w:p>
        </w:tc>
        <w:tc>
          <w:tcPr>
            <w:tcW w:w="12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 of Amortized</w:t>
            </w:r>
          </w:p>
        </w:tc>
      </w:tr>
      <w:tr>
        <w:trPr>
          <w:trHeight w:val="188"/>
        </w:trPr>
        <w:tc>
          <w:tcPr>
            <w:tcW w:w="2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1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Credit Losses</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Credit Losses</w:t>
            </w:r>
          </w:p>
        </w:tc>
        <w:tc>
          <w:tcPr>
            <w:tcW w:w="12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Cost</w:t>
            </w:r>
          </w:p>
        </w:tc>
      </w:tr>
      <w:tr>
        <w:trPr>
          <w:trHeight w:val="183"/>
        </w:trPr>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0" w:type="dxa"/>
            <w:vAlign w:val="bottom"/>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9,642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4"/>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9,714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61.1 %</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4"/>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12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3,607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w:t>
            </w:r>
          </w:p>
        </w:tc>
        <w:tc>
          <w:tcPr>
            <w:tcW w:w="122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3,538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22.2 %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15</w:t>
            </w:r>
          </w:p>
        </w:tc>
        <w:tc>
          <w:tcPr>
            <w:tcW w:w="1220" w:type="dxa"/>
            <w:vAlign w:val="bottom"/>
          </w:tcPr>
          <w:p>
            <w:pPr>
              <w:jc w:val="right"/>
              <w:spacing w:after="0"/>
              <w:rPr>
                <w:sz w:val="20"/>
                <w:szCs w:val="20"/>
                <w:color w:val="auto"/>
              </w:rPr>
            </w:pPr>
            <w:r>
              <w:rPr>
                <w:rFonts w:ascii="Arial" w:cs="Arial" w:eastAsia="Arial" w:hAnsi="Arial"/>
                <w:sz w:val="16"/>
                <w:szCs w:val="16"/>
                <w:color w:val="auto"/>
              </w:rPr>
              <w:t>0.4 %</w:t>
            </w:r>
          </w:p>
        </w:tc>
      </w:tr>
      <w:tr>
        <w:trPr>
          <w:trHeight w:val="216"/>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2,532</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2,650</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13"/>
        </w:trPr>
        <w:tc>
          <w:tcPr>
            <w:tcW w:w="228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15,781</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24"/>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2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15,902</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464"/>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2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0"/>
        </w:trPr>
        <w:tc>
          <w:tcPr>
            <w:tcW w:w="2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mortgage loan portfolio is diversified by both geographic region and property type to reduce the risk of concentration. The percentage of our commercial and agricultural mortgage loan portfolios collateralized by properties located in the U.S. were 96% at both March 31, 2021 and December 31, 2020. The remainder was collateralized by properties located outside of the U.S. The carrying value as a percentage of total commercial and agricultural mortgage loans for the top three states in the U.S. was as follows at: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March 31, 2021</w:t>
            </w: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23%</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New York</w:t>
            </w:r>
          </w:p>
        </w:tc>
        <w:tc>
          <w:tcPr>
            <w:tcW w:w="2740" w:type="dxa"/>
            <w:vAlign w:val="bottom"/>
          </w:tcPr>
          <w:p>
            <w:pPr>
              <w:jc w:val="center"/>
              <w:spacing w:after="0"/>
              <w:rPr>
                <w:sz w:val="20"/>
                <w:szCs w:val="20"/>
                <w:color w:val="auto"/>
              </w:rPr>
            </w:pPr>
            <w:r>
              <w:rPr>
                <w:rFonts w:ascii="Arial" w:cs="Arial" w:eastAsia="Arial" w:hAnsi="Arial"/>
                <w:sz w:val="16"/>
                <w:szCs w:val="16"/>
                <w:color w:val="auto"/>
                <w:w w:val="93"/>
              </w:rPr>
              <w:t>12%</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w:t>
            </w: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Additionally, we manage risk when originating commercial and agricultural mortgage loans by generally lending up to 75% of the estimated fair value of the underlying real estate collateral.</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residential mortgage loan portfolio is managed in a similar manner to reduce risk of concentration. All residential mortgage loans were collateralized by properties located in the U.S. at both March 31, 2021 and December 31, 2020. The carrying value as a percentage of total residential mortgage loans for the top three states in the U.S. was as follows at: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0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March 31, 2021</w:t>
            </w:r>
          </w:p>
        </w:tc>
      </w:tr>
      <w:tr>
        <w:trPr>
          <w:trHeight w:val="216"/>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35%</w:t>
            </w:r>
          </w:p>
        </w:tc>
      </w:tr>
      <w:tr>
        <w:trPr>
          <w:trHeight w:val="213"/>
        </w:trPr>
        <w:tc>
          <w:tcPr>
            <w:tcW w:w="8500" w:type="dxa"/>
            <w:vAlign w:val="bottom"/>
          </w:tcPr>
          <w:p>
            <w:pPr>
              <w:ind w:left="20"/>
              <w:spacing w:after="0"/>
              <w:rPr>
                <w:sz w:val="20"/>
                <w:szCs w:val="20"/>
                <w:color w:val="auto"/>
              </w:rPr>
            </w:pPr>
            <w:r>
              <w:rPr>
                <w:rFonts w:ascii="Arial" w:cs="Arial" w:eastAsia="Arial" w:hAnsi="Arial"/>
                <w:sz w:val="16"/>
                <w:szCs w:val="16"/>
                <w:color w:val="auto"/>
              </w:rPr>
              <w:t>Florida</w:t>
            </w:r>
          </w:p>
        </w:tc>
        <w:tc>
          <w:tcPr>
            <w:tcW w:w="2740" w:type="dxa"/>
            <w:vAlign w:val="bottom"/>
          </w:tcPr>
          <w:p>
            <w:pPr>
              <w:jc w:val="center"/>
              <w:spacing w:after="0"/>
              <w:rPr>
                <w:sz w:val="20"/>
                <w:szCs w:val="20"/>
                <w:color w:val="auto"/>
              </w:rPr>
            </w:pPr>
            <w:r>
              <w:rPr>
                <w:rFonts w:ascii="Arial" w:cs="Arial" w:eastAsia="Arial" w:hAnsi="Arial"/>
                <w:sz w:val="16"/>
                <w:szCs w:val="16"/>
                <w:color w:val="auto"/>
                <w:w w:val="94"/>
              </w:rPr>
              <w:t>9%</w:t>
            </w:r>
          </w:p>
        </w:tc>
      </w:tr>
      <w:tr>
        <w:trPr>
          <w:trHeight w:val="219"/>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9%</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Commercial Mortgage Loans by Geographic Region and Property Type</w:t>
      </w:r>
      <w:r>
        <w:rPr>
          <w:rFonts w:ascii="Arial" w:cs="Arial" w:eastAsia="Arial" w:hAnsi="Arial"/>
          <w:sz w:val="17"/>
          <w:szCs w:val="17"/>
          <w:color w:val="auto"/>
        </w:rPr>
        <w:t>. 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diversification across geographic regions and property types of commercial mortgage loans was as follows at: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8"/>
              </w:rPr>
              <w:t>March 31, 2021</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764"/>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ind w:left="40"/>
              <w:spacing w:after="0" w:line="135"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1440" w:type="dxa"/>
            <w:vAlign w:val="bottom"/>
          </w:tcPr>
          <w:p>
            <w:pPr>
              <w:jc w:val="right"/>
              <w:ind w:right="504"/>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8"/>
        </w:trPr>
        <w:tc>
          <w:tcPr>
            <w:tcW w:w="5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vMerge w:val="continue"/>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Geographic region: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Pacific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2,556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26.5 %</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2,670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27.5 %</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Atlantic</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56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Middle Atlantic</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1,861</w:t>
            </w:r>
          </w:p>
        </w:tc>
        <w:tc>
          <w:tcPr>
            <w:tcW w:w="1560" w:type="dxa"/>
            <w:vAlign w:val="bottom"/>
            <w:gridSpan w:val="2"/>
          </w:tcPr>
          <w:p>
            <w:pPr>
              <w:jc w:val="right"/>
              <w:ind w:right="124"/>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West South Central</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56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Mountain</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736</w:t>
            </w:r>
          </w:p>
        </w:tc>
        <w:tc>
          <w:tcPr>
            <w:tcW w:w="1560" w:type="dxa"/>
            <w:vAlign w:val="bottom"/>
            <w:gridSpan w:val="2"/>
          </w:tcPr>
          <w:p>
            <w:pPr>
              <w:jc w:val="right"/>
              <w:ind w:right="124"/>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North Central</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56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506</w:t>
            </w:r>
          </w:p>
        </w:tc>
        <w:tc>
          <w:tcPr>
            <w:tcW w:w="1560" w:type="dxa"/>
            <w:vAlign w:val="bottom"/>
            <w:gridSpan w:val="2"/>
          </w:tcPr>
          <w:p>
            <w:pPr>
              <w:jc w:val="right"/>
              <w:ind w:right="124"/>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England</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56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West North Central</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w:t>
            </w:r>
          </w:p>
        </w:tc>
        <w:tc>
          <w:tcPr>
            <w:tcW w:w="1560" w:type="dxa"/>
            <w:vAlign w:val="bottom"/>
            <w:gridSpan w:val="2"/>
          </w:tcPr>
          <w:p>
            <w:pPr>
              <w:jc w:val="right"/>
              <w:ind w:right="124"/>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South Central</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56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Multi-region and Other</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recorded investment</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allowance for credit losses</w:t>
            </w: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Carrying value, net of allowance for credit losses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9,597</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9,670</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Property type: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4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Office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39.0 %</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Apartment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2,072</w:t>
            </w:r>
          </w:p>
        </w:tc>
        <w:tc>
          <w:tcPr>
            <w:tcW w:w="1560" w:type="dxa"/>
            <w:vAlign w:val="bottom"/>
            <w:gridSpan w:val="2"/>
          </w:tcPr>
          <w:p>
            <w:pPr>
              <w:jc w:val="right"/>
              <w:ind w:right="124"/>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56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Hotel</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934</w:t>
            </w:r>
          </w:p>
        </w:tc>
        <w:tc>
          <w:tcPr>
            <w:tcW w:w="1560" w:type="dxa"/>
            <w:vAlign w:val="bottom"/>
            <w:gridSpan w:val="2"/>
          </w:tcPr>
          <w:p>
            <w:pPr>
              <w:jc w:val="right"/>
              <w:ind w:right="124"/>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56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3"/>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recorded investment</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Less: allowance for credit losses</w:t>
            </w: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420" w:type="dxa"/>
            <w:vAlign w:val="bottom"/>
            <w:tcBorders>
              <w:bottom w:val="single" w:sz="8" w:color="CCEEFF"/>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Carrying value, net of allowance for credit losses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9,670</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Mortgage Loan Credit Quality — Monitoring Process. </w:t>
      </w:r>
      <w:r>
        <w:rPr>
          <w:rFonts w:ascii="Arial" w:cs="Arial" w:eastAsia="Arial" w:hAnsi="Arial"/>
          <w:sz w:val="18"/>
          <w:szCs w:val="18"/>
          <w:color w:val="auto"/>
        </w:rPr>
        <w:t>Our mortgage loan investments are monitored on an ongoing basis, including a review of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current, past due, restructured and under foreclosure. Quarterly, we conduct a formal review of the portfolio with our investment managers. See Note 4 of the Notes to the Interim Condensed Consolidated Financial Statements for information on mortgage loans by credit quality indicator, past due status, nonaccrual status and modified mortgage loans.</w:t>
      </w:r>
    </w:p>
    <w:p>
      <w:pPr>
        <w:spacing w:after="0" w:line="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4 of the Notes to the Interim Condensed Consolidated Financial Statements for information on our evaluation of residential mortgage loans and related measurement of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58% and 57% at March 31, 2021 and December 31, 2020, respectively, and our average debt-service coverage ratio was 2.2x and 2.3x at March 31, 2021 and December 31, 2020, respectively.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49% and 48% at March 31, 2021 and December 31, 2020, respectively. The values utilized in calculating the agricultural mortgage loan loan-to-value ratio are developed in connection with the ongoing review of the agricultural loan portfolio and are routinely updated.</w:t>
      </w:r>
    </w:p>
    <w:p>
      <w:pPr>
        <w:spacing w:after="0" w:line="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Loan Modifications Related to the COVID-19 Pandemic. </w:t>
      </w:r>
      <w:r>
        <w:rPr>
          <w:rFonts w:ascii="Arial" w:cs="Arial" w:eastAsia="Arial" w:hAnsi="Arial"/>
          <w:sz w:val="18"/>
          <w:szCs w:val="18"/>
          <w:color w:val="auto"/>
        </w:rPr>
        <w:t>Our investment managers’ underwriting and credit management practices are proactively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refined to meet the changing economic environment. To actively mitigate losses and enhance borrower support across the mortgage loan portfolio segments, we have expanded our loan modification and customer assistance programs.</w:t>
      </w:r>
    </w:p>
    <w:p>
      <w:pPr>
        <w:spacing w:after="0" w:line="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Since March 1, 2020, we have completed loan modifications and have provided waivers to certain covenants, including the furniture, fixture and expense reserves, tenant rent payment deferrals or lease modifications, rate reductions, maturity date extensions, and other actions with a number of our borrowers impacted by the COVID-19 pandemic. A subset of these modifications included short-term principal and interest forbearance. At March 31, 2021, the recorded investment on mortgage loans where borrowers were offered debt-service forbearance and were not making payments was $250 million, comprised of $155 million commercial mortgage loans, $23 million of agricultural mortgage loans and $72 million of residential mortgage loans. At December 31, 2020, the recorded investment on mortgage loans where borrowers were offered debt-service forbearance and were not making payments was $299 million, comprised of $197 million commercial mortgage loans, $23 million of agricultural mortgage loans and $79 million of residential mortgage loans. These types of modifications are generally not considered troubled debt restructurings (“TDRs”) due to certain relief granted by U.S. federal legislation in March 2020. For more information on TDRs, see Note 4 to the Interim Condensed Consolidated Financial Statements.</w:t>
      </w:r>
    </w:p>
    <w:p>
      <w:pPr>
        <w:spacing w:after="0" w:line="5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Mortgage Loan Allowance for Credit Losses</w:t>
      </w:r>
      <w:r>
        <w:rPr>
          <w:rFonts w:ascii="Arial" w:cs="Arial" w:eastAsia="Arial" w:hAnsi="Arial"/>
          <w:sz w:val="18"/>
          <w:szCs w:val="18"/>
          <w:color w:val="auto"/>
        </w:rPr>
        <w:t>. See Notes 4 and 6 of the Notes to the Interim Condensed Consolidated Financial Statements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how the allowance for credit losses is established and monitored, as well as activity in and balances of the allowance for credit losses for the three months ended March 31, 2021 and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Partnerships and Limited Liability Companies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of our limited partnerships and limited liability companies (“LLCs”) were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87"/>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4"/>
          </w:tcPr>
          <w:p>
            <w:pPr>
              <w:jc w:val="right"/>
              <w:ind w:right="138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limited partnerships interests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 estate limited partnerships and LLCs (1)</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38"/>
        </w:trPr>
        <w:tc>
          <w:tcPr>
            <w:tcW w:w="7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5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right="20" w:hanging="332"/>
        <w:spacing w:after="0" w:line="277" w:lineRule="auto"/>
        <w:tabs>
          <w:tab w:leader="none" w:pos="3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estimated fair value of real estate limited partnerships and LLCs was $507 million and $501 million at March 31, 2021 and December 31, 2020, respectively.</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our other invested assets by type was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March 31, 2021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1"/>
              </w:rPr>
              <w:t>December 31, 2020</w:t>
            </w:r>
          </w:p>
        </w:tc>
        <w:tc>
          <w:tcPr>
            <w:tcW w:w="940" w:type="dxa"/>
            <w:vAlign w:val="bottom"/>
            <w:tcBorders>
              <w:bottom w:val="single" w:sz="8" w:color="auto"/>
            </w:tcBorders>
          </w:tcPr>
          <w:p>
            <w:pPr>
              <w:spacing w:after="0"/>
              <w:rPr>
                <w:sz w:val="16"/>
                <w:szCs w:val="16"/>
                <w:color w:val="auto"/>
              </w:rPr>
            </w:pPr>
          </w:p>
        </w:tc>
      </w:tr>
      <w:tr>
        <w:trPr>
          <w:trHeight w:val="135"/>
        </w:trPr>
        <w:tc>
          <w:tcPr>
            <w:tcW w:w="4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gridSpan w:val="3"/>
          </w:tcPr>
          <w:p>
            <w:pPr>
              <w:jc w:val="center"/>
              <w:ind w:right="940"/>
              <w:spacing w:after="0" w:line="135" w:lineRule="exact"/>
              <w:rPr>
                <w:sz w:val="20"/>
                <w:szCs w:val="20"/>
                <w:color w:val="auto"/>
              </w:rPr>
            </w:pPr>
            <w:r>
              <w:rPr>
                <w:rFonts w:ascii="Arial" w:cs="Arial" w:eastAsia="Arial" w:hAnsi="Arial"/>
                <w:sz w:val="14"/>
                <w:szCs w:val="14"/>
                <w:b w:val="1"/>
                <w:bCs w:val="1"/>
                <w:color w:val="auto"/>
                <w:w w:val="97"/>
              </w:rPr>
              <w:t>Carrying</w:t>
            </w:r>
          </w:p>
        </w:tc>
        <w:tc>
          <w:tcPr>
            <w:tcW w:w="1000" w:type="dxa"/>
            <w:vAlign w:val="bottom"/>
          </w:tcPr>
          <w:p>
            <w:pPr>
              <w:ind w:left="60"/>
              <w:spacing w:after="0" w:line="135"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80" w:type="dxa"/>
            <w:vAlign w:val="bottom"/>
            <w:gridSpan w:val="3"/>
          </w:tcPr>
          <w:p>
            <w:pPr>
              <w:jc w:val="center"/>
              <w:ind w:right="980"/>
              <w:spacing w:after="0" w:line="135" w:lineRule="exact"/>
              <w:rPr>
                <w:sz w:val="20"/>
                <w:szCs w:val="20"/>
                <w:color w:val="auto"/>
              </w:rPr>
            </w:pPr>
            <w:r>
              <w:rPr>
                <w:rFonts w:ascii="Arial" w:cs="Arial" w:eastAsia="Arial" w:hAnsi="Arial"/>
                <w:sz w:val="14"/>
                <w:szCs w:val="14"/>
                <w:b w:val="1"/>
                <w:bCs w:val="1"/>
                <w:color w:val="auto"/>
              </w:rPr>
              <w:t>Carrying</w:t>
            </w:r>
          </w:p>
        </w:tc>
        <w:tc>
          <w:tcPr>
            <w:tcW w:w="940" w:type="dxa"/>
            <w:vAlign w:val="bottom"/>
          </w:tcPr>
          <w:p>
            <w:pPr>
              <w:jc w:val="right"/>
              <w:ind w:right="541"/>
              <w:spacing w:after="0" w:line="135" w:lineRule="exact"/>
              <w:rPr>
                <w:sz w:val="20"/>
                <w:szCs w:val="20"/>
                <w:color w:val="auto"/>
              </w:rPr>
            </w:pPr>
            <w:r>
              <w:rPr>
                <w:rFonts w:ascii="Arial" w:cs="Arial" w:eastAsia="Arial" w:hAnsi="Arial"/>
                <w:sz w:val="14"/>
                <w:szCs w:val="14"/>
                <w:b w:val="1"/>
                <w:bCs w:val="1"/>
                <w:color w:val="auto"/>
              </w:rPr>
              <w:t>% of</w:t>
            </w:r>
          </w:p>
        </w:tc>
      </w:tr>
      <w:tr>
        <w:trPr>
          <w:trHeight w:val="188"/>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right="920"/>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980"/>
              <w:spacing w:after="0"/>
              <w:rPr>
                <w:sz w:val="20"/>
                <w:szCs w:val="20"/>
                <w:color w:val="auto"/>
              </w:rPr>
            </w:pPr>
            <w:r>
              <w:rPr>
                <w:rFonts w:ascii="Arial" w:cs="Arial" w:eastAsia="Arial" w:hAnsi="Arial"/>
                <w:sz w:val="14"/>
                <w:szCs w:val="14"/>
                <w:b w:val="1"/>
                <w:bCs w:val="1"/>
                <w:color w:val="auto"/>
                <w:w w:val="90"/>
              </w:rPr>
              <w:t>Value</w:t>
            </w:r>
          </w:p>
        </w:tc>
        <w:tc>
          <w:tcPr>
            <w:tcW w:w="9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w w:val="89"/>
              </w:rPr>
              <w:t>Total</w:t>
            </w:r>
          </w:p>
        </w:tc>
      </w:tr>
      <w:tr>
        <w:trPr>
          <w:trHeight w:val="183"/>
        </w:trPr>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40" w:type="dxa"/>
            <w:vAlign w:val="bottom"/>
            <w:gridSpan w:val="6"/>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spacing w:after="0"/>
              <w:rPr>
                <w:sz w:val="15"/>
                <w:szCs w:val="15"/>
                <w:color w:val="auto"/>
              </w:rPr>
            </w:pPr>
          </w:p>
        </w:tc>
      </w:tr>
      <w:tr>
        <w:trPr>
          <w:trHeight w:val="43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Freestanding derivatives with positive estimated fair values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2,103</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95.6 %</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Tax credit renewable energy partnerships</w:t>
            </w:r>
          </w:p>
        </w:tc>
        <w:tc>
          <w:tcPr>
            <w:tcW w:w="2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1.7</w:t>
            </w: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Leveraged leases, net of non-recourse debt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FHLB Stock</w:t>
            </w:r>
          </w:p>
        </w:tc>
        <w:tc>
          <w:tcPr>
            <w:tcW w:w="2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ind w:right="121"/>
              <w:spacing w:after="0"/>
              <w:rPr>
                <w:sz w:val="20"/>
                <w:szCs w:val="20"/>
                <w:color w:val="auto"/>
              </w:rPr>
            </w:pPr>
            <w:r>
              <w:rPr>
                <w:rFonts w:ascii="Arial" w:cs="Arial" w:eastAsia="Arial" w:hAnsi="Arial"/>
                <w:sz w:val="16"/>
                <w:szCs w:val="16"/>
                <w:color w:val="auto"/>
              </w:rPr>
              <w:t>1.1</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0.3</w:t>
            </w:r>
          </w:p>
        </w:tc>
      </w:tr>
      <w:tr>
        <w:trPr>
          <w:trHeight w:val="212"/>
        </w:trPr>
        <w:tc>
          <w:tcPr>
            <w:tcW w:w="4980" w:type="dxa"/>
            <w:vAlign w:val="bottom"/>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2,267</w:t>
            </w: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3,747</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1"/>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5 of the Notes to the Interim Condensed Consolidated Financial Statements:</w:t>
      </w:r>
    </w:p>
    <w:p>
      <w:pPr>
        <w:spacing w:after="0" w:line="76" w:lineRule="exact"/>
        <w:rPr>
          <w:sz w:val="20"/>
          <w:szCs w:val="20"/>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excluding embedded derivatives held at March 31, 2021 and December 31, 2020.</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statement of operations effects of derivatives in cash flow, fair value or non-qualifying hedge relationships for the three months ended March 31, 2021 and 2020.</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See “Business — Segments and Corporate &amp; Other — Annuities,” “Management’s Discussion and Analysis of Financial Condition and Results of Operations — Risk Management Strategies — ULSG Market Risk Exposure Management” and “Management’s Discussion and Analysis of Financial Condition and Results of Operations — Results of Operations — Annual Actuarial Review” included in our 2020 Annual Report for more information about our use of derivatives by major hedging programs.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Note 6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Derivatives categorized as Level 3 at March 31, 2021 include: credit default swaps priced using unobservable credit spreads, or that are priced through independent broker quotations; equity variance swaps with unobservable volatility inputs; foreign currency swaps with certain unobservable inputs and equity index options with unobservable correlation inputs.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See Note 5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policy is not to offset the fair value amounts recognized for derivatives executed with the same counterparty under the same master netting agreement. This policy applies to the recognition of derivatives on the balance sheets and does not affect our legal right of offset.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notional amount and estimated fair value of credit default swaps were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664"/>
              <w:spacing w:after="0"/>
              <w:rPr>
                <w:sz w:val="20"/>
                <w:szCs w:val="20"/>
                <w:color w:val="auto"/>
              </w:rPr>
            </w:pPr>
            <w:r>
              <w:rPr>
                <w:rFonts w:ascii="Arial" w:cs="Arial" w:eastAsia="Arial" w:hAnsi="Arial"/>
                <w:sz w:val="14"/>
                <w:szCs w:val="14"/>
                <w:b w:val="1"/>
                <w:bCs w:val="1"/>
                <w:color w:val="auto"/>
              </w:rPr>
              <w:t>March 31, 2021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43"/>
              <w:spacing w:after="0"/>
              <w:rPr>
                <w:sz w:val="20"/>
                <w:szCs w:val="20"/>
                <w:color w:val="auto"/>
              </w:rPr>
            </w:pPr>
            <w:r>
              <w:rPr>
                <w:rFonts w:ascii="Arial" w:cs="Arial" w:eastAsia="Arial" w:hAnsi="Arial"/>
                <w:sz w:val="14"/>
                <w:szCs w:val="14"/>
                <w:b w:val="1"/>
                <w:bCs w:val="1"/>
                <w:color w:val="auto"/>
              </w:rPr>
              <w:t>December 31, 2020</w:t>
            </w:r>
          </w:p>
        </w:tc>
      </w:tr>
      <w:tr>
        <w:trPr>
          <w:trHeight w:val="134"/>
        </w:trPr>
        <w:tc>
          <w:tcPr>
            <w:tcW w:w="4720" w:type="dxa"/>
            <w:vAlign w:val="bottom"/>
          </w:tcPr>
          <w:p>
            <w:pPr>
              <w:spacing w:after="0"/>
              <w:rPr>
                <w:sz w:val="11"/>
                <w:szCs w:val="11"/>
                <w:color w:val="auto"/>
              </w:rPr>
            </w:pPr>
          </w:p>
        </w:tc>
        <w:tc>
          <w:tcPr>
            <w:tcW w:w="1640" w:type="dxa"/>
            <w:vAlign w:val="bottom"/>
            <w:gridSpan w:val="3"/>
          </w:tcPr>
          <w:p>
            <w:pPr>
              <w:ind w:left="300"/>
              <w:spacing w:after="0" w:line="135" w:lineRule="exact"/>
              <w:rPr>
                <w:sz w:val="20"/>
                <w:szCs w:val="20"/>
                <w:color w:val="auto"/>
              </w:rPr>
            </w:pPr>
            <w:r>
              <w:rPr>
                <w:rFonts w:ascii="Arial" w:cs="Arial" w:eastAsia="Arial" w:hAnsi="Arial"/>
                <w:sz w:val="14"/>
                <w:szCs w:val="14"/>
                <w:b w:val="1"/>
                <w:bCs w:val="1"/>
                <w:color w:val="auto"/>
              </w:rPr>
              <w:t>Gross Notional</w:t>
            </w:r>
          </w:p>
        </w:tc>
        <w:tc>
          <w:tcPr>
            <w:tcW w:w="1180" w:type="dxa"/>
            <w:vAlign w:val="bottom"/>
          </w:tcPr>
          <w:p>
            <w:pPr>
              <w:jc w:val="right"/>
              <w:ind w:right="4"/>
              <w:spacing w:after="0" w:line="135" w:lineRule="exact"/>
              <w:rPr>
                <w:sz w:val="20"/>
                <w:szCs w:val="20"/>
                <w:color w:val="auto"/>
              </w:rPr>
            </w:pPr>
            <w:r>
              <w:rPr>
                <w:rFonts w:ascii="Arial" w:cs="Arial" w:eastAsia="Arial" w:hAnsi="Arial"/>
                <w:sz w:val="14"/>
                <w:szCs w:val="14"/>
                <w:b w:val="1"/>
                <w:bCs w:val="1"/>
                <w:color w:val="auto"/>
              </w:rPr>
              <w:t>Estimated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Gross Notional</w:t>
            </w:r>
          </w:p>
        </w:tc>
        <w:tc>
          <w:tcPr>
            <w:tcW w:w="280" w:type="dxa"/>
            <w:vAlign w:val="bottom"/>
          </w:tcPr>
          <w:p>
            <w:pPr>
              <w:spacing w:after="0"/>
              <w:rPr>
                <w:sz w:val="11"/>
                <w:szCs w:val="11"/>
                <w:color w:val="auto"/>
              </w:rPr>
            </w:pPr>
          </w:p>
        </w:tc>
        <w:tc>
          <w:tcPr>
            <w:tcW w:w="1280" w:type="dxa"/>
            <w:vAlign w:val="bottom"/>
          </w:tcPr>
          <w:p>
            <w:pPr>
              <w:jc w:val="right"/>
              <w:ind w:right="403"/>
              <w:spacing w:after="0" w:line="135" w:lineRule="exact"/>
              <w:rPr>
                <w:sz w:val="20"/>
                <w:szCs w:val="20"/>
                <w:color w:val="auto"/>
              </w:rPr>
            </w:pPr>
            <w:r>
              <w:rPr>
                <w:rFonts w:ascii="Arial" w:cs="Arial" w:eastAsia="Arial" w:hAnsi="Arial"/>
                <w:sz w:val="14"/>
                <w:szCs w:val="14"/>
                <w:b w:val="1"/>
                <w:bCs w:val="1"/>
                <w:color w:val="auto"/>
              </w:rPr>
              <w:t>Estimated</w:t>
            </w:r>
          </w:p>
        </w:tc>
      </w:tr>
      <w:tr>
        <w:trPr>
          <w:trHeight w:val="188"/>
        </w:trPr>
        <w:tc>
          <w:tcPr>
            <w:tcW w:w="47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Fair Value</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4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17"/>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Written</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1,774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4"/>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Purchased</w:t>
            </w: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47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060" w:type="dxa"/>
            <w:vAlign w:val="bottom"/>
            <w:tcBorders>
              <w:top w:val="single" w:sz="8" w:color="auto"/>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1,792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1004"/>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See Note 6 of the Notes to the Interim Condensed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5 of the Notes to the Interim Condensed Consolidated Financial Statements for information about the nonperformance risk adjustment included in the valuation of guaranteed minimum benefits accounted for as embedded derivatives.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for Securities Lending and Derivatives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a securities lending program for the purpose of enhancing the total return on our investment portfolio. Periodically, we receive non-cash collateral for securities lending from counterparties, which cannot be sold or re-pledged, and which is not recorded on our consolidated balance sheets. The Company did not hold non-cash collateral at either March 31, 2021 or December 31, 2020. See Note 4 of the Notes to the Interim Condensed Consolidated Financial Statements, as well as “— Investments — Securities Lending” for discussion of our securities lending program, the classification of revenues and expenses, and the nature of the secured financing arrangement and associated liability.</w:t>
      </w:r>
    </w:p>
    <w:p>
      <w:pPr>
        <w:spacing w:after="0" w:line="6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enter into derivatives to manage various risks relating to our ongoing business operations. We have non-cash collateral from counterparties for derivatives, which can be sold or re-pledged subject to certain constraints, and which has not been recorded on our consolidated balance sheets. The amount of this non-cash collateral was $70 million and $898 million at March 31, 2021 and December 31, 2020, respectively. See Note 5 of the Notes to the Interim Condensed Consolidated Financial Statements for information regarding the earned income on and the gross notional amount, estimated fair value of assets and liabilities and primary underlying risk exposure of our derivatives.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“Guarantees” in Note 10 of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we enter into commitments for the purpose of enhancing the total return on our investment portfolio: mortgage loan commitments and commitments to fund partnership investments, bank credit facilities and private corporate bond investments. See Note 4 of the Notes to the Interim Condensed Consolidated Financial Statements for information on the investment income, investment expense, gains and losses from such investments. See also “— Investments — Fixed Maturity Securities AFS” and “— Investments — Mortgage Loans” for information on our investments in fixed maturity securities and mortgage loans. See “— Investments — Limited Partnerships and Limited Liability Companies” for information on our partnership investments.</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than the commitments disclosed in Note 10 of the Notes to the Interim Condensed Consolidated Financial Statements, there are no other material obligations or liabilities arising from the commitments to fund mortgage loans, partnership investments, bank credit facilities and private corporate bond investments. For further information on commitments to fund partnership investments, mortgage loans, bank credit facilities and private corporate bond investments, see “Management’s Discussion and Analysis of Financial Condition and Results of Operations — Liquidity and Capital Resources — The Company — Contractual Obligations” included in our 2020 Annual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establish, and carry as liabilities, actuarially determined amounts that are calculated to meet policy obligations or to provide for future annuity payments. Amounts for actuarial liabilities are computed and reported in the financial statements in conformity with GAAP. For more details on policyholder liabilities, see “Management’s Discussion and Analysis of Financial Condition and Results of Operations — Summary of Critical Accounting Estimates” and “Management’s Discussion and Analysis of Financial Condition and Results of Operations — Policyholder Liabilities” included in our 2020 Annual Report. Except as otherwise discussed below, there have been no material changes to our actuarial liabilities.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establish liabilities for amounts payable under insurance policies. See Note 3 of the Notes to the Interim Condensed Consolidated Financial Statements. A discussion of future policy benefits by segment, as well as Corporate &amp; Other, can be found in “Management’s Discussion and Analysis of Financial Condition and Results of Operations — Policyholder Liabilities” included in our 2020 Annual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Policyholder account balances are generally equal to the account value, which includes accrued interest credited, but excludes the impact of any applicable charge that may be incurred upon surrender. See Note 3 of the Notes to the Interim Condensed Consolidated Financial Statements, as well as “— Liquidity and Capital Resources — The Company — Primary Sources of Liquidity and Capital — Funding Sources — Funding Agreements.” A discussion of policyholder account balances by segment, as well as Corporate &amp; Other, can be found in “Management’s Discussion and Analysis of Financial Condition and Results of Operations — Policyholder Liabilities” included in our 2020 Annual Report.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Guarantees</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issue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step-ups. See Note 3 of the Notes to the Interim Condensed Consolidated Financial Statements. See also “Quantitative and Qualitative Disclosures About Market Risk — Market Risk - Fair Value Exposures — Interest Rates” and “Business — Segments and Corporate &amp; Other — Annuities — Overview — Current Products — Variable Annuities” included in our 2020 Annual Report for additional information.</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Select information that management considers relevant to understanding our variable annuity risk management strategy has been included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Amount at Risk</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net amount at risk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NAR for the guaranteed minimum accumulation benefits (“GMAB”) and guaranteed minimum withdrawal benefits (“GMWB”) is the amount of guaranteed benefits in excess of the account values (if any) as of the balance sheet date. The NAR assumes utilization of benefits by all contract holders as of the balance sheet date. For the GMAB, the NAR would not be available until the GMAB maturity date. For the GMWB, only a small portion of the Benefit Base is available for withdrawal on an annual basis.</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NAR for the GMWB with lifetime payments (“GMWB4L”) is the amount (if any) that would be required to be added to the total account value to purchase a lifetime income stream, based on current annuity rates, equal to the lifetime amount provided under the guaranteed benefit. For contracts where the GMWB4L provides for a guaranteed cumulative dollar amount of payments, the NAR is based on the purchase of a lifetime with period certain income stream where the period certain ensures payment of this cumulative dollar amount. The NAR represents our potential economic exposure to such guarantees in the event all contract holders were to begin lifetime withdrawals on the balance sheet date regardless of age. Only a small portion of the Benefit Base is available for withdrawal on an annual basis.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NAR for the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detailed description of NAR by type of guaranteed minimum benefit can be found in “Business — Segments and Corporate &amp; Other — Annuities — Overview — Net Amount at Risk” included in our 2020 Annual Report.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variable annuity account values and NAR by type of guaranteed minimum benefit were as follows at:</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rPr>
              <w:t>March 31, 2021 (1)</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2020 (1)</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Account</w:t>
            </w:r>
          </w:p>
        </w:tc>
        <w:tc>
          <w:tcPr>
            <w:tcW w:w="180" w:type="dxa"/>
            <w:vAlign w:val="bottom"/>
          </w:tcPr>
          <w:p>
            <w:pPr>
              <w:spacing w:after="0"/>
              <w:rPr>
                <w:sz w:val="11"/>
                <w:szCs w:val="11"/>
                <w:color w:val="auto"/>
              </w:rPr>
            </w:pPr>
          </w:p>
        </w:tc>
        <w:tc>
          <w:tcPr>
            <w:tcW w:w="8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Death</w:t>
            </w:r>
          </w:p>
        </w:tc>
        <w:tc>
          <w:tcPr>
            <w:tcW w:w="160" w:type="dxa"/>
            <w:vAlign w:val="bottom"/>
          </w:tcPr>
          <w:p>
            <w:pPr>
              <w:spacing w:after="0"/>
              <w:rPr>
                <w:sz w:val="11"/>
                <w:szCs w:val="11"/>
                <w:color w:val="auto"/>
              </w:rPr>
            </w:pPr>
          </w:p>
        </w:tc>
        <w:tc>
          <w:tcPr>
            <w:tcW w:w="72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96"/>
              </w:rPr>
              <w:t>Living</w:t>
            </w:r>
          </w:p>
        </w:tc>
        <w:tc>
          <w:tcPr>
            <w:tcW w:w="16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 of Account Value</w:t>
            </w: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Account</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Death Benefit</w:t>
            </w:r>
          </w:p>
        </w:tc>
        <w:tc>
          <w:tcPr>
            <w:tcW w:w="180" w:type="dxa"/>
            <w:vAlign w:val="bottom"/>
          </w:tcPr>
          <w:p>
            <w:pPr>
              <w:spacing w:after="0"/>
              <w:rPr>
                <w:sz w:val="11"/>
                <w:szCs w:val="11"/>
                <w:color w:val="auto"/>
              </w:rPr>
            </w:pPr>
          </w:p>
        </w:tc>
        <w:tc>
          <w:tcPr>
            <w:tcW w:w="7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6"/>
              </w:rPr>
              <w:t>Living</w:t>
            </w: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of Account Value</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Benefit NAR</w:t>
            </w:r>
          </w:p>
        </w:tc>
        <w:tc>
          <w:tcPr>
            <w:tcW w:w="8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Benefit NAR</w:t>
            </w:r>
          </w:p>
        </w:tc>
        <w:tc>
          <w:tcPr>
            <w:tcW w:w="1640" w:type="dxa"/>
            <w:vAlign w:val="bottom"/>
            <w:gridSpan w:val="3"/>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Benefit NAR</w:t>
            </w: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(1)</w:t>
            </w:r>
          </w:p>
        </w:tc>
        <w:tc>
          <w:tcPr>
            <w:tcW w:w="16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In-the-Money (2)</w:t>
            </w: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NAR (1)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3"/>
              </w:rPr>
              <w:t>(1)</w:t>
            </w:r>
          </w:p>
        </w:tc>
        <w:tc>
          <w:tcPr>
            <w:tcW w:w="14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In-the-Money (2)</w:t>
            </w: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00" w:type="dxa"/>
            <w:vAlign w:val="bottom"/>
            <w:gridSpan w:val="5"/>
          </w:tcPr>
          <w:p>
            <w:pPr>
              <w:ind w:left="8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5,452</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41.8 %  $</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42,693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49.0 %</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GMIB Max with EDB (3)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162</w:t>
            </w:r>
          </w:p>
        </w:tc>
        <w:tc>
          <w:tcPr>
            <w:tcW w:w="1380" w:type="dxa"/>
            <w:vAlign w:val="bottom"/>
          </w:tcPr>
          <w:p>
            <w:pPr>
              <w:jc w:val="right"/>
              <w:spacing w:after="0"/>
              <w:rPr>
                <w:sz w:val="20"/>
                <w:szCs w:val="20"/>
                <w:color w:val="auto"/>
              </w:rPr>
            </w:pPr>
            <w:r>
              <w:rPr>
                <w:rFonts w:ascii="Arial" w:cs="Arial" w:eastAsia="Arial" w:hAnsi="Arial"/>
                <w:sz w:val="16"/>
                <w:szCs w:val="16"/>
                <w:color w:val="auto"/>
              </w:rPr>
              <w:t>15.4 %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11,457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2,869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173</w:t>
            </w:r>
          </w:p>
        </w:tc>
        <w:tc>
          <w:tcPr>
            <w:tcW w:w="1400" w:type="dxa"/>
            <w:vAlign w:val="bottom"/>
          </w:tcPr>
          <w:p>
            <w:pPr>
              <w:jc w:val="right"/>
              <w:spacing w:after="0"/>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 Max without EDB</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GMAB</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38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400" w:type="dxa"/>
            <w:vAlign w:val="bottom"/>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GMWB</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GMWB4L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15,135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520</w:t>
            </w:r>
          </w:p>
        </w:tc>
        <w:tc>
          <w:tcPr>
            <w:tcW w:w="1380" w:type="dxa"/>
            <w:vAlign w:val="bottom"/>
          </w:tcPr>
          <w:p>
            <w:pPr>
              <w:jc w:val="right"/>
              <w:spacing w:after="0"/>
              <w:rPr>
                <w:sz w:val="20"/>
                <w:szCs w:val="20"/>
                <w:color w:val="auto"/>
              </w:rPr>
            </w:pPr>
            <w:r>
              <w:rPr>
                <w:rFonts w:ascii="Arial" w:cs="Arial" w:eastAsia="Arial" w:hAnsi="Arial"/>
                <w:sz w:val="16"/>
                <w:szCs w:val="16"/>
                <w:color w:val="auto"/>
              </w:rPr>
              <w:t>21.4 %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15,165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718</w:t>
            </w:r>
          </w:p>
        </w:tc>
        <w:tc>
          <w:tcPr>
            <w:tcW w:w="1400" w:type="dxa"/>
            <w:vAlign w:val="bottom"/>
          </w:tcPr>
          <w:p>
            <w:pPr>
              <w:jc w:val="right"/>
              <w:spacing w:after="0"/>
              <w:rPr>
                <w:sz w:val="20"/>
                <w:szCs w:val="20"/>
                <w:color w:val="auto"/>
              </w:rPr>
            </w:pPr>
            <w:r>
              <w:rPr>
                <w:rFonts w:ascii="Arial" w:cs="Arial" w:eastAsia="Arial" w:hAnsi="Arial"/>
                <w:sz w:val="16"/>
                <w:szCs w:val="16"/>
                <w:color w:val="auto"/>
              </w:rPr>
              <w:t>27.5 %</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GMWB4L (FlexChoice</w:t>
            </w:r>
            <w:r>
              <w:rPr>
                <w:rFonts w:ascii="Arial" w:cs="Arial" w:eastAsia="Arial" w:hAnsi="Arial"/>
                <w:sz w:val="21"/>
                <w:szCs w:val="21"/>
                <w:color w:val="auto"/>
                <w:vertAlign w:val="superscript"/>
              </w:rPr>
              <w:t>SM</w:t>
            </w: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30.0 %</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EDB Only</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280"/>
              <w:spacing w:after="0"/>
              <w:rPr>
                <w:sz w:val="20"/>
                <w:szCs w:val="20"/>
                <w:color w:val="auto"/>
              </w:rPr>
            </w:pPr>
            <w:r>
              <w:rPr>
                <w:rFonts w:ascii="Arial" w:cs="Arial" w:eastAsia="Arial" w:hAnsi="Arial"/>
                <w:sz w:val="16"/>
                <w:szCs w:val="16"/>
                <w:color w:val="auto"/>
              </w:rPr>
              <w:t>N/A</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3,908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GMDB Only (Other than EDB)</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19,328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258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108,533</w:t>
            </w:r>
          </w:p>
        </w:tc>
        <w:tc>
          <w:tcPr>
            <w:tcW w:w="10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6,708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6,297</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108,424</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6,438</w:t>
            </w:r>
          </w:p>
        </w:tc>
        <w:tc>
          <w:tcPr>
            <w:tcW w:w="10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7,562</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2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EDB is defined as enhanced death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GAAP, certain of our variable annuity guarantee features are accounted for as insurance liabilities and reported on the balance sheet in future policy benefits with changes reported in policyholder benefits and claims. These liabilities are accounted for using long-term assumptions of equity and bond market returns and the level of interest rates. Therefore, these liabilities, valued at $6.0 billion at March 31, 2021, are less sensitive than derivative instruments to periodic changes to equity and fixed income market returns and the level of interest rates. Guarantees accounted for as insurance liabilities in future policy benefits include GMDBs, the life contingent portion of GMWBs and the portion of the GMIBs that require annuitization, as well as the life contingent portion of the expected annuitization when the policyholder is required to annuitize upon depletion of their account value.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All other variable annuity guarantee features are accounted for as embedded derivatives and reported on the balance sheet in policyholder account balances with changes reported in net derivative gains (losses). These liabilities, valued at $1.7 billion at March 31, 2021, are accounted for at estimated fair value. In some cases, a guarantee will have multiple features or options that require separate accounting such that the guarantee is not fully accounted for under only one of the accounting models (known as “split accounting”). Additionally, the index protection and accumulation features of Shield are accounted for as embedded derivatives and reported on the balance sheet in policyholder account balances with changes reported in net derivative gains (losses). These liabilities, valued at $4.5 billion at March 31, 2021, are accounted for at estimated fair value. See “Management’s Discussion and Analysis of Financial Condition and Results of Operations — Summary of Critical Accounting Estimates” included in our 2020 Annual Report.</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variable annuity reserve balances by guarantee type were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March 31, 2021</w:t>
            </w: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Future Policy</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Policyholder</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w w:val="94"/>
              </w:rPr>
              <w:t>Future Policy</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Policyholder</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Account</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Reserves</w:t>
            </w: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Account</w:t>
            </w:r>
          </w:p>
        </w:tc>
        <w:tc>
          <w:tcPr>
            <w:tcW w:w="100" w:type="dxa"/>
            <w:vAlign w:val="bottom"/>
          </w:tcPr>
          <w:p>
            <w:pPr>
              <w:spacing w:after="0"/>
              <w:rPr>
                <w:sz w:val="11"/>
                <w:szCs w:val="11"/>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88"/>
              </w:rPr>
              <w:t>Total Reserves</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6"/>
              </w:rPr>
              <w:t>Benefits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Balances</w:t>
            </w:r>
          </w:p>
        </w:tc>
        <w:tc>
          <w:tcPr>
            <w:tcW w:w="10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Balances</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40" w:type="dxa"/>
            <w:vAlign w:val="bottom"/>
            <w:gridSpan w:val="4"/>
          </w:tcPr>
          <w:p>
            <w:pPr>
              <w:jc w:val="right"/>
              <w:ind w:right="621"/>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GMDB</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GMIB</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3,499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5,995</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 Max</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GMAB</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GMWB</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GMWB4L</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GMWB4L (FlexChoice</w:t>
            </w:r>
            <w:r>
              <w:rPr>
                <w:rFonts w:ascii="Arial" w:cs="Arial" w:eastAsia="Arial" w:hAnsi="Arial"/>
                <w:sz w:val="21"/>
                <w:szCs w:val="21"/>
                <w:color w:val="auto"/>
                <w:vertAlign w:val="superscript"/>
              </w:rPr>
              <w:t>SM</w:t>
            </w: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430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5,997</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7,718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6,016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2,920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8,936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carrying values of these guarantees can change significantly during periods of sizable and sustained shifts in equity market performance, equity market volatility, or interest rates. Carrying values are also affected by our assumptions around mortality, separate account returns and policyholder behavior, including lapse, annuitization and withdrawal rates. See “Risk Factors — Risks Related to Our Business — Guarantees within certain of our annuity products may decrease our earnings, decrease our capitalization, increase the volatility of our results, result in higher risk management costs and expose us to increased market risk” included in our 2020 Annual Report. Furthermore, changes in policyholder behavior assumptions can result in additional changes in accounting estimates.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Variable Annuity 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notional amount and estimated fair value of the derivatives held in our macro interest rate hedging program were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March 31, 2021</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Gross Notional</w:t>
            </w:r>
          </w:p>
        </w:tc>
        <w:tc>
          <w:tcPr>
            <w:tcW w:w="2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rPr>
              <w:t>Estimated Fair Value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22"/>
              <w:spacing w:after="0"/>
              <w:rPr>
                <w:sz w:val="20"/>
                <w:szCs w:val="20"/>
                <w:color w:val="auto"/>
              </w:rPr>
            </w:pPr>
            <w:r>
              <w:rPr>
                <w:rFonts w:ascii="Arial" w:cs="Arial" w:eastAsia="Arial" w:hAnsi="Arial"/>
                <w:sz w:val="14"/>
                <w:szCs w:val="14"/>
                <w:b w:val="1"/>
                <w:bCs w:val="1"/>
                <w:color w:val="auto"/>
                <w:w w:val="89"/>
              </w:rPr>
              <w:t>Gross Notional</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01"/>
        </w:trPr>
        <w:tc>
          <w:tcPr>
            <w:tcW w:w="4020" w:type="dxa"/>
            <w:vAlign w:val="bottom"/>
            <w:gridSpan w:val="2"/>
          </w:tcPr>
          <w:p>
            <w:pPr>
              <w:ind w:left="1440"/>
              <w:spacing w:after="0"/>
              <w:rPr>
                <w:sz w:val="20"/>
                <w:szCs w:val="20"/>
                <w:color w:val="auto"/>
              </w:rPr>
            </w:pPr>
            <w:r>
              <w:rPr>
                <w:rFonts w:ascii="Arial" w:cs="Arial" w:eastAsia="Arial" w:hAnsi="Arial"/>
                <w:sz w:val="14"/>
                <w:szCs w:val="14"/>
                <w:b w:val="1"/>
                <w:bCs w:val="1"/>
                <w:color w:val="auto"/>
              </w:rPr>
              <w:t>Instrument Type</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 (1)</w:t>
            </w:r>
          </w:p>
        </w:tc>
        <w:tc>
          <w:tcPr>
            <w:tcW w:w="2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7"/>
                <w:szCs w:val="17"/>
                <w:color w:val="auto"/>
              </w:rPr>
            </w:pPr>
          </w:p>
        </w:tc>
        <w:tc>
          <w:tcPr>
            <w:tcW w:w="1020" w:type="dxa"/>
            <w:vAlign w:val="bottom"/>
          </w:tcPr>
          <w:p>
            <w:pPr>
              <w:jc w:val="right"/>
              <w:ind w:right="142"/>
              <w:spacing w:after="0"/>
              <w:rPr>
                <w:sz w:val="20"/>
                <w:szCs w:val="20"/>
                <w:color w:val="auto"/>
              </w:rPr>
            </w:pPr>
            <w:r>
              <w:rPr>
                <w:rFonts w:ascii="Arial" w:cs="Arial" w:eastAsia="Arial" w:hAnsi="Arial"/>
                <w:sz w:val="14"/>
                <w:szCs w:val="14"/>
                <w:b w:val="1"/>
                <w:bCs w:val="1"/>
                <w:color w:val="auto"/>
              </w:rPr>
              <w:t>Amount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7"/>
                <w:szCs w:val="17"/>
                <w:color w:val="auto"/>
              </w:rPr>
            </w:pPr>
          </w:p>
        </w:tc>
        <w:tc>
          <w:tcPr>
            <w:tcW w:w="940" w:type="dxa"/>
            <w:vAlign w:val="bottom"/>
          </w:tcPr>
          <w:p>
            <w:pPr>
              <w:jc w:val="right"/>
              <w:ind w:right="181"/>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83"/>
        </w:trPr>
        <w:tc>
          <w:tcPr>
            <w:tcW w:w="3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2,180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Interest rate options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32,340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25,980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forwards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8,086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2"/>
        </w:trPr>
        <w:tc>
          <w:tcPr>
            <w:tcW w:w="402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43,735</w:t>
            </w:r>
          </w:p>
        </w:tc>
        <w:tc>
          <w:tcPr>
            <w:tcW w:w="12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36,246</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1,921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
        </w:trPr>
        <w:tc>
          <w:tcPr>
            <w:tcW w:w="39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2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9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right="20" w:hanging="332"/>
        <w:spacing w:after="0" w:line="277" w:lineRule="auto"/>
        <w:tabs>
          <w:tab w:leader="none" w:pos="33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gross notional amount and estimated fair value of the derivatives in our variable annuity hedging program as well as the interest rate hedges allocated from our macro interest rate hedging program were as follows at: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March 31, 2021</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Gross Notional</w:t>
            </w:r>
          </w:p>
        </w:tc>
        <w:tc>
          <w:tcPr>
            <w:tcW w:w="2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Estimated Fair Value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21"/>
              <w:spacing w:after="0"/>
              <w:rPr>
                <w:sz w:val="20"/>
                <w:szCs w:val="20"/>
                <w:color w:val="auto"/>
              </w:rPr>
            </w:pPr>
            <w:r>
              <w:rPr>
                <w:rFonts w:ascii="Arial" w:cs="Arial" w:eastAsia="Arial" w:hAnsi="Arial"/>
                <w:sz w:val="14"/>
                <w:szCs w:val="14"/>
                <w:b w:val="1"/>
                <w:bCs w:val="1"/>
                <w:color w:val="auto"/>
                <w:w w:val="89"/>
              </w:rPr>
              <w:t>Gross Notional</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01"/>
        </w:trPr>
        <w:tc>
          <w:tcPr>
            <w:tcW w:w="4020" w:type="dxa"/>
            <w:vAlign w:val="bottom"/>
            <w:gridSpan w:val="2"/>
          </w:tcPr>
          <w:p>
            <w:pPr>
              <w:ind w:left="1440"/>
              <w:spacing w:after="0"/>
              <w:rPr>
                <w:sz w:val="20"/>
                <w:szCs w:val="20"/>
                <w:color w:val="auto"/>
              </w:rPr>
            </w:pPr>
            <w:r>
              <w:rPr>
                <w:rFonts w:ascii="Arial" w:cs="Arial" w:eastAsia="Arial" w:hAnsi="Arial"/>
                <w:sz w:val="14"/>
                <w:szCs w:val="14"/>
                <w:b w:val="1"/>
                <w:bCs w:val="1"/>
                <w:color w:val="auto"/>
              </w:rPr>
              <w:t>Instrument Type</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 (1)</w:t>
            </w:r>
          </w:p>
        </w:tc>
        <w:tc>
          <w:tcPr>
            <w:tcW w:w="2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7"/>
                <w:szCs w:val="17"/>
                <w:color w:val="auto"/>
              </w:rPr>
            </w:pPr>
          </w:p>
        </w:tc>
        <w:tc>
          <w:tcPr>
            <w:tcW w:w="1020" w:type="dxa"/>
            <w:vAlign w:val="bottom"/>
          </w:tcPr>
          <w:p>
            <w:pPr>
              <w:jc w:val="right"/>
              <w:ind w:right="141"/>
              <w:spacing w:after="0"/>
              <w:rPr>
                <w:sz w:val="20"/>
                <w:szCs w:val="20"/>
                <w:color w:val="auto"/>
              </w:rPr>
            </w:pPr>
            <w:r>
              <w:rPr>
                <w:rFonts w:ascii="Arial" w:cs="Arial" w:eastAsia="Arial" w:hAnsi="Arial"/>
                <w:sz w:val="14"/>
                <w:szCs w:val="14"/>
                <w:b w:val="1"/>
                <w:bCs w:val="1"/>
                <w:color w:val="auto"/>
              </w:rPr>
              <w:t>Amount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7"/>
                <w:szCs w:val="17"/>
                <w:color w:val="auto"/>
              </w:rPr>
            </w:pPr>
          </w:p>
        </w:tc>
        <w:tc>
          <w:tcPr>
            <w:tcW w:w="940" w:type="dxa"/>
            <w:vAlign w:val="bottom"/>
          </w:tcPr>
          <w:p>
            <w:pPr>
              <w:jc w:val="right"/>
              <w:ind w:right="18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91"/>
        </w:trPr>
        <w:tc>
          <w:tcPr>
            <w:tcW w:w="3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4"/>
          </w:tcPr>
          <w:p>
            <w:pPr>
              <w:jc w:val="right"/>
              <w:ind w:right="721"/>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index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28,955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Equity total return swaps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15,056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variance swaps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2,180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options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rate forwards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2"/>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91,174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75,535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9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right="20" w:hanging="332"/>
        <w:spacing w:after="0" w:line="277" w:lineRule="auto"/>
        <w:tabs>
          <w:tab w:leader="none" w:pos="33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Period-to-period changes in the estimated fair value of these hedges affect our net income, as well as stockholders’ equity and these effects can be material in any given period. See “Risk Factors — Risks Related to Our Business — Our variable annuity exposure risk management strategy may not be effective, may result in significant volatility in our profitability measures and may negatively affect our statutory capital,” “Management’s Discussion and Analysis of Financial Condition and Results of Operations — Summary of Critical Accounting Estimates” and “Management’s Discussion and Analysis of Financial Condition and Results of Operations — Risk Management Strategies” included in our 2020 Annual Report.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including those related to the COVID-19 pandemic, see “— Industry Trends — COVID-19 Pandemic” and “— Investments — Current Environment,” as well as “Management’s Discussion and Analysis of Financial Condition and Results of Operations — Industry Trends and Uncertainties,” and “Management’s Discussion and Analysis of Financial Condition and Results of Operations — Investments — Current Environment” included in our 2020 Annual Report.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Management</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Based upon our capitalization, expectations regarding maintaining our business mix, ratings, and funding sources available to us, we believe we have sufficient liquidity to meet business requirements in current market conditions and certain stress scenarios. Our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 substantial short-term liquidity position, which was $3.9 billion and $4.5 billion at March 31, 2021 and December 31, 2020,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integral part of our liquidity management includes managing our level of liquid assets, which was $48.9 billion and $52.0 billion at March 31, 2021 and December 31, 2020,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derivatives and assets held on deposit or in trust.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7" w:lineRule="exact"/>
        <w:rPr>
          <w:sz w:val="20"/>
          <w:szCs w:val="20"/>
          <w:color w:val="auto"/>
        </w:rPr>
      </w:pPr>
    </w:p>
    <w:p>
      <w:pPr>
        <w:jc w:val="both"/>
        <w:ind w:left="180" w:firstLine="324"/>
        <w:spacing w:after="0" w:line="269" w:lineRule="auto"/>
        <w:rPr>
          <w:sz w:val="20"/>
          <w:szCs w:val="20"/>
          <w:color w:val="auto"/>
        </w:rPr>
      </w:pPr>
      <w:r>
        <w:rPr>
          <w:rFonts w:ascii="Arial" w:cs="Arial" w:eastAsia="Arial" w:hAnsi="Arial"/>
          <w:sz w:val="17"/>
          <w:szCs w:val="17"/>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77" w:lineRule="exact"/>
        <w:rPr>
          <w:sz w:val="20"/>
          <w:szCs w:val="20"/>
          <w:color w:val="auto"/>
        </w:rPr>
      </w:pPr>
    </w:p>
    <w:p>
      <w:pPr>
        <w:ind w:left="180" w:right="720" w:firstLine="324"/>
        <w:spacing w:after="0" w:line="375" w:lineRule="auto"/>
        <w:rPr>
          <w:sz w:val="20"/>
          <w:szCs w:val="20"/>
          <w:color w:val="auto"/>
        </w:rPr>
      </w:pPr>
      <w:r>
        <w:rPr>
          <w:rFonts w:ascii="Arial" w:cs="Arial" w:eastAsia="Arial" w:hAnsi="Arial"/>
          <w:sz w:val="18"/>
          <w:szCs w:val="18"/>
          <w:color w:val="auto"/>
        </w:rPr>
        <w:t xml:space="preserve">Under certain adverse market and economic conditions, our access to liquidity may deteriorate, or the cost to access liquidity may increase. </w:t>
      </w:r>
      <w:r>
        <w:rPr>
          <w:rFonts w:ascii="Arial" w:cs="Arial" w:eastAsia="Arial" w:hAnsi="Arial"/>
          <w:sz w:val="18"/>
          <w:szCs w:val="18"/>
          <w:b w:val="1"/>
          <w:bCs w:val="1"/>
          <w:i w:val="1"/>
          <w:iCs w:val="1"/>
          <w:u w:val="single" w:color="auto"/>
          <w:color w:val="auto"/>
        </w:rPr>
        <w:t>Capital</w:t>
      </w:r>
    </w:p>
    <w:p>
      <w:pPr>
        <w:spacing w:after="0" w:line="1"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is supported by our ability to generate cash flows within our insurance companies, our ability to effectively manage the risks of our businesses and our expected ability to borrow funds and raise additional capital to meet operating and growth needs under a variety of market and economic conditions.</w:t>
      </w:r>
    </w:p>
    <w:p>
      <w:pPr>
        <w:spacing w:after="0" w:line="76" w:lineRule="exact"/>
        <w:rPr>
          <w:sz w:val="20"/>
          <w:szCs w:val="20"/>
          <w:color w:val="auto"/>
        </w:rPr>
      </w:pPr>
    </w:p>
    <w:p>
      <w:pPr>
        <w:jc w:val="both"/>
        <w:ind w:left="180" w:firstLine="324"/>
        <w:spacing w:after="0" w:line="301" w:lineRule="auto"/>
        <w:rPr>
          <w:sz w:val="20"/>
          <w:szCs w:val="20"/>
          <w:color w:val="auto"/>
        </w:rPr>
      </w:pPr>
      <w:r>
        <w:rPr>
          <w:rFonts w:ascii="Arial" w:cs="Arial" w:eastAsia="Arial" w:hAnsi="Arial"/>
          <w:sz w:val="16"/>
          <w:szCs w:val="16"/>
          <w:color w:val="auto"/>
        </w:rPr>
        <w:t>We target to maintain a debt-to-capital ratio of approximately 25%, which we monitor using an average of our key leverage ratios as calculated by A.M. Best, Fitch, Moody’s and S&amp;P. As such, we may opportunistically look to pursue additional financing over time, which may include borrowings under credit facilities, the issuance of debt, equity or hybrid securities, the incurrence of term loans, or the refinancing of existing indebtedness. There can be no assurance that we will be able to complete any such financing transactions on terms and conditions favorable to us or at all.</w:t>
      </w:r>
    </w:p>
    <w:p>
      <w:pPr>
        <w:spacing w:after="0" w:line="49"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In support of our target combined risk-based capital (“RBC”) ratio between 400% and 450% in normal market conditions, we expect to continue to maintain a capital and exposure risk management program that targets total assets supporting our variable annuity contracts at or above the average of the worst two percent of a set of capital market scenarios over the life of the contracts (“CTE98”) level in normal market conditions. We refer to our target level of assets as our Variable Annuity Target Funding Level. While total assets supporting our variable annuity capital may exceed the CTE98 level, under stressed conditions, we intend to allow such assets supporting our variable annuity contracts to range between a target floor level of CTE95 (the average of the worst five percent of a set of capital market scenarios over the life of the contracts) and CTE98.</w:t>
      </w:r>
    </w:p>
    <w:p>
      <w:pPr>
        <w:spacing w:after="0" w:line="70"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On February 10, 2021, we authorized the repurchase of up to $200 million of our common stock, which is in addition to the $1.1 billion aggregate stock repurchase authorizations announced in February 2020, May 2019 and August 2018. Repurchases made under the February 10, 2021 authorization may be made through open market purchases, including pursuant to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69"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We currently have no plans to declare and pay dividends on our common stock. Any future declaration and payment of dividends or other distributions or returns of capital will be at the discretion of our Board of Directors and will depend on and be subject to our financial condition, results of operations, cash needs, regulatory and other constraints, capital requirements (including capital requirements of our insurance subsidiaries), contractual restrictions and any other factors that our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Rating Agencies</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Credit rating agencies may continue to review and adjust our ratings. For example, in April 2020, Fitch revised the rating outlook for BHF and certain of its subsidiaries to negative from stable due to the disruption to economic activity and the financial markets from the COVID-19 pandemic. This action by Fitch followed its revision of the rating outlook on the U.S. life insurance industry to negative. In April 2021, Fitch revised the rating outlook for BHF and certain of its subsidiaries from negative back to stable. See “Risk Factors — Risks Related to Our Business — A downgrade or a potential downgrade in our financial strength or credit ratings could result in a loss of business and materially adversely affect our financial condition and results of operations” included in our 2020 Annual Report for an in-depth description of the impact of a potential ratings downgrade.</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sources and uses of liquidity and capital were as follows at:</w:t>
      </w:r>
    </w:p>
    <w:p>
      <w:pPr>
        <w:spacing w:after="0" w:line="247"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r>
      <w:tr>
        <w:trPr>
          <w:trHeight w:val="183"/>
        </w:trPr>
        <w:tc>
          <w:tcPr>
            <w:tcW w:w="8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r>
      <w:tr>
        <w:trPr>
          <w:trHeight w:val="217"/>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Sources:</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Operating activities, net</w:t>
            </w: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policyholder account balances, net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6,597</w:t>
            </w:r>
          </w:p>
        </w:tc>
      </w:tr>
      <w:tr>
        <w:trPr>
          <w:trHeight w:val="213"/>
        </w:trPr>
        <w:tc>
          <w:tcPr>
            <w:tcW w:w="83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sources</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1,360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8,189</w:t>
            </w:r>
          </w:p>
        </w:tc>
      </w:tr>
      <w:tr>
        <w:trPr>
          <w:trHeight w:val="193"/>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Uses:</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 net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Investing activities, net</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1,484</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Dividends on preferred stock</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acquired in connection with share repurchases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3"/>
        </w:trPr>
        <w:tc>
          <w:tcPr>
            <w:tcW w:w="8380" w:type="dxa"/>
            <w:vAlign w:val="bottom"/>
          </w:tcPr>
          <w:p>
            <w:pPr>
              <w:ind w:left="2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7"/>
        </w:trPr>
        <w:tc>
          <w:tcPr>
            <w:tcW w:w="83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uses</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1,443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2,136</w:t>
            </w:r>
          </w:p>
        </w:tc>
      </w:tr>
      <w:tr>
        <w:trPr>
          <w:trHeight w:val="238"/>
        </w:trPr>
        <w:tc>
          <w:tcPr>
            <w:tcW w:w="8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117" w:lineRule="exact"/>
        <w:rPr>
          <w:sz w:val="20"/>
          <w:szCs w:val="20"/>
          <w:color w:val="auto"/>
        </w:rPr>
      </w:pPr>
    </w:p>
    <w:p>
      <w:pPr>
        <w:jc w:val="both"/>
        <w:ind w:left="340" w:firstLine="324"/>
        <w:spacing w:after="0" w:line="296" w:lineRule="auto"/>
        <w:rPr>
          <w:sz w:val="20"/>
          <w:szCs w:val="20"/>
          <w:color w:val="auto"/>
        </w:rPr>
      </w:pPr>
      <w:r>
        <w:rPr>
          <w:rFonts w:ascii="Arial" w:cs="Arial" w:eastAsia="Arial" w:hAnsi="Arial"/>
          <w:sz w:val="16"/>
          <w:szCs w:val="16"/>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Funding Sources</w:t>
      </w:r>
    </w:p>
    <w:p>
      <w:pPr>
        <w:spacing w:after="0" w:line="117"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Preferred Stock</w:t>
      </w:r>
    </w:p>
    <w:p>
      <w:pPr>
        <w:spacing w:after="0" w:line="117" w:lineRule="exact"/>
        <w:rPr>
          <w:sz w:val="20"/>
          <w:szCs w:val="20"/>
          <w:color w:val="auto"/>
        </w:rPr>
      </w:pPr>
    </w:p>
    <w:p>
      <w:pPr>
        <w:jc w:val="both"/>
        <w:ind w:left="500" w:firstLine="324"/>
        <w:spacing w:after="0" w:line="277" w:lineRule="auto"/>
        <w:rPr>
          <w:sz w:val="20"/>
          <w:szCs w:val="20"/>
          <w:color w:val="auto"/>
        </w:rPr>
      </w:pPr>
      <w:r>
        <w:rPr>
          <w:rFonts w:ascii="Arial" w:cs="Arial" w:eastAsia="Arial" w:hAnsi="Arial"/>
          <w:sz w:val="18"/>
          <w:szCs w:val="18"/>
          <w:color w:val="auto"/>
        </w:rPr>
        <w:t>See Note 7 of the Notes to the Interim Condensed Consolidated Financial Statements and Note 10 of the Notes to the Consolidated Financial Statements included in our 2020 Annual Report for information on preferred stock issuances.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Funding Agreements</w:t>
      </w:r>
    </w:p>
    <w:p>
      <w:pPr>
        <w:spacing w:after="0" w:line="117" w:lineRule="exact"/>
        <w:rPr>
          <w:sz w:val="20"/>
          <w:szCs w:val="20"/>
          <w:color w:val="auto"/>
        </w:rPr>
      </w:pPr>
    </w:p>
    <w:p>
      <w:pPr>
        <w:jc w:val="both"/>
        <w:ind w:left="500" w:firstLine="324"/>
        <w:spacing w:after="0" w:line="311" w:lineRule="auto"/>
        <w:rPr>
          <w:sz w:val="20"/>
          <w:szCs w:val="20"/>
          <w:color w:val="auto"/>
        </w:rPr>
      </w:pPr>
      <w:r>
        <w:rPr>
          <w:rFonts w:ascii="Arial" w:cs="Arial" w:eastAsia="Arial" w:hAnsi="Arial"/>
          <w:sz w:val="16"/>
          <w:szCs w:val="16"/>
          <w:color w:val="auto"/>
        </w:rPr>
        <w:t>From time to time, Brighthouse Life Insurance Company issues funding agreements and uses the proceeds from such issuances to provide additional liquidity or for spread lending purposes. The activity under all such funding agreements is reported in policyholder account balances. See Note 3 of the Notes to the Consolidated Financial Statements included in our 2020 Annual Report for additional information on funding agreements.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Funding Agreement-Backed Notes Program</w:t>
      </w:r>
    </w:p>
    <w:p>
      <w:pPr>
        <w:spacing w:after="0" w:line="117" w:lineRule="exact"/>
        <w:rPr>
          <w:sz w:val="20"/>
          <w:szCs w:val="20"/>
          <w:color w:val="auto"/>
        </w:rPr>
      </w:pPr>
    </w:p>
    <w:p>
      <w:pPr>
        <w:jc w:val="both"/>
        <w:ind w:left="660" w:firstLine="324"/>
        <w:spacing w:after="0" w:line="275" w:lineRule="auto"/>
        <w:rPr>
          <w:sz w:val="20"/>
          <w:szCs w:val="20"/>
          <w:color w:val="auto"/>
        </w:rPr>
      </w:pPr>
      <w:r>
        <w:rPr>
          <w:rFonts w:ascii="Arial" w:cs="Arial" w:eastAsia="Arial" w:hAnsi="Arial"/>
          <w:sz w:val="17"/>
          <w:szCs w:val="17"/>
          <w:color w:val="auto"/>
        </w:rPr>
        <w:t>In April 2021, Brighthouse Life Insurance Company established a funding agreement-backed notes program (the “FABN Program”), pursuant to which Brighthouse Life Insurance Company may issue funding agreements to a special purpose statutory trust (the “Trust”) for spread lending purposes. The maximum aggregate principal amount permitted to be outstanding at any one time under the FABN Program is $5.0 billion. On April 12, 2021, Brighthouse Life Insurance Company issued funding agreements to the Trust in an aggregate principal amount of $700 million. Activity related to these funding agreements will be reported in Corporate &amp; Other.</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Federal Home Loan Bank Funding Agreements</w:t>
      </w:r>
    </w:p>
    <w:p>
      <w:pPr>
        <w:spacing w:after="0" w:line="117" w:lineRule="exact"/>
        <w:rPr>
          <w:sz w:val="20"/>
          <w:szCs w:val="20"/>
          <w:color w:val="auto"/>
        </w:rPr>
      </w:pPr>
    </w:p>
    <w:p>
      <w:pPr>
        <w:jc w:val="both"/>
        <w:ind w:left="660" w:firstLine="324"/>
        <w:spacing w:after="0" w:line="293" w:lineRule="auto"/>
        <w:rPr>
          <w:sz w:val="20"/>
          <w:szCs w:val="20"/>
          <w:color w:val="auto"/>
        </w:rPr>
      </w:pPr>
      <w:r>
        <w:rPr>
          <w:rFonts w:ascii="Arial" w:cs="Arial" w:eastAsia="Arial" w:hAnsi="Arial"/>
          <w:sz w:val="16"/>
          <w:szCs w:val="16"/>
          <w:color w:val="auto"/>
        </w:rPr>
        <w:t>Brighthouse Life Insurance Company is a member of the Federal Home Loan Bank (“FHLB”) of Atlanta, where it maintains an active funding agreement program, under which funding agreements may be issued either (i) to provide additional liquidity or (ii) for spread lending purposes. At both March 31, 2021 and December 31, 2020, there were no obligations outstanding under this funding agreement program and, during both the three months ended March 31, 2021 and 2020, there were no issuances or repayments under this funding agreement program. On April 19, 2021, Brighthouse Life Insurance Company issued funding agreements to the FHLB of Atlanta for spread lending purposes in an aggregate principal amount of $500 million. Activity related to these funding agreements will be reported in Corporate &amp; Other.</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Farmer Mac Funding Agreements</w:t>
      </w:r>
    </w:p>
    <w:p>
      <w:pPr>
        <w:spacing w:after="0" w:line="117" w:lineRule="exact"/>
        <w:rPr>
          <w:sz w:val="20"/>
          <w:szCs w:val="20"/>
          <w:color w:val="auto"/>
        </w:rPr>
      </w:pPr>
    </w:p>
    <w:p>
      <w:pPr>
        <w:jc w:val="both"/>
        <w:ind w:left="660" w:firstLine="324"/>
        <w:spacing w:after="0" w:line="296" w:lineRule="auto"/>
        <w:rPr>
          <w:sz w:val="20"/>
          <w:szCs w:val="20"/>
          <w:color w:val="auto"/>
        </w:rPr>
      </w:pPr>
      <w:r>
        <w:rPr>
          <w:rFonts w:ascii="Arial" w:cs="Arial" w:eastAsia="Arial" w:hAnsi="Arial"/>
          <w:sz w:val="16"/>
          <w:szCs w:val="16"/>
          <w:color w:val="auto"/>
        </w:rPr>
        <w:t>Brighthouse Life Insurance Company has a funding agreement program with the Federal Agricultural Mortgage Corporation and its affiliate Farmer Mac Mortgage Securities Corporation (“Farmer Mac”) with a term ending on December 31, 2023, pursuant to which the parties may enter into funding agreements in an aggregate amount of up to $500 million either (i) to provide additional liquidity or (ii) for spread lending purposes. At both March 31, 2021 and December 31, 2020, there were no borrowings under this funding agreement program. On April 30, 2021, Brighthouse Life Insurance Company issued funding agreements to Farmer Mac for spread lending purposes in an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aggregate principal amount of $25 million. Activity related to these funding agreements will be reported in Corporate &amp; Other.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Debt Issuances</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See Note 9 of the Notes to the Consolidated Financial Statements included in our 2020 Annual Report for information on debt issuances.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Credit and Committed Facilities</w:t>
      </w:r>
    </w:p>
    <w:p>
      <w:pPr>
        <w:spacing w:after="0" w:line="117" w:lineRule="exact"/>
        <w:rPr>
          <w:sz w:val="20"/>
          <w:szCs w:val="20"/>
          <w:color w:val="auto"/>
        </w:rPr>
      </w:pPr>
    </w:p>
    <w:p>
      <w:pPr>
        <w:jc w:val="both"/>
        <w:ind w:left="500" w:firstLine="324"/>
        <w:spacing w:after="0" w:line="277" w:lineRule="auto"/>
        <w:rPr>
          <w:sz w:val="20"/>
          <w:szCs w:val="20"/>
          <w:color w:val="auto"/>
        </w:rPr>
      </w:pPr>
      <w:r>
        <w:rPr>
          <w:rFonts w:ascii="Arial" w:cs="Arial" w:eastAsia="Arial" w:hAnsi="Arial"/>
          <w:sz w:val="18"/>
          <w:szCs w:val="18"/>
          <w:color w:val="auto"/>
        </w:rPr>
        <w:t>See Note 9 of the Notes to the Consolidated Financial Statements included in our 2020 Annual Report for information regarding our credit and committed facilities.</w:t>
      </w:r>
    </w:p>
    <w:p>
      <w:pPr>
        <w:spacing w:after="0" w:line="62" w:lineRule="exact"/>
        <w:rPr>
          <w:sz w:val="20"/>
          <w:szCs w:val="20"/>
          <w:color w:val="auto"/>
        </w:rPr>
      </w:pPr>
    </w:p>
    <w:p>
      <w:pPr>
        <w:jc w:val="both"/>
        <w:ind w:left="500" w:firstLine="324"/>
        <w:spacing w:after="0" w:line="263" w:lineRule="auto"/>
        <w:rPr>
          <w:sz w:val="20"/>
          <w:szCs w:val="20"/>
          <w:color w:val="auto"/>
        </w:rPr>
      </w:pPr>
      <w:r>
        <w:rPr>
          <w:rFonts w:ascii="Arial" w:cs="Arial" w:eastAsia="Arial" w:hAnsi="Arial"/>
          <w:sz w:val="18"/>
          <w:szCs w:val="18"/>
          <w:color w:val="auto"/>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Outstanding Long-term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outstanding long-term debt was as follows at: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87"/>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4"/>
          </w:tcPr>
          <w:p>
            <w:pPr>
              <w:jc w:val="right"/>
              <w:ind w:right="130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7"/>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0" w:type="dxa"/>
            <w:vAlign w:val="bottom"/>
          </w:tcPr>
          <w:p>
            <w:pPr>
              <w:spacing w:after="0"/>
              <w:rPr>
                <w:sz w:val="1"/>
                <w:szCs w:val="1"/>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Junior subordinated debentures</w:t>
            </w:r>
          </w:p>
        </w:tc>
        <w:tc>
          <w:tcPr>
            <w:tcW w:w="240" w:type="dxa"/>
            <w:vAlign w:val="bottom"/>
          </w:tcPr>
          <w:p>
            <w:pPr>
              <w:spacing w:after="0"/>
              <w:rPr>
                <w:sz w:val="18"/>
                <w:szCs w:val="18"/>
                <w:color w:val="auto"/>
              </w:rPr>
            </w:pP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debt (1)</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2"/>
        </w:trPr>
        <w:tc>
          <w:tcPr>
            <w:tcW w:w="7740" w:type="dxa"/>
            <w:vAlign w:val="bottom"/>
          </w:tcPr>
          <w:p>
            <w:pPr>
              <w:ind w:left="180"/>
              <w:spacing w:after="0"/>
              <w:rPr>
                <w:sz w:val="20"/>
                <w:szCs w:val="20"/>
                <w:color w:val="auto"/>
              </w:rPr>
            </w:pPr>
            <w:r>
              <w:rPr>
                <w:rFonts w:ascii="Arial" w:cs="Arial" w:eastAsia="Arial" w:hAnsi="Arial"/>
                <w:sz w:val="16"/>
                <w:szCs w:val="16"/>
                <w:color w:val="auto"/>
              </w:rPr>
              <w:t>Total long-term debt (2)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3,435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3,436</w:t>
            </w:r>
          </w:p>
        </w:tc>
        <w:tc>
          <w:tcPr>
            <w:tcW w:w="0" w:type="dxa"/>
            <w:vAlign w:val="bottom"/>
          </w:tcPr>
          <w:p>
            <w:pPr>
              <w:spacing w:after="0"/>
              <w:rPr>
                <w:sz w:val="1"/>
                <w:szCs w:val="1"/>
                <w:color w:val="auto"/>
              </w:rPr>
            </w:pPr>
          </w:p>
        </w:tc>
      </w:tr>
      <w:tr>
        <w:trPr>
          <w:trHeight w:val="21"/>
        </w:trPr>
        <w:tc>
          <w:tcPr>
            <w:tcW w:w="77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34"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62"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Includes unamortized debt issuance costs, discounts and premiums, as applicable, totaling net $35 million at both March 31, 2021 and December 31, 2020, for senior notes and junior subordinated debentures on a combined basis.</w:t>
      </w:r>
    </w:p>
    <w:p>
      <w:pPr>
        <w:spacing w:after="0" w:line="62"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See Note 9 of the Notes to the Consolidated Financial Statements included in our 2020 Annual Report for additional information regarding the terms of our long-term debt.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and Facility Covenants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Our debt instruments and credit and committed facilities contain certain administrative, reporting and legal covenants. Additionally, 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March 31, 2021, we were in compliance with these financial covenants.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Uses of Liquidity and Capital</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See Note 7 of the Notes to the Interim Condensed Consolidated Financial Statements for information relating to authorizations to repurchase BHF common stock, amounts of common stock repurchased pursuant to such authorizations and the amount remaining under such authorizations at March 31, 2021. Subsequent to March 31, 2021 and through May 6, 2021, BHF repurchased an additional 1,066,550 shares of its common stock through open market purchases, pursuant to 10b5-1 plans, for $49 million.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Preferred Stock Dividends</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See Note 7 of the Notes to the Interim Condensed Consolidated Financial Statements for information relating to dividends declared and paid on our preferred stock.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Repayments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9 of the Notes to the Consolidated Financial Statements included in our 2020 Annual Report for information on debt repayments.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Repurchases, Redemptions and Exchanges</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and applicable regulatory, legal and accounting factors. Whether or not we repurchase any debt and the size and timing of any such repurchases will be determined at our discretion.</w:t>
      </w:r>
    </w:p>
    <w:p>
      <w:pPr>
        <w:spacing w:after="0" w:line="63"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See Note 9 of the Notes to the Consolidated Financial Statements included in our 2020 Annual Report for additional information on debt repurchases.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Insurance Liabilities</w:t>
      </w:r>
    </w:p>
    <w:p>
      <w:pPr>
        <w:spacing w:after="0" w:line="117" w:lineRule="exact"/>
        <w:rPr>
          <w:sz w:val="20"/>
          <w:szCs w:val="20"/>
          <w:color w:val="auto"/>
        </w:rPr>
      </w:pPr>
    </w:p>
    <w:p>
      <w:pPr>
        <w:jc w:val="both"/>
        <w:ind w:left="340" w:firstLine="324"/>
        <w:spacing w:after="0" w:line="301" w:lineRule="auto"/>
        <w:rPr>
          <w:sz w:val="20"/>
          <w:szCs w:val="20"/>
          <w:color w:val="auto"/>
        </w:rPr>
      </w:pPr>
      <w:r>
        <w:rPr>
          <w:rFonts w:ascii="Arial" w:cs="Arial" w:eastAsia="Arial" w:hAnsi="Arial"/>
          <w:sz w:val="16"/>
          <w:szCs w:val="16"/>
          <w:color w:val="auto"/>
        </w:rPr>
        <w:t>Liabilities arising from our insurance activities primarily relate to benefit payments under various annuity and life insurance products, as well as payments for policy surrenders, withdrawals and loans. Surrender or lapse behavior differs somewhat by product but tends to occur in the ordinary course of business. During the three months ended March 31, 2021 and 2020, general account surrenders and withdrawals totaled $712 million and $545 million, respectively, of which $612 million and $517 million, respectively, was attributable to products within the Annuities segment.</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We pledge collateral to, and have collateral pledged to us by, counterparties in connection with our derivatives. At both March 31, 2021 and December 31, 2020, we did not pledge any cash collateral to counterparties. At March 31, 2021 and December 31, 2020, we were obligated to return cash collateral pledged to us by counterparties of $951 million and $1.6 billion, respectively. See Note 5 of the Notes to the Interim Condensed Consolidated Financial Statements for additional information about pledged collateral. We also pledge collateral from time to time in connection with funding agreements.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Lending</w:t>
      </w:r>
    </w:p>
    <w:p>
      <w:pPr>
        <w:spacing w:after="0" w:line="117" w:lineRule="exact"/>
        <w:rPr>
          <w:sz w:val="20"/>
          <w:szCs w:val="20"/>
          <w:color w:val="auto"/>
        </w:rPr>
      </w:pPr>
    </w:p>
    <w:p>
      <w:pPr>
        <w:jc w:val="both"/>
        <w:ind w:left="340" w:firstLine="324"/>
        <w:spacing w:after="0" w:line="271" w:lineRule="auto"/>
        <w:rPr>
          <w:sz w:val="20"/>
          <w:szCs w:val="20"/>
          <w:color w:val="auto"/>
        </w:rPr>
      </w:pPr>
      <w:r>
        <w:rPr>
          <w:rFonts w:ascii="Arial" w:cs="Arial" w:eastAsia="Arial" w:hAnsi="Arial"/>
          <w:sz w:val="17"/>
          <w:szCs w:val="17"/>
          <w:color w:val="auto"/>
        </w:rPr>
        <w:t>We have a securities lending program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$3.3 billion and $3.7 billion at March 31, 2021 and December 31, 2020, respectively. Of these amounts, $907 million and $937 million at March 31, 2021 and December 31, 2020, respectively, were on open, meaning that the related loaned security could be returned to us on the next business day requiring the immediate return of cash collateral we hold. The estimated fair value of the securities on loan related to the cash collateral on open at March 31, 2021 was $879 million, primarily comprised of U.S. government and agency securities that, if put back to us, could be immediately sold to satisfy the cash requirement. See Note 4 of the Notes to the Interim Condensed Consolidated Financial Statements.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7" w:lineRule="exact"/>
        <w:rPr>
          <w:sz w:val="20"/>
          <w:szCs w:val="20"/>
          <w:color w:val="auto"/>
        </w:rPr>
      </w:pPr>
    </w:p>
    <w:p>
      <w:pPr>
        <w:jc w:val="both"/>
        <w:ind w:left="340" w:firstLine="324"/>
        <w:spacing w:after="0" w:line="275" w:lineRule="auto"/>
        <w:rPr>
          <w:sz w:val="20"/>
          <w:szCs w:val="20"/>
          <w:color w:val="auto"/>
        </w:rPr>
      </w:pPr>
      <w:r>
        <w:rPr>
          <w:rFonts w:ascii="Arial" w:cs="Arial" w:eastAsia="Arial" w:hAnsi="Arial"/>
          <w:sz w:val="17"/>
          <w:szCs w:val="17"/>
          <w:color w:val="auto"/>
        </w:rPr>
        <w:t>Putative or certified class action litigation and other litigation, and claims and assessments against us, in addition to those discussed elsewhere herein and those otherwise provided for in the financial statements, have arisen in the course of our business, including, but not limited to, in connection with our activities as an insurer, employer, investor, investment advisor, and taxpayer. Further, state insurance regulatory authorities and other federal and state authorities regularly make inquiries and conduct investigations concerning our compliance with applicable insurance and other laws and regulations. See Note 10 of the Notes to the Interim Condensed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Parent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 and Capital</w:t>
      </w:r>
    </w:p>
    <w:p>
      <w:pPr>
        <w:spacing w:after="0" w:line="11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Short-term Liquidity and Liquid Assets</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At both March 31, 2021 and December 31, 2020, BHF and certain of its non-insurance subsidiaries had short-term liquidity of $1.6 billion. Short-term liquidity is comprised of cash and cash equivalents and short-term investments.</w:t>
      </w:r>
    </w:p>
    <w:p>
      <w:pPr>
        <w:spacing w:after="0" w:line="62"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At March 31, 2021 and December 31, 2020, BHF and certain of its non-insurance subsidiaries had liquid assets of $1.6 billion and $1.7 billion, respectively, of which $1.5 billion and $1.6 billion, respectively, was held by BHF. Liquid assets are comprised of cash and cash equivalents, short-term investments and publicly-traded securities.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Statutory Capital and Dividends</w:t>
      </w:r>
    </w:p>
    <w:p>
      <w:pPr>
        <w:spacing w:after="0" w:line="117" w:lineRule="exact"/>
        <w:rPr>
          <w:sz w:val="20"/>
          <w:szCs w:val="20"/>
          <w:color w:val="auto"/>
        </w:rPr>
      </w:pPr>
    </w:p>
    <w:p>
      <w:pPr>
        <w:jc w:val="both"/>
        <w:ind w:left="340" w:firstLine="324"/>
        <w:spacing w:after="0" w:line="290" w:lineRule="auto"/>
        <w:rPr>
          <w:sz w:val="20"/>
          <w:szCs w:val="20"/>
          <w:color w:val="auto"/>
        </w:rPr>
      </w:pPr>
      <w:r>
        <w:rPr>
          <w:rFonts w:ascii="Arial" w:cs="Arial" w:eastAsia="Arial" w:hAnsi="Arial"/>
          <w:sz w:val="16"/>
          <w:szCs w:val="16"/>
          <w:color w:val="auto"/>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(“TAC”) does not meet or exceed certain RBC levels. As of the date of the most recent annual statutory financial statements filed with insurance regulators, the TAC of each of our insurance subsidiaries subject to these requirements was in excess of each of those RBC levels.</w:t>
      </w:r>
    </w:p>
    <w:p>
      <w:pPr>
        <w:spacing w:after="0" w:line="57"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insurance laws and regulations. See Note 10 of the Notes to the Consolidated Financial Statements included in our 2020 Annual Report.</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Sources and Uses of Liquidity and Capital</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principal sources of funds available to BHF include distributions from Brighthouse Holdings, LLC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80"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primary uses of liquidity of BHF include debt-service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to the liquidity and capital sources discussed in “— The Company — Primary Sources of Liquidity and Capital” and “— The Company</w:t>
      </w:r>
    </w:p>
    <w:p>
      <w:pPr>
        <w:spacing w:after="0" w:line="46" w:lineRule="exact"/>
        <w:rPr>
          <w:sz w:val="20"/>
          <w:szCs w:val="20"/>
          <w:color w:val="auto"/>
        </w:rPr>
      </w:pPr>
    </w:p>
    <w:p>
      <w:pPr>
        <w:ind w:left="180" w:right="20"/>
        <w:spacing w:after="0" w:line="260" w:lineRule="auto"/>
        <w:rPr>
          <w:sz w:val="20"/>
          <w:szCs w:val="20"/>
          <w:color w:val="auto"/>
        </w:rPr>
      </w:pPr>
      <w:r>
        <w:rPr>
          <w:rFonts w:ascii="Arial" w:cs="Arial" w:eastAsia="Arial" w:hAnsi="Arial"/>
          <w:sz w:val="18"/>
          <w:szCs w:val="18"/>
          <w:color w:val="auto"/>
        </w:rPr>
        <w:t>— Primary Uses of Liquidity and Capital,” the following additional information is provided regarding BHF’s primary sources and uses of liquidity and capital:</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Distributions from and Capital Contributions to BH Holdings</w:t>
      </w:r>
    </w:p>
    <w:p>
      <w:pPr>
        <w:spacing w:after="0" w:line="117" w:lineRule="exact"/>
        <w:rPr>
          <w:sz w:val="20"/>
          <w:szCs w:val="20"/>
          <w:color w:val="auto"/>
        </w:rPr>
      </w:pPr>
    </w:p>
    <w:p>
      <w:pPr>
        <w:ind w:left="340" w:right="20" w:firstLine="324"/>
        <w:spacing w:after="0" w:line="277" w:lineRule="auto"/>
        <w:rPr>
          <w:sz w:val="20"/>
          <w:szCs w:val="20"/>
          <w:color w:val="auto"/>
        </w:rPr>
      </w:pPr>
      <w:r>
        <w:rPr>
          <w:rFonts w:ascii="Arial" w:cs="Arial" w:eastAsia="Arial" w:hAnsi="Arial"/>
          <w:sz w:val="18"/>
          <w:szCs w:val="18"/>
          <w:color w:val="auto"/>
        </w:rPr>
        <w:t>During the three months ended March 31, 2021 and 2020, BHF did not make any cash capital contributions to BH Holdings and received cash distributions of $0 and $488 million, respectively, from BH Holdings.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Short-term Intercompany Loans</w:t>
      </w:r>
    </w:p>
    <w:p>
      <w:pPr>
        <w:spacing w:after="0" w:line="117"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three months ended March 31, 2021 and 2020, BHF borrowed $196 million and $165 million, respectively, from certain of its non-insurance subsidiaries and repaid $200 million and $315 million of such borrowings during the three months ended March 31, 2021 and 2020, respectively. At March 31, 2021 and December 31, 2020, BHF had total obligations outstanding of $449 million and $453 million, respectively, under such agreements.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Intercompany Liquidity Facilities</w:t>
      </w:r>
    </w:p>
    <w:p>
      <w:pPr>
        <w:spacing w:after="0" w:line="117" w:lineRule="exact"/>
        <w:rPr>
          <w:sz w:val="20"/>
          <w:szCs w:val="20"/>
          <w:color w:val="auto"/>
        </w:rPr>
      </w:pPr>
    </w:p>
    <w:p>
      <w:pPr>
        <w:jc w:val="both"/>
        <w:ind w:left="340" w:firstLine="324"/>
        <w:spacing w:after="0" w:line="296" w:lineRule="auto"/>
        <w:rPr>
          <w:sz w:val="20"/>
          <w:szCs w:val="20"/>
          <w:color w:val="auto"/>
        </w:rPr>
      </w:pPr>
      <w:r>
        <w:rPr>
          <w:rFonts w:ascii="Arial" w:cs="Arial" w:eastAsia="Arial" w:hAnsi="Arial"/>
          <w:sz w:val="16"/>
          <w:szCs w:val="16"/>
          <w:color w:val="auto"/>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not more than 364 days. During both the three months ended March 31, 2021 and 2020, there were no borrowings or repayments by BHF under these facilities and, at both March 31, 2021 and December 31, 2020, BHF had no obligations outstanding under such facilities.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or all forward-looking statements may turn out to be wrong. They can be affected by inaccurate assumptions or by known or unknown risks and uncertainties. Many such factors will be important in determining the actual future results of Brighthouse.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84"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market risk due to guarantees within certain of our products;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effectiveness of our variable annuity exposure risk management strategy and the impact of such strategy on volatility in our profitability measures and negative effects on our statutory capital;</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material differences from actual outcomes compared to the sensitivities calculated under certain scenarios and sensitivities that we may utilize in connection with our variable annuity risk management strategies;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impact of interest rates on our future ULSG policyholder obligations and net income volatility;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potential material adverse effect of changes in accounting standards, practices or policies applicable to us, including changes in the accounting for long-duration contracts;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loss of business and other negative impacts resulting from a downgrade or a potential downgrade in our financial strength or credit ratings;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the counterparties to our reinsurance or indemnification arrangements to perform their obligations thereunder;</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ability of our subsidiaries to pay dividends to us, and our ability to pay dividends to our shareholders and repurchase our common stock;</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adverse impact on liabilities for policyholder claims as a result of extreme mortality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impact of adverse capital and credit market conditions, including with respect to our ability to meet liquidity needs and access capital;</w:t>
      </w:r>
    </w:p>
    <w:p>
      <w:pPr>
        <w:spacing w:after="0" w:line="128" w:lineRule="exact"/>
        <w:rPr>
          <w:rFonts w:ascii="Arial" w:cs="Arial" w:eastAsia="Arial" w:hAnsi="Arial"/>
          <w:sz w:val="17"/>
          <w:szCs w:val="17"/>
          <w:color w:val="auto"/>
        </w:rPr>
      </w:pPr>
    </w:p>
    <w:p>
      <w:pPr>
        <w:ind w:left="660" w:right="20" w:hanging="328"/>
        <w:spacing w:after="0" w:line="308" w:lineRule="auto"/>
        <w:tabs>
          <w:tab w:leader="none" w:pos="65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impact of economic conditions in the capital markets and the U.S. and global economy, as well as geo-political or catastrophic events, on our investment portfolio, including on realized and unrealized losses and impairments, net investment spread and net investment income;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line="308" w:lineRule="auto"/>
        <w:tabs>
          <w:tab w:leader="none" w:pos="6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impact of events that adversely affect issuers, guarantors or collateral relating to our investments or our derivatives counterparties, on impairments, valuation allowances, reserves, net investment income and changes in unrealized gain or loss positions;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on our insurance business or other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potential material negative tax impact of potential future tax legislation that could make some of our products less attractive to consumers;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effectiveness of our policies and procedures in managing risk;</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all or any portion of the tax consequences of our separation from MetLife are not as expected, leading to material additional taxes or material adverse consequences to tax attributes that impact us;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uncertainty of the outcome of any disputes with MetLife over tax-related or other matters and agreements or disagreements regarding MetLife’s or our obligations under our other agreements;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other factors described in this report and from time to time in documents that we file with the SEC.</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2020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routinely use our Investor Relations website to provide presentations, press releases and other information that may be deemed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post financial information.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our 2020 Annual Report.</w:t>
      </w:r>
    </w:p>
    <w:p>
      <w:pPr>
        <w:spacing w:after="0" w:line="12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have been no material changes to our market risk exposures from the market risk exposures previously disclosed in our 2020 Annual Report, with the exception of sensitivity to changes in interest rates. Sensitivity to a 100 basis point rise in interest rates decreased by $1.3 billion, or 15%, to $7.4 billion as of March 31, 2021 from $8.7 billion as of December 31, 2020, primarily as a result of the impact of higher interest rates on both the estimated fair value of fixed maturity securities and our interest rate derivative contracts, in line with management expectations.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with the participation of the Chief Executive Officer and the Chief Financial Officer, has evaluated the effectiveness of the design and operation of the Company’s disclosure controls and procedures as defined in Rules 13a-15(e)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March 31, 2021.</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Rules 13a-15(f) and 15d-15(f) under the Exchange Act) that occurred during the quarter ended March 31, 2021 that have materially affected, or are reasonably likely to materially affect, these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10 of the Notes to the Interim Condensed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discuss in this report, in our 2020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2020 Annual Report.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Purchases of BHF common stock made by or on behalf of BHF or its affiliates during the three months ended March 31, 2021 are set forth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Average Price Paid per</w:t>
            </w: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35"/>
        </w:trPr>
        <w:tc>
          <w:tcPr>
            <w:tcW w:w="3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Publicly Announced Plans</w:t>
            </w:r>
          </w:p>
        </w:tc>
        <w:tc>
          <w:tcPr>
            <w:tcW w:w="100" w:type="dxa"/>
            <w:vAlign w:val="bottom"/>
          </w:tcPr>
          <w:p>
            <w:pPr>
              <w:spacing w:after="0"/>
              <w:rPr>
                <w:sz w:val="11"/>
                <w:szCs w:val="11"/>
                <w:color w:val="auto"/>
              </w:rPr>
            </w:pPr>
          </w:p>
        </w:tc>
        <w:tc>
          <w:tcPr>
            <w:tcW w:w="18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88"/>
        </w:trPr>
        <w:tc>
          <w:tcPr>
            <w:tcW w:w="3740" w:type="dxa"/>
            <w:vAlign w:val="bottom"/>
            <w:gridSpan w:val="2"/>
            <w:vMerge w:val="continue"/>
          </w:tcPr>
          <w:p>
            <w:pPr>
              <w:spacing w:after="0"/>
              <w:rPr>
                <w:sz w:val="16"/>
                <w:szCs w:val="16"/>
                <w:color w:val="auto"/>
              </w:rPr>
            </w:pPr>
          </w:p>
        </w:tc>
        <w:tc>
          <w:tcPr>
            <w:tcW w:w="1800" w:type="dxa"/>
            <w:vAlign w:val="bottom"/>
          </w:tcPr>
          <w:p>
            <w:pPr>
              <w:jc w:val="right"/>
              <w:ind w:right="402"/>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right="4"/>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183"/>
        </w:trPr>
        <w:tc>
          <w:tcPr>
            <w:tcW w:w="3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17"/>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1 — January 31, 2021</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481,337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39.10</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481,337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3"/>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February 1 — February 28, 2021</w:t>
            </w:r>
          </w:p>
        </w:tc>
        <w:tc>
          <w:tcPr>
            <w:tcW w:w="1800" w:type="dxa"/>
            <w:vAlign w:val="bottom"/>
          </w:tcPr>
          <w:p>
            <w:pPr>
              <w:jc w:val="right"/>
              <w:spacing w:after="0"/>
              <w:rPr>
                <w:sz w:val="20"/>
                <w:szCs w:val="20"/>
                <w:color w:val="auto"/>
              </w:rPr>
            </w:pPr>
            <w:r>
              <w:rPr>
                <w:rFonts w:ascii="Arial" w:cs="Arial" w:eastAsia="Arial" w:hAnsi="Arial"/>
                <w:sz w:val="16"/>
                <w:szCs w:val="16"/>
                <w:color w:val="auto"/>
              </w:rPr>
              <w:t>463,938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3"/>
              <w:spacing w:after="0"/>
              <w:rPr>
                <w:sz w:val="20"/>
                <w:szCs w:val="20"/>
                <w:color w:val="auto"/>
              </w:rPr>
            </w:pPr>
            <w:r>
              <w:rPr>
                <w:rFonts w:ascii="Arial" w:cs="Arial" w:eastAsia="Arial" w:hAnsi="Arial"/>
                <w:sz w:val="16"/>
                <w:szCs w:val="16"/>
                <w:color w:val="auto"/>
              </w:rPr>
              <w:t>39.63</w:t>
            </w:r>
          </w:p>
        </w:tc>
        <w:tc>
          <w:tcPr>
            <w:tcW w:w="100" w:type="dxa"/>
            <w:vAlign w:val="bottom"/>
          </w:tcPr>
          <w:p>
            <w:pPr>
              <w:spacing w:after="0"/>
              <w:rPr>
                <w:sz w:val="18"/>
                <w:szCs w:val="18"/>
                <w:color w:val="auto"/>
              </w:rPr>
            </w:pPr>
          </w:p>
        </w:tc>
        <w:tc>
          <w:tcPr>
            <w:tcW w:w="1800" w:type="dxa"/>
            <w:vAlign w:val="bottom"/>
          </w:tcPr>
          <w:p>
            <w:pPr>
              <w:jc w:val="right"/>
              <w:ind w:right="4"/>
              <w:spacing w:after="0"/>
              <w:rPr>
                <w:sz w:val="20"/>
                <w:szCs w:val="20"/>
                <w:color w:val="auto"/>
              </w:rPr>
            </w:pPr>
            <w:r>
              <w:rPr>
                <w:rFonts w:ascii="Arial" w:cs="Arial" w:eastAsia="Arial" w:hAnsi="Arial"/>
                <w:sz w:val="16"/>
                <w:szCs w:val="16"/>
                <w:color w:val="auto"/>
              </w:rPr>
              <w:t>463,938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1 — March 31, 2021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862,466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42.94</w:t>
            </w:r>
          </w:p>
        </w:tc>
        <w:tc>
          <w:tcPr>
            <w:tcW w:w="10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714,597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3"/>
        </w:trPr>
        <w:tc>
          <w:tcPr>
            <w:tcW w:w="37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1,807,741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1,659,872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00" w:type="dxa"/>
            <w:vAlign w:val="bottom"/>
            <w:vMerge w:val="restart"/>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6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340" w:hanging="332"/>
        <w:spacing w:after="0" w:line="263" w:lineRule="auto"/>
        <w:tabs>
          <w:tab w:leader="none" w:pos="334"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Where applicable, total number of shares purchased includes shares of common stock withheld with respect to option exercise costs and tax withholding obligations associated with the exercise or vesting of share-based compensation awards under our publicly announced benefit plans or programs.</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February 10, 2021, we authorized the repurchase of up to $200 million of our common stock, which is in addition to the $1.1 billion aggregate stock repurchase authorizations announced in February 2020, May 2019 and August 2018. For more information on common stock repurchases, see Note 7 of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Note Regarding Reliance on Statements in Our Contracts:</w:t>
      </w:r>
      <w:r>
        <w:rPr>
          <w:rFonts w:ascii="Arial" w:cs="Arial" w:eastAsia="Arial" w:hAnsi="Arial"/>
          <w:sz w:val="17"/>
          <w:szCs w:val="17"/>
          <w:i w:val="1"/>
          <w:iCs w:val="1"/>
          <w:color w:val="auto"/>
        </w:rPr>
        <w:t xml:space="preserve"> In reviewing the agreements included as exhibits herein,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Brighthouse Financial, Inc.’s other public filings, which are available without charge through the U.S. Securities and Exchange Commission website at www.sec.gov.)</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 No.</w:t>
            </w:r>
          </w:p>
        </w:tc>
        <w:tc>
          <w:tcPr>
            <w:tcW w:w="20" w:type="dxa"/>
            <w:vAlign w:val="bottom"/>
          </w:tcPr>
          <w:p>
            <w:pPr>
              <w:spacing w:after="0"/>
              <w:rPr>
                <w:sz w:val="16"/>
                <w:szCs w:val="16"/>
                <w:color w:val="auto"/>
              </w:rPr>
            </w:pPr>
          </w:p>
        </w:tc>
        <w:tc>
          <w:tcPr>
            <w:tcW w:w="10040" w:type="dxa"/>
            <w:vAlign w:val="bottom"/>
            <w:gridSpan w:val="3"/>
          </w:tcPr>
          <w:p>
            <w:pPr>
              <w:ind w:left="466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183"/>
        </w:trPr>
        <w:tc>
          <w:tcPr>
            <w:tcW w:w="1080" w:type="dxa"/>
            <w:vAlign w:val="bottom"/>
          </w:tcPr>
          <w:p>
            <w:pPr>
              <w:jc w:val="center"/>
              <w:spacing w:after="0" w:line="182" w:lineRule="exact"/>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3"/>
          </w:tcPr>
          <w:p>
            <w:pPr>
              <w:spacing w:after="0" w:line="182" w:lineRule="exact"/>
              <w:rPr>
                <w:rFonts w:ascii="Arial" w:cs="Arial" w:eastAsia="Arial" w:hAnsi="Arial"/>
                <w:sz w:val="18"/>
                <w:szCs w:val="18"/>
                <w:color w:val="0000FF"/>
              </w:rPr>
            </w:pPr>
            <w:hyperlink w:anchor="page87">
              <w:r>
                <w:rPr>
                  <w:rFonts w:ascii="Arial" w:cs="Arial" w:eastAsia="Arial" w:hAnsi="Arial"/>
                  <w:sz w:val="18"/>
                  <w:szCs w:val="18"/>
                  <w:color w:val="0000FF"/>
                </w:rPr>
                <w:t>Certification of Chief Executive Officer pursuant to Section 302 of the Sarbanes-Oxley Act of 2002.</w:t>
              </w:r>
            </w:hyperlink>
          </w:p>
        </w:tc>
      </w:tr>
      <w:tr>
        <w:trPr>
          <w:trHeight w:val="209"/>
        </w:trPr>
        <w:tc>
          <w:tcPr>
            <w:tcW w:w="108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Borders>
              <w:top w:val="single" w:sz="8" w:color="0000FF"/>
              <w:bottom w:val="single" w:sz="8" w:color="0000FF"/>
            </w:tcBorders>
          </w:tcPr>
          <w:p>
            <w:pPr>
              <w:spacing w:after="0"/>
              <w:rPr>
                <w:rFonts w:ascii="Arial" w:cs="Arial" w:eastAsia="Arial" w:hAnsi="Arial"/>
                <w:sz w:val="18"/>
                <w:szCs w:val="18"/>
                <w:color w:val="0000FF"/>
                <w:w w:val="92"/>
              </w:rPr>
            </w:pPr>
            <w:hyperlink w:anchor="page88">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Borders>
              <w:top w:val="single" w:sz="8" w:color="0000FF"/>
            </w:tcBorders>
          </w:tcPr>
          <w:p>
            <w:pPr>
              <w:spacing w:after="0"/>
              <w:rPr>
                <w:sz w:val="18"/>
                <w:szCs w:val="18"/>
                <w:color w:val="auto"/>
              </w:rPr>
            </w:pPr>
          </w:p>
        </w:tc>
        <w:tc>
          <w:tcPr>
            <w:tcW w:w="2820" w:type="dxa"/>
            <w:vAlign w:val="bottom"/>
          </w:tcPr>
          <w:p>
            <w:pPr>
              <w:spacing w:after="0"/>
              <w:rPr>
                <w:sz w:val="18"/>
                <w:szCs w:val="18"/>
                <w:color w:val="auto"/>
              </w:rPr>
            </w:pPr>
          </w:p>
        </w:tc>
      </w:tr>
      <w:tr>
        <w:trPr>
          <w:trHeight w:val="209"/>
        </w:trPr>
        <w:tc>
          <w:tcPr>
            <w:tcW w:w="108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40" w:type="dxa"/>
            <w:vAlign w:val="bottom"/>
            <w:gridSpan w:val="3"/>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Certification of Chief Executive Officer pursuant to Section 906 of the Sarbanes-Oxley Act of 2002.</w:t>
              </w:r>
            </w:hyperlink>
          </w:p>
        </w:tc>
      </w:tr>
      <w:tr>
        <w:trPr>
          <w:trHeight w:val="209"/>
        </w:trPr>
        <w:tc>
          <w:tcPr>
            <w:tcW w:w="108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Borders>
              <w:top w:val="single" w:sz="8" w:color="0000FF"/>
              <w:bottom w:val="single" w:sz="8" w:color="0000FF"/>
            </w:tcBorders>
          </w:tcPr>
          <w:p>
            <w:pPr>
              <w:spacing w:after="0"/>
              <w:rPr>
                <w:rFonts w:ascii="Arial" w:cs="Arial" w:eastAsia="Arial" w:hAnsi="Arial"/>
                <w:sz w:val="18"/>
                <w:szCs w:val="18"/>
                <w:color w:val="0000FF"/>
                <w:w w:val="92"/>
              </w:rPr>
            </w:pPr>
            <w:hyperlink w:anchor="page90">
              <w:r>
                <w:rPr>
                  <w:rFonts w:ascii="Arial" w:cs="Arial" w:eastAsia="Arial" w:hAnsi="Arial"/>
                  <w:sz w:val="18"/>
                  <w:szCs w:val="18"/>
                  <w:color w:val="0000FF"/>
                  <w:w w:val="92"/>
                </w:rPr>
                <w:t>Certification of Chief Financial Officer pursuant to Section 906 of the Sarbanes-Oxley Act of 2002.</w:t>
              </w:r>
            </w:hyperlink>
          </w:p>
        </w:tc>
        <w:tc>
          <w:tcPr>
            <w:tcW w:w="40" w:type="dxa"/>
            <w:vAlign w:val="bottom"/>
            <w:tcBorders>
              <w:top w:val="single" w:sz="8" w:color="0000FF"/>
            </w:tcBorders>
          </w:tcPr>
          <w:p>
            <w:pPr>
              <w:spacing w:after="0"/>
              <w:rPr>
                <w:sz w:val="18"/>
                <w:szCs w:val="18"/>
                <w:color w:val="auto"/>
              </w:rPr>
            </w:pPr>
          </w:p>
        </w:tc>
        <w:tc>
          <w:tcPr>
            <w:tcW w:w="2820" w:type="dxa"/>
            <w:vAlign w:val="bottom"/>
          </w:tcPr>
          <w:p>
            <w:pPr>
              <w:spacing w:after="0"/>
              <w:rPr>
                <w:sz w:val="18"/>
                <w:szCs w:val="18"/>
                <w:color w:val="auto"/>
              </w:rPr>
            </w:pPr>
          </w:p>
        </w:tc>
      </w:tr>
      <w:tr>
        <w:trPr>
          <w:trHeight w:val="196"/>
        </w:trPr>
        <w:tc>
          <w:tcPr>
            <w:tcW w:w="11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101.INS*</w:t>
            </w:r>
          </w:p>
        </w:tc>
        <w:tc>
          <w:tcPr>
            <w:tcW w:w="20" w:type="dxa"/>
            <w:vAlign w:val="bottom"/>
          </w:tcPr>
          <w:p>
            <w:pPr>
              <w:spacing w:after="0"/>
              <w:rPr>
                <w:sz w:val="17"/>
                <w:szCs w:val="17"/>
                <w:color w:val="auto"/>
              </w:rPr>
            </w:pPr>
          </w:p>
        </w:tc>
        <w:tc>
          <w:tcPr>
            <w:tcW w:w="10040" w:type="dxa"/>
            <w:vAlign w:val="bottom"/>
            <w:gridSpan w:val="3"/>
          </w:tcPr>
          <w:p>
            <w:pPr>
              <w:spacing w:after="0" w:line="19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29"/>
        </w:trPr>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r>
      <w:tr>
        <w:trPr>
          <w:trHeight w:val="229"/>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101.SCH*</w:t>
            </w:r>
          </w:p>
        </w:tc>
        <w:tc>
          <w:tcPr>
            <w:tcW w:w="2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101.CAL*</w:t>
            </w:r>
          </w:p>
        </w:tc>
        <w:tc>
          <w:tcPr>
            <w:tcW w:w="2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101.LAB*</w:t>
            </w:r>
          </w:p>
        </w:tc>
        <w:tc>
          <w:tcPr>
            <w:tcW w:w="2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101.PRE*</w:t>
            </w:r>
          </w:p>
        </w:tc>
        <w:tc>
          <w:tcPr>
            <w:tcW w:w="2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101.DEF*</w:t>
            </w:r>
          </w:p>
        </w:tc>
        <w:tc>
          <w:tcPr>
            <w:tcW w:w="2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176"/>
        </w:trPr>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97"/>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3"/>
          </w:tcPr>
          <w:p>
            <w:pPr>
              <w:spacing w:after="0" w:line="176" w:lineRule="exact"/>
              <w:rPr>
                <w:sz w:val="20"/>
                <w:szCs w:val="20"/>
                <w:color w:val="auto"/>
              </w:rPr>
            </w:pPr>
            <w:r>
              <w:rPr>
                <w:rFonts w:ascii="Arial" w:cs="Arial" w:eastAsia="Arial" w:hAnsi="Arial"/>
                <w:sz w:val="18"/>
                <w:szCs w:val="18"/>
                <w:color w:val="auto"/>
                <w:w w:val="92"/>
              </w:rPr>
              <w:t>The cover page of Brighthouse Financial, Inc.’s Quarterly Report on Form 10-Q for the quarter ended March 31, 2021, formatted in Inline</w:t>
            </w:r>
          </w:p>
        </w:tc>
      </w:tr>
      <w:tr>
        <w:trPr>
          <w:trHeight w:val="230"/>
        </w:trPr>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XBRL (included within the Exhibit 101 attachments).</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BRIGHTHOUSE FINANCIAL, INC.</w:t>
      </w:r>
    </w:p>
    <w:p>
      <w:pPr>
        <w:spacing w:after="0" w:line="117"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Pr>
          <w:p>
            <w:pPr>
              <w:ind w:left="180"/>
              <w:spacing w:after="0"/>
              <w:rPr>
                <w:sz w:val="20"/>
                <w:szCs w:val="20"/>
                <w:color w:val="auto"/>
              </w:rPr>
            </w:pPr>
            <w:r>
              <w:rPr>
                <w:rFonts w:ascii="Arial" w:cs="Arial" w:eastAsia="Arial" w:hAnsi="Arial"/>
                <w:sz w:val="18"/>
                <w:szCs w:val="18"/>
                <w:color w:val="auto"/>
              </w:rPr>
              <w:t>/s/ Edward A. Spehar</w:t>
            </w:r>
          </w:p>
        </w:tc>
      </w:tr>
      <w:tr>
        <w:trPr>
          <w:trHeight w:val="249"/>
        </w:trPr>
        <w:tc>
          <w:tcPr>
            <w:tcW w:w="400" w:type="dxa"/>
            <w:vAlign w:val="bottom"/>
          </w:tcPr>
          <w:p>
            <w:pPr>
              <w:spacing w:after="0"/>
              <w:rPr>
                <w:sz w:val="21"/>
                <w:szCs w:val="21"/>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Edward A. Spehar</w:t>
            </w:r>
          </w:p>
        </w:tc>
      </w:tr>
      <w:tr>
        <w:trPr>
          <w:trHeight w:val="271"/>
        </w:trPr>
        <w:tc>
          <w:tcPr>
            <w:tcW w:w="40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440" w:type="dxa"/>
            <w:vAlign w:val="bottom"/>
          </w:tcPr>
          <w:p>
            <w:pPr>
              <w:ind w:left="18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w w:val="96"/>
              </w:rPr>
              <w:t>(Duly Authorized Officer and Principal Financial Officer)</w:t>
            </w:r>
          </w:p>
        </w:tc>
      </w:tr>
    </w:tbl>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May 10, 2021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229" w:right="339" w:bottom="1440" w:gutter="0" w:footer="0" w:header="0"/>
        </w:sectPr>
      </w:pPr>
    </w:p>
    <w:bookmarkStart w:id="86" w:name="page87"/>
    <w:bookmarkEnd w:id="86"/>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Eric T. Steigerwalt, certify that:</w:t>
      </w:r>
    </w:p>
    <w:p>
      <w:pPr>
        <w:spacing w:after="0" w:line="90"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103" w:lineRule="exact"/>
        <w:rPr>
          <w:rFonts w:ascii="Arial" w:cs="Arial" w:eastAsia="Arial" w:hAnsi="Arial"/>
          <w:sz w:val="18"/>
          <w:szCs w:val="18"/>
          <w:color w:val="auto"/>
        </w:rPr>
      </w:pPr>
    </w:p>
    <w:p>
      <w:pPr>
        <w:ind w:firstLine="8"/>
        <w:spacing w:after="0" w:line="342" w:lineRule="auto"/>
        <w:tabs>
          <w:tab w:leader="none" w:pos="201"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firstLine="8"/>
        <w:spacing w:after="0" w:line="277" w:lineRule="auto"/>
        <w:tabs>
          <w:tab w:leader="none" w:pos="2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firstLine="8"/>
        <w:spacing w:after="0" w:line="308" w:lineRule="auto"/>
        <w:tabs>
          <w:tab w:leader="none" w:pos="192"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79"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Eric T. Steigerwalt</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4" w:right="339" w:bottom="1440" w:gutter="0" w:footer="0" w:header="0"/>
        </w:sectPr>
      </w:pPr>
    </w:p>
    <w:bookmarkStart w:id="87" w:name="page88"/>
    <w:bookmarkEnd w:id="87"/>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Edward A. Spehar, certify that:</w:t>
      </w:r>
    </w:p>
    <w:p>
      <w:pPr>
        <w:spacing w:after="0" w:line="90"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103" w:lineRule="exact"/>
        <w:rPr>
          <w:rFonts w:ascii="Arial" w:cs="Arial" w:eastAsia="Arial" w:hAnsi="Arial"/>
          <w:sz w:val="18"/>
          <w:szCs w:val="18"/>
          <w:color w:val="auto"/>
        </w:rPr>
      </w:pPr>
    </w:p>
    <w:p>
      <w:pPr>
        <w:ind w:firstLine="8"/>
        <w:spacing w:after="0" w:line="342" w:lineRule="auto"/>
        <w:tabs>
          <w:tab w:leader="none" w:pos="201"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firstLine="8"/>
        <w:spacing w:after="0" w:line="277" w:lineRule="auto"/>
        <w:tabs>
          <w:tab w:leader="none" w:pos="204"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firstLine="8"/>
        <w:spacing w:after="0" w:line="308" w:lineRule="auto"/>
        <w:tabs>
          <w:tab w:leader="none" w:pos="192"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7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232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Edward A. Spehar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36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1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 Eric T. Steigerwalt, certify that, to my knowledge, (i) Brighthouse Financial, Inc.’s Quarterly Report on Form 10-Q for the quarter ended March 31, 2021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00" w:lineRule="exact"/>
        <w:rPr>
          <w:sz w:val="20"/>
          <w:szCs w:val="20"/>
          <w:color w:val="auto"/>
        </w:rPr>
      </w:pPr>
    </w:p>
    <w:p>
      <w:pPr>
        <w:spacing w:after="0" w:line="295"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Eric T. Steigerwalt</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64"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15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 Edward A. Spehar, certify that, to my knowledge, (i) Brighthouse Financial, Inc.’s Quarterly Report on Form 10-Q for the quarter ended March 31, 2021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2021</w:t>
      </w:r>
    </w:p>
    <w:p>
      <w:pPr>
        <w:spacing w:after="0" w:line="200" w:lineRule="exact"/>
        <w:rPr>
          <w:sz w:val="20"/>
          <w:szCs w:val="20"/>
          <w:color w:val="auto"/>
        </w:rPr>
      </w:pPr>
    </w:p>
    <w:p>
      <w:pPr>
        <w:spacing w:after="0" w:line="295"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32232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Edward A. Spehar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pacing w:after="0" w:line="22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5"/>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4"/>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3"/>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emdash "/>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lvl w:ilvl="1">
      <w:lvlJc w:val="left"/>
      <w:lvlText w:val="◦"/>
      <w:numFmt w:val="bullet"/>
      <w:start w:val="1"/>
    </w:lvl>
  </w:abstractNum>
  <w:abstractNum w:abstractNumId="33">
    <w:nsid w:val="1BA026FA"/>
    <w:multiLevelType w:val="hybridMultilevel"/>
    <w:lvl w:ilvl="0">
      <w:lvlJc w:val="left"/>
      <w:lvlText w:val="•"/>
      <w:numFmt w:val="bullet"/>
      <w:start w:val="1"/>
    </w:lvl>
    <w:lvl w:ilvl="1">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lvl w:ilvl="1">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lvl w:ilvl="1">
      <w:lvlJc w:val="left"/>
      <w:lvlText w:val="◦"/>
      <w:numFmt w:val="bullet"/>
      <w:start w:val="1"/>
    </w:lvl>
  </w:abstractNum>
  <w:abstractNum w:abstractNumId="39">
    <w:nsid w:val="374A3FE6"/>
    <w:multiLevelType w:val="hybridMultilevel"/>
    <w:lvl w:ilvl="0">
      <w:lvlJc w:val="left"/>
      <w:lvlText w:val="•"/>
      <w:numFmt w:val="bullet"/>
      <w:start w:val="1"/>
    </w:lvl>
    <w:lvl w:ilvl="1">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lvl w:ilvl="1">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1)"/>
      <w:numFmt w:val="lowerRoman"/>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emdash "/>
      <w:numFmt w:val="bullet"/>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emdash "/>
      <w:numFmt w:val="bullet"/>
      <w:start w:val="1"/>
    </w:lvl>
  </w:abstractNum>
  <w:abstractNum w:abstractNumId="63">
    <w:nsid w:val="1DBABF00"/>
    <w:multiLevelType w:val="hybridMultilevel"/>
    <w:lvl w:ilvl="0">
      <w:lvlJc w:val="left"/>
      <w:lvlText w:val="•"/>
      <w:numFmt w:val="bullet"/>
      <w:start w:val="1"/>
    </w:lvl>
  </w:abstractNum>
  <w:abstractNum w:abstractNumId="64">
    <w:nsid w:val="4AD084E9"/>
    <w:multiLevelType w:val="hybridMultilevel"/>
    <w:lvl w:ilvl="0">
      <w:lvlJc w:val="left"/>
      <w:lvlText w:val="•"/>
      <w:numFmt w:val="bullet"/>
      <w:start w:val="1"/>
    </w:lvl>
  </w:abstractNum>
  <w:abstractNum w:abstractNumId="65">
    <w:nsid w:val="1F48EAA1"/>
    <w:multiLevelType w:val="hybridMultilevel"/>
    <w:lvl w:ilvl="0">
      <w:lvlJc w:val="left"/>
      <w:lvlText w:val="(%1)"/>
      <w:numFmt w:val="decimal"/>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2021-05-10T15:58:34Z</dcterms:created>
  <dcterms:modified xsi:type="dcterms:W3CDTF">2021-05-10T15:58:34Z</dcterms:modified>
</cp:coreProperties>
</file>