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21, 2015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VIA EDGAR TRANSMISSION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U.S. Securities and Exchange Commission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100 F Street, N.E.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1280"/>
        <w:spacing w:after="0"/>
        <w:tabs>
          <w:tab w:leader="none" w:pos="19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MetLife Insurance Company USA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2000" w:right="187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 for Withdrawal of Registration Statement on Form S-3 Pursuant to Rule 477 (File No. 333-201864) Accession No. 0001193125-13-033258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Sir or Madam: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779" w:firstLine="527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behalf of MetLife Insurance Company USA (the "Company"), we hereby request that the above-referenced registration statement filed February 4, 2015, on Form S-3, be withdrawn, pursuant to Rule 477 under the Securities Act of 1933, as amended (the "1933 Act") for T-Mark File No. 333-201864.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99" w:firstLine="527"/>
        <w:spacing w:after="0" w:line="27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 Registrant is requesting withdrawal of the Registration Statement consistent with discussions with the Securities and Exchange Commission staff. No securities have been sold in connection with the Registration Statement.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ind w:right="2199" w:firstLine="52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Diane E. Ambler at (202) 778-9886 or Andras P. Teleki at (202) 778-9477 with any questions or comments.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35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jc w:val="center"/>
        <w:ind w:right="-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MetLife Insurance Company USA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5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By: /s/Greg Illson</w:t>
      </w:r>
    </w:p>
    <w:p>
      <w:pPr>
        <w:ind w:left="4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</w:t>
      </w:r>
    </w:p>
    <w:p>
      <w:pPr>
        <w:ind w:left="4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Greg Illson</w:t>
      </w:r>
    </w:p>
    <w:p>
      <w:pPr>
        <w:ind w:left="4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Vice President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40" w:right="7999" w:hanging="532"/>
        <w:spacing w:after="0" w:line="290" w:lineRule="auto"/>
        <w:tabs>
          <w:tab w:leader="none" w:pos="54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Diane E. Ambler Andras P. Teleki</w:t>
      </w:r>
    </w:p>
    <w:sectPr>
      <w:pgSz w:w="11900" w:h="16838" w:orient="portrait"/>
      <w:cols w:equalWidth="0" w:num="1">
        <w:col w:w="10219"/>
      </w:cols>
      <w:pgMar w:left="240" w:top="1055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2019-12-05T22:20:37Z</dcterms:created>
  <dcterms:modified xsi:type="dcterms:W3CDTF">2019-12-05T22:20:37Z</dcterms:modified>
</cp:coreProperties>
</file>